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917BA" w:rsidRDefault="000020C2">
      <w:pPr>
        <w:pStyle w:val="Heading1"/>
        <w:spacing w:line="480" w:lineRule="auto"/>
      </w:pPr>
      <w:r>
        <w:rPr>
          <w:rFonts w:ascii="Arial" w:hAnsi="Arial" w:cs="Arial"/>
          <w:szCs w:val="24"/>
        </w:rPr>
        <w:t>Appendix S1</w:t>
      </w:r>
      <w:bookmarkStart w:id="0" w:name="_GoBack"/>
      <w:bookmarkEnd w:id="0"/>
    </w:p>
    <w:p w:rsidR="00C917BA" w:rsidRDefault="000020C2">
      <w:pPr>
        <w:pStyle w:val="Heading3"/>
        <w:spacing w:line="480" w:lineRule="auto"/>
        <w:rPr>
          <w:rFonts w:ascii="Arial" w:hAnsi="Arial" w:cs="Arial"/>
          <w:color w:val="2E74B5" w:themeColor="accent1" w:themeShade="BF"/>
          <w:szCs w:val="26"/>
        </w:rPr>
      </w:pPr>
      <w:r>
        <w:rPr>
          <w:rFonts w:ascii="Arial" w:hAnsi="Arial" w:cs="Arial"/>
          <w:color w:val="2E74B5" w:themeColor="accent1" w:themeShade="BF"/>
          <w:szCs w:val="26"/>
        </w:rPr>
        <w:t>List of supplementary information provided</w:t>
      </w:r>
    </w:p>
    <w:p w:rsidR="00C917BA" w:rsidRDefault="000020C2">
      <w:pPr>
        <w:rPr>
          <w:sz w:val="24"/>
        </w:rPr>
      </w:pPr>
      <w:r>
        <w:rPr>
          <w:sz w:val="24"/>
        </w:rPr>
        <w:t>Methods 1: Polygenic Risk Scores</w:t>
      </w:r>
    </w:p>
    <w:p w:rsidR="00C917BA" w:rsidRDefault="000020C2">
      <w:pPr>
        <w:rPr>
          <w:sz w:val="24"/>
        </w:rPr>
      </w:pPr>
      <w:r>
        <w:rPr>
          <w:sz w:val="24"/>
        </w:rPr>
        <w:t>Methods 2: DNA methylation data processing</w:t>
      </w:r>
    </w:p>
    <w:p w:rsidR="00C917BA" w:rsidRDefault="000020C2">
      <w:pPr>
        <w:rPr>
          <w:sz w:val="24"/>
        </w:rPr>
      </w:pPr>
      <w:r>
        <w:rPr>
          <w:sz w:val="24"/>
        </w:rPr>
        <w:t>Methods 3: Methylation Risk Scores</w:t>
      </w:r>
    </w:p>
    <w:p w:rsidR="00C917BA" w:rsidRDefault="00C917BA">
      <w:pPr>
        <w:rPr>
          <w:sz w:val="24"/>
        </w:rPr>
      </w:pPr>
    </w:p>
    <w:p w:rsidR="00C917BA" w:rsidRDefault="000020C2">
      <w:pPr>
        <w:rPr>
          <w:sz w:val="24"/>
        </w:rPr>
      </w:pPr>
      <w:r>
        <w:rPr>
          <w:sz w:val="24"/>
        </w:rPr>
        <w:t xml:space="preserve">Table S1: Common risk factors as defined in the LISA study (word </w:t>
      </w:r>
      <w:r>
        <w:rPr>
          <w:sz w:val="24"/>
        </w:rPr>
        <w:t>supplement)</w:t>
      </w:r>
    </w:p>
    <w:p w:rsidR="00C917BA" w:rsidRDefault="000020C2">
      <w:pPr>
        <w:rPr>
          <w:sz w:val="24"/>
        </w:rPr>
      </w:pPr>
      <w:r>
        <w:rPr>
          <w:sz w:val="24"/>
        </w:rPr>
        <w:t>Table S2: Comparison in baseline variables between the analysis sample (N = 240) and LISA Munich</w:t>
      </w:r>
    </w:p>
    <w:p w:rsidR="00C917BA" w:rsidRDefault="000020C2">
      <w:pPr>
        <w:rPr>
          <w:sz w:val="24"/>
        </w:rPr>
      </w:pPr>
      <w:r>
        <w:rPr>
          <w:sz w:val="24"/>
        </w:rPr>
        <w:t>Table S3: MRS performance in four different models (corresponds to Fig.1)</w:t>
      </w:r>
    </w:p>
    <w:p w:rsidR="00C917BA" w:rsidRDefault="000020C2">
      <w:pPr>
        <w:rPr>
          <w:sz w:val="24"/>
        </w:rPr>
      </w:pPr>
      <w:r>
        <w:rPr>
          <w:sz w:val="24"/>
        </w:rPr>
        <w:t xml:space="preserve">Table S4: List of included </w:t>
      </w:r>
      <w:proofErr w:type="spellStart"/>
      <w:r>
        <w:rPr>
          <w:sz w:val="24"/>
        </w:rPr>
        <w:t>Cpgs</w:t>
      </w:r>
      <w:proofErr w:type="spellEnd"/>
      <w:r>
        <w:rPr>
          <w:sz w:val="24"/>
        </w:rPr>
        <w:t xml:space="preserve"> per best performing MRS</w:t>
      </w:r>
    </w:p>
    <w:p w:rsidR="00C917BA" w:rsidRDefault="000020C2">
      <w:pPr>
        <w:rPr>
          <w:sz w:val="24"/>
        </w:rPr>
      </w:pPr>
      <w:r>
        <w:rPr>
          <w:sz w:val="24"/>
        </w:rPr>
        <w:t>Table S5: Best pe</w:t>
      </w:r>
      <w:r>
        <w:rPr>
          <w:sz w:val="24"/>
        </w:rPr>
        <w:t>rforming MRS at ten years and their correlation</w:t>
      </w:r>
    </w:p>
    <w:p w:rsidR="00C917BA" w:rsidRDefault="000020C2">
      <w:pPr>
        <w:rPr>
          <w:sz w:val="24"/>
        </w:rPr>
      </w:pPr>
      <w:r>
        <w:rPr>
          <w:sz w:val="24"/>
        </w:rPr>
        <w:t xml:space="preserve">Table S6: Replication of EWAS hits (with both Houseman and </w:t>
      </w:r>
      <w:proofErr w:type="spellStart"/>
      <w:r>
        <w:rPr>
          <w:sz w:val="24"/>
        </w:rPr>
        <w:t>EpiDISH</w:t>
      </w:r>
      <w:proofErr w:type="spellEnd"/>
      <w:r>
        <w:rPr>
          <w:sz w:val="24"/>
        </w:rPr>
        <w:t xml:space="preserve"> cell type proportions)</w:t>
      </w:r>
    </w:p>
    <w:p w:rsidR="00C917BA" w:rsidRDefault="000020C2">
      <w:pPr>
        <w:rPr>
          <w:sz w:val="24"/>
        </w:rPr>
      </w:pPr>
      <w:r>
        <w:rPr>
          <w:sz w:val="24"/>
        </w:rPr>
        <w:t>Table S7: MRS performance in non-sensitized population (sensitivity analysis)</w:t>
      </w:r>
    </w:p>
    <w:p w:rsidR="00C917BA" w:rsidRDefault="000020C2">
      <w:pPr>
        <w:rPr>
          <w:sz w:val="24"/>
        </w:rPr>
      </w:pPr>
      <w:r>
        <w:rPr>
          <w:sz w:val="24"/>
        </w:rPr>
        <w:t xml:space="preserve">Table S8: Results from ordinal logistic </w:t>
      </w:r>
      <w:r>
        <w:rPr>
          <w:sz w:val="24"/>
        </w:rPr>
        <w:t>regression from MRS on RAST classes (corresponds to Fig. 2)</w:t>
      </w:r>
    </w:p>
    <w:p w:rsidR="00C917BA" w:rsidRDefault="000020C2">
      <w:pPr>
        <w:rPr>
          <w:sz w:val="24"/>
        </w:rPr>
      </w:pPr>
      <w:r>
        <w:rPr>
          <w:sz w:val="24"/>
        </w:rPr>
        <w:t>Table S9: MRS performance at six years in allergic disease symptoms (corresponds to Fig. S4)</w:t>
      </w:r>
    </w:p>
    <w:p w:rsidR="00C917BA" w:rsidRDefault="000020C2">
      <w:pPr>
        <w:rPr>
          <w:sz w:val="24"/>
        </w:rPr>
      </w:pPr>
      <w:r>
        <w:rPr>
          <w:sz w:val="24"/>
        </w:rPr>
        <w:t>Table S10: MRS performance at ten years in allergic disease symptoms</w:t>
      </w:r>
    </w:p>
    <w:p w:rsidR="00C917BA" w:rsidRDefault="000020C2">
      <w:pPr>
        <w:rPr>
          <w:sz w:val="24"/>
        </w:rPr>
      </w:pPr>
      <w:r>
        <w:rPr>
          <w:sz w:val="24"/>
        </w:rPr>
        <w:t>Table S11: MRS performance cross-s</w:t>
      </w:r>
      <w:r>
        <w:rPr>
          <w:sz w:val="24"/>
        </w:rPr>
        <w:t xml:space="preserve">ectional at six years with differently calculated MRS (LISA residuals, </w:t>
      </w:r>
      <w:proofErr w:type="spellStart"/>
      <w:r>
        <w:rPr>
          <w:sz w:val="24"/>
        </w:rPr>
        <w:t>CoMeback</w:t>
      </w:r>
      <w:proofErr w:type="spellEnd"/>
      <w:r>
        <w:rPr>
          <w:sz w:val="24"/>
        </w:rPr>
        <w:t xml:space="preserve"> residuals, no </w:t>
      </w:r>
      <w:proofErr w:type="spellStart"/>
      <w:r>
        <w:rPr>
          <w:sz w:val="24"/>
        </w:rPr>
        <w:t>CoMeBack</w:t>
      </w:r>
      <w:proofErr w:type="spellEnd"/>
      <w:r>
        <w:rPr>
          <w:sz w:val="24"/>
        </w:rPr>
        <w:t>)</w:t>
      </w:r>
    </w:p>
    <w:p w:rsidR="00C917BA" w:rsidRDefault="000020C2">
      <w:pPr>
        <w:rPr>
          <w:sz w:val="24"/>
        </w:rPr>
      </w:pPr>
      <w:r>
        <w:rPr>
          <w:sz w:val="24"/>
        </w:rPr>
        <w:t xml:space="preserve">Table S12: Number of included CpGs per method (LISA residuals, </w:t>
      </w:r>
      <w:proofErr w:type="spellStart"/>
      <w:r>
        <w:rPr>
          <w:sz w:val="24"/>
        </w:rPr>
        <w:t>CoMeback</w:t>
      </w:r>
      <w:proofErr w:type="spellEnd"/>
      <w:r>
        <w:rPr>
          <w:sz w:val="24"/>
        </w:rPr>
        <w:t xml:space="preserve"> residuals, no </w:t>
      </w:r>
      <w:proofErr w:type="spellStart"/>
      <w:r>
        <w:rPr>
          <w:sz w:val="24"/>
        </w:rPr>
        <w:t>CoMeBack</w:t>
      </w:r>
      <w:proofErr w:type="spellEnd"/>
      <w:r>
        <w:rPr>
          <w:sz w:val="24"/>
        </w:rPr>
        <w:t>) and best performing MRS</w:t>
      </w:r>
    </w:p>
    <w:p w:rsidR="00C917BA" w:rsidRDefault="00C917BA">
      <w:pPr>
        <w:rPr>
          <w:sz w:val="24"/>
        </w:rPr>
      </w:pPr>
    </w:p>
    <w:p w:rsidR="00C917BA" w:rsidRDefault="00C917BA">
      <w:pPr>
        <w:rPr>
          <w:sz w:val="24"/>
        </w:rPr>
      </w:pPr>
    </w:p>
    <w:p w:rsidR="00C917BA" w:rsidRDefault="000020C2">
      <w:pPr>
        <w:rPr>
          <w:sz w:val="24"/>
        </w:rPr>
      </w:pPr>
      <w:r>
        <w:rPr>
          <w:sz w:val="24"/>
        </w:rPr>
        <w:t>Figure S1: Sample size flow ch</w:t>
      </w:r>
      <w:r>
        <w:rPr>
          <w:sz w:val="24"/>
        </w:rPr>
        <w:t>art</w:t>
      </w:r>
    </w:p>
    <w:p w:rsidR="00C917BA" w:rsidRDefault="000020C2">
      <w:pPr>
        <w:rPr>
          <w:sz w:val="24"/>
        </w:rPr>
      </w:pPr>
      <w:r>
        <w:rPr>
          <w:sz w:val="24"/>
        </w:rPr>
        <w:t>Figure S2: ROC-curves</w:t>
      </w:r>
    </w:p>
    <w:p w:rsidR="00C917BA" w:rsidRDefault="000020C2">
      <w:pPr>
        <w:rPr>
          <w:sz w:val="24"/>
        </w:rPr>
      </w:pPr>
      <w:r>
        <w:rPr>
          <w:sz w:val="24"/>
        </w:rPr>
        <w:t>Figure S3: Correlation of best performing MRS at six years</w:t>
      </w:r>
    </w:p>
    <w:p w:rsidR="00C917BA" w:rsidRDefault="000020C2">
      <w:pPr>
        <w:rPr>
          <w:sz w:val="24"/>
        </w:rPr>
      </w:pPr>
      <w:r>
        <w:rPr>
          <w:sz w:val="24"/>
        </w:rPr>
        <w:lastRenderedPageBreak/>
        <w:t>Figure S4: MRS performance on other allergic disease symptoms at six years</w:t>
      </w:r>
    </w:p>
    <w:p w:rsidR="00C917BA" w:rsidRDefault="000020C2">
      <w:pPr>
        <w:rPr>
          <w:sz w:val="24"/>
        </w:rPr>
      </w:pPr>
      <w:r>
        <w:rPr>
          <w:sz w:val="24"/>
        </w:rPr>
        <w:t xml:space="preserve">Figure S5: Correlation between MRS and </w:t>
      </w:r>
      <w:proofErr w:type="spellStart"/>
      <w:r>
        <w:rPr>
          <w:sz w:val="24"/>
        </w:rPr>
        <w:t>EpiDISH</w:t>
      </w:r>
      <w:proofErr w:type="spellEnd"/>
      <w:r>
        <w:rPr>
          <w:sz w:val="24"/>
        </w:rPr>
        <w:t xml:space="preserve"> CTPs</w:t>
      </w:r>
    </w:p>
    <w:p w:rsidR="00C917BA" w:rsidRDefault="000020C2">
      <w:pPr>
        <w:rPr>
          <w:sz w:val="24"/>
        </w:rPr>
      </w:pPr>
      <w:r>
        <w:rPr>
          <w:sz w:val="24"/>
        </w:rPr>
        <w:t>Figure S6: Correlation between single CpGs p</w:t>
      </w:r>
      <w:r>
        <w:rPr>
          <w:sz w:val="24"/>
        </w:rPr>
        <w:t xml:space="preserve">er MRS (with and without </w:t>
      </w:r>
      <w:proofErr w:type="spellStart"/>
      <w:r>
        <w:rPr>
          <w:sz w:val="24"/>
        </w:rPr>
        <w:t>CoMeBack</w:t>
      </w:r>
      <w:proofErr w:type="spellEnd"/>
      <w:r>
        <w:rPr>
          <w:sz w:val="24"/>
        </w:rPr>
        <w:t>)</w:t>
      </w:r>
    </w:p>
    <w:p w:rsidR="00C917BA" w:rsidRDefault="00C917BA"/>
    <w:p w:rsidR="00C917BA" w:rsidRDefault="00C917BA">
      <w:pPr>
        <w:pStyle w:val="Heading3"/>
        <w:spacing w:line="480" w:lineRule="auto"/>
        <w:rPr>
          <w:rFonts w:ascii="Arial" w:hAnsi="Arial" w:cs="Arial"/>
          <w:color w:val="2E74B5" w:themeColor="accent1" w:themeShade="BF"/>
          <w:szCs w:val="26"/>
        </w:rPr>
      </w:pPr>
    </w:p>
    <w:p w:rsidR="00C917BA" w:rsidRDefault="00C917BA">
      <w:pPr>
        <w:pStyle w:val="Heading3"/>
        <w:spacing w:line="480" w:lineRule="auto"/>
        <w:rPr>
          <w:rFonts w:ascii="Arial" w:hAnsi="Arial" w:cs="Arial"/>
          <w:color w:val="2E74B5" w:themeColor="accent1" w:themeShade="BF"/>
          <w:szCs w:val="26"/>
        </w:rPr>
      </w:pPr>
    </w:p>
    <w:p w:rsidR="00C917BA" w:rsidRDefault="000020C2">
      <w:pPr>
        <w:rPr>
          <w:rFonts w:ascii="Arial" w:eastAsiaTheme="majorEastAsia" w:hAnsi="Arial" w:cs="Arial"/>
          <w:color w:val="2E74B5" w:themeColor="accent1" w:themeShade="BF"/>
          <w:sz w:val="24"/>
          <w:szCs w:val="26"/>
        </w:rPr>
      </w:pPr>
      <w:r>
        <w:rPr>
          <w:rFonts w:ascii="Arial" w:hAnsi="Arial" w:cs="Arial"/>
          <w:color w:val="2E74B5" w:themeColor="accent1" w:themeShade="BF"/>
          <w:szCs w:val="26"/>
        </w:rPr>
        <w:br w:type="page"/>
      </w:r>
    </w:p>
    <w:p w:rsidR="00C917BA" w:rsidRDefault="000020C2">
      <w:pPr>
        <w:pStyle w:val="Heading3"/>
        <w:spacing w:line="480" w:lineRule="auto"/>
        <w:rPr>
          <w:rFonts w:ascii="Arial" w:hAnsi="Arial" w:cs="Arial"/>
          <w:color w:val="2E74B5" w:themeColor="accent1" w:themeShade="BF"/>
          <w:szCs w:val="26"/>
        </w:rPr>
      </w:pPr>
      <w:r>
        <w:rPr>
          <w:rFonts w:ascii="Arial" w:hAnsi="Arial" w:cs="Arial"/>
          <w:color w:val="2E74B5" w:themeColor="accent1" w:themeShade="BF"/>
          <w:szCs w:val="26"/>
        </w:rPr>
        <w:lastRenderedPageBreak/>
        <w:t>Methods 1: Polygenic Risk Scores (PRS)</w:t>
      </w:r>
    </w:p>
    <w:p w:rsidR="00C917BA" w:rsidRDefault="000020C2">
      <w:pPr>
        <w:spacing w:line="480" w:lineRule="auto"/>
        <w:rPr>
          <w:rFonts w:ascii="Arial" w:hAnsi="Arial" w:cs="Arial"/>
          <w:sz w:val="24"/>
          <w:szCs w:val="24"/>
        </w:rPr>
      </w:pPr>
      <w:r>
        <w:rPr>
          <w:rFonts w:ascii="Arial" w:hAnsi="Arial" w:cs="Arial"/>
          <w:sz w:val="24"/>
          <w:szCs w:val="24"/>
        </w:rPr>
        <w:t xml:space="preserve">For the present study we used several established determinants of allergic diseases for comparison with MRS. PRS were used as genetic determinants and assessed regarding their </w:t>
      </w:r>
      <w:r>
        <w:rPr>
          <w:rFonts w:ascii="Arial" w:hAnsi="Arial" w:cs="Arial"/>
          <w:sz w:val="24"/>
          <w:szCs w:val="24"/>
        </w:rPr>
        <w:t>relative risk of aeroallergen sensitization (RR and 95%-CI) and the explained variance (pseudo R</w:t>
      </w:r>
      <w:r>
        <w:rPr>
          <w:rFonts w:ascii="Arial" w:hAnsi="Arial" w:cs="Arial"/>
          <w:sz w:val="24"/>
          <w:szCs w:val="24"/>
          <w:vertAlign w:val="superscript"/>
        </w:rPr>
        <w:t>2</w:t>
      </w:r>
      <w:r>
        <w:rPr>
          <w:rFonts w:ascii="Arial" w:hAnsi="Arial" w:cs="Arial"/>
          <w:sz w:val="24"/>
          <w:szCs w:val="24"/>
        </w:rPr>
        <w:t xml:space="preserve">). </w:t>
      </w:r>
    </w:p>
    <w:p w:rsidR="00C917BA" w:rsidRDefault="000020C2">
      <w:pPr>
        <w:spacing w:line="480" w:lineRule="auto"/>
        <w:rPr>
          <w:rFonts w:ascii="Arial" w:hAnsi="Arial" w:cs="Arial"/>
          <w:sz w:val="24"/>
          <w:szCs w:val="24"/>
        </w:rPr>
      </w:pPr>
      <w:r>
        <w:rPr>
          <w:rFonts w:ascii="Arial" w:hAnsi="Arial" w:cs="Arial"/>
          <w:sz w:val="24"/>
          <w:szCs w:val="24"/>
        </w:rPr>
        <w:t xml:space="preserve">PRS were calculated from previously published GWAS results on any allergic disease </w:t>
      </w:r>
      <w:r>
        <w:rPr>
          <w:rFonts w:ascii="Arial" w:hAnsi="Arial" w:cs="Arial"/>
          <w:sz w:val="24"/>
          <w:szCs w:val="24"/>
        </w:rPr>
        <w:fldChar w:fldCharType="begin"/>
      </w:r>
      <w:r>
        <w:rPr>
          <w:rFonts w:ascii="Arial" w:hAnsi="Arial" w:cs="Arial"/>
          <w:sz w:val="24"/>
          <w:szCs w:val="24"/>
        </w:rPr>
        <w:instrText xml:space="preserve"> ADDIN ZOTERO_ITEM CSL_CITATION {"citationID":"PMqZzEA7","properties":{"</w:instrText>
      </w:r>
      <w:r>
        <w:rPr>
          <w:rFonts w:ascii="Arial" w:hAnsi="Arial" w:cs="Arial"/>
          <w:sz w:val="24"/>
          <w:szCs w:val="24"/>
        </w:rPr>
        <w:instrText>formattedCitation":"\\super 5,6\\nosupersub{}","plainCitation":"5,6","noteIndex":0},"citationItems":[{"id":498,"uris":["http://zotero.org/groups/2409646/items/VNQZ7PBN"],"uri":["http://zotero.org/groups/2409646/items/VNQZ7PBN"],"itemData":{"id":498,"type":</w:instrText>
      </w:r>
      <w:r>
        <w:rPr>
          <w:rFonts w:ascii="Arial" w:hAnsi="Arial" w:cs="Arial"/>
          <w:sz w:val="24"/>
          <w:szCs w:val="24"/>
        </w:rPr>
        <w:instrText>"article-journal","abstract":"Asthma, hay fever (or allergic rhinitis) and eczema (or atopic\ndermatitis) often coexist in the same individuals, partly because of a shared genetic origin–. To\nidentify shared risk variants, we performed a genome-wide assoc</w:instrText>
      </w:r>
      <w:r>
        <w:rPr>
          <w:rFonts w:ascii="Arial" w:hAnsi="Arial" w:cs="Arial"/>
          <w:sz w:val="24"/>
          <w:szCs w:val="24"/>
        </w:rPr>
        <w:instrText>iation study\n(GWAS, n=360,838) of a broad allergic disease phenotype that\nconsiders the presence of any one of these three diseases. We identified 136\nindependent risk variants (P&lt;3x10-8),\nincluding 73 not previously reported, which implicate 132 nearb</w:instrText>
      </w:r>
      <w:r>
        <w:rPr>
          <w:rFonts w:ascii="Arial" w:hAnsi="Arial" w:cs="Arial"/>
          <w:sz w:val="24"/>
          <w:szCs w:val="24"/>
        </w:rPr>
        <w:instrText>y genes in\nallergic disease pathophysiology. Disease-specific effects were detected for\nonly six variants, confirming that most represent shared risk factors.\nTissue-specific heritability and biological process enrichment analyses suggest\nthat shared r</w:instrText>
      </w:r>
      <w:r>
        <w:rPr>
          <w:rFonts w:ascii="Arial" w:hAnsi="Arial" w:cs="Arial"/>
          <w:sz w:val="24"/>
          <w:szCs w:val="24"/>
        </w:rPr>
        <w:instrText>isk variants influence lymphocyte-mediated immunity. Six target\ngenes provide an opportunity for drug repositioning, while for 36 genes CpG\nmethylation was found to influence transcription independently of genetic\neffects. Asthma, hay fever and eczema p</w:instrText>
      </w:r>
      <w:r>
        <w:rPr>
          <w:rFonts w:ascii="Arial" w:hAnsi="Arial" w:cs="Arial"/>
          <w:sz w:val="24"/>
          <w:szCs w:val="24"/>
        </w:rPr>
        <w:instrText>artly coexist because they share many\ngenetic risk variants that dysregulate the expression of immune-related\ngenes.","container-title":"Nature genetics","DOI":"10.1038/ng.3985","ISSN":"1061-4036","issue":"12","journalAbbreviation":"Nat Genet","note":"PM</w:instrText>
      </w:r>
      <w:r>
        <w:rPr>
          <w:rFonts w:ascii="Arial" w:hAnsi="Arial" w:cs="Arial"/>
          <w:sz w:val="24"/>
          <w:szCs w:val="24"/>
        </w:rPr>
        <w:instrText>ID: 29083406\nPMCID: PMC5989923","page":"1752-1757","source":"PubMed Central","title":"Shared genetic origin of asthma, hay fever and eczema elucidates allergic disease biology","volume":"49","author":[{"family":"Ferreira","given":"Manuel A"},{"family":"Vo</w:instrText>
      </w:r>
      <w:r>
        <w:rPr>
          <w:rFonts w:ascii="Arial" w:hAnsi="Arial" w:cs="Arial"/>
          <w:sz w:val="24"/>
          <w:szCs w:val="24"/>
        </w:rPr>
        <w:instrText>nk","given":"Judith M"},{"family":"Baurecht","given":"Hansjörg"},{"family":"Marenholz","given":"Ingo"},{"family":"Tian","given":"Chao"},{"family":"Hoffman","given":"Joshua D"},{"family":"Helmer","given":"Quinta"},{"family":"Tillander","given":"Annika"},{"f</w:instrText>
      </w:r>
      <w:r>
        <w:rPr>
          <w:rFonts w:ascii="Arial" w:hAnsi="Arial" w:cs="Arial"/>
          <w:sz w:val="24"/>
          <w:szCs w:val="24"/>
        </w:rPr>
        <w:instrText>amily":"Ullemar","given":"Vilhelmina"},{"family":"Dongen","given":"Jenny","non-dropping-particle":"van"},{"family":"Lu","given":"Yi"},{"family":"Rüschendorf","given":"Franz"},{"family":"Esparza-Gordillo","given":"Jorge"},{"family":"Medway","given":"Chris W</w:instrText>
      </w:r>
      <w:r>
        <w:rPr>
          <w:rFonts w:ascii="Arial" w:hAnsi="Arial" w:cs="Arial"/>
          <w:sz w:val="24"/>
          <w:szCs w:val="24"/>
        </w:rPr>
        <w:instrText>"},{"family":"Mountjoy","given":"Edward"},{"family":"Burrows","given":"Kimberley"},{"family":"Hummel","given":"Oliver"},{"family":"Grosche","given":"Sarah"},{"family":"Brumpton","given":"Ben M"},{"family":"Witte","given":"John S"},{"family":"Hottenga","giv</w:instrText>
      </w:r>
      <w:r>
        <w:rPr>
          <w:rFonts w:ascii="Arial" w:hAnsi="Arial" w:cs="Arial"/>
          <w:sz w:val="24"/>
          <w:szCs w:val="24"/>
        </w:rPr>
        <w:instrText>en":"Jouke-Jan"},{"family":"Willemsen","given":"Gonneke"},{"family":"Zheng","given":"Jie"},{"family":"Rodríguez","given":"Elke"},{"family":"Hotze","given":"Melanie"},{"family":"Franke","given":"Andre"},{"family":"Revez","given":"Joana A"},{"family":"Beesle</w:instrText>
      </w:r>
      <w:r>
        <w:rPr>
          <w:rFonts w:ascii="Arial" w:hAnsi="Arial" w:cs="Arial"/>
          <w:sz w:val="24"/>
          <w:szCs w:val="24"/>
        </w:rPr>
        <w:instrText>y","given":"Jonathan"},{"family":"Matheson","given":"Melanie C"},{"family":"Dharmage","given":"Shyamali C"},{"family":"Bain","given":"Lisa M"},{"family":"Fritsche","given":"Lars G"},{"family":"Gabrielsen","given":"Maiken E"},{"family":"Balliu","given":"Bru</w:instrText>
      </w:r>
      <w:r>
        <w:rPr>
          <w:rFonts w:ascii="Arial" w:hAnsi="Arial" w:cs="Arial"/>
          <w:sz w:val="24"/>
          <w:szCs w:val="24"/>
        </w:rPr>
        <w:instrText>nilda"},{"family":"Nielsen","given":"Jonas B"},{"family":"Zhou","given":"Wei"},{"family":"Hveem","given":"Kristian"},{"family":"Langhammer","given":"Arnulf"},{"family":"Holmen","given":"Oddgeir L"},{"family":"Løset","given":"Mari"},{"family":"Abecasis","gi</w:instrText>
      </w:r>
      <w:r>
        <w:rPr>
          <w:rFonts w:ascii="Arial" w:hAnsi="Arial" w:cs="Arial"/>
          <w:sz w:val="24"/>
          <w:szCs w:val="24"/>
        </w:rPr>
        <w:instrText>ven":"Gonçalo R"},{"family":"Willer","given":"Cristen J"},{"family":"Arnold","given":"Andreas"},{"family":"Homuth","given":"Georg"},{"family":"Schmidt","given":"Carsten O"},{"family":"Thompson","given":"Philip J"},{"family":"Martin","given":"Nicholas G"},{</w:instrText>
      </w:r>
      <w:r>
        <w:rPr>
          <w:rFonts w:ascii="Arial" w:hAnsi="Arial" w:cs="Arial"/>
          <w:sz w:val="24"/>
          <w:szCs w:val="24"/>
        </w:rPr>
        <w:instrText>"family":"Duffy","given":"David L"},{"family":"Novak","given":"Natalija"},{"family":"Schulz","given":"Holger"},{"family":"Karrasch","given":"Stefan"},{"family":"Gieger","given":"Christian"},{"family":"Strauch","given":"Konstantin"},{"family":"Melles","give</w:instrText>
      </w:r>
      <w:r>
        <w:rPr>
          <w:rFonts w:ascii="Arial" w:hAnsi="Arial" w:cs="Arial"/>
          <w:sz w:val="24"/>
          <w:szCs w:val="24"/>
        </w:rPr>
        <w:instrText>n":"Ronald B"},{"family":"Hinds","given":"David A"},{"family":"Hübner","given":"Norbert"},{"family":"Weidinger","given":"Stephan"},{"family":"Magnusson","given":"Patrik KE"},{"family":"Jansen","given":"Rick"},{"family":"Jorgenson","given":"Eric"},{"family"</w:instrText>
      </w:r>
      <w:r>
        <w:rPr>
          <w:rFonts w:ascii="Arial" w:hAnsi="Arial" w:cs="Arial"/>
          <w:sz w:val="24"/>
          <w:szCs w:val="24"/>
        </w:rPr>
        <w:instrText>:"Lee","given":"Young-Ae"},{"family":"Boomsma","given":"Dorret I"},{"family":"Almqvist","given":"Catarina"},{"family":"Karlsson","given":"Robert"},{"family":"Koppelman","given":"Gerard H"},{"family":"Paternoster","given":"Lavinia"}],"issued":{"date-parts":</w:instrText>
      </w:r>
      <w:r>
        <w:rPr>
          <w:rFonts w:ascii="Arial" w:hAnsi="Arial" w:cs="Arial"/>
          <w:sz w:val="24"/>
          <w:szCs w:val="24"/>
        </w:rPr>
        <w:instrText>[["2017",12]]}}},{"id":511,"uris":["http://zotero.org/groups/2409646/items/YWV2H775"],"uri":["http://zotero.org/groups/2409646/items/YWV2H775"],"itemData":{"id":511,"type":"article-journal","abstract":"Background\nA recent genome-wide association study (GW</w:instrText>
      </w:r>
      <w:r>
        <w:rPr>
          <w:rFonts w:ascii="Arial" w:hAnsi="Arial" w:cs="Arial"/>
          <w:sz w:val="24"/>
          <w:szCs w:val="24"/>
        </w:rPr>
        <w:instrText>AS) identified 99 loci that contain genetic risk variants shared between asthma, hay fever, and eczema. Many more risk loci shared between these common allergic diseases remain to be discovered, which could point to new therapeutic opportunities.\nObjectiv</w:instrText>
      </w:r>
      <w:r>
        <w:rPr>
          <w:rFonts w:ascii="Arial" w:hAnsi="Arial" w:cs="Arial"/>
          <w:sz w:val="24"/>
          <w:szCs w:val="24"/>
        </w:rPr>
        <w:instrText>e\nWe sought to identify novel risk loci shared between asthma, hay fever, and eczema by applying a gene-based test of association to results from a published GWAS that included data from 360,838 subjects.\nMethods\nWe used approximate conditional analysis</w:instrText>
      </w:r>
      <w:r>
        <w:rPr>
          <w:rFonts w:ascii="Arial" w:hAnsi="Arial" w:cs="Arial"/>
          <w:sz w:val="24"/>
          <w:szCs w:val="24"/>
        </w:rPr>
        <w:instrText xml:space="preserve"> to adjust the results from the published GWAS for the effects of the top risk variants identified in that study. We then analyzed the adjusted GWAS results with the EUGENE gene-based approach, which combines evidence for association with disease risk acro</w:instrText>
      </w:r>
      <w:r>
        <w:rPr>
          <w:rFonts w:ascii="Arial" w:hAnsi="Arial" w:cs="Arial"/>
          <w:sz w:val="24"/>
          <w:szCs w:val="24"/>
        </w:rPr>
        <w:instrText>ss regulatory variants identified in different tissues. Novel gene-based associations were followed up in an independent sample of 233,898 subjects from the UK Biobank study.\nResults\nOf the 19,432 genes tested, 30 had a significant gene-based association</w:instrText>
      </w:r>
      <w:r>
        <w:rPr>
          <w:rFonts w:ascii="Arial" w:hAnsi="Arial" w:cs="Arial"/>
          <w:sz w:val="24"/>
          <w:szCs w:val="24"/>
        </w:rPr>
        <w:instrText xml:space="preserve"> at a Bonferroni-corrected P value of 2.5 × 10−6. Of these, 20 were also significantly associated (P &lt; .05/30 = .0016) with disease risk in the replication sample, including 19 that were located in 11 loci not reported to contain allergy risk variants in p</w:instrText>
      </w:r>
      <w:r>
        <w:rPr>
          <w:rFonts w:ascii="Arial" w:hAnsi="Arial" w:cs="Arial"/>
          <w:sz w:val="24"/>
          <w:szCs w:val="24"/>
        </w:rPr>
        <w:instrText>revious GWASs. Among these were 9 genes with a known function that is directly relevant to allergic disease: FOSL2, VPRBP, IPCEF1, PRR5L, NCF4, APOBR, IL27, ATXN2L, and LAT. For 4 genes (eg, ATXN2L), a genetically determined decrease in gene expression was</w:instrText>
      </w:r>
      <w:r>
        <w:rPr>
          <w:rFonts w:ascii="Arial" w:hAnsi="Arial" w:cs="Arial"/>
          <w:sz w:val="24"/>
          <w:szCs w:val="24"/>
        </w:rPr>
        <w:instrText xml:space="preserve"> associated with decreased allergy risk, and therefore drugs that inhibit gene expression or function are predicted to ameliorate disease symptoms. The opposite directional effect was observed for 14 genes, including IL27, a cytokine known to suppress TH2 </w:instrText>
      </w:r>
      <w:r>
        <w:rPr>
          <w:rFonts w:ascii="Arial" w:hAnsi="Arial" w:cs="Arial"/>
          <w:sz w:val="24"/>
          <w:szCs w:val="24"/>
        </w:rPr>
        <w:instrText>responses.\nConclusion\nUsing a gene-based approach, we identified 11 risk loci for allergic disease that were not reported in previous GWASs. Functional studies that investigate the contribution of the 19 associated genes to the pathophysiology of allergi</w:instrText>
      </w:r>
      <w:r>
        <w:rPr>
          <w:rFonts w:ascii="Arial" w:hAnsi="Arial" w:cs="Arial"/>
          <w:sz w:val="24"/>
          <w:szCs w:val="24"/>
        </w:rPr>
        <w:instrText>c disease and assess their therapeutic potential are warranted.","container-title":"Journal of Allergy and Clinical Immunology","DOI":"10.1016/j.jaci.2018.03.012","ISSN":"0091-6749","issue":"2","journalAbbreviation":"Journal of Allergy and Clinical Immunol</w:instrText>
      </w:r>
      <w:r>
        <w:rPr>
          <w:rFonts w:ascii="Arial" w:hAnsi="Arial" w:cs="Arial"/>
          <w:sz w:val="24"/>
          <w:szCs w:val="24"/>
        </w:rPr>
        <w:instrText>ogy","language":"en","page":"691-699","source":"ScienceDirect","title":"Eleven loci with new reproducible genetic associations with allergic disease risk","volume":"143","author":[{"family":"Ferreira","given":"Manuel A. R."},{"family":"Vonk","given":"Judit</w:instrText>
      </w:r>
      <w:r>
        <w:rPr>
          <w:rFonts w:ascii="Arial" w:hAnsi="Arial" w:cs="Arial"/>
          <w:sz w:val="24"/>
          <w:szCs w:val="24"/>
        </w:rPr>
        <w:instrText>h M."},{"family":"Baurecht","given":"Hansjörg"},{"family":"Marenholz","given":"Ingo"},{"family":"Tian","given":"Chao"},{"family":"Hoffman","given":"Joshua D."},{"family":"Helmer","given":"Quinta"},{"family":"Tillander","given":"Annika"},{"family":"Ullemar"</w:instrText>
      </w:r>
      <w:r>
        <w:rPr>
          <w:rFonts w:ascii="Arial" w:hAnsi="Arial" w:cs="Arial"/>
          <w:sz w:val="24"/>
          <w:szCs w:val="24"/>
        </w:rPr>
        <w:instrText>,"given":"Vilhelmina"},{"family":"Lu","given":"Yi"},{"family":"Rüschendorf","given":"Franz"},{"family":"Hinds","given":"David A."},{"family":"Hübner","given":"Norbert"},{"family":"Weidinger","given":"Stephan"},{"family":"Magnusson","given":"Patrik K. E."},</w:instrText>
      </w:r>
      <w:r>
        <w:rPr>
          <w:rFonts w:ascii="Arial" w:hAnsi="Arial" w:cs="Arial"/>
          <w:sz w:val="24"/>
          <w:szCs w:val="24"/>
        </w:rPr>
        <w:instrText>{"family":"Jorgenson","given":"Eric"},{"family":"Lee","given":"Young-Ae"},{"family":"Boomsma","given":"Dorret I."},{"family":"Karlsson","given":"Robert"},{"family":"Almqvist","given":"Catarina"},{"family":"Koppelman","given":"Gerard H."},{"family":"Paterno</w:instrText>
      </w:r>
      <w:r>
        <w:rPr>
          <w:rFonts w:ascii="Arial" w:hAnsi="Arial" w:cs="Arial"/>
          <w:sz w:val="24"/>
          <w:szCs w:val="24"/>
        </w:rPr>
        <w:instrText xml:space="preserve">ster","given":"Lavinia"}],"issued":{"date-parts":[["2019",2,1]]}}}],"schema":"https://github.com/citation-style-language/schema/raw/master/csl-citation.json"}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5,6</w:t>
      </w:r>
      <w:r>
        <w:rPr>
          <w:rFonts w:ascii="Arial" w:hAnsi="Arial" w:cs="Arial"/>
          <w:sz w:val="24"/>
          <w:szCs w:val="24"/>
        </w:rPr>
        <w:fldChar w:fldCharType="end"/>
      </w:r>
      <w:r>
        <w:rPr>
          <w:rFonts w:ascii="Arial" w:hAnsi="Arial" w:cs="Arial"/>
          <w:sz w:val="24"/>
          <w:szCs w:val="24"/>
          <w:lang w:val="de-DE"/>
        </w:rPr>
        <w:t xml:space="preserve">, asthma </w:t>
      </w:r>
      <w:r>
        <w:rPr>
          <w:rFonts w:ascii="Arial" w:hAnsi="Arial" w:cs="Arial"/>
          <w:sz w:val="24"/>
          <w:szCs w:val="24"/>
        </w:rPr>
        <w:fldChar w:fldCharType="begin"/>
      </w:r>
      <w:r>
        <w:rPr>
          <w:rFonts w:ascii="Arial" w:hAnsi="Arial" w:cs="Arial"/>
          <w:sz w:val="24"/>
          <w:szCs w:val="24"/>
          <w:lang w:val="de-DE"/>
        </w:rPr>
        <w:instrText xml:space="preserve"> ADDIN ZOTERO_ITEM CSL_CITATION {"citationID":"xm2SkRqp","properties":{"formattedCitation":"\\super 7\\nosupersub{}","plainCitation":"7","noteIndex":0},"citationItems":[{"id":1317,"uris":["http://zotero.org/groups/2409646/items/7B35GQ5C"],"uri":["http://zo</w:instrText>
      </w:r>
      <w:r>
        <w:rPr>
          <w:rFonts w:ascii="Arial" w:hAnsi="Arial" w:cs="Arial"/>
          <w:sz w:val="24"/>
          <w:szCs w:val="24"/>
          <w:lang w:val="de-DE"/>
        </w:rPr>
        <w:instrText>tero.org/groups/2409646/items/7B35GQ5C"],"itemData":{"id":1317,"type":"article-journal","abstract":"Asthma is an inflammatory airway disease that is estimated to affect 339 million people globally. The symptoms of about 5–10% of patients with asthma are no</w:instrText>
      </w:r>
      <w:r>
        <w:rPr>
          <w:rFonts w:ascii="Arial" w:hAnsi="Arial" w:cs="Arial"/>
          <w:sz w:val="24"/>
          <w:szCs w:val="24"/>
          <w:lang w:val="de-DE"/>
        </w:rPr>
        <w:instrText>t adequately controlled with current therapy, and little success has been achieved in developing drugs that target the underlying mechanisms of asthma rather than suppressing symptoms. Over the past 3 years, well powered genetic studies of asthma have incr</w:instrText>
      </w:r>
      <w:r>
        <w:rPr>
          <w:rFonts w:ascii="Arial" w:hAnsi="Arial" w:cs="Arial"/>
          <w:sz w:val="24"/>
          <w:szCs w:val="24"/>
          <w:lang w:val="de-DE"/>
        </w:rPr>
        <w:instrText>eased the number of independent asthma-associated genetic loci to 128. In this Series paper, we describe the immense progress in asthma genetics over the past 13 years and link asthma genetic variants to possible drug targets. Further studies are needed to</w:instrText>
      </w:r>
      <w:r>
        <w:rPr>
          <w:rFonts w:ascii="Arial" w:hAnsi="Arial" w:cs="Arial"/>
          <w:sz w:val="24"/>
          <w:szCs w:val="24"/>
          <w:lang w:val="de-DE"/>
        </w:rPr>
        <w:instrText xml:space="preserve"> establish the functional significance of gene variants associated with asthma in subgroups of patients and to describe the biological networks within which they function. The genomics-guided discovery of plausible drug targets for asthma could pave the wa</w:instrText>
      </w:r>
      <w:r>
        <w:rPr>
          <w:rFonts w:ascii="Arial" w:hAnsi="Arial" w:cs="Arial"/>
          <w:sz w:val="24"/>
          <w:szCs w:val="24"/>
          <w:lang w:val="de-DE"/>
        </w:rPr>
        <w:instrText>y for the repurposing of existing drugs for asthma and the development of new treatments.","container-title":"The Lancet Respiratory Medicine","DOI":"10.1016/S2213-2600(20)30363-5","ISSN":"2213-2600","issue":"10","journalAbbreviation":"The Lancet Respirato</w:instrText>
      </w:r>
      <w:r>
        <w:rPr>
          <w:rFonts w:ascii="Arial" w:hAnsi="Arial" w:cs="Arial"/>
          <w:sz w:val="24"/>
          <w:szCs w:val="24"/>
          <w:lang w:val="de-DE"/>
        </w:rPr>
        <w:instrText>ry Medicine","language":"en","page":"1045-1056","source":"ScienceDirect","title":"The genetics of asthma and the promise of genomics-guided drug target discovery","volume":"8","author":[{"family":"El-Husseini","given":"Zaid W"},{"family":"Gosens","given":"</w:instrText>
      </w:r>
      <w:r>
        <w:rPr>
          <w:rFonts w:ascii="Arial" w:hAnsi="Arial" w:cs="Arial"/>
          <w:sz w:val="24"/>
          <w:szCs w:val="24"/>
          <w:lang w:val="de-DE"/>
        </w:rPr>
        <w:instrText xml:space="preserve">Reinoud"},{"family":"Dekker","given":"Frank"},{"family":"Koppelman","given":"Gerard H"}],"issued":{"date-parts":[["2020",10,1]]}}}],"schema":"https://github.com/citation-style-language/schema/raw/master/csl-citation.json"}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7</w:t>
      </w:r>
      <w:r>
        <w:rPr>
          <w:rFonts w:ascii="Arial" w:hAnsi="Arial" w:cs="Arial"/>
          <w:sz w:val="24"/>
          <w:szCs w:val="24"/>
        </w:rPr>
        <w:fldChar w:fldCharType="end"/>
      </w:r>
      <w:r>
        <w:rPr>
          <w:rFonts w:ascii="Arial" w:hAnsi="Arial" w:cs="Arial"/>
          <w:sz w:val="24"/>
          <w:szCs w:val="24"/>
          <w:lang w:val="de-DE"/>
        </w:rPr>
        <w:t xml:space="preserve">, dermatitis </w:t>
      </w:r>
      <w:r>
        <w:rPr>
          <w:rFonts w:ascii="Arial" w:hAnsi="Arial" w:cs="Arial"/>
          <w:sz w:val="24"/>
          <w:szCs w:val="24"/>
          <w:lang w:val="de-DE"/>
        </w:rPr>
        <w:fldChar w:fldCharType="begin"/>
      </w:r>
      <w:r>
        <w:rPr>
          <w:rFonts w:ascii="Arial" w:hAnsi="Arial" w:cs="Arial"/>
          <w:sz w:val="24"/>
          <w:szCs w:val="24"/>
          <w:lang w:val="de-DE"/>
        </w:rPr>
        <w:instrText xml:space="preserve"> ADDIN ZOTERO_IT</w:instrText>
      </w:r>
      <w:r>
        <w:rPr>
          <w:rFonts w:ascii="Arial" w:hAnsi="Arial" w:cs="Arial"/>
          <w:sz w:val="24"/>
          <w:szCs w:val="24"/>
          <w:lang w:val="de-DE"/>
        </w:rPr>
        <w:instrText>EM CSL_CITATION {"citationID":"2kNL3ROT","properties":{"formattedCitation":"\\super 8\\nosupersub{}","plainCitation":"8","noteIndex":0},"citationItems":[{"id":504,"uris":["http://zotero.org/groups/2409646/items/QQ88DR27"],"uri":["http://zotero.org/groups/2</w:instrText>
      </w:r>
      <w:r>
        <w:rPr>
          <w:rFonts w:ascii="Arial" w:hAnsi="Arial" w:cs="Arial"/>
          <w:sz w:val="24"/>
          <w:szCs w:val="24"/>
          <w:lang w:val="de-DE"/>
        </w:rPr>
        <w:instrText>409646/items/QQ88DR27"],"itemData":{"id":504,"type":"article-journal","abstract":"Genetic association studies have identified 21 loci associated with atopic dermatitis risk predominantly in populations of European ancestry. To identify further susceptibili</w:instrText>
      </w:r>
      <w:r>
        <w:rPr>
          <w:rFonts w:ascii="Arial" w:hAnsi="Arial" w:cs="Arial"/>
          <w:sz w:val="24"/>
          <w:szCs w:val="24"/>
          <w:lang w:val="de-DE"/>
        </w:rPr>
        <w:instrText>ty loci for this common, complex skin disease, we performed a meta-analysis of &gt;15 million genetic variants in 21,399 cases and 95,464 controls from populations of European, African, Japanese and Latino ancestry, followed by replication in 32,059 cases and</w:instrText>
      </w:r>
      <w:r>
        <w:rPr>
          <w:rFonts w:ascii="Arial" w:hAnsi="Arial" w:cs="Arial"/>
          <w:sz w:val="24"/>
          <w:szCs w:val="24"/>
          <w:lang w:val="de-DE"/>
        </w:rPr>
        <w:instrText xml:space="preserve"> 228,628 controls from 18 studies. We identified ten new risk loci, bringing the total number of known atopic dermatitis risk loci to 31 (with new secondary signals at four of these loci). Notably, the new loci include candidate genes with roles in the reg</w:instrText>
      </w:r>
      <w:r>
        <w:rPr>
          <w:rFonts w:ascii="Arial" w:hAnsi="Arial" w:cs="Arial"/>
          <w:sz w:val="24"/>
          <w:szCs w:val="24"/>
          <w:lang w:val="de-DE"/>
        </w:rPr>
        <w:instrText>ulation of innate host defenses and T cell function, underscoring the important contribution of (auto)immune mechanisms to atopic dermatitis pathogenesis.","container-title":"Nature Genetics","DOI":"10.1038/ng.3424","ISSN":"1546-1718","issue":"12","journal</w:instrText>
      </w:r>
      <w:r>
        <w:rPr>
          <w:rFonts w:ascii="Arial" w:hAnsi="Arial" w:cs="Arial"/>
          <w:sz w:val="24"/>
          <w:szCs w:val="24"/>
          <w:lang w:val="de-DE"/>
        </w:rPr>
        <w:instrText>Abbreviation":"Nat. Genet.","language":"eng","note":"PMID: 26482879\nPMCID: PMC4753676","page":"1449-1456","source":"PubMed","title":"Multi-ancestry genome-wide association study of 21,000 cases and 95,000 controls identifies new risk loci for atopic derma</w:instrText>
      </w:r>
      <w:r>
        <w:rPr>
          <w:rFonts w:ascii="Arial" w:hAnsi="Arial" w:cs="Arial"/>
          <w:sz w:val="24"/>
          <w:szCs w:val="24"/>
          <w:lang w:val="de-DE"/>
        </w:rPr>
        <w:instrText>titis","volume":"47","author":[{"family":"Paternoster","given":"Lavinia"},{"family":"Standl","given":"Marie"},{"family":"Waage","given":"Johannes"},{"family":"Baurecht","given":"Hansjörg"},{"family":"Hotze","given":"Melanie"},{"family":"Strachan","given":"</w:instrText>
      </w:r>
      <w:r>
        <w:rPr>
          <w:rFonts w:ascii="Arial" w:hAnsi="Arial" w:cs="Arial"/>
          <w:sz w:val="24"/>
          <w:szCs w:val="24"/>
          <w:lang w:val="de-DE"/>
        </w:rPr>
        <w:instrText>David P."},{"family":"Curtin","given":"John A."},{"family":"Bønnelykke","given":"Klaus"},{"family":"Tian","given":"Chao"},{"family":"Takahashi","given":"Atsushi"},{"family":"Esparza-Gordillo","given":"Jorge"},{"family":"Alves","given":"Alexessander Couto"}</w:instrText>
      </w:r>
      <w:r>
        <w:rPr>
          <w:rFonts w:ascii="Arial" w:hAnsi="Arial" w:cs="Arial"/>
          <w:sz w:val="24"/>
          <w:szCs w:val="24"/>
          <w:lang w:val="de-DE"/>
        </w:rPr>
        <w:instrText>,{"family":"Thyssen","given":"Jacob P."},{"family":"Dekker","given":"Herman T.","non-dropping-particle":"den"},{"family":"Ferreira","given":"Manuel A."},{"family":"Altmaier","given":"Elisabeth"},{"family":"Sleiman","given":"Patrick Ma"},{"family":"Xiao","g</w:instrText>
      </w:r>
      <w:r>
        <w:rPr>
          <w:rFonts w:ascii="Arial" w:hAnsi="Arial" w:cs="Arial"/>
          <w:sz w:val="24"/>
          <w:szCs w:val="24"/>
          <w:lang w:val="de-DE"/>
        </w:rPr>
        <w:instrText>iven":"Feng Li"},{"family":"Gonzalez","given":"Juan R."},{"family":"Marenholz","given":"Ingo"},{"family":"Kalb","given":"Birgit"},{"family":"Yanes","given":"Maria Pino"},{"family":"Xu","given":"Cheng-Jian"},{"family":"Carstensen","given":"Lisbeth"},{"famil</w:instrText>
      </w:r>
      <w:r>
        <w:rPr>
          <w:rFonts w:ascii="Arial" w:hAnsi="Arial" w:cs="Arial"/>
          <w:sz w:val="24"/>
          <w:szCs w:val="24"/>
          <w:lang w:val="de-DE"/>
        </w:rPr>
        <w:instrText>y":"Groen-Blokhuis","given":"Maria M."},{"family":"Venturini","given":"Cristina"},{"family":"Pennell","given":"Craig E."},{"family":"Barton","given":"Sheila J."},{"family":"Levin","given":"Albert M."},{"family":"Curjuric","given":"Ivan"},{"family":"Bustama</w:instrText>
      </w:r>
      <w:r>
        <w:rPr>
          <w:rFonts w:ascii="Arial" w:hAnsi="Arial" w:cs="Arial"/>
          <w:sz w:val="24"/>
          <w:szCs w:val="24"/>
          <w:lang w:val="de-DE"/>
        </w:rPr>
        <w:instrText>nte","given":"Mariona"},{"family":"Kreiner-Møller","given":"Eskil"},{"family":"Lockett","given":"Gabrielle A."},{"family":"Bacelis","given":"Jonas"},{"family":"Bunyavanich","given":"Supinda"},{"family":"Myers","given":"Rachel A."},{"family":"Matanovic","gi</w:instrText>
      </w:r>
      <w:r>
        <w:rPr>
          <w:rFonts w:ascii="Arial" w:hAnsi="Arial" w:cs="Arial"/>
          <w:sz w:val="24"/>
          <w:szCs w:val="24"/>
          <w:lang w:val="de-DE"/>
        </w:rPr>
        <w:instrText>ven":"Anja"},{"family":"Kumar","given":"Ashish"},{"family":"Tung","given":"Joyce Y."},{"family":"Hirota","given":"Tomomitsu"},{"family":"Kubo","given":"Michiaki"},{"family":"McArdle","given":"Wendy L."},{"family":"Henderson","given":"A. J."},{"family":"Kem</w:instrText>
      </w:r>
      <w:r>
        <w:rPr>
          <w:rFonts w:ascii="Arial" w:hAnsi="Arial" w:cs="Arial"/>
          <w:sz w:val="24"/>
          <w:szCs w:val="24"/>
          <w:lang w:val="de-DE"/>
        </w:rPr>
        <w:instrText>p","given":"John P."},{"family":"Zheng","given":"Jie"},{"family":"Smith","given":"George Davey"},{"family":"Rüschendorf","given":"Franz"},{"family":"Bauerfeind","given":"Anja"},{"family":"Lee-Kirsch","given":"Min Ae"},{"family":"Arnold","given":"Andreas"},</w:instrText>
      </w:r>
      <w:r>
        <w:rPr>
          <w:rFonts w:ascii="Arial" w:hAnsi="Arial" w:cs="Arial"/>
          <w:sz w:val="24"/>
          <w:szCs w:val="24"/>
          <w:lang w:val="de-DE"/>
        </w:rPr>
        <w:instrText>{"family":"Homuth","given":"Georg"},{"family":"Schmidt","given":"Carsten O."},{"family":"Mangold","given":"Elisabeth"},{"family":"Cichon","given":"Sven"},{"family":"Keil","given":"Thomas"},{"family":"Rodríguez","given":"Elke"},{"family":"Peters","given":"A</w:instrText>
      </w:r>
      <w:r>
        <w:rPr>
          <w:rFonts w:ascii="Arial" w:hAnsi="Arial" w:cs="Arial"/>
          <w:sz w:val="24"/>
          <w:szCs w:val="24"/>
          <w:lang w:val="de-DE"/>
        </w:rPr>
        <w:instrText>nnette"},{"family":"Franke","given":"Andre"},{"family":"Lieb","given":"Wolfgang"},{"family":"Novak","given":"Natalija"},{"family":"Fölster-Holst","given":"Regina"},{"family":"Horikoshi","given":"Momoko"},{"family":"Pekkanen","given":"Juha"},{"family":"Sebe</w:instrText>
      </w:r>
      <w:r>
        <w:rPr>
          <w:rFonts w:ascii="Arial" w:hAnsi="Arial" w:cs="Arial"/>
          <w:sz w:val="24"/>
          <w:szCs w:val="24"/>
          <w:lang w:val="de-DE"/>
        </w:rPr>
        <w:instrText>rt","given":"Sylvain"},{"family":"Husemoen","given":"Lise L."},{"family":"Grarup","given":"Niels"},{"family":"Jongste","given":"Johan C.","non-dropping-particle":"de"},{"family":"Rivadeneira","given":"Fernando"},{"family":"Hofman","given":"Albert"},{"famil</w:instrText>
      </w:r>
      <w:r>
        <w:rPr>
          <w:rFonts w:ascii="Arial" w:hAnsi="Arial" w:cs="Arial"/>
          <w:sz w:val="24"/>
          <w:szCs w:val="24"/>
          <w:lang w:val="de-DE"/>
        </w:rPr>
        <w:instrText>y":"Jaddoe","given":"Vincent Wv"},{"family":"Pasmans","given":"Suzanne Gma"},{"family":"Elbert","given":"Niels J."},{"family":"Uitterlinden","given":"André G."},{"family":"Marks","given":"Guy B."},{"family":"Thompson","given":"Philip J."},{"family":"Mathes</w:instrText>
      </w:r>
      <w:r>
        <w:rPr>
          <w:rFonts w:ascii="Arial" w:hAnsi="Arial" w:cs="Arial"/>
          <w:sz w:val="24"/>
          <w:szCs w:val="24"/>
          <w:lang w:val="de-DE"/>
        </w:rPr>
        <w:instrText>on","given":"Melanie C."},{"family":"Robertson","given":"Colin F."},{"literal":"Australian Asthma Genetics Consortium (AAGC)"},{"family":"Ried","given":"Janina S."},{"family":"Li","given":"Jin"},{"family":"Zuo","given":"Xian Bo"},{"family":"Zheng","given":</w:instrText>
      </w:r>
      <w:r>
        <w:rPr>
          <w:rFonts w:ascii="Arial" w:hAnsi="Arial" w:cs="Arial"/>
          <w:sz w:val="24"/>
          <w:szCs w:val="24"/>
          <w:lang w:val="de-DE"/>
        </w:rPr>
        <w:instrText>"Xiao Dong"},{"family":"Yin","given":"Xian Yong"},{"family":"Sun","given":"Liang Dan"},{"family":"McAleer","given":"Maeve A."},{"family":"O'Regan","given":"Grainne M."},{"family":"Fahy","given":"Caoimhe Mr"},{"family":"Campbell","given":"Linda E."},{"famil</w:instrText>
      </w:r>
      <w:r>
        <w:rPr>
          <w:rFonts w:ascii="Arial" w:hAnsi="Arial" w:cs="Arial"/>
          <w:sz w:val="24"/>
          <w:szCs w:val="24"/>
          <w:lang w:val="de-DE"/>
        </w:rPr>
        <w:instrText>y":"Macek","given":"Milan"},{"family":"Kurek","given":"Michael"},{"family":"Hu","given":"Donglei"},{"family":"Eng","given":"Celeste"},{"family":"Postma","given":"Dirkje S."},{"family":"Feenstra","given":"Bjarke"},{"family":"Geller","given":"Frank"},{"famil</w:instrText>
      </w:r>
      <w:r>
        <w:rPr>
          <w:rFonts w:ascii="Arial" w:hAnsi="Arial" w:cs="Arial"/>
          <w:sz w:val="24"/>
          <w:szCs w:val="24"/>
          <w:lang w:val="de-DE"/>
        </w:rPr>
        <w:instrText>y":"Hottenga","given":"Jouke Jan"},{"family":"Middeldorp","given":"Christel M."},{"family":"Hysi","given":"Pirro"},{"family":"Bataille","given":"Veronique"},{"family":"Spector","given":"Tim"},{"family":"Tiesler","given":"Carla Mt"},{"family":"Thiering","gi</w:instrText>
      </w:r>
      <w:r>
        <w:rPr>
          <w:rFonts w:ascii="Arial" w:hAnsi="Arial" w:cs="Arial"/>
          <w:sz w:val="24"/>
          <w:szCs w:val="24"/>
          <w:lang w:val="de-DE"/>
        </w:rPr>
        <w:instrText xml:space="preserve">ven":"Elisabeth"},{"family":"Pahukasahasram","given":"Badri"},{"family":"Yang","given":"James J."},{"family":"Imboden","given":"Medea"},{"family":"Huntsman","given":"Scott"},{"family":"Vilor-Tejedor","given":"Natàlia"},{"family":"Relton","given":"Caroline </w:instrText>
      </w:r>
      <w:r>
        <w:rPr>
          <w:rFonts w:ascii="Arial" w:hAnsi="Arial" w:cs="Arial"/>
          <w:sz w:val="24"/>
          <w:szCs w:val="24"/>
          <w:lang w:val="de-DE"/>
        </w:rPr>
        <w:instrText>L."},{"family":"Myhre","given":"Ronny"},{"family":"Nystad","given":"Wenche"},{"family":"Custovic","given":"Adnan"},{"family":"Weiss","given":"Scott T."},{"family":"Meyers","given":"Deborah A."},{"family":"Söderhäll","given":"Cilla"},{"family":"Melén","give</w:instrText>
      </w:r>
      <w:r>
        <w:rPr>
          <w:rFonts w:ascii="Arial" w:hAnsi="Arial" w:cs="Arial"/>
          <w:sz w:val="24"/>
          <w:szCs w:val="24"/>
          <w:lang w:val="de-DE"/>
        </w:rPr>
        <w:instrText>n":"Erik"},{"family":"Ober","given":"Carole"},{"family":"Raby","given":"Benjamin A."},{"family":"Simpson","given":"Angela"},{"family":"Jacobsson","given":"Bo"},{"family":"Holloway","given":"John W."},{"family":"Bisgaard","given":"Hans"},{"family":"Sunyer",</w:instrText>
      </w:r>
      <w:r>
        <w:rPr>
          <w:rFonts w:ascii="Arial" w:hAnsi="Arial" w:cs="Arial"/>
          <w:sz w:val="24"/>
          <w:szCs w:val="24"/>
          <w:lang w:val="de-DE"/>
        </w:rPr>
        <w:instrText>"given":"Jordi"},{"family":"Hensch","given":"Nicole M. Probst"},{"family":"Williams","given":"L. Keoki"},{"family":"Godfrey","given":"Keith M."},{"family":"Wang","given":"Carol A."},{"family":"Boomsma","given":"Dorret I."},{"family":"Melbye","given":"Mads"</w:instrText>
      </w:r>
      <w:r>
        <w:rPr>
          <w:rFonts w:ascii="Arial" w:hAnsi="Arial" w:cs="Arial"/>
          <w:sz w:val="24"/>
          <w:szCs w:val="24"/>
          <w:lang w:val="de-DE"/>
        </w:rPr>
        <w:instrText>},{"family":"Koppelman","given":"Gerard H."},{"family":"Jarvis","given":"Deborah"},{"family":"McLean","given":"Wh Irwin"},{"family":"Irvine","given":"Alan D."},{"family":"Zhang","given":"Xue Jun"},{"family":"Hakonarson","given":"Hakon"},{"family":"Gieger",</w:instrText>
      </w:r>
      <w:r>
        <w:rPr>
          <w:rFonts w:ascii="Arial" w:hAnsi="Arial" w:cs="Arial"/>
          <w:sz w:val="24"/>
          <w:szCs w:val="24"/>
          <w:lang w:val="de-DE"/>
        </w:rPr>
        <w:instrText>"given":"Christian"},{"family":"Burchard","given":"Esteban G."},{"family":"Martin","given":"Nicholas G."},{"family":"Duijts","given":"Liesbeth"},{"family":"Linneberg","given":"Allan"},{"family":"Jarvelin","given":"Marjo-Riitta"},{"family":"Noethen","given"</w:instrText>
      </w:r>
      <w:r>
        <w:rPr>
          <w:rFonts w:ascii="Arial" w:hAnsi="Arial" w:cs="Arial"/>
          <w:sz w:val="24"/>
          <w:szCs w:val="24"/>
          <w:lang w:val="de-DE"/>
        </w:rPr>
        <w:instrText>:"Markus M."},{"family":"Lau","given":"Susanne"},{"family":"Hübner","given":"Norbert"},{"family":"Lee","given":"Young-Ae"},{"family":"Tamari","given":"Mayumi"},{"family":"Hinds","given":"David A."},{"family":"Glass","given":"Daniel"},{"family":"Brown","giv</w:instrText>
      </w:r>
      <w:r>
        <w:rPr>
          <w:rFonts w:ascii="Arial" w:hAnsi="Arial" w:cs="Arial"/>
          <w:sz w:val="24"/>
          <w:szCs w:val="24"/>
          <w:lang w:val="de-DE"/>
        </w:rPr>
        <w:instrText>en":"Sara J."},{"family":"Heinrich","given":"Joachim"},{"family":"Evans","given":"David M."},{"family":"Weidinger","given":"Stephan"}],"issued":{"date-parts":[["2015",12]]}}}],"schema":"https://github.com/citation-style-language/schema/raw/master/csl-citat</w:instrText>
      </w:r>
      <w:r>
        <w:rPr>
          <w:rFonts w:ascii="Arial" w:hAnsi="Arial" w:cs="Arial"/>
          <w:sz w:val="24"/>
          <w:szCs w:val="24"/>
          <w:lang w:val="de-DE"/>
        </w:rPr>
        <w:instrText xml:space="preserve">ion.json"} </w:instrText>
      </w:r>
      <w:r>
        <w:rPr>
          <w:rFonts w:ascii="Arial" w:hAnsi="Arial" w:cs="Arial"/>
          <w:sz w:val="24"/>
          <w:szCs w:val="24"/>
          <w:lang w:val="de-DE"/>
        </w:rPr>
        <w:fldChar w:fldCharType="separate"/>
      </w:r>
      <w:r>
        <w:rPr>
          <w:rFonts w:ascii="Arial" w:hAnsi="Arial" w:cs="Arial"/>
          <w:sz w:val="24"/>
          <w:szCs w:val="24"/>
          <w:vertAlign w:val="superscript"/>
        </w:rPr>
        <w:t>8</w:t>
      </w:r>
      <w:r>
        <w:rPr>
          <w:rFonts w:ascii="Arial" w:hAnsi="Arial" w:cs="Arial"/>
          <w:sz w:val="24"/>
          <w:szCs w:val="24"/>
          <w:lang w:val="de-DE"/>
        </w:rPr>
        <w:fldChar w:fldCharType="end"/>
      </w:r>
      <w:r>
        <w:rPr>
          <w:rFonts w:ascii="Arial" w:hAnsi="Arial" w:cs="Arial"/>
          <w:sz w:val="24"/>
          <w:szCs w:val="24"/>
        </w:rPr>
        <w:t xml:space="preserve">, rhinitis </w:t>
      </w:r>
      <w:r>
        <w:rPr>
          <w:rFonts w:ascii="Arial" w:hAnsi="Arial" w:cs="Arial"/>
          <w:sz w:val="24"/>
          <w:szCs w:val="24"/>
        </w:rPr>
        <w:fldChar w:fldCharType="begin"/>
      </w:r>
      <w:r>
        <w:rPr>
          <w:rFonts w:ascii="Arial" w:hAnsi="Arial" w:cs="Arial"/>
          <w:sz w:val="24"/>
          <w:szCs w:val="24"/>
        </w:rPr>
        <w:instrText xml:space="preserve"> ADDIN ZOTERO_ITEM CSL_CITATION {"citationID":"ZTroOenu","properties":{"formattedCitation":"\\super 9\\nosupersub{}","plainCitation":"9","noteIndex":0},"citationItems":[{"id":803,"uris":["http://zotero.org/groups/2409649/items/JKF</w:instrText>
      </w:r>
      <w:r>
        <w:rPr>
          <w:rFonts w:ascii="Arial" w:hAnsi="Arial" w:cs="Arial"/>
          <w:sz w:val="24"/>
          <w:szCs w:val="24"/>
        </w:rPr>
        <w:instrText>48MHZ"],"uri":["http://zotero.org/groups/2409649/items/JKF48MHZ"],"itemData":{"id":803,"type":"article-journal","abstract":"Allergic rhinitis is the most common clinical presentation of allergy, affecting 400 million people worldwide, with increasing incid</w:instrText>
      </w:r>
      <w:r>
        <w:rPr>
          <w:rFonts w:ascii="Arial" w:hAnsi="Arial" w:cs="Arial"/>
          <w:sz w:val="24"/>
          <w:szCs w:val="24"/>
        </w:rPr>
        <w:instrText>ence in westernized countries1,2. To elucidate the genetic architecture and understand the underlying disease mechanisms, we carried out a meta-analysis of allergic rhinitis in 59,762 cases and 152,358 controls of European ancestry and identified a total o</w:instrText>
      </w:r>
      <w:r>
        <w:rPr>
          <w:rFonts w:ascii="Arial" w:hAnsi="Arial" w:cs="Arial"/>
          <w:sz w:val="24"/>
          <w:szCs w:val="24"/>
        </w:rPr>
        <w:instrText>f 41 risk loci for allergic rhinitis, including 20 loci not previously associated with allergic rhinitis, which were confirmed in a replication phase of 60,720 cases and 618,527 controls. Functional annotation implicated genes involved in various immune pa</w:instrText>
      </w:r>
      <w:r>
        <w:rPr>
          <w:rFonts w:ascii="Arial" w:hAnsi="Arial" w:cs="Arial"/>
          <w:sz w:val="24"/>
          <w:szCs w:val="24"/>
        </w:rPr>
        <w:instrText xml:space="preserve">thways, and fine mapping of the HLA region suggested amino acid variants important for antigen binding. We further performed genome-wide association study (GWAS) analyses of allergic sensitization against inhalant allergens and nonallergic rhinitis, which </w:instrText>
      </w:r>
      <w:r>
        <w:rPr>
          <w:rFonts w:ascii="Arial" w:hAnsi="Arial" w:cs="Arial"/>
          <w:sz w:val="24"/>
          <w:szCs w:val="24"/>
        </w:rPr>
        <w:instrText>suggested shared genetic mechanisms across rhinitis-related traits. Future studies of the identified loci and genes might identify novel targets for treatment and prevention of allergic rhinitis.","container-title":"Nature Genetics","DOI":"10.1038/s41588-0</w:instrText>
      </w:r>
      <w:r>
        <w:rPr>
          <w:rFonts w:ascii="Arial" w:hAnsi="Arial" w:cs="Arial"/>
          <w:sz w:val="24"/>
          <w:szCs w:val="24"/>
        </w:rPr>
        <w:instrText>18-0157-1","ISSN":"1546-1718","issue":"8","journalAbbreviation":"Nat. Genet.","language":"eng","note":"PMID: 30013184","page":"1072-1080","source":"PubMed","title":"Genome-wide association and HLA fine-mapping studies identify risk loci and genetic pathway</w:instrText>
      </w:r>
      <w:r>
        <w:rPr>
          <w:rFonts w:ascii="Arial" w:hAnsi="Arial" w:cs="Arial"/>
          <w:sz w:val="24"/>
          <w:szCs w:val="24"/>
        </w:rPr>
        <w:instrText>s underlying allergic rhinitis","volume":"50","author":[{"family":"Waage","given":"Johannes"},{"family":"Standl","given":"Marie"},{"family":"Curtin","given":"John A."},{"family":"Jessen","given":"Leon E."},{"family":"Thorsen","given":"Jonathan"},{"family":</w:instrText>
      </w:r>
      <w:r>
        <w:rPr>
          <w:rFonts w:ascii="Arial" w:hAnsi="Arial" w:cs="Arial"/>
          <w:sz w:val="24"/>
          <w:szCs w:val="24"/>
        </w:rPr>
        <w:instrText>"Tian","given":"Chao"},{"family":"Schoettler","given":"Nathan"},{"literal":"23andMe Research Team"},{"literal":"AAGC collaborators"},{"family":"Flores","given":"Carlos"},{"family":"Abdellaoui","given":"Abdel"},{"family":"Ahluwalia","given":"Tarunveer S."},</w:instrText>
      </w:r>
      <w:r>
        <w:rPr>
          <w:rFonts w:ascii="Arial" w:hAnsi="Arial" w:cs="Arial"/>
          <w:sz w:val="24"/>
          <w:szCs w:val="24"/>
        </w:rPr>
        <w:instrText>{"family":"Alves","given":"Alexessander C."},{"family":"Amaral","given":"Andre F. S."},{"family":"Antó","given":"Josep M."},{"family":"Arnold","given":"Andreas"},{"family":"Barreto-Luis","given":"Amalia"},{"family":"Baurecht","given":"Hansjörg"},{"family":</w:instrText>
      </w:r>
      <w:r>
        <w:rPr>
          <w:rFonts w:ascii="Arial" w:hAnsi="Arial" w:cs="Arial"/>
          <w:sz w:val="24"/>
          <w:szCs w:val="24"/>
        </w:rPr>
        <w:instrText>"Beijsterveldt","given":"Catharina E. M.","non-dropping-particle":"van"},{"family":"Bleecker","given":"Eugene R."},{"family":"Bonàs-Guarch","given":"Sílvia"},{"family":"Boomsma","given":"Dorret I."},{"family":"Brix","given":"Susanne"},{"family":"Bunyavanic</w:instrText>
      </w:r>
      <w:r>
        <w:rPr>
          <w:rFonts w:ascii="Arial" w:hAnsi="Arial" w:cs="Arial"/>
          <w:sz w:val="24"/>
          <w:szCs w:val="24"/>
        </w:rPr>
        <w:instrText>h","given":"Supinda"},{"family":"Burchard","given":"Esteban G."},{"family":"Chen","given":"Zhanghua"},{"family":"Curjuric","given":"Ivan"},{"family":"Custovic","given":"Adnan"},{"family":"Dekker","given":"Herman T.","non-dropping-particle":"den"},{"family"</w:instrText>
      </w:r>
      <w:r>
        <w:rPr>
          <w:rFonts w:ascii="Arial" w:hAnsi="Arial" w:cs="Arial"/>
          <w:sz w:val="24"/>
          <w:szCs w:val="24"/>
        </w:rPr>
        <w:instrText>:"Dharmage","given":"Shyamali C."},{"family":"Dmitrieva","given":"Julia"},{"family":"Duijts","given":"Liesbeth"},{"family":"Ege","given":"Markus J."},{"family":"Gauderman","given":"W. James"},{"family":"Georges","given":"Michel"},{"family":"Gieger","given"</w:instrText>
      </w:r>
      <w:r>
        <w:rPr>
          <w:rFonts w:ascii="Arial" w:hAnsi="Arial" w:cs="Arial"/>
          <w:sz w:val="24"/>
          <w:szCs w:val="24"/>
        </w:rPr>
        <w:instrText>:"Christian"},{"family":"Gilliland","given":"Frank"},{"family":"Granell","given":"Raquel"},{"family":"Gui","given":"Hongsheng"},{"family":"Hansen","given":"Torben"},{"family":"Heinrich","given":"Joachim"},{"family":"Henderson","given":"John"},{"family":"He</w:instrText>
      </w:r>
      <w:r>
        <w:rPr>
          <w:rFonts w:ascii="Arial" w:hAnsi="Arial" w:cs="Arial"/>
          <w:sz w:val="24"/>
          <w:szCs w:val="24"/>
        </w:rPr>
        <w:instrText>rnandez-Pacheco","given":"Natalia"},{"family":"Holt","given":"Patrick"},{"family":"Imboden","given":"Medea"},{"family":"Jaddoe","given":"Vincent W. V."},{"family":"Jarvelin","given":"Marjo-Riitta"},{"family":"Jarvis","given":"Deborah L."},{"family":"Jensen</w:instrText>
      </w:r>
      <w:r>
        <w:rPr>
          <w:rFonts w:ascii="Arial" w:hAnsi="Arial" w:cs="Arial"/>
          <w:sz w:val="24"/>
          <w:szCs w:val="24"/>
        </w:rPr>
        <w:instrText>","given":"Kamilla K."},{"family":"Jónsdóttir","given":"Ingileif"},{"family":"Kabesch","given":"Michael"},{"family":"Kaprio","given":"Jaakko"},{"family":"Kumar","given":"Ashish"},{"family":"Lee","given":"Young-Ae"},{"family":"Levin","given":"Albert M."},{"</w:instrText>
      </w:r>
      <w:r>
        <w:rPr>
          <w:rFonts w:ascii="Arial" w:hAnsi="Arial" w:cs="Arial"/>
          <w:sz w:val="24"/>
          <w:szCs w:val="24"/>
        </w:rPr>
        <w:instrText>family":"Li","given":"Xingnan"},{"family":"Lorenzo-Diaz","given":"Fabian"},{"family":"Melén","given":"Erik"},{"family":"Mercader","given":"Josep M."},{"family":"Meyers","given":"Deborah A."},{"family":"Myers","given":"Rachel"},{"family":"Nicolae","given":"</w:instrText>
      </w:r>
      <w:r>
        <w:rPr>
          <w:rFonts w:ascii="Arial" w:hAnsi="Arial" w:cs="Arial"/>
          <w:sz w:val="24"/>
          <w:szCs w:val="24"/>
        </w:rPr>
        <w:instrText>Dan L."},{"family":"Nohr","given":"Ellen A."},{"family":"Palviainen","given":"Teemu"},{"family":"Paternoster","given":"Lavinia"},{"family":"Pennell","given":"Craig E."},{"family":"Pershagen","given":"Göran"},{"family":"Pino-Yanes","given":"Maria"},{"family</w:instrText>
      </w:r>
      <w:r>
        <w:rPr>
          <w:rFonts w:ascii="Arial" w:hAnsi="Arial" w:cs="Arial"/>
          <w:sz w:val="24"/>
          <w:szCs w:val="24"/>
        </w:rPr>
        <w:instrText>":"Probst-Hensch","given":"Nicole M."},{"family":"Rüschendorf","given":"Franz"},{"family":"Simpson","given":"Angela"},{"family":"Stefansson","given":"Kari"},{"family":"Sunyer","given":"Jordi"},{"family":"Sveinbjornsson","given":"Gardar"},{"family":"Thierin</w:instrText>
      </w:r>
      <w:r>
        <w:rPr>
          <w:rFonts w:ascii="Arial" w:hAnsi="Arial" w:cs="Arial"/>
          <w:sz w:val="24"/>
          <w:szCs w:val="24"/>
        </w:rPr>
        <w:instrText>g","given":"Elisabeth"},{"family":"Thompson","given":"Philip J."},{"family":"Torrent","given":"Maties"},{"family":"Torrents","given":"David"},{"family":"Tung","given":"Joyce Y."},{"family":"Wang","given":"Carol A."},{"family":"Weidinger","given":"Stephan"}</w:instrText>
      </w:r>
      <w:r>
        <w:rPr>
          <w:rFonts w:ascii="Arial" w:hAnsi="Arial" w:cs="Arial"/>
          <w:sz w:val="24"/>
          <w:szCs w:val="24"/>
        </w:rPr>
        <w:instrText>,{"family":"Weiss","given":"Scott"},{"family":"Willemsen","given":"Gonneke"},{"family":"Williams","given":"L. Keoki"},{"family":"Ober","given":"Carole"},{"family":"Hinds","given":"David A."},{"family":"Ferreira","given":"Manuel A."},{"family":"Bisgaard","g</w:instrText>
      </w:r>
      <w:r>
        <w:rPr>
          <w:rFonts w:ascii="Arial" w:hAnsi="Arial" w:cs="Arial"/>
          <w:sz w:val="24"/>
          <w:szCs w:val="24"/>
        </w:rPr>
        <w:instrText xml:space="preserve">iven":"Hans"},{"family":"Strachan","given":"David P."},{"family":"Bønnelykke","given":"Klaus"}],"issued":{"date-parts":[["2018"]]}}}],"schema":"https://github.com/citation-style-language/schema/raw/master/csl-citation.json"}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9</w:t>
      </w:r>
      <w:r>
        <w:rPr>
          <w:rFonts w:ascii="Arial" w:hAnsi="Arial" w:cs="Arial"/>
          <w:sz w:val="24"/>
          <w:szCs w:val="24"/>
        </w:rPr>
        <w:fldChar w:fldCharType="end"/>
      </w:r>
      <w:r>
        <w:rPr>
          <w:rFonts w:ascii="Arial" w:hAnsi="Arial" w:cs="Arial"/>
          <w:sz w:val="24"/>
          <w:szCs w:val="24"/>
        </w:rPr>
        <w:t xml:space="preserve"> and high </w:t>
      </w:r>
      <w:proofErr w:type="spellStart"/>
      <w:r>
        <w:rPr>
          <w:rFonts w:ascii="Arial" w:hAnsi="Arial" w:cs="Arial"/>
          <w:sz w:val="24"/>
          <w:szCs w:val="24"/>
        </w:rPr>
        <w:t>IgE</w:t>
      </w:r>
      <w:proofErr w:type="spellEnd"/>
      <w:r>
        <w:rPr>
          <w:rFonts w:ascii="Arial" w:hAnsi="Arial" w:cs="Arial"/>
          <w:sz w:val="24"/>
          <w:szCs w:val="24"/>
        </w:rPr>
        <w:t xml:space="preserve"> </w:t>
      </w:r>
      <w:r>
        <w:rPr>
          <w:rFonts w:ascii="Arial" w:hAnsi="Arial" w:cs="Arial"/>
          <w:sz w:val="24"/>
          <w:szCs w:val="24"/>
        </w:rPr>
        <w:fldChar w:fldCharType="begin"/>
      </w:r>
      <w:r>
        <w:rPr>
          <w:rFonts w:ascii="Arial" w:hAnsi="Arial" w:cs="Arial"/>
          <w:sz w:val="24"/>
          <w:szCs w:val="24"/>
        </w:rPr>
        <w:instrText xml:space="preserve"> ADDIN ZOTERO</w:instrText>
      </w:r>
      <w:r>
        <w:rPr>
          <w:rFonts w:ascii="Arial" w:hAnsi="Arial" w:cs="Arial"/>
          <w:sz w:val="24"/>
          <w:szCs w:val="24"/>
        </w:rPr>
        <w:instrText>_ITEM CSL_CITATION {"citationID":"OjHPeSjA","properties":{"formattedCitation":"\\super 10\\nosupersub{}","plainCitation":"10","noteIndex":0},"citationItems":[{"id":1576,"uris":["http://zotero.org/groups/2409649/items/LA424YJG"],"uri":["http://zotero.org/gr</w:instrText>
      </w:r>
      <w:r>
        <w:rPr>
          <w:rFonts w:ascii="Arial" w:hAnsi="Arial" w:cs="Arial"/>
          <w:sz w:val="24"/>
          <w:szCs w:val="24"/>
        </w:rPr>
        <w:instrText xml:space="preserve">oups/2409649/items/LA424YJG"],"itemData":{"id":1576,"type":"article-journal","abstract":"BACKGROUND: Atopy and plasma IgE concentration are genetically complex traits, and the specific genetic risk factors that lead to IgE dysregulation and clinical atopy </w:instrText>
      </w:r>
      <w:r>
        <w:rPr>
          <w:rFonts w:ascii="Arial" w:hAnsi="Arial" w:cs="Arial"/>
          <w:sz w:val="24"/>
          <w:szCs w:val="24"/>
        </w:rPr>
        <w:instrText>are an area of active investigation.\nOBJECTIVE: We sought to ascertain the genetic risk factors that lead to IgE dysregulation.\nMETHODS: A genome-wide association study (GWAS) was performed in 6819 participants from the Framingham Heart Study (FHS). Seve</w:instrText>
      </w:r>
      <w:r>
        <w:rPr>
          <w:rFonts w:ascii="Arial" w:hAnsi="Arial" w:cs="Arial"/>
          <w:sz w:val="24"/>
          <w:szCs w:val="24"/>
        </w:rPr>
        <w:instrText>nty of the top single nucleotide polymorphisms (SNPs) were selected based on P values and linkage disequilibrium among neighboring SNPs and evaluated in a meta-analysis with 5 independent populations from the Cooperative Health Research in the Region of Au</w:instrText>
      </w:r>
      <w:r>
        <w:rPr>
          <w:rFonts w:ascii="Arial" w:hAnsi="Arial" w:cs="Arial"/>
          <w:sz w:val="24"/>
          <w:szCs w:val="24"/>
        </w:rPr>
        <w:instrText>gsburg cohort, the British 1958 Birth Cohort, and the Childhood Asthma Management Program cohort.\nRESULTS: Thirteen SNPs located in the region of 3 genes, FCER1A, signal transducer and activator of transcription 6 (STAT6), and IL13, were found to have gen</w:instrText>
      </w:r>
      <w:r>
        <w:rPr>
          <w:rFonts w:ascii="Arial" w:hAnsi="Arial" w:cs="Arial"/>
          <w:sz w:val="24"/>
          <w:szCs w:val="24"/>
        </w:rPr>
        <w:instrText>ome-wide significance in the FHS cohort GWAS. The most significant SNPs from the 3 regions were rs2251746 (FCER1A, P = 2.11 × 10(-12)), rs1059513 (STAT6, P = 2.87 × 10(-8)), and rs1295686 (IL13, P = 3.55 × 10(-8)). Four additional gene regions, HLA-G, HLA-</w:instrText>
      </w:r>
      <w:r>
        <w:rPr>
          <w:rFonts w:ascii="Arial" w:hAnsi="Arial" w:cs="Arial"/>
          <w:sz w:val="24"/>
          <w:szCs w:val="24"/>
        </w:rPr>
        <w:instrText xml:space="preserve">DQA2, HLA-A, and Duffy blood group, chemokine receptor (DARC), reached genome-wide statistical significance in a meta-analysis combining the FHS and replication cohorts, although the DARC association did not appear independent of SNPs in the nearby FCER1A </w:instrText>
      </w:r>
      <w:r>
        <w:rPr>
          <w:rFonts w:ascii="Arial" w:hAnsi="Arial" w:cs="Arial"/>
          <w:sz w:val="24"/>
          <w:szCs w:val="24"/>
        </w:rPr>
        <w:instrText>gene.\nCONCLUSION: This GWAS of the FHS cohort has identified genetic loci in HLA genes that might have a role in the pathogenesis of IgE dysregulation and atopy. It also confirmed the association of the known susceptibility loci FCER1A, STAT6, and IL13 fo</w:instrText>
      </w:r>
      <w:r>
        <w:rPr>
          <w:rFonts w:ascii="Arial" w:hAnsi="Arial" w:cs="Arial"/>
          <w:sz w:val="24"/>
          <w:szCs w:val="24"/>
        </w:rPr>
        <w:instrText>r the dysregulation of total IgE.","container-title":"The Journal of Allergy and Clinical Immunology","DOI":"10.1016/j.jaci.2011.09.029","ISSN":"1097-6825","issue":"3","journalAbbreviation":"J Allergy Clin Immunol","language":"eng","note":"PMID: 22075330\n</w:instrText>
      </w:r>
      <w:r>
        <w:rPr>
          <w:rFonts w:ascii="Arial" w:hAnsi="Arial" w:cs="Arial"/>
          <w:sz w:val="24"/>
          <w:szCs w:val="24"/>
        </w:rPr>
        <w:instrText>PMCID: PMC3293994","page":"840-845.e21","source":"PubMed","title":"A genome-wide association study of plasma total IgE concentrations in the Framingham Heart Study","volume":"129","author":[{"family":"Granada","given":"Mark"},{"family":"Wilk","given":"Jemm</w:instrText>
      </w:r>
      <w:r>
        <w:rPr>
          <w:rFonts w:ascii="Arial" w:hAnsi="Arial" w:cs="Arial"/>
          <w:sz w:val="24"/>
          <w:szCs w:val="24"/>
        </w:rPr>
        <w:instrText>a B."},{"family":"Tuzova","given":"Marina"},{"family":"Strachan","given":"David P."},{"family":"Weidinger","given":"Stephan"},{"family":"Albrecht","given":"Eva"},{"family":"Gieger","given":"Christian"},{"family":"Heinrich","given":"Joachim"},{"family":"Him</w:instrText>
      </w:r>
      <w:r>
        <w:rPr>
          <w:rFonts w:ascii="Arial" w:hAnsi="Arial" w:cs="Arial"/>
          <w:sz w:val="24"/>
          <w:szCs w:val="24"/>
        </w:rPr>
        <w:instrText>es","given":"Blanca E."},{"family":"Hunninghake","given":"Gary M."},{"family":"Celedón","given":"Juan C."},{"family":"Weiss","given":"Scott T."},{"family":"Cruikshank","given":"William W."},{"family":"Farrer","given":"Lindsay A."},{"family":"Center","given</w:instrText>
      </w:r>
      <w:r>
        <w:rPr>
          <w:rFonts w:ascii="Arial" w:hAnsi="Arial" w:cs="Arial"/>
          <w:sz w:val="24"/>
          <w:szCs w:val="24"/>
        </w:rPr>
        <w:instrText xml:space="preserve">":"David M."},{"family":"O'Connor","given":"George T."}],"issued":{"date-parts":[["2012",3]]}}}],"schema":"https://github.com/citation-style-language/schema/raw/master/csl-citation.json"}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10</w:t>
      </w:r>
      <w:r>
        <w:rPr>
          <w:rFonts w:ascii="Arial" w:hAnsi="Arial" w:cs="Arial"/>
          <w:sz w:val="24"/>
          <w:szCs w:val="24"/>
        </w:rPr>
        <w:fldChar w:fldCharType="end"/>
      </w:r>
      <w:r>
        <w:rPr>
          <w:rFonts w:ascii="Arial" w:hAnsi="Arial" w:cs="Arial"/>
          <w:sz w:val="24"/>
          <w:szCs w:val="24"/>
        </w:rPr>
        <w:t>. Genetic information for LISA was measured using the Affymetri</w:t>
      </w:r>
      <w:r>
        <w:rPr>
          <w:rFonts w:ascii="Arial" w:hAnsi="Arial" w:cs="Arial"/>
          <w:sz w:val="24"/>
          <w:szCs w:val="24"/>
        </w:rPr>
        <w:t>x Chip 5.0 and 6.0 (Thermo Fisher, USA). Genome-wide significant SNPs were extracted for each participant and weighted with the identified GWAS effect size. Quality control excluded multiallelic SNPs, highly correlated variants based on linkage disequilibr</w:t>
      </w:r>
      <w:r>
        <w:rPr>
          <w:rFonts w:ascii="Arial" w:hAnsi="Arial" w:cs="Arial"/>
          <w:sz w:val="24"/>
          <w:szCs w:val="24"/>
        </w:rPr>
        <w:t>ium (R</w:t>
      </w:r>
      <w:r>
        <w:rPr>
          <w:rFonts w:ascii="Arial" w:hAnsi="Arial" w:cs="Arial"/>
          <w:sz w:val="24"/>
          <w:szCs w:val="24"/>
          <w:vertAlign w:val="superscript"/>
        </w:rPr>
        <w:t>2</w:t>
      </w:r>
      <w:r>
        <w:rPr>
          <w:rFonts w:ascii="Arial" w:hAnsi="Arial" w:cs="Arial"/>
          <w:sz w:val="24"/>
          <w:szCs w:val="24"/>
        </w:rPr>
        <w:t xml:space="preserve"> &gt; 0.7), those with a low imputation quality (&lt; 0.4) and SNPs with a minor allele frequency of less than 1%. We further checked, if the effect allele frequencies within the cohorts corresponded to the ones reported in the GWAS and the reference popu</w:t>
      </w:r>
      <w:r>
        <w:rPr>
          <w:rFonts w:ascii="Arial" w:hAnsi="Arial" w:cs="Arial"/>
          <w:sz w:val="24"/>
          <w:szCs w:val="24"/>
        </w:rPr>
        <w:t>lation. Proxies for missing SNPs and those failing quality control were extracted (R</w:t>
      </w:r>
      <w:r>
        <w:rPr>
          <w:rFonts w:ascii="Arial" w:hAnsi="Arial" w:cs="Arial"/>
          <w:sz w:val="24"/>
          <w:szCs w:val="24"/>
          <w:vertAlign w:val="superscript"/>
        </w:rPr>
        <w:t>2</w:t>
      </w:r>
      <w:r>
        <w:rPr>
          <w:rFonts w:ascii="Arial" w:hAnsi="Arial" w:cs="Arial"/>
          <w:sz w:val="24"/>
          <w:szCs w:val="24"/>
        </w:rPr>
        <w:t xml:space="preserve"> &gt; 0.7) and assessed in the same way. Remaining SNPs and proxies were included in the final PRS by weighting the extracted dosage information with the GWAS-derived effect </w:t>
      </w:r>
      <w:r>
        <w:rPr>
          <w:rFonts w:ascii="Arial" w:hAnsi="Arial" w:cs="Arial"/>
          <w:sz w:val="24"/>
          <w:szCs w:val="24"/>
        </w:rPr>
        <w:t xml:space="preserve">estimate and summing up the single information. All PRS were normalized for analysis and included 142, 112, 22, 18 and 12 SNPs in total for any allergic disease, asthma, dermatitis, rhinitis and high </w:t>
      </w:r>
      <w:proofErr w:type="spellStart"/>
      <w:r>
        <w:rPr>
          <w:rFonts w:ascii="Arial" w:hAnsi="Arial" w:cs="Arial"/>
          <w:sz w:val="24"/>
          <w:szCs w:val="24"/>
        </w:rPr>
        <w:t>IgE</w:t>
      </w:r>
      <w:proofErr w:type="spellEnd"/>
      <w:r>
        <w:rPr>
          <w:rFonts w:ascii="Arial" w:hAnsi="Arial" w:cs="Arial"/>
          <w:sz w:val="24"/>
          <w:szCs w:val="24"/>
        </w:rPr>
        <w:t xml:space="preserve"> respectively. </w:t>
      </w:r>
    </w:p>
    <w:p w:rsidR="00C917BA" w:rsidRDefault="000020C2">
      <w:pPr>
        <w:rPr>
          <w:rFonts w:ascii="Arial" w:eastAsiaTheme="majorEastAsia" w:hAnsi="Arial" w:cs="Arial"/>
          <w:color w:val="2E74B5" w:themeColor="accent1" w:themeShade="BF"/>
          <w:sz w:val="24"/>
          <w:szCs w:val="26"/>
        </w:rPr>
      </w:pPr>
      <w:r>
        <w:rPr>
          <w:rFonts w:ascii="Arial" w:hAnsi="Arial" w:cs="Arial"/>
          <w:color w:val="2E74B5" w:themeColor="accent1" w:themeShade="BF"/>
          <w:szCs w:val="26"/>
        </w:rPr>
        <w:br w:type="page"/>
      </w:r>
    </w:p>
    <w:p w:rsidR="00C917BA" w:rsidRDefault="000020C2">
      <w:pPr>
        <w:pStyle w:val="Heading3"/>
        <w:spacing w:line="480" w:lineRule="auto"/>
        <w:rPr>
          <w:rFonts w:ascii="Arial" w:hAnsi="Arial" w:cs="Arial"/>
          <w:color w:val="2E74B5" w:themeColor="accent1" w:themeShade="BF"/>
          <w:szCs w:val="26"/>
        </w:rPr>
      </w:pPr>
      <w:r>
        <w:rPr>
          <w:rFonts w:ascii="Arial" w:hAnsi="Arial" w:cs="Arial"/>
          <w:color w:val="2E74B5" w:themeColor="accent1" w:themeShade="BF"/>
          <w:szCs w:val="26"/>
        </w:rPr>
        <w:t>Methods 2: DNA methylation (DNAm) d</w:t>
      </w:r>
      <w:r>
        <w:rPr>
          <w:rFonts w:ascii="Arial" w:hAnsi="Arial" w:cs="Arial"/>
          <w:color w:val="2E74B5" w:themeColor="accent1" w:themeShade="BF"/>
          <w:szCs w:val="26"/>
        </w:rPr>
        <w:t>ata processing</w:t>
      </w:r>
    </w:p>
    <w:p w:rsidR="00C917BA" w:rsidRDefault="000020C2">
      <w:pPr>
        <w:spacing w:line="480" w:lineRule="auto"/>
        <w:rPr>
          <w:rFonts w:ascii="Arial" w:hAnsi="Arial" w:cs="Arial"/>
          <w:sz w:val="24"/>
          <w:szCs w:val="24"/>
        </w:rPr>
      </w:pPr>
      <w:r>
        <w:rPr>
          <w:rFonts w:ascii="Arial" w:hAnsi="Arial" w:cs="Arial"/>
          <w:sz w:val="24"/>
          <w:szCs w:val="24"/>
        </w:rPr>
        <w:t>For the present study, we analyzed methylation data from participants of the population-based German LISA birth cohort. The processing of DNAm data and respective quality control steps are explained in more detail in the following section: D</w:t>
      </w:r>
      <w:r>
        <w:rPr>
          <w:rFonts w:ascii="Arial" w:hAnsi="Arial" w:cs="Arial"/>
          <w:sz w:val="24"/>
          <w:szCs w:val="24"/>
        </w:rPr>
        <w:t xml:space="preserve">NAm was measured from blood clots in a subsample of 256 participants from the Munich study center, who had participated in the physical examination and whose parents provided written consent for genetic analyses at both six and ten years of age. Resulting </w:t>
      </w:r>
      <w:r>
        <w:rPr>
          <w:rFonts w:ascii="Arial" w:hAnsi="Arial" w:cs="Arial"/>
          <w:sz w:val="24"/>
          <w:szCs w:val="24"/>
        </w:rPr>
        <w:t xml:space="preserve">in 512 paired samples comprising the same participants at 6 and 10 years being analyzed using the Illumina EPIC Chip. Further processing of data was done in R </w:t>
      </w:r>
      <w:r>
        <w:rPr>
          <w:rFonts w:ascii="Arial" w:hAnsi="Arial" w:cs="Arial"/>
          <w:sz w:val="24"/>
          <w:szCs w:val="24"/>
        </w:rPr>
        <w:fldChar w:fldCharType="begin"/>
      </w:r>
      <w:r>
        <w:rPr>
          <w:rFonts w:ascii="Arial" w:hAnsi="Arial" w:cs="Arial"/>
          <w:sz w:val="24"/>
          <w:szCs w:val="24"/>
        </w:rPr>
        <w:instrText xml:space="preserve"> ADDIN ZOTERO_ITEM CSL_CITATION {"citationID":"OdNCkeFn","properties":{"formattedCitation":"\\sup</w:instrText>
      </w:r>
      <w:r>
        <w:rPr>
          <w:rFonts w:ascii="Arial" w:hAnsi="Arial" w:cs="Arial"/>
          <w:sz w:val="24"/>
          <w:szCs w:val="24"/>
        </w:rPr>
        <w:instrText>er 11\\nosupersub{}","plainCitation":"11","noteIndex":0},"citationItems":[{"id":890,"uris":["http://zotero.org/groups/2409649/items/6F6C6GD6"],"uri":["http://zotero.org/groups/2409649/items/6F6C6GD6"],"itemData":{"id":890,"type":"book","event-place":"Vienn</w:instrText>
      </w:r>
      <w:r>
        <w:rPr>
          <w:rFonts w:ascii="Arial" w:hAnsi="Arial" w:cs="Arial"/>
          <w:sz w:val="24"/>
          <w:szCs w:val="24"/>
        </w:rPr>
        <w:instrText>a, Austria","publisher":"R Foundation for Statistical Computing","publisher-place":"Vienna, Austria","title":"R: A Language and Environment for Statistical Computing","URL":"https://www.R-project.org/","author":[{"family":"R Core Team","given":""}],"issued</w:instrText>
      </w:r>
      <w:r>
        <w:rPr>
          <w:rFonts w:ascii="Arial" w:hAnsi="Arial" w:cs="Arial"/>
          <w:sz w:val="24"/>
          <w:szCs w:val="24"/>
        </w:rPr>
        <w:instrText xml:space="preserve">":{"date-parts":[["2019"]]}}}],"schema":"https://github.com/citation-style-language/schema/raw/master/csl-citation.json"}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11</w:t>
      </w:r>
      <w:r>
        <w:rPr>
          <w:rFonts w:ascii="Arial" w:hAnsi="Arial" w:cs="Arial"/>
          <w:sz w:val="24"/>
          <w:szCs w:val="24"/>
        </w:rPr>
        <w:fldChar w:fldCharType="end"/>
      </w:r>
      <w:r>
        <w:rPr>
          <w:rFonts w:ascii="Arial" w:hAnsi="Arial" w:cs="Arial"/>
          <w:sz w:val="24"/>
          <w:szCs w:val="24"/>
        </w:rPr>
        <w:t>. We excluded 22 samples with a bad-sample cut-off under 10.0 of the log median intensities of both methylated and unmethylated c</w:t>
      </w:r>
      <w:r>
        <w:rPr>
          <w:rFonts w:ascii="Arial" w:hAnsi="Arial" w:cs="Arial"/>
          <w:sz w:val="24"/>
          <w:szCs w:val="24"/>
        </w:rPr>
        <w:t xml:space="preserve">hannels as suggested in the </w:t>
      </w:r>
      <w:proofErr w:type="spellStart"/>
      <w:r>
        <w:rPr>
          <w:rFonts w:ascii="Arial" w:hAnsi="Arial" w:cs="Arial"/>
          <w:sz w:val="24"/>
          <w:szCs w:val="24"/>
        </w:rPr>
        <w:t>minfi</w:t>
      </w:r>
      <w:proofErr w:type="spellEnd"/>
      <w:r>
        <w:rPr>
          <w:rFonts w:ascii="Arial" w:hAnsi="Arial" w:cs="Arial"/>
          <w:sz w:val="24"/>
          <w:szCs w:val="24"/>
        </w:rPr>
        <w:t xml:space="preserve"> package </w:t>
      </w:r>
      <w:r>
        <w:rPr>
          <w:rFonts w:ascii="Arial" w:hAnsi="Arial" w:cs="Arial"/>
          <w:sz w:val="24"/>
          <w:szCs w:val="24"/>
        </w:rPr>
        <w:fldChar w:fldCharType="begin"/>
      </w:r>
      <w:r>
        <w:rPr>
          <w:rFonts w:ascii="Arial" w:hAnsi="Arial" w:cs="Arial"/>
          <w:sz w:val="24"/>
          <w:szCs w:val="24"/>
        </w:rPr>
        <w:instrText xml:space="preserve"> ADDIN ZOTERO_ITEM CSL_CITATION {"citationID":"I9hu3QXX","properties":{"formattedCitation":"\\super 12\\nosupersub{}","plainCitation":"12","noteIndex":0},"citationItems":[{"id":1724,"uris":["http://zotero.org/group</w:instrText>
      </w:r>
      <w:r>
        <w:rPr>
          <w:rFonts w:ascii="Arial" w:hAnsi="Arial" w:cs="Arial"/>
          <w:sz w:val="24"/>
          <w:szCs w:val="24"/>
        </w:rPr>
        <w:instrText>s/2409649/items/IVZVEHIC"],"uri":["http://zotero.org/groups/2409649/items/IVZVEHIC"],"itemData":{"id":1724,"type":"webpage","title":"Minfi: a flexible and comprehensive Bioconductor package for the analysis of Infinium DNA methylation microarrays | Bioinfo</w:instrText>
      </w:r>
      <w:r>
        <w:rPr>
          <w:rFonts w:ascii="Arial" w:hAnsi="Arial" w:cs="Arial"/>
          <w:sz w:val="24"/>
          <w:szCs w:val="24"/>
        </w:rPr>
        <w:instrText xml:space="preserve">rmatics | Oxford Academic","URL":"https://academic.oup.com/bioinformatics/article/30/10/1363/267584","accessed":{"date-parts":[["2021",9,2]]}}}],"schema":"https://github.com/citation-style-language/schema/raw/master/csl-citation.json"}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12</w:t>
      </w:r>
      <w:r>
        <w:rPr>
          <w:rFonts w:ascii="Arial" w:hAnsi="Arial" w:cs="Arial"/>
          <w:sz w:val="24"/>
          <w:szCs w:val="24"/>
        </w:rPr>
        <w:fldChar w:fldCharType="end"/>
      </w:r>
      <w:r>
        <w:rPr>
          <w:rFonts w:ascii="Arial" w:hAnsi="Arial" w:cs="Arial"/>
          <w:sz w:val="24"/>
          <w:szCs w:val="24"/>
        </w:rPr>
        <w:t>. We applied fu</w:t>
      </w:r>
      <w:r>
        <w:rPr>
          <w:rFonts w:ascii="Arial" w:hAnsi="Arial" w:cs="Arial"/>
          <w:sz w:val="24"/>
          <w:szCs w:val="24"/>
        </w:rPr>
        <w:t xml:space="preserve">nctional normalization with five principal components based on Fortin et al. </w:t>
      </w:r>
      <w:r>
        <w:rPr>
          <w:rFonts w:ascii="Arial" w:hAnsi="Arial" w:cs="Arial"/>
          <w:sz w:val="24"/>
          <w:szCs w:val="24"/>
        </w:rPr>
        <w:fldChar w:fldCharType="begin"/>
      </w:r>
      <w:r>
        <w:rPr>
          <w:rFonts w:ascii="Arial" w:hAnsi="Arial" w:cs="Arial"/>
          <w:sz w:val="24"/>
          <w:szCs w:val="24"/>
        </w:rPr>
        <w:instrText xml:space="preserve"> ADDIN ZOTERO_ITEM CSL_CITATION {"citationID":"8ueFPchi","properties":{"formattedCitation":"\\super 13\\nosupersub{}","plainCitation":"13","noteIndex":0},"citationItems":[{"id":16</w:instrText>
      </w:r>
      <w:r>
        <w:rPr>
          <w:rFonts w:ascii="Arial" w:hAnsi="Arial" w:cs="Arial"/>
          <w:sz w:val="24"/>
          <w:szCs w:val="24"/>
        </w:rPr>
        <w:instrText>17,"uris":["http://zotero.org/groups/2409649/items/NSBNVKPU"],"uri":["http://zotero.org/groups/2409649/items/NSBNVKPU"],"itemData":{"id":1617,"type":"article-journal","abstract":"We propose an extension to quantile normalization that removes unwanted techn</w:instrText>
      </w:r>
      <w:r>
        <w:rPr>
          <w:rFonts w:ascii="Arial" w:hAnsi="Arial" w:cs="Arial"/>
          <w:sz w:val="24"/>
          <w:szCs w:val="24"/>
        </w:rPr>
        <w:instrText>ical variation using control probes. We adapt our algorithm, functional normalization, to the Illumina 450k methylation array and address the open problem of normalizing methylation data with global epigenetic changes, such as human cancers. Using data set</w:instrText>
      </w:r>
      <w:r>
        <w:rPr>
          <w:rFonts w:ascii="Arial" w:hAnsi="Arial" w:cs="Arial"/>
          <w:sz w:val="24"/>
          <w:szCs w:val="24"/>
        </w:rPr>
        <w:instrText>s from The Cancer Genome Atlas and a large case-control study, we show that our algorithm outperforms all existing normalization methods with respect to replication of results between experiments, and yields robust results even in the presence of batch eff</w:instrText>
      </w:r>
      <w:r>
        <w:rPr>
          <w:rFonts w:ascii="Arial" w:hAnsi="Arial" w:cs="Arial"/>
          <w:sz w:val="24"/>
          <w:szCs w:val="24"/>
        </w:rPr>
        <w:instrText>ects. Functional normalization can be applied to any microarray platform, provided suitable control probes are available.","container-title":"Genome Biology","DOI":"10.1186/s13059-014-0503-2","ISSN":"1474-760X","issue":"12","journalAbbreviation":"Genome Bi</w:instrText>
      </w:r>
      <w:r>
        <w:rPr>
          <w:rFonts w:ascii="Arial" w:hAnsi="Arial" w:cs="Arial"/>
          <w:sz w:val="24"/>
          <w:szCs w:val="24"/>
        </w:rPr>
        <w:instrText>ol","language":"eng","note":"PMID: 25599564\nPMCID: PMC4283580","page":"503","source":"PubMed","title":"Functional normalization of 450k methylation array data improves replication in large cancer studies","volume":"15","author":[{"family":"Fortin","given"</w:instrText>
      </w:r>
      <w:r>
        <w:rPr>
          <w:rFonts w:ascii="Arial" w:hAnsi="Arial" w:cs="Arial"/>
          <w:sz w:val="24"/>
          <w:szCs w:val="24"/>
        </w:rPr>
        <w:instrText>:"Jean-Philippe"},{"family":"Labbe","given":"Aurélie"},{"family":"Lemire","given":"Mathieu"},{"family":"Zanke","given":"Brent W."},{"family":"Hudson","given":"Thomas J."},{"family":"Fertig","given":"Elana J."},{"family":"Greenwood","given":"Celia Mt"},{"fa</w:instrText>
      </w:r>
      <w:r>
        <w:rPr>
          <w:rFonts w:ascii="Arial" w:hAnsi="Arial" w:cs="Arial"/>
          <w:sz w:val="24"/>
          <w:szCs w:val="24"/>
        </w:rPr>
        <w:instrText xml:space="preserve">mily":"Hansen","given":"Kasper D."}],"issued":{"date-parts":[["2014",12,3]]}}}],"schema":"https://github.com/citation-style-language/schema/raw/master/csl-citation.json"}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13</w:t>
      </w:r>
      <w:r>
        <w:rPr>
          <w:rFonts w:ascii="Arial" w:hAnsi="Arial" w:cs="Arial"/>
          <w:sz w:val="24"/>
          <w:szCs w:val="24"/>
        </w:rPr>
        <w:fldChar w:fldCharType="end"/>
      </w:r>
      <w:r>
        <w:rPr>
          <w:rFonts w:ascii="Arial" w:hAnsi="Arial" w:cs="Arial"/>
          <w:sz w:val="24"/>
          <w:szCs w:val="24"/>
        </w:rPr>
        <w:t>. Outliers were removed if they were detected as critical by at least two of the</w:t>
      </w:r>
      <w:r>
        <w:rPr>
          <w:rFonts w:ascii="Arial" w:hAnsi="Arial" w:cs="Arial"/>
          <w:sz w:val="24"/>
          <w:szCs w:val="24"/>
        </w:rPr>
        <w:t xml:space="preserve"> following detection methods: </w:t>
      </w:r>
      <w:proofErr w:type="spellStart"/>
      <w:r>
        <w:rPr>
          <w:rFonts w:ascii="Arial" w:hAnsi="Arial" w:cs="Arial"/>
          <w:sz w:val="24"/>
          <w:szCs w:val="24"/>
        </w:rPr>
        <w:t>detectOutlier</w:t>
      </w:r>
      <w:proofErr w:type="spellEnd"/>
      <w:r>
        <w:rPr>
          <w:rFonts w:ascii="Arial" w:hAnsi="Arial" w:cs="Arial"/>
          <w:sz w:val="24"/>
          <w:szCs w:val="24"/>
        </w:rPr>
        <w:t xml:space="preserve">() in the </w:t>
      </w:r>
      <w:proofErr w:type="spellStart"/>
      <w:r>
        <w:rPr>
          <w:rFonts w:ascii="Arial" w:hAnsi="Arial" w:cs="Arial"/>
          <w:sz w:val="24"/>
          <w:szCs w:val="24"/>
        </w:rPr>
        <w:t>lumi</w:t>
      </w:r>
      <w:proofErr w:type="spellEnd"/>
      <w:r>
        <w:rPr>
          <w:rFonts w:ascii="Arial" w:hAnsi="Arial" w:cs="Arial"/>
          <w:sz w:val="24"/>
          <w:szCs w:val="24"/>
        </w:rPr>
        <w:t xml:space="preserve"> package </w:t>
      </w:r>
      <w:r>
        <w:rPr>
          <w:rFonts w:ascii="Arial" w:hAnsi="Arial" w:cs="Arial"/>
          <w:sz w:val="24"/>
          <w:szCs w:val="24"/>
        </w:rPr>
        <w:fldChar w:fldCharType="begin"/>
      </w:r>
      <w:r>
        <w:rPr>
          <w:rFonts w:ascii="Arial" w:hAnsi="Arial" w:cs="Arial"/>
          <w:sz w:val="24"/>
          <w:szCs w:val="24"/>
        </w:rPr>
        <w:instrText xml:space="preserve"> ADDIN ZOTERO_ITEM CSL_CITATION {"citationID":"elbHZDXp","properties":{"formattedCitation":"\\super 14\\nosupersub{}","plainCitation":"14","noteIndex":0},"citationItems":[{"id":1729,"uris":[</w:instrText>
      </w:r>
      <w:r>
        <w:rPr>
          <w:rFonts w:ascii="Arial" w:hAnsi="Arial" w:cs="Arial"/>
          <w:sz w:val="24"/>
          <w:szCs w:val="24"/>
        </w:rPr>
        <w:instrText xml:space="preserve">"http://zotero.org/groups/2409649/items/84YZGMWG"],"uri":["http://zotero.org/groups/2409649/items/84YZGMWG"],"itemData":{"id":1729,"type":"article-journal","abstract":"Illumina microarray is becoming a popular microarray platform. The BeadArray technology </w:instrText>
      </w:r>
      <w:r>
        <w:rPr>
          <w:rFonts w:ascii="Arial" w:hAnsi="Arial" w:cs="Arial"/>
          <w:sz w:val="24"/>
          <w:szCs w:val="24"/>
        </w:rPr>
        <w:instrText>from Illumina makes its preprocessing and quality control different from other microarray technologies. Unfortunately, most other analyses have not taken advantage of the unique properties of the BeadArray system, and have just incorporated preprocessing m</w:instrText>
      </w:r>
      <w:r>
        <w:rPr>
          <w:rFonts w:ascii="Arial" w:hAnsi="Arial" w:cs="Arial"/>
          <w:sz w:val="24"/>
          <w:szCs w:val="24"/>
        </w:rPr>
        <w:instrText xml:space="preserve">ethods originally designed for Affymetrix microarrays. lumi is a Bioconductor package especially designed to process the Illumina microarray data. It includes data input, quality control, variance stabilization, normalization and gene annotation portions. </w:instrText>
      </w:r>
      <w:r>
        <w:rPr>
          <w:rFonts w:ascii="Arial" w:hAnsi="Arial" w:cs="Arial"/>
          <w:sz w:val="24"/>
          <w:szCs w:val="24"/>
        </w:rPr>
        <w:instrText xml:space="preserve">In specific, the lumi package includes a variance-stabilizing transformation (VST) algorithm that takes advantage of the technical replicates available on every Illumina microarray. Different normalization method options and multiple quality control plots </w:instrText>
      </w:r>
      <w:r>
        <w:rPr>
          <w:rFonts w:ascii="Arial" w:hAnsi="Arial" w:cs="Arial"/>
          <w:sz w:val="24"/>
          <w:szCs w:val="24"/>
        </w:rPr>
        <w:instrText xml:space="preserve">are provided in the package. To better annotate the Illumina data, a vendor independent nucleotide universal identifier (nuID) was devised to identify the probes of Illumina microarray. The nuID annotation packages and output of lumi processed results can </w:instrText>
      </w:r>
      <w:r>
        <w:rPr>
          <w:rFonts w:ascii="Arial" w:hAnsi="Arial" w:cs="Arial"/>
          <w:sz w:val="24"/>
          <w:szCs w:val="24"/>
        </w:rPr>
        <w:instrText>be easily integrated with other Bioconductor packages to construct a statistical data analysis pipeline for Illumina data.\nAVAILABILITY: The lumi Bioconductor package, www.bioconductor.org","container-title":"Bioinformatics (Oxford, England)","DOI":"10.10</w:instrText>
      </w:r>
      <w:r>
        <w:rPr>
          <w:rFonts w:ascii="Arial" w:hAnsi="Arial" w:cs="Arial"/>
          <w:sz w:val="24"/>
          <w:szCs w:val="24"/>
        </w:rPr>
        <w:instrText>93/bioinformatics/btn224","ISSN":"1367-4811","issue":"13","journalAbbreviation":"Bioinformatics","language":"eng","note":"PMID: 18467348","page":"1547-1548","source":"PubMed","title":"lumi: a pipeline for processing Illumina microarray","title-short":"lumi</w:instrText>
      </w:r>
      <w:r>
        <w:rPr>
          <w:rFonts w:ascii="Arial" w:hAnsi="Arial" w:cs="Arial"/>
          <w:sz w:val="24"/>
          <w:szCs w:val="24"/>
        </w:rPr>
        <w:instrText>","volume":"24","author":[{"family":"Du","given":"Pan"},{"family":"Kibbe","given":"Warren A."},{"family":"Lin","given":"Simon M."}],"issued":{"date-parts":[["2008",7,1]]}}}],"schema":"https://github.com/citation-style-language/schema/raw/master/csl-citatio</w:instrText>
      </w:r>
      <w:r>
        <w:rPr>
          <w:rFonts w:ascii="Arial" w:hAnsi="Arial" w:cs="Arial"/>
          <w:sz w:val="24"/>
          <w:szCs w:val="24"/>
        </w:rPr>
        <w:instrText xml:space="preserve">n.json"} </w:instrText>
      </w:r>
      <w:r>
        <w:rPr>
          <w:rFonts w:ascii="Arial" w:hAnsi="Arial" w:cs="Arial"/>
          <w:sz w:val="24"/>
          <w:szCs w:val="24"/>
        </w:rPr>
        <w:fldChar w:fldCharType="separate"/>
      </w:r>
      <w:r>
        <w:rPr>
          <w:rFonts w:ascii="Arial" w:hAnsi="Arial" w:cs="Arial"/>
          <w:sz w:val="24"/>
          <w:szCs w:val="24"/>
          <w:vertAlign w:val="superscript"/>
        </w:rPr>
        <w:t>14</w:t>
      </w:r>
      <w:r>
        <w:rPr>
          <w:rFonts w:ascii="Arial" w:hAnsi="Arial" w:cs="Arial"/>
          <w:sz w:val="24"/>
          <w:szCs w:val="24"/>
        </w:rPr>
        <w:fldChar w:fldCharType="end"/>
      </w:r>
      <w:r>
        <w:rPr>
          <w:rFonts w:ascii="Arial" w:hAnsi="Arial" w:cs="Arial"/>
          <w:sz w:val="24"/>
          <w:szCs w:val="24"/>
        </w:rPr>
        <w:t xml:space="preserve">, </w:t>
      </w:r>
      <w:proofErr w:type="spellStart"/>
      <w:r>
        <w:rPr>
          <w:rFonts w:ascii="Arial" w:hAnsi="Arial" w:cs="Arial"/>
          <w:sz w:val="24"/>
          <w:szCs w:val="24"/>
        </w:rPr>
        <w:t>pcout</w:t>
      </w:r>
      <w:proofErr w:type="spellEnd"/>
      <w:r>
        <w:rPr>
          <w:rFonts w:ascii="Arial" w:hAnsi="Arial" w:cs="Arial"/>
          <w:sz w:val="24"/>
          <w:szCs w:val="24"/>
        </w:rPr>
        <w:t xml:space="preserve">() or </w:t>
      </w:r>
      <w:proofErr w:type="spellStart"/>
      <w:r>
        <w:rPr>
          <w:rFonts w:ascii="Arial" w:hAnsi="Arial" w:cs="Arial"/>
          <w:sz w:val="24"/>
          <w:szCs w:val="24"/>
        </w:rPr>
        <w:t>pfilter</w:t>
      </w:r>
      <w:proofErr w:type="spellEnd"/>
      <w:r>
        <w:rPr>
          <w:rFonts w:ascii="Arial" w:hAnsi="Arial" w:cs="Arial"/>
          <w:sz w:val="24"/>
          <w:szCs w:val="24"/>
        </w:rPr>
        <w:t xml:space="preserve"> from the </w:t>
      </w:r>
      <w:proofErr w:type="spellStart"/>
      <w:r>
        <w:rPr>
          <w:rFonts w:ascii="Arial" w:hAnsi="Arial" w:cs="Arial"/>
          <w:sz w:val="24"/>
          <w:szCs w:val="24"/>
        </w:rPr>
        <w:t>wateRmelon</w:t>
      </w:r>
      <w:proofErr w:type="spellEnd"/>
      <w:r>
        <w:rPr>
          <w:rFonts w:ascii="Arial" w:hAnsi="Arial" w:cs="Arial"/>
          <w:sz w:val="24"/>
          <w:szCs w:val="24"/>
        </w:rPr>
        <w:t xml:space="preserve"> package </w:t>
      </w:r>
      <w:r>
        <w:rPr>
          <w:rFonts w:ascii="Arial" w:hAnsi="Arial" w:cs="Arial"/>
          <w:sz w:val="24"/>
          <w:szCs w:val="24"/>
        </w:rPr>
        <w:fldChar w:fldCharType="begin"/>
      </w:r>
      <w:r>
        <w:rPr>
          <w:rFonts w:ascii="Arial" w:hAnsi="Arial" w:cs="Arial"/>
          <w:sz w:val="24"/>
          <w:szCs w:val="24"/>
        </w:rPr>
        <w:instrText xml:space="preserve"> ADDIN ZOTERO_ITEM CSL_CITATION {"citationID":"gt8Bd7Pg","properties":{"formattedCitation":"\\super 15\\nosupersub{}","plainCitation":"15","noteIndex":0},"citationItems":[{"id":1736,"uris":["ht</w:instrText>
      </w:r>
      <w:r>
        <w:rPr>
          <w:rFonts w:ascii="Arial" w:hAnsi="Arial" w:cs="Arial"/>
          <w:sz w:val="24"/>
          <w:szCs w:val="24"/>
        </w:rPr>
        <w:instrText>tp://zotero.org/groups/2409649/items/S7SRBQD4"],"uri":["http://zotero.org/groups/2409649/items/S7SRBQD4"],"itemData":{"id":1736,"type":"article-journal","abstract":"Background\nAs the most stable and experimentally accessible epigenetic mark, DNA methylati</w:instrText>
      </w:r>
      <w:r>
        <w:rPr>
          <w:rFonts w:ascii="Arial" w:hAnsi="Arial" w:cs="Arial"/>
          <w:sz w:val="24"/>
          <w:szCs w:val="24"/>
        </w:rPr>
        <w:instrText>on is of great interest to the research community. The landscape of DNA methylation across tissues, through development and in disease pathogenesis is not yet well characterized. Thus there is a need for rapid and cost effective methods for assessing genom</w:instrText>
      </w:r>
      <w:r>
        <w:rPr>
          <w:rFonts w:ascii="Arial" w:hAnsi="Arial" w:cs="Arial"/>
          <w:sz w:val="24"/>
          <w:szCs w:val="24"/>
        </w:rPr>
        <w:instrText xml:space="preserve">e-wide levels of DNA methylation. The Illumina Infinium HumanMethylation450 (450K) BeadChip is a very useful addition to the available methods for DNA methylation analysis but its complex design, incorporating two different assay methods, requires careful </w:instrText>
      </w:r>
      <w:r>
        <w:rPr>
          <w:rFonts w:ascii="Arial" w:hAnsi="Arial" w:cs="Arial"/>
          <w:sz w:val="24"/>
          <w:szCs w:val="24"/>
        </w:rPr>
        <w:instrText>consideration. Accordingly, several normalization schemes have been published. We have taken advantage of known DNA methylation patterns associated with genomic imprinting and X-chromosome inactivation (XCI), in addition to the performance of SNP genotypin</w:instrText>
      </w:r>
      <w:r>
        <w:rPr>
          <w:rFonts w:ascii="Arial" w:hAnsi="Arial" w:cs="Arial"/>
          <w:sz w:val="24"/>
          <w:szCs w:val="24"/>
        </w:rPr>
        <w:instrText>g assays present on the array, to derive three independent metrics which we use to test alternative schemes of correction and normalization. These metrics also have potential utility as quality scores for datasets.\n\nResults\nThe standard index of DNA met</w:instrText>
      </w:r>
      <w:r>
        <w:rPr>
          <w:rFonts w:ascii="Arial" w:hAnsi="Arial" w:cs="Arial"/>
          <w:sz w:val="24"/>
          <w:szCs w:val="24"/>
        </w:rPr>
        <w:instrText>hylation at any specific CpG site is β = M/(M + U + 100) where M and U are methylated and unmethylated signal intensities, respectively. Betas (βs) calculated from raw signal intensities (the default GenomeStudio behavior) perform well, but using 11 methyl</w:instrText>
      </w:r>
      <w:r>
        <w:rPr>
          <w:rFonts w:ascii="Arial" w:hAnsi="Arial" w:cs="Arial"/>
          <w:sz w:val="24"/>
          <w:szCs w:val="24"/>
        </w:rPr>
        <w:instrText>omic datasets we demonstrate that quantile normalization methods produce marked improvement, even in highly consistent data, by all three metrics. The commonly used procedure of normalizing betas is inferior to the separate normalization of M and U, and it</w:instrText>
      </w:r>
      <w:r>
        <w:rPr>
          <w:rFonts w:ascii="Arial" w:hAnsi="Arial" w:cs="Arial"/>
          <w:sz w:val="24"/>
          <w:szCs w:val="24"/>
        </w:rPr>
        <w:instrText xml:space="preserve"> is also advantageous to normalize Type I and Type II assays separately. More elaborate manipulation of quantiles proves to be counterproductive.\n\nConclusions\nCareful selection of preprocessing steps can minimize variance and thus improve statistical po</w:instrText>
      </w:r>
      <w:r>
        <w:rPr>
          <w:rFonts w:ascii="Arial" w:hAnsi="Arial" w:cs="Arial"/>
          <w:sz w:val="24"/>
          <w:szCs w:val="24"/>
        </w:rPr>
        <w:instrText>wer, especially for the detection of the small absolute DNA methylation changes likely associated with complex disease phenotypes. For the convenience of the research community we have created a user-friendly R software package called wateRmelon, downloada</w:instrText>
      </w:r>
      <w:r>
        <w:rPr>
          <w:rFonts w:ascii="Arial" w:hAnsi="Arial" w:cs="Arial"/>
          <w:sz w:val="24"/>
          <w:szCs w:val="24"/>
        </w:rPr>
        <w:instrText>ble from bioConductor, compatible with the existing methylumi, minfi and IMA packages, that allows others to utilize the same normalization methods and data quality tests on 450K data.","container-title":"BMC Genomics","DOI":"10.1186/1471-2164-14-293","ISS</w:instrText>
      </w:r>
      <w:r>
        <w:rPr>
          <w:rFonts w:ascii="Arial" w:hAnsi="Arial" w:cs="Arial"/>
          <w:sz w:val="24"/>
          <w:szCs w:val="24"/>
        </w:rPr>
        <w:instrText>N":"1471-2164","journalAbbreviation":"BMC Genomics","note":"PMID: 23631413\nPMCID: PMC3769145","page":"293","source":"PubMed Central","title":"A data-driven approach to preprocessing Illumina 450K methylation array data","volume":"14","author":[{"family":"</w:instrText>
      </w:r>
      <w:r>
        <w:rPr>
          <w:rFonts w:ascii="Arial" w:hAnsi="Arial" w:cs="Arial"/>
          <w:sz w:val="24"/>
          <w:szCs w:val="24"/>
        </w:rPr>
        <w:instrText>Pidsley","given":"Ruth"},{"family":"Y Wong","given":"Chloe C"},{"family":"Volta","given":"Manuela"},{"family":"Lunnon","given":"Katie"},{"family":"Mill","given":"Jonathan"},{"family":"Schalkwyk","given":"Leonard C"}],"issued":{"date-parts":[["2013",5,1]]}}</w:instrText>
      </w:r>
      <w:r>
        <w:rPr>
          <w:rFonts w:ascii="Arial" w:hAnsi="Arial" w:cs="Arial"/>
          <w:sz w:val="24"/>
          <w:szCs w:val="24"/>
        </w:rPr>
        <w:instrText xml:space="preserve">}],"schema":"https://github.com/citation-style-language/schema/raw/master/csl-citation.json"}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15</w:t>
      </w:r>
      <w:r>
        <w:rPr>
          <w:rFonts w:ascii="Arial" w:hAnsi="Arial" w:cs="Arial"/>
          <w:sz w:val="24"/>
          <w:szCs w:val="24"/>
        </w:rPr>
        <w:fldChar w:fldCharType="end"/>
      </w:r>
      <w:r>
        <w:rPr>
          <w:rFonts w:ascii="Arial" w:hAnsi="Arial" w:cs="Arial"/>
          <w:sz w:val="24"/>
          <w:szCs w:val="24"/>
        </w:rPr>
        <w:t xml:space="preserve">, </w:t>
      </w:r>
      <w:proofErr w:type="spellStart"/>
      <w:r>
        <w:rPr>
          <w:rFonts w:ascii="Arial" w:hAnsi="Arial" w:cs="Arial"/>
          <w:sz w:val="24"/>
          <w:szCs w:val="24"/>
        </w:rPr>
        <w:t>locfdr</w:t>
      </w:r>
      <w:proofErr w:type="spellEnd"/>
      <w:r>
        <w:rPr>
          <w:rFonts w:ascii="Arial" w:hAnsi="Arial" w:cs="Arial"/>
          <w:sz w:val="24"/>
          <w:szCs w:val="24"/>
        </w:rPr>
        <w:t xml:space="preserve"> as reported by Hannum et al. </w:t>
      </w:r>
      <w:r>
        <w:rPr>
          <w:rFonts w:ascii="Arial" w:hAnsi="Arial" w:cs="Arial"/>
          <w:sz w:val="24"/>
          <w:szCs w:val="24"/>
        </w:rPr>
        <w:fldChar w:fldCharType="begin"/>
      </w:r>
      <w:r>
        <w:rPr>
          <w:rFonts w:ascii="Arial" w:hAnsi="Arial" w:cs="Arial"/>
          <w:sz w:val="24"/>
          <w:szCs w:val="24"/>
        </w:rPr>
        <w:instrText xml:space="preserve"> ADDIN ZOTERO_ITEM CSL_CITATION {"citationID":"FOoZUIjR","properties":{"formattedCitation":"\\super 16\\nosupersub{}","</w:instrText>
      </w:r>
      <w:r>
        <w:rPr>
          <w:rFonts w:ascii="Arial" w:hAnsi="Arial" w:cs="Arial"/>
          <w:sz w:val="24"/>
          <w:szCs w:val="24"/>
        </w:rPr>
        <w:instrText>plainCitation":"16","noteIndex":0},"citationItems":[{"id":1626,"uris":["http://zotero.org/groups/2409649/items/XWIUTICL"],"uri":["http://zotero.org/groups/2409649/items/XWIUTICL"],"itemData":{"id":1626,"type":"article-journal","abstract":"The ability to me</w:instrText>
      </w:r>
      <w:r>
        <w:rPr>
          <w:rFonts w:ascii="Arial" w:hAnsi="Arial" w:cs="Arial"/>
          <w:sz w:val="24"/>
          <w:szCs w:val="24"/>
        </w:rPr>
        <w:instrText>asure human aging from molecular profiles has practical implications in many fields, including disease prevention and treatment, forensics, and extension of life. Although chronological age has been linked to changes in DNA methylation, the methylome has n</w:instrText>
      </w:r>
      <w:r>
        <w:rPr>
          <w:rFonts w:ascii="Arial" w:hAnsi="Arial" w:cs="Arial"/>
          <w:sz w:val="24"/>
          <w:szCs w:val="24"/>
        </w:rPr>
        <w:instrText>ot yet been used to measure and compare human aging rates. Here, we build a quantitative model of aging using measurements at more than 450,000 CpG markers from the whole blood of 656 human individuals, aged 19 to 101. This model measures the rate at which</w:instrText>
      </w:r>
      <w:r>
        <w:rPr>
          <w:rFonts w:ascii="Arial" w:hAnsi="Arial" w:cs="Arial"/>
          <w:sz w:val="24"/>
          <w:szCs w:val="24"/>
        </w:rPr>
        <w:instrText xml:space="preserve"> an individual's methylome ages, which we show is impacted by gender and genetic variants. We also show that differences in aging rates help explain epigenetic drift and are reflected in the transcriptome. Moreover, we show how our aging model is upheld in</w:instrText>
      </w:r>
      <w:r>
        <w:rPr>
          <w:rFonts w:ascii="Arial" w:hAnsi="Arial" w:cs="Arial"/>
          <w:sz w:val="24"/>
          <w:szCs w:val="24"/>
        </w:rPr>
        <w:instrText xml:space="preserve"> other human tissues and reveals an advanced aging rate in tumor tissue. Our model highlights specific components of the aging process and provides a quantitative readout for studying the role of methylation in age-related disease.","container-title":"Mole</w:instrText>
      </w:r>
      <w:r>
        <w:rPr>
          <w:rFonts w:ascii="Arial" w:hAnsi="Arial" w:cs="Arial"/>
          <w:sz w:val="24"/>
          <w:szCs w:val="24"/>
        </w:rPr>
        <w:instrText>cular Cell","DOI":"10.1016/j.molcel.2012.10.016","ISSN":"1097-4164","issue":"2","journalAbbreviation":"Mol Cell","language":"eng","note":"PMID: 23177740\nPMCID: PMC3780611","page":"359-367","source":"PubMed","title":"Genome-wide methylation profiles reveal</w:instrText>
      </w:r>
      <w:r>
        <w:rPr>
          <w:rFonts w:ascii="Arial" w:hAnsi="Arial" w:cs="Arial"/>
          <w:sz w:val="24"/>
          <w:szCs w:val="24"/>
        </w:rPr>
        <w:instrText xml:space="preserve"> quantitative views of human aging rates","volume":"49","author":[{"family":"Hannum","given":"Gregory"},{"family":"Guinney","given":"Justin"},{"family":"Zhao","given":"Ling"},{"family":"Zhang","given":"Li"},{"family":"Hughes","given":"Guy"},{"family":"Sadd</w:instrText>
      </w:r>
      <w:r>
        <w:rPr>
          <w:rFonts w:ascii="Arial" w:hAnsi="Arial" w:cs="Arial"/>
          <w:sz w:val="24"/>
          <w:szCs w:val="24"/>
        </w:rPr>
        <w:instrText>a","given":"SriniVas"},{"family":"Klotzle","given":"Brandy"},{"family":"Bibikova","given":"Marina"},{"family":"Fan","given":"Jian-Bing"},{"family":"Gao","given":"Yuan"},{"family":"Deconde","given":"Rob"},{"family":"Chen","given":"Menzies"},{"family":"Rajap</w:instrText>
      </w:r>
      <w:r>
        <w:rPr>
          <w:rFonts w:ascii="Arial" w:hAnsi="Arial" w:cs="Arial"/>
          <w:sz w:val="24"/>
          <w:szCs w:val="24"/>
        </w:rPr>
        <w:instrText>akse","given":"Indika"},{"family":"Friend","given":"Stephen"},{"family":"Ideker","given":"Trey"},{"family":"Zhang","given":"Kang"}],"issued":{"date-parts":[["2013",1,24]]}}}],"schema":"https://github.com/citation-style-language/schema/raw/master/csl-citati</w:instrText>
      </w:r>
      <w:r>
        <w:rPr>
          <w:rFonts w:ascii="Arial" w:hAnsi="Arial" w:cs="Arial"/>
          <w:sz w:val="24"/>
          <w:szCs w:val="24"/>
        </w:rPr>
        <w:instrText xml:space="preserve">on.json"} </w:instrText>
      </w:r>
      <w:r>
        <w:rPr>
          <w:rFonts w:ascii="Arial" w:hAnsi="Arial" w:cs="Arial"/>
          <w:sz w:val="24"/>
          <w:szCs w:val="24"/>
        </w:rPr>
        <w:fldChar w:fldCharType="separate"/>
      </w:r>
      <w:r>
        <w:rPr>
          <w:rFonts w:ascii="Arial" w:hAnsi="Arial" w:cs="Arial"/>
          <w:sz w:val="24"/>
          <w:szCs w:val="24"/>
          <w:vertAlign w:val="superscript"/>
        </w:rPr>
        <w:t>16</w:t>
      </w:r>
      <w:r>
        <w:rPr>
          <w:rFonts w:ascii="Arial" w:hAnsi="Arial" w:cs="Arial"/>
          <w:sz w:val="24"/>
          <w:szCs w:val="24"/>
        </w:rPr>
        <w:fldChar w:fldCharType="end"/>
      </w:r>
      <w:r>
        <w:rPr>
          <w:rFonts w:ascii="Arial" w:hAnsi="Arial" w:cs="Arial"/>
          <w:sz w:val="24"/>
          <w:szCs w:val="24"/>
        </w:rPr>
        <w:t xml:space="preserve"> or based on outliers in the first 3 PCs. In total 19 outliers were removed from the set.</w:t>
      </w:r>
    </w:p>
    <w:p w:rsidR="00C917BA" w:rsidRDefault="000020C2">
      <w:pPr>
        <w:spacing w:line="480" w:lineRule="auto"/>
        <w:rPr>
          <w:rFonts w:ascii="Arial" w:hAnsi="Arial" w:cs="Arial"/>
          <w:sz w:val="24"/>
          <w:szCs w:val="24"/>
        </w:rPr>
      </w:pPr>
      <w:r>
        <w:rPr>
          <w:rFonts w:ascii="Arial" w:hAnsi="Arial" w:cs="Arial"/>
          <w:sz w:val="24"/>
          <w:szCs w:val="24"/>
        </w:rPr>
        <w:t xml:space="preserve">Bad probes were removed, if they had missing values or the detection p-value was above 0.01 in more than 1% of the samples. In more detail, an average </w:t>
      </w:r>
      <w:r>
        <w:rPr>
          <w:rFonts w:ascii="Arial" w:hAnsi="Arial" w:cs="Arial"/>
          <w:sz w:val="24"/>
          <w:szCs w:val="24"/>
        </w:rPr>
        <w:t>measurement for probes with more than three reads per sample was calculated and the respective p-value determined. This, so called, detection p-value indicates whether an intensity is likely to be a true signal in comparison to background noise, as determi</w:t>
      </w:r>
      <w:r>
        <w:rPr>
          <w:rFonts w:ascii="Arial" w:hAnsi="Arial" w:cs="Arial"/>
          <w:sz w:val="24"/>
          <w:szCs w:val="24"/>
        </w:rPr>
        <w:t>ned by the control probes on the Illumina EPIC chip. A low p-value corresponds to a likely true signal, hence probes over the detection p-value of 0.01 in more than 1% of the samples were excluded.</w:t>
      </w:r>
    </w:p>
    <w:p w:rsidR="00C917BA" w:rsidRDefault="000020C2">
      <w:pPr>
        <w:spacing w:line="480" w:lineRule="auto"/>
        <w:rPr>
          <w:rFonts w:ascii="Arial" w:hAnsi="Arial" w:cs="Arial"/>
          <w:sz w:val="24"/>
          <w:szCs w:val="24"/>
        </w:rPr>
      </w:pPr>
      <w:r>
        <w:rPr>
          <w:rFonts w:ascii="Arial" w:hAnsi="Arial" w:cs="Arial"/>
          <w:sz w:val="24"/>
          <w:szCs w:val="24"/>
        </w:rPr>
        <w:t xml:space="preserve">Technical correction was done using </w:t>
      </w:r>
      <w:proofErr w:type="spellStart"/>
      <w:r>
        <w:rPr>
          <w:rFonts w:ascii="Arial" w:hAnsi="Arial" w:cs="Arial"/>
          <w:sz w:val="24"/>
          <w:szCs w:val="24"/>
        </w:rPr>
        <w:t>ComBat</w:t>
      </w:r>
      <w:proofErr w:type="spellEnd"/>
      <w:r>
        <w:rPr>
          <w:rFonts w:ascii="Arial" w:hAnsi="Arial" w:cs="Arial"/>
          <w:sz w:val="24"/>
          <w:szCs w:val="24"/>
        </w:rPr>
        <w:t xml:space="preserve"> from Johnson et</w:t>
      </w:r>
      <w:r>
        <w:rPr>
          <w:rFonts w:ascii="Arial" w:hAnsi="Arial" w:cs="Arial"/>
          <w:sz w:val="24"/>
          <w:szCs w:val="24"/>
        </w:rPr>
        <w:t xml:space="preserve"> al. </w:t>
      </w:r>
      <w:r>
        <w:rPr>
          <w:rFonts w:ascii="Arial" w:hAnsi="Arial" w:cs="Arial"/>
          <w:sz w:val="24"/>
          <w:szCs w:val="24"/>
        </w:rPr>
        <w:fldChar w:fldCharType="begin"/>
      </w:r>
      <w:r>
        <w:rPr>
          <w:rFonts w:ascii="Arial" w:hAnsi="Arial" w:cs="Arial"/>
          <w:sz w:val="24"/>
          <w:szCs w:val="24"/>
        </w:rPr>
        <w:instrText xml:space="preserve"> ADDIN ZOTERO_ITEM CSL_CITATION {"citationID":"3o1P9vnE","properties":{"formattedCitation":"\\super 17\\nosupersub{}","plainCitation":"17","noteIndex":0},"citationItems":[{"id":1508,"uris":["http://zotero.org/groups/2409649/items/LZYFG67X"],"uri":["ht</w:instrText>
      </w:r>
      <w:r>
        <w:rPr>
          <w:rFonts w:ascii="Arial" w:hAnsi="Arial" w:cs="Arial"/>
          <w:sz w:val="24"/>
          <w:szCs w:val="24"/>
        </w:rPr>
        <w:instrText>tp://zotero.org/groups/2409649/items/LZYFG67X"],"itemData":{"id":1508,"type":"article-journal","abstract":"Non-biological experimental variation or \"batch effects\" are commonly observed across multiple batches of microarray experiments, often rendering t</w:instrText>
      </w:r>
      <w:r>
        <w:rPr>
          <w:rFonts w:ascii="Arial" w:hAnsi="Arial" w:cs="Arial"/>
          <w:sz w:val="24"/>
          <w:szCs w:val="24"/>
        </w:rPr>
        <w:instrText>he task of combining data from these batches difficult. The ability to combine microarray data sets is advantageous to researchers to increase statistical power to detect biological phenomena from studies where logistical considerations restrict sample siz</w:instrText>
      </w:r>
      <w:r>
        <w:rPr>
          <w:rFonts w:ascii="Arial" w:hAnsi="Arial" w:cs="Arial"/>
          <w:sz w:val="24"/>
          <w:szCs w:val="24"/>
        </w:rPr>
        <w:instrText>e or in studies that require the sequential hybridization of arrays. In general, it is inappropriate to combine data sets without adjusting for batch effects. Methods have been proposed to filter batch effects from data, but these are often complicated and</w:instrText>
      </w:r>
      <w:r>
        <w:rPr>
          <w:rFonts w:ascii="Arial" w:hAnsi="Arial" w:cs="Arial"/>
          <w:sz w:val="24"/>
          <w:szCs w:val="24"/>
        </w:rPr>
        <w:instrText xml:space="preserve"> require large batch sizes ( &gt; 25) to implement. Because the majority of microarray studies are conducted using much smaller sample sizes, existing methods are not sufficient. We propose parametric and non-parametric empirical Bayes frameworks for adjustin</w:instrText>
      </w:r>
      <w:r>
        <w:rPr>
          <w:rFonts w:ascii="Arial" w:hAnsi="Arial" w:cs="Arial"/>
          <w:sz w:val="24"/>
          <w:szCs w:val="24"/>
        </w:rPr>
        <w:instrText>g data for batch effects that is robust to outliers in small sample sizes and performs comparable to existing methods for large samples. We illustrate our methods using two example data sets and show that our methods are justifiable, easy to apply, and use</w:instrText>
      </w:r>
      <w:r>
        <w:rPr>
          <w:rFonts w:ascii="Arial" w:hAnsi="Arial" w:cs="Arial"/>
          <w:sz w:val="24"/>
          <w:szCs w:val="24"/>
        </w:rPr>
        <w:instrText>ful in practice. Software for our method is freely available at: http://biosun1.harvard.edu/complab/batch/.","container-title":"Biostatistics (Oxford, England)","DOI":"10.1093/biostatistics/kxj037","ISSN":"1465-4644","issue":"1","journalAbbreviation":"Bios</w:instrText>
      </w:r>
      <w:r>
        <w:rPr>
          <w:rFonts w:ascii="Arial" w:hAnsi="Arial" w:cs="Arial"/>
          <w:sz w:val="24"/>
          <w:szCs w:val="24"/>
        </w:rPr>
        <w:instrText>tatistics","language":"eng","note":"PMID: 16632515","page":"118-127","source":"PubMed","title":"Adjusting batch effects in microarray expression data using empirical Bayes methods","volume":"8","author":[{"family":"Johnson","given":"W. Evan"},{"family":"Li</w:instrText>
      </w:r>
      <w:r>
        <w:rPr>
          <w:rFonts w:ascii="Arial" w:hAnsi="Arial" w:cs="Arial"/>
          <w:sz w:val="24"/>
          <w:szCs w:val="24"/>
        </w:rPr>
        <w:instrText xml:space="preserve">","given":"Cheng"},{"family":"Rabinovic","given":"Ariel"}],"issued":{"date-parts":[["2007",1]]}}}],"schema":"https://github.com/citation-style-language/schema/raw/master/csl-citation.json"}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17</w:t>
      </w:r>
      <w:r>
        <w:rPr>
          <w:rFonts w:ascii="Arial" w:hAnsi="Arial" w:cs="Arial"/>
          <w:sz w:val="24"/>
          <w:szCs w:val="24"/>
        </w:rPr>
        <w:fldChar w:fldCharType="end"/>
      </w:r>
      <w:r>
        <w:rPr>
          <w:rFonts w:ascii="Arial" w:hAnsi="Arial" w:cs="Arial"/>
          <w:sz w:val="24"/>
          <w:szCs w:val="24"/>
        </w:rPr>
        <w:t xml:space="preserve"> for Plate, Chip and Position. Cell types were calculated using the houseman method suggested by Houseman et al. </w:t>
      </w:r>
      <w:r>
        <w:rPr>
          <w:rFonts w:ascii="Arial" w:hAnsi="Arial" w:cs="Arial"/>
          <w:sz w:val="24"/>
          <w:szCs w:val="24"/>
        </w:rPr>
        <w:fldChar w:fldCharType="begin"/>
      </w:r>
      <w:r>
        <w:rPr>
          <w:rFonts w:ascii="Arial" w:hAnsi="Arial" w:cs="Arial"/>
          <w:sz w:val="24"/>
          <w:szCs w:val="24"/>
        </w:rPr>
        <w:instrText xml:space="preserve"> ADDIN ZOTERO_ITEM CSL_CITATION {"citationID":"UvUKULUf","properties":{"formattedCitation":"\\super 18\\nosupersub{}","plainCitation":"18","not</w:instrText>
      </w:r>
      <w:r>
        <w:rPr>
          <w:rFonts w:ascii="Arial" w:hAnsi="Arial" w:cs="Arial"/>
          <w:sz w:val="24"/>
          <w:szCs w:val="24"/>
        </w:rPr>
        <w:instrText xml:space="preserve">eIndex":0},"citationItems":[{"id":674,"uris":["http://zotero.org/groups/2409649/items/VDDFB6CU"],"uri":["http://zotero.org/groups/2409649/items/VDDFB6CU"],"itemData":{"id":674,"type":"article-journal","abstract":"Background\nThere has been a long-standing </w:instrText>
      </w:r>
      <w:r>
        <w:rPr>
          <w:rFonts w:ascii="Arial" w:hAnsi="Arial" w:cs="Arial"/>
          <w:sz w:val="24"/>
          <w:szCs w:val="24"/>
        </w:rPr>
        <w:instrText>need in biomedical research for a method that quantifies the normally mixed composition of leukocytes beyond what is possible by simple histological or flow cytometric assessments. The latter is restricted by the labile nature of protein epitopes, requirem</w:instrText>
      </w:r>
      <w:r>
        <w:rPr>
          <w:rFonts w:ascii="Arial" w:hAnsi="Arial" w:cs="Arial"/>
          <w:sz w:val="24"/>
          <w:szCs w:val="24"/>
        </w:rPr>
        <w:instrText>ents for cell processing, and timely cell analysis. In a diverse array of diseases and following numerous immune-toxic exposures, leukocyte composition will critically inform the underlying immuno-biology to most chronic medical conditions. Emerging resear</w:instrText>
      </w:r>
      <w:r>
        <w:rPr>
          <w:rFonts w:ascii="Arial" w:hAnsi="Arial" w:cs="Arial"/>
          <w:sz w:val="24"/>
          <w:szCs w:val="24"/>
        </w:rPr>
        <w:instrText>ch demonstrates that DNA methylation is responsible for cellular differentiation, and when measured in whole peripheral blood, serves to distinguish cancer cases from controls.\n\nResults\nHere we present a method, similar to regression calibration, for in</w:instrText>
      </w:r>
      <w:r>
        <w:rPr>
          <w:rFonts w:ascii="Arial" w:hAnsi="Arial" w:cs="Arial"/>
          <w:sz w:val="24"/>
          <w:szCs w:val="24"/>
        </w:rPr>
        <w:instrText>ferring changes in the distribution of white blood cells between different subpopulations (e.g. cases and controls) using DNA methylation signatures, in combination with a previously obtained external validation set consisting of signatures from purified l</w:instrText>
      </w:r>
      <w:r>
        <w:rPr>
          <w:rFonts w:ascii="Arial" w:hAnsi="Arial" w:cs="Arial"/>
          <w:sz w:val="24"/>
          <w:szCs w:val="24"/>
        </w:rPr>
        <w:instrText xml:space="preserve">eukocyte samples. We validate the fundamental idea in a cell mixture reconstruction experiment, then demonstrate our method on DNA methylation data sets from several studies, including data from a Head and Neck Squamous Cell Carcinoma (HNSCC) study and an </w:instrText>
      </w:r>
      <w:r>
        <w:rPr>
          <w:rFonts w:ascii="Arial" w:hAnsi="Arial" w:cs="Arial"/>
          <w:sz w:val="24"/>
          <w:szCs w:val="24"/>
        </w:rPr>
        <w:instrText>ovarian cancer study. Our method produces results consistent with prior biological findings, thereby validating the approach.\n\nConclusions\nOur method, in combination with an appropriate external validation set, promises new opportunities for large-scale</w:instrText>
      </w:r>
      <w:r>
        <w:rPr>
          <w:rFonts w:ascii="Arial" w:hAnsi="Arial" w:cs="Arial"/>
          <w:sz w:val="24"/>
          <w:szCs w:val="24"/>
        </w:rPr>
        <w:instrText xml:space="preserve"> immunological studies of both disease states and noxious exposures.","container-title":"BMC Bioinformatics","DOI":"10.1186/1471-2105-13-86","ISSN":"1471-2105","journalAbbreviation":"BMC Bioinformatics","note":"PMID: 22568884\nPMCID: PMC3532182","page":"86</w:instrText>
      </w:r>
      <w:r>
        <w:rPr>
          <w:rFonts w:ascii="Arial" w:hAnsi="Arial" w:cs="Arial"/>
          <w:sz w:val="24"/>
          <w:szCs w:val="24"/>
        </w:rPr>
        <w:instrText>","source":"PubMed Central","title":"DNA methylation arrays as surrogate measures of cell mixture distribution","volume":"13","author":[{"family":"Houseman","given":"Eugene Andres"},{"family":"Accomando","given":"William P"},{"family":"Koestler","given":"D</w:instrText>
      </w:r>
      <w:r>
        <w:rPr>
          <w:rFonts w:ascii="Arial" w:hAnsi="Arial" w:cs="Arial"/>
          <w:sz w:val="24"/>
          <w:szCs w:val="24"/>
        </w:rPr>
        <w:instrText>evin C"},{"family":"Christensen","given":"Brock C"},{"family":"Marsit","given":"Carmen J"},{"family":"Nelson","given":"Heather H"},{"family":"Wiencke","given":"John K"},{"family":"Kelsey","given":"Karl T"}],"issued":{"date-parts":[["2012",5,8]]}}}],"schema</w:instrText>
      </w:r>
      <w:r>
        <w:rPr>
          <w:rFonts w:ascii="Arial" w:hAnsi="Arial" w:cs="Arial"/>
          <w:sz w:val="24"/>
          <w:szCs w:val="24"/>
        </w:rPr>
        <w:instrText xml:space="preserve">":"https://github.com/citation-style-language/schema/raw/master/csl-citation.json"}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18</w:t>
      </w:r>
      <w:r>
        <w:rPr>
          <w:rFonts w:ascii="Arial" w:hAnsi="Arial" w:cs="Arial"/>
          <w:sz w:val="24"/>
          <w:szCs w:val="24"/>
        </w:rPr>
        <w:fldChar w:fldCharType="end"/>
      </w:r>
      <w:r>
        <w:rPr>
          <w:rFonts w:ascii="Arial" w:hAnsi="Arial" w:cs="Arial"/>
          <w:sz w:val="24"/>
          <w:szCs w:val="24"/>
        </w:rPr>
        <w:t xml:space="preserve"> here further incorporating the IDOL probes and adjustments </w:t>
      </w:r>
      <w:r>
        <w:rPr>
          <w:rFonts w:ascii="Arial" w:hAnsi="Arial" w:cs="Arial"/>
          <w:sz w:val="24"/>
          <w:szCs w:val="24"/>
        </w:rPr>
        <w:fldChar w:fldCharType="begin"/>
      </w:r>
      <w:r>
        <w:rPr>
          <w:rFonts w:ascii="Arial" w:hAnsi="Arial" w:cs="Arial"/>
          <w:sz w:val="24"/>
          <w:szCs w:val="24"/>
        </w:rPr>
        <w:instrText xml:space="preserve"> ADDIN ZOTERO_ITEM CSL_CITATION {"citationID":"beBGphkE","properties":{"formattedCitation":"\\super 19\\nos</w:instrText>
      </w:r>
      <w:r>
        <w:rPr>
          <w:rFonts w:ascii="Arial" w:hAnsi="Arial" w:cs="Arial"/>
          <w:sz w:val="24"/>
          <w:szCs w:val="24"/>
        </w:rPr>
        <w:instrText>upersub{}","plainCitation":"19","noteIndex":0},"citationItems":[{"id":1620,"uris":["http://zotero.org/groups/2409649/items/NJFHQP8K"],"uri":["http://zotero.org/groups/2409649/items/NJFHQP8K"],"itemData":{"id":1620,"type":"article-journal","abstract":"Confo</w:instrText>
      </w:r>
      <w:r>
        <w:rPr>
          <w:rFonts w:ascii="Arial" w:hAnsi="Arial" w:cs="Arial"/>
          <w:sz w:val="24"/>
          <w:szCs w:val="24"/>
        </w:rPr>
        <w:instrText>unding due to cellular heterogeneity represents one of the foremost challenges currently facing Epigenome-Wide Association Studies (EWAS). Statistical methods leveraging the tissue-specificity of DNA methylation for deconvoluting the cellular mixture of he</w:instrText>
      </w:r>
      <w:r>
        <w:rPr>
          <w:rFonts w:ascii="Arial" w:hAnsi="Arial" w:cs="Arial"/>
          <w:sz w:val="24"/>
          <w:szCs w:val="24"/>
        </w:rPr>
        <w:instrText>terogenous biospecimens offer a promising solution, however the performance of such methods depends entirely on the library of methylation markers being used for deconvolution. Here, we introduce a novel algorithm for Identifying Optimal Libraries (IDOL) t</w:instrText>
      </w:r>
      <w:r>
        <w:rPr>
          <w:rFonts w:ascii="Arial" w:hAnsi="Arial" w:cs="Arial"/>
          <w:sz w:val="24"/>
          <w:szCs w:val="24"/>
        </w:rPr>
        <w:instrText>hat dynamically scans a candidate set of cell-specific methylation markers to find libraries that optimize the accuracy of cell fraction estimates obtained from cell mixture deconvolution.","container-title":"BMC Bioinformatics","DOI":"10.1186/s12859-016-0</w:instrText>
      </w:r>
      <w:r>
        <w:rPr>
          <w:rFonts w:ascii="Arial" w:hAnsi="Arial" w:cs="Arial"/>
          <w:sz w:val="24"/>
          <w:szCs w:val="24"/>
        </w:rPr>
        <w:instrText>943-7","ISSN":"1471-2105","issue":"1","journalAbbreviation":"BMC Bioinformatics","page":"120","source":"BioMed Central","title":"Improving cell mixture deconvolution by identifying optimal DNA methylation libraries (IDOL)","volume":"17","author":[{"family"</w:instrText>
      </w:r>
      <w:r>
        <w:rPr>
          <w:rFonts w:ascii="Arial" w:hAnsi="Arial" w:cs="Arial"/>
          <w:sz w:val="24"/>
          <w:szCs w:val="24"/>
        </w:rPr>
        <w:instrText>:"Koestler","given":"Devin C."},{"family":"Jones","given":"Meaghan J."},{"family":"Usset","given":"Joseph"},{"family":"Christensen","given":"Brock C."},{"family":"Butler","given":"Rondi A."},{"family":"Kobor","given":"Michael S."},{"family":"Wiencke","give</w:instrText>
      </w:r>
      <w:r>
        <w:rPr>
          <w:rFonts w:ascii="Arial" w:hAnsi="Arial" w:cs="Arial"/>
          <w:sz w:val="24"/>
          <w:szCs w:val="24"/>
        </w:rPr>
        <w:instrText xml:space="preserve">n":"John K."},{"family":"Kelsey","given":"Karl T."}],"issued":{"date-parts":[["2016",3,8]]}}}],"schema":"https://github.com/citation-style-language/schema/raw/master/csl-citation.json"}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19</w:t>
      </w:r>
      <w:r>
        <w:rPr>
          <w:rFonts w:ascii="Arial" w:hAnsi="Arial" w:cs="Arial"/>
          <w:sz w:val="24"/>
          <w:szCs w:val="24"/>
        </w:rPr>
        <w:fldChar w:fldCharType="end"/>
      </w:r>
      <w:r>
        <w:rPr>
          <w:rFonts w:ascii="Arial" w:hAnsi="Arial" w:cs="Arial"/>
          <w:sz w:val="24"/>
          <w:szCs w:val="24"/>
        </w:rPr>
        <w:t xml:space="preserve">. The reference dataset is reported in Salas et al. </w:t>
      </w:r>
      <w:r>
        <w:rPr>
          <w:rFonts w:ascii="Arial" w:hAnsi="Arial" w:cs="Arial"/>
          <w:sz w:val="24"/>
          <w:szCs w:val="24"/>
        </w:rPr>
        <w:fldChar w:fldCharType="begin"/>
      </w:r>
      <w:r>
        <w:rPr>
          <w:rFonts w:ascii="Arial" w:hAnsi="Arial" w:cs="Arial"/>
          <w:sz w:val="24"/>
          <w:szCs w:val="24"/>
        </w:rPr>
        <w:instrText xml:space="preserve"> ADDIN ZOTERO</w:instrText>
      </w:r>
      <w:r>
        <w:rPr>
          <w:rFonts w:ascii="Arial" w:hAnsi="Arial" w:cs="Arial"/>
          <w:sz w:val="24"/>
          <w:szCs w:val="24"/>
        </w:rPr>
        <w:instrText>_ITEM CSL_CITATION {"citationID":"ABXdOlzu","properties":{"formattedCitation":"\\super 20\\nosupersub{}","plainCitation":"20","noteIndex":0},"citationItems":[{"id":1623,"uris":["http://zotero.org/groups/2409649/items/Q2YP6JRY"],"uri":["http://zotero.org/gr</w:instrText>
      </w:r>
      <w:r>
        <w:rPr>
          <w:rFonts w:ascii="Arial" w:hAnsi="Arial" w:cs="Arial"/>
          <w:sz w:val="24"/>
          <w:szCs w:val="24"/>
        </w:rPr>
        <w:instrText>oups/2409649/items/Q2YP6JRY"],"itemData":{"id":1623,"type":"article-journal","abstract":"Genome-wide methylation arrays are powerful tools for assessing cell composition of complex mixtures. We compare three approaches to select reference libraries for dec</w:instrText>
      </w:r>
      <w:r>
        <w:rPr>
          <w:rFonts w:ascii="Arial" w:hAnsi="Arial" w:cs="Arial"/>
          <w:sz w:val="24"/>
          <w:szCs w:val="24"/>
        </w:rPr>
        <w:instrText xml:space="preserve">onvoluting neutrophil, monocyte, B-lymphocyte, natural killer, and CD4+ and CD8+ T-cell fractions based on blood-derived DNA methylation signatures assayed using the Illumina HumanMethylationEPIC array. The IDOL algorithm identifies a library of 450 CpGs, </w:instrText>
      </w:r>
      <w:r>
        <w:rPr>
          <w:rFonts w:ascii="Arial" w:hAnsi="Arial" w:cs="Arial"/>
          <w:sz w:val="24"/>
          <w:szCs w:val="24"/>
        </w:rPr>
        <w:instrText>resulting in an average R2 = 99.2 across cell types when applied to EPIC methylation data collected on artificial mixtures constructed from the above cell types. Of the 450 CpGs, 69% are unique to EPIC. This library has the potential to reduce unintended t</w:instrText>
      </w:r>
      <w:r>
        <w:rPr>
          <w:rFonts w:ascii="Arial" w:hAnsi="Arial" w:cs="Arial"/>
          <w:sz w:val="24"/>
          <w:szCs w:val="24"/>
        </w:rPr>
        <w:instrText>echnical differences across array platforms.","container-title":"Genome Biology","DOI":"10.1186/s13059-018-1448-7","ISSN":"1474-7596","journalAbbreviation":"Genome Biol","note":"PMID: 29843789\nPMCID: PMC5975716","page":"64","source":"PubMed Central","titl</w:instrText>
      </w:r>
      <w:r>
        <w:rPr>
          <w:rFonts w:ascii="Arial" w:hAnsi="Arial" w:cs="Arial"/>
          <w:sz w:val="24"/>
          <w:szCs w:val="24"/>
        </w:rPr>
        <w:instrText>e":"An optimized library for reference-based deconvolution of whole-blood biospecimens assayed using the Illumina HumanMethylationEPIC BeadArray","volume":"19","author":[{"family":"Salas","given":"Lucas A."},{"family":"Koestler","given":"Devin C."},{"famil</w:instrText>
      </w:r>
      <w:r>
        <w:rPr>
          <w:rFonts w:ascii="Arial" w:hAnsi="Arial" w:cs="Arial"/>
          <w:sz w:val="24"/>
          <w:szCs w:val="24"/>
        </w:rPr>
        <w:instrText>y":"Butler","given":"Rondi A."},{"family":"Hansen","given":"Helen M."},{"family":"Wiencke","given":"John K."},{"family":"Kelsey","given":"Karl T."},{"family":"Christensen","given":"Brock C."}],"issued":{"date-parts":[["2018",5,29]]}}}],"schema":"https://gi</w:instrText>
      </w:r>
      <w:r>
        <w:rPr>
          <w:rFonts w:ascii="Arial" w:hAnsi="Arial" w:cs="Arial"/>
          <w:sz w:val="24"/>
          <w:szCs w:val="24"/>
        </w:rPr>
        <w:instrText xml:space="preserve">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20</w:t>
      </w:r>
      <w:r>
        <w:rPr>
          <w:rFonts w:ascii="Arial" w:hAnsi="Arial" w:cs="Arial"/>
          <w:sz w:val="24"/>
          <w:szCs w:val="24"/>
        </w:rPr>
        <w:fldChar w:fldCharType="end"/>
      </w:r>
      <w:r>
        <w:rPr>
          <w:rFonts w:ascii="Arial" w:hAnsi="Arial" w:cs="Arial"/>
          <w:sz w:val="24"/>
          <w:szCs w:val="24"/>
        </w:rPr>
        <w:t xml:space="preserve"> for the EPIC chip. One sex mismatch was removed as well as 4 more samples had to be removed as they were measured in duplicate and 5 samples due to ID mismatch with the original L</w:t>
      </w:r>
      <w:r>
        <w:rPr>
          <w:rFonts w:ascii="Arial" w:hAnsi="Arial" w:cs="Arial"/>
          <w:sz w:val="24"/>
          <w:szCs w:val="24"/>
        </w:rPr>
        <w:t>ISA cohort.</w:t>
      </w:r>
    </w:p>
    <w:p w:rsidR="00C917BA" w:rsidRDefault="000020C2">
      <w:pPr>
        <w:spacing w:line="480" w:lineRule="auto"/>
        <w:rPr>
          <w:rFonts w:ascii="Arial" w:hAnsi="Arial" w:cs="Arial"/>
          <w:sz w:val="24"/>
          <w:szCs w:val="24"/>
        </w:rPr>
      </w:pPr>
      <w:r>
        <w:rPr>
          <w:rFonts w:ascii="Arial" w:hAnsi="Arial" w:cs="Arial"/>
          <w:sz w:val="24"/>
          <w:szCs w:val="24"/>
        </w:rPr>
        <w:t>The final dataset contains 461 samples, 234 from 6 years, 227 from 10 years and 221 paired samples, and 774 330  probes.</w:t>
      </w:r>
    </w:p>
    <w:p w:rsidR="00C917BA" w:rsidRDefault="000020C2">
      <w:pPr>
        <w:rPr>
          <w:rFonts w:ascii="Arial" w:eastAsiaTheme="majorEastAsia" w:hAnsi="Arial" w:cs="Arial"/>
          <w:color w:val="2E74B5" w:themeColor="accent1" w:themeShade="BF"/>
          <w:sz w:val="24"/>
          <w:szCs w:val="26"/>
        </w:rPr>
      </w:pPr>
      <w:r>
        <w:rPr>
          <w:rFonts w:ascii="Arial" w:hAnsi="Arial" w:cs="Arial"/>
          <w:color w:val="2E74B5" w:themeColor="accent1" w:themeShade="BF"/>
          <w:szCs w:val="26"/>
        </w:rPr>
        <w:br w:type="page"/>
      </w:r>
    </w:p>
    <w:p w:rsidR="00C917BA" w:rsidRDefault="000020C2">
      <w:pPr>
        <w:pStyle w:val="Heading3"/>
        <w:spacing w:line="480" w:lineRule="auto"/>
        <w:rPr>
          <w:rFonts w:ascii="Arial" w:hAnsi="Arial" w:cs="Arial"/>
          <w:color w:val="2E74B5" w:themeColor="accent1" w:themeShade="BF"/>
          <w:szCs w:val="26"/>
        </w:rPr>
      </w:pPr>
      <w:r>
        <w:rPr>
          <w:rFonts w:ascii="Arial" w:hAnsi="Arial" w:cs="Arial"/>
          <w:color w:val="2E74B5" w:themeColor="accent1" w:themeShade="BF"/>
          <w:szCs w:val="26"/>
        </w:rPr>
        <w:t>Methods 3: Methylation Risk Scores (MRS)</w:t>
      </w:r>
    </w:p>
    <w:p w:rsidR="00C917BA" w:rsidRDefault="000020C2">
      <w:pPr>
        <w:spacing w:line="480" w:lineRule="auto"/>
        <w:rPr>
          <w:rFonts w:ascii="Arial" w:hAnsi="Arial" w:cs="Arial"/>
        </w:rPr>
      </w:pPr>
      <w:r>
        <w:rPr>
          <w:rFonts w:ascii="Arial" w:hAnsi="Arial" w:cs="Arial"/>
          <w:sz w:val="24"/>
          <w:szCs w:val="24"/>
        </w:rPr>
        <w:t>In order to facilitate application of the novel MRS approach in allergic disease</w:t>
      </w:r>
      <w:r>
        <w:rPr>
          <w:rFonts w:ascii="Arial" w:hAnsi="Arial" w:cs="Arial"/>
          <w:sz w:val="24"/>
          <w:szCs w:val="24"/>
        </w:rPr>
        <w:t>s, the following section provides details on selection of EWAS and calculation of MRS.</w:t>
      </w:r>
    </w:p>
    <w:p w:rsidR="00C917BA" w:rsidRDefault="000020C2">
      <w:pPr>
        <w:spacing w:line="480" w:lineRule="auto"/>
        <w:rPr>
          <w:rFonts w:ascii="Arial" w:hAnsi="Arial" w:cs="Arial"/>
        </w:rPr>
      </w:pPr>
      <w:r>
        <w:rPr>
          <w:rFonts w:ascii="Arial" w:hAnsi="Arial" w:cs="Arial"/>
          <w:sz w:val="24"/>
          <w:szCs w:val="24"/>
        </w:rPr>
        <w:t xml:space="preserve">For the calculation of MRS, we first identified EWAS covering similar phenotypes (aeroallergen sensitization) but also broader ones to use the advantages of more recent </w:t>
      </w:r>
      <w:r>
        <w:rPr>
          <w:rFonts w:ascii="Arial" w:hAnsi="Arial" w:cs="Arial"/>
          <w:sz w:val="24"/>
          <w:szCs w:val="24"/>
        </w:rPr>
        <w:t>meta-analysis efforts, as done for childhood asthma</w:t>
      </w:r>
      <w:r>
        <w:rPr>
          <w:rFonts w:ascii="Arial" w:hAnsi="Arial" w:cs="Arial"/>
          <w:sz w:val="24"/>
          <w:szCs w:val="24"/>
        </w:rPr>
        <w:fldChar w:fldCharType="begin"/>
      </w:r>
      <w:r>
        <w:rPr>
          <w:rFonts w:ascii="Arial" w:hAnsi="Arial" w:cs="Arial"/>
          <w:sz w:val="24"/>
          <w:szCs w:val="24"/>
        </w:rPr>
        <w:instrText xml:space="preserve"> ADDIN ZOTERO_ITEM CSL_CITATION {"citationID":"ImZQX8HK","properties":{"formattedCitation":"\\super 21\\nosupersub{}","plainCitation":"21","noteIndex":0},"citationItems":[{"id":675,"uris":["http://zotero.o</w:instrText>
      </w:r>
      <w:r>
        <w:rPr>
          <w:rFonts w:ascii="Arial" w:hAnsi="Arial" w:cs="Arial"/>
          <w:sz w:val="24"/>
          <w:szCs w:val="24"/>
        </w:rPr>
        <w:instrText>rg/groups/2409649/items/9AV9QP9B"],"uri":["http://zotero.org/groups/2409649/items/9AV9QP9B"],"itemData":{"id":675,"type":"article-journal","abstract":"Background\nEpigenetic mechanisms, including methylation, can contribute to childhood asthma. Identifying</w:instrText>
      </w:r>
      <w:r>
        <w:rPr>
          <w:rFonts w:ascii="Arial" w:hAnsi="Arial" w:cs="Arial"/>
          <w:sz w:val="24"/>
          <w:szCs w:val="24"/>
        </w:rPr>
        <w:instrText xml:space="preserve"> DNA methylation profiles in asthmatic patients can inform disease pathogenesis.\nObjective\nWe sought to identify differential DNA methylation in newborns and children related to childhood asthma.\nMethods\nWithin the Pregnancy And Childhood Epigenetics c</w:instrText>
      </w:r>
      <w:r>
        <w:rPr>
          <w:rFonts w:ascii="Arial" w:hAnsi="Arial" w:cs="Arial"/>
          <w:sz w:val="24"/>
          <w:szCs w:val="24"/>
        </w:rPr>
        <w:instrText>onsortium, we performed epigenome-wide meta-analyses of school-age asthma in relation to CpG methylation (Illumina450K) in blood measured either in newborns, in prospective analyses, or cross-sectionally in school-aged children. We also identified differen</w:instrText>
      </w:r>
      <w:r>
        <w:rPr>
          <w:rFonts w:ascii="Arial" w:hAnsi="Arial" w:cs="Arial"/>
          <w:sz w:val="24"/>
          <w:szCs w:val="24"/>
        </w:rPr>
        <w:instrText>tially methylated regions.\nResults\nIn newborns (8 cohorts, 668 cases), 9 CpGs (and 35 regions) were differentially methylated (epigenome-wide significance, false discovery rate &lt; 0.05) in relation to asthma development. In a cross-sectional meta-analysis</w:instrText>
      </w:r>
      <w:r>
        <w:rPr>
          <w:rFonts w:ascii="Arial" w:hAnsi="Arial" w:cs="Arial"/>
          <w:sz w:val="24"/>
          <w:szCs w:val="24"/>
        </w:rPr>
        <w:instrText xml:space="preserve"> of asthma and methylation in children (9 cohorts, 631 cases), we identified 179 CpGs (false discovery rate &lt; 0.05) and 36 differentially methylated regions. In replication studies of methylation in other tissues, most of the 179 CpGs discovered in blood r</w:instrText>
      </w:r>
      <w:r>
        <w:rPr>
          <w:rFonts w:ascii="Arial" w:hAnsi="Arial" w:cs="Arial"/>
          <w:sz w:val="24"/>
          <w:szCs w:val="24"/>
        </w:rPr>
        <w:instrText>eplicated, despite smaller sample sizes, in studies of nasal respiratory epithelium or eosinophils. Pathway analyses highlighted enrichment for asthma-relevant immune processes and overlap in pathways enriched both in newborns and children. Gene expression</w:instrText>
      </w:r>
      <w:r>
        <w:rPr>
          <w:rFonts w:ascii="Arial" w:hAnsi="Arial" w:cs="Arial"/>
          <w:sz w:val="24"/>
          <w:szCs w:val="24"/>
        </w:rPr>
        <w:instrText xml:space="preserve"> correlated with methylation at most loci. Functional annotation supports a regulatory effect on gene expression at many asthma-associated CpGs. Several implicated genes are targets for approved or experimental drugs, including IL5RA and KCNH2.\nConclusion</w:instrText>
      </w:r>
      <w:r>
        <w:rPr>
          <w:rFonts w:ascii="Arial" w:hAnsi="Arial" w:cs="Arial"/>
          <w:sz w:val="24"/>
          <w:szCs w:val="24"/>
        </w:rPr>
        <w:instrText>\nNovel loci differentially methylated in newborns represent potential biomarkers of risk of asthma by school age. Cross-sectional associations in children can reflect both risk for and effects of disease. Asthma-related differential methylation in blood i</w:instrText>
      </w:r>
      <w:r>
        <w:rPr>
          <w:rFonts w:ascii="Arial" w:hAnsi="Arial" w:cs="Arial"/>
          <w:sz w:val="24"/>
          <w:szCs w:val="24"/>
        </w:rPr>
        <w:instrText>n children was substantially replicated in eosinophils and respiratory epithelium.","container-title":"Journal of Allergy and Clinical Immunology","DOI":"10.1016/j.jaci.2018.11.043","ISSN":"0091-6749","issue":"6","journalAbbreviation":"Journal of Allergy a</w:instrText>
      </w:r>
      <w:r>
        <w:rPr>
          <w:rFonts w:ascii="Arial" w:hAnsi="Arial" w:cs="Arial"/>
          <w:sz w:val="24"/>
          <w:szCs w:val="24"/>
        </w:rPr>
        <w:instrText>nd Clinical Immunology","page":"2062-2074","source":"ScienceDirect","title":"Epigenome-wide meta-analysis of DNA methylation and childhood asthma","volume":"143","author":[{"family":"Reese","given":"Sarah E."},{"family":"Xu","given":"Cheng-Jian"},{"family"</w:instrText>
      </w:r>
      <w:r>
        <w:rPr>
          <w:rFonts w:ascii="Arial" w:hAnsi="Arial" w:cs="Arial"/>
          <w:sz w:val="24"/>
          <w:szCs w:val="24"/>
        </w:rPr>
        <w:instrText>:"Dekker","given":"Herman T.","non-dropping-particle":"den"},{"family":"Lee","given":"Mi Kyeong"},{"family":"Sikdar","given":"Sinjini"},{"family":"Ruiz-Arenas","given":"Carlos"},{"family":"Merid","given":"Simon K."},{"family":"Rezwan","given":"Faisal I."},</w:instrText>
      </w:r>
      <w:r>
        <w:rPr>
          <w:rFonts w:ascii="Arial" w:hAnsi="Arial" w:cs="Arial"/>
          <w:sz w:val="24"/>
          <w:szCs w:val="24"/>
        </w:rPr>
        <w:instrText>{"family":"Page","given":"Christian M."},{"family":"Ullemar","given":"Vilhelmina"},{"family":"Melton","given":"Phillip E."},{"family":"Oh","given":"Sam S."},{"family":"Yang","given":"Ivana V."},{"family":"Burrows","given":"Kimberley"},{"family":"Söderhäll"</w:instrText>
      </w:r>
      <w:r>
        <w:rPr>
          <w:rFonts w:ascii="Arial" w:hAnsi="Arial" w:cs="Arial"/>
          <w:sz w:val="24"/>
          <w:szCs w:val="24"/>
        </w:rPr>
        <w:instrText>,"given":"Cilla"},{"family":"Jima","given":"Dereje D."},{"family":"Gao","given":"Lu"},{"family":"Arathimos","given":"Ryan"},{"family":"Küpers","given":"Leanne K."},{"family":"Wielscher","given":"Matthias"},{"family":"Rzehak","given":"Peter"},{"family":"Lah</w:instrText>
      </w:r>
      <w:r>
        <w:rPr>
          <w:rFonts w:ascii="Arial" w:hAnsi="Arial" w:cs="Arial"/>
          <w:sz w:val="24"/>
          <w:szCs w:val="24"/>
        </w:rPr>
        <w:instrText>ti","given":"Jari"},{"family":"Laprise","given":"Catherine"},{"family":"Madore","given":"Anne-Marie"},{"family":"Ward","given":"James"},{"family":"Bennett","given":"Brian D."},{"family":"Wang","given":"Tianyuan"},{"family":"Bell","given":"Douglas A."},{"fa</w:instrText>
      </w:r>
      <w:r>
        <w:rPr>
          <w:rFonts w:ascii="Arial" w:hAnsi="Arial" w:cs="Arial"/>
          <w:sz w:val="24"/>
          <w:szCs w:val="24"/>
        </w:rPr>
        <w:instrText>mily":"Vonk","given":"Judith M."},{"family":"Håberg","given":"Siri E."},{"family":"Zhao","given":"Shanshan"},{"family":"Karlsson","given":"Robert"},{"family":"Hollams","given":"Elysia"},{"family":"Hu","given":"Donglei"},{"family":"Richards","given":"Adam J</w:instrText>
      </w:r>
      <w:r>
        <w:rPr>
          <w:rFonts w:ascii="Arial" w:hAnsi="Arial" w:cs="Arial"/>
          <w:sz w:val="24"/>
          <w:szCs w:val="24"/>
        </w:rPr>
        <w:instrText>."},{"family":"Bergström","given":"Anna"},{"family":"Sharp","given":"Gemma C."},{"family":"Felix","given":"Janine F."},{"family":"Bustamante","given":"Mariona"},{"family":"Gruzieva","given":"Olena"},{"family":"Maguire","given":"Rachel L."},{"family":"Gilli</w:instrText>
      </w:r>
      <w:r>
        <w:rPr>
          <w:rFonts w:ascii="Arial" w:hAnsi="Arial" w:cs="Arial"/>
          <w:sz w:val="24"/>
          <w:szCs w:val="24"/>
        </w:rPr>
        <w:instrText>land","given":"Frank"},{"family":"Baïz","given":"Nour"},{"family":"Nohr","given":"Ellen A."},{"family":"Corpeleijn","given":"Eva"},{"family":"Sebert","given":"Sylvain"},{"family":"Karmaus","given":"Wilfried"},{"family":"Grote","given":"Veit"},{"family":"Ka</w:instrText>
      </w:r>
      <w:r>
        <w:rPr>
          <w:rFonts w:ascii="Arial" w:hAnsi="Arial" w:cs="Arial"/>
          <w:sz w:val="24"/>
          <w:szCs w:val="24"/>
        </w:rPr>
        <w:instrText>jantie","given":"Eero"},{"family":"Magnus","given":"Maria C."},{"family":"Örtqvist","given":"Anne K."},{"family":"Eng","given":"Celeste"},{"family":"Liu","given":"Andrew H."},{"family":"Kull","given":"Inger"},{"family":"Jaddoe","given":"Vincent W. V."},{"f</w:instrText>
      </w:r>
      <w:r>
        <w:rPr>
          <w:rFonts w:ascii="Arial" w:hAnsi="Arial" w:cs="Arial"/>
          <w:sz w:val="24"/>
          <w:szCs w:val="24"/>
        </w:rPr>
        <w:instrText>amily":"Sunyer","given":"Jordi"},{"family":"Kere","given":"Juha"},{"family":"Hoyo","given":"Cathrine"},{"family":"Annesi-Maesano","given":"Isabella"},{"family":"Arshad","given":"Syed Hasan"},{"family":"Koletzko","given":"Berthold"},{"family":"Brunekreef","</w:instrText>
      </w:r>
      <w:r>
        <w:rPr>
          <w:rFonts w:ascii="Arial" w:hAnsi="Arial" w:cs="Arial"/>
          <w:sz w:val="24"/>
          <w:szCs w:val="24"/>
        </w:rPr>
        <w:instrText>given":"Bert"},{"family":"Binder","given":"Elisabeth B."},{"family":"Räikkönen","given":"Katri"},{"family":"Reischl","given":"Eva"},{"family":"Holloway","given":"John W."},{"family":"Jarvelin","given":"Marjo-Riitta"},{"family":"Snieder","given":"Harold"},{</w:instrText>
      </w:r>
      <w:r>
        <w:rPr>
          <w:rFonts w:ascii="Arial" w:hAnsi="Arial" w:cs="Arial"/>
          <w:sz w:val="24"/>
          <w:szCs w:val="24"/>
        </w:rPr>
        <w:instrText>"family":"Kazmi","given":"Nabila"},{"family":"Breton","given":"Carrie V."},{"family":"Murphy","given":"Susan K."},{"family":"Pershagen","given":"Göran"},{"family":"Anto","given":"Josep Maria"},{"family":"Relton","given":"Caroline L."},{"family":"Schwartz",</w:instrText>
      </w:r>
      <w:r>
        <w:rPr>
          <w:rFonts w:ascii="Arial" w:hAnsi="Arial" w:cs="Arial"/>
          <w:sz w:val="24"/>
          <w:szCs w:val="24"/>
        </w:rPr>
        <w:instrText>"given":"David A."},{"family":"Burchard","given":"Esteban G."},{"family":"Huang","given":"Rae-Chi"},{"family":"Nystad","given":"Wenche"},{"family":"Almqvist","given":"Catarina"},{"family":"Henderson","given":"A. John"},{"family":"Melén","given":"Erik"},{"f</w:instrText>
      </w:r>
      <w:r>
        <w:rPr>
          <w:rFonts w:ascii="Arial" w:hAnsi="Arial" w:cs="Arial"/>
          <w:sz w:val="24"/>
          <w:szCs w:val="24"/>
        </w:rPr>
        <w:instrText xml:space="preserve">amily":"Duijts","given":"Liesbeth"},{"family":"Koppelman","given":"Gerard H."},{"family":"London","given":"Stephanie J."}],"issued":{"date-parts":[["2019",6,1]]}}}],"schema":"https://github.com/citation-style-language/schema/raw/master/csl-citation.json"}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21</w:t>
      </w:r>
      <w:r>
        <w:rPr>
          <w:rFonts w:ascii="Arial" w:hAnsi="Arial" w:cs="Arial"/>
          <w:sz w:val="24"/>
          <w:szCs w:val="24"/>
        </w:rPr>
        <w:fldChar w:fldCharType="end"/>
      </w:r>
      <w:r>
        <w:rPr>
          <w:rFonts w:ascii="Arial" w:hAnsi="Arial" w:cs="Arial"/>
          <w:sz w:val="24"/>
          <w:szCs w:val="24"/>
        </w:rPr>
        <w:t xml:space="preserve"> and any allergic disease</w:t>
      </w:r>
      <w:r>
        <w:rPr>
          <w:rFonts w:ascii="Arial" w:hAnsi="Arial" w:cs="Arial"/>
          <w:sz w:val="24"/>
          <w:szCs w:val="24"/>
        </w:rPr>
        <w:fldChar w:fldCharType="begin"/>
      </w:r>
      <w:r>
        <w:rPr>
          <w:rFonts w:ascii="Arial" w:hAnsi="Arial" w:cs="Arial"/>
          <w:sz w:val="24"/>
          <w:szCs w:val="24"/>
        </w:rPr>
        <w:instrText xml:space="preserve"> ADDIN ZOTERO_ITEM CSL_CITATION {"citationID":"616SnU49","properties":{"formattedCitation":"\\super 22\\nosupersub{}","plainCitation":"22","noteIndex":0},"citationItems":[{"id":1572,"uris":["http://zotero.org/groups/2409649/it</w:instrText>
      </w:r>
      <w:r>
        <w:rPr>
          <w:rFonts w:ascii="Arial" w:hAnsi="Arial" w:cs="Arial"/>
          <w:sz w:val="24"/>
          <w:szCs w:val="24"/>
        </w:rPr>
        <w:instrText>ems/6TPLAUN8"],"uri":["http://zotero.org/groups/2409649/items/6TPLAUN8"],"itemData":{"id":1572,"type":"article-journal","abstract":"&lt;h3&gt;Background&lt;/h3&gt;&lt;p&gt;Differential DNA methylation associated with allergy might provide novel insights into the shared or u</w:instrText>
      </w:r>
      <w:r>
        <w:rPr>
          <w:rFonts w:ascii="Arial" w:hAnsi="Arial" w:cs="Arial"/>
          <w:sz w:val="24"/>
          <w:szCs w:val="24"/>
        </w:rPr>
        <w:instrText>nique etiology of asthma, rhinitis, and eczema.&lt;/p&gt;&lt;h3&gt;Objective&lt;/h3&gt;&lt;p&gt;We sought to identify DNA methylation profiles associated with childhood allergy.&lt;/p&gt;&lt;h3&gt;Methods&lt;/h3&gt;&lt;p&gt;Within the European Mechanisms of the Development of Allergy (MeDALL) consortium</w:instrText>
      </w:r>
      <w:r>
        <w:rPr>
          <w:rFonts w:ascii="Arial" w:hAnsi="Arial" w:cs="Arial"/>
          <w:sz w:val="24"/>
          <w:szCs w:val="24"/>
        </w:rPr>
        <w:instrText>, we performed an epigenome-wide association study of whole blood DNA methylation by using a cross-sectional design. Allergy was defined as having symptoms from at least 1 allergic disease (asthma, rhinitis, or eczema) and positive serum-specific IgE to co</w:instrText>
      </w:r>
      <w:r>
        <w:rPr>
          <w:rFonts w:ascii="Arial" w:hAnsi="Arial" w:cs="Arial"/>
          <w:sz w:val="24"/>
          <w:szCs w:val="24"/>
        </w:rPr>
        <w:instrText>mmon aeroallergens. The discovery study included 219 case patients and 417 controls at age 4 years and 228 case patients and 593 controls at age 8 years from 3 birth cohorts, with replication analyses in 325 case patients and 1111 controls. We performed ad</w:instrText>
      </w:r>
      <w:r>
        <w:rPr>
          <w:rFonts w:ascii="Arial" w:hAnsi="Arial" w:cs="Arial"/>
          <w:sz w:val="24"/>
          <w:szCs w:val="24"/>
        </w:rPr>
        <w:instrText>ditional analyses on 21 replicated sites in 785 case patients and 2124 controls by allergic symptoms only from 8 cohorts, 3 of which were not previously included in analyses.&lt;/p&gt;&lt;h3&gt;Results&lt;/h3&gt;&lt;p&gt;We identified 80 differentially methylated CpG sites that s</w:instrText>
      </w:r>
      <w:r>
        <w:rPr>
          <w:rFonts w:ascii="Arial" w:hAnsi="Arial" w:cs="Arial"/>
          <w:sz w:val="24"/>
          <w:szCs w:val="24"/>
        </w:rPr>
        <w:instrText>howed a 1% to 3% methylation difference in the discovery phase, of which 21 (including 5 novel CpG sites) passed genome-wide significance after meta-analysis. All 21 CpG sites were also significantly differentially methylated with allergic symptoms and sha</w:instrText>
      </w:r>
      <w:r>
        <w:rPr>
          <w:rFonts w:ascii="Arial" w:hAnsi="Arial" w:cs="Arial"/>
          <w:sz w:val="24"/>
          <w:szCs w:val="24"/>
        </w:rPr>
        <w:instrText>red between asthma, rhinitis, and eczema. The 21 CpG sites mapped to relevant genes, including &lt;i&gt;ACOT7&lt;/i&gt;, &lt;i&gt;LMAN3,&lt;/i&gt; and &lt;i&gt;CLDN23.&lt;/i&gt; All 21 CpG sties were differently methylated in asthma in isolated eosinophils, and 10 were replicated in respirat</w:instrText>
      </w:r>
      <w:r>
        <w:rPr>
          <w:rFonts w:ascii="Arial" w:hAnsi="Arial" w:cs="Arial"/>
          <w:sz w:val="24"/>
          <w:szCs w:val="24"/>
        </w:rPr>
        <w:instrText>ory epithelium.&lt;/p&gt;&lt;h3&gt;Conclusion&lt;/h3&gt;&lt;p&gt;Reduced whole blood DNA methylation at 21 CpG sites was significantly associated with childhood allergy. The findings provide novel insights into the shared molecular mechanisms underlying asthma, rhinitis, and ecze</w:instrText>
      </w:r>
      <w:r>
        <w:rPr>
          <w:rFonts w:ascii="Arial" w:hAnsi="Arial" w:cs="Arial"/>
          <w:sz w:val="24"/>
          <w:szCs w:val="24"/>
        </w:rPr>
        <w:instrText xml:space="preserve">ma.&lt;/p&gt;","container-title":"Journal of Allergy and Clinical Immunology","DOI":"10.1016/j.jaci.2020.11.044","ISSN":"0091-6749, 1097-6825","issue":"3","journalAbbreviation":"Journal of Allergy and Clinical Immunology","language":"English","note":"publisher: </w:instrText>
      </w:r>
      <w:r>
        <w:rPr>
          <w:rFonts w:ascii="Arial" w:hAnsi="Arial" w:cs="Arial"/>
          <w:sz w:val="24"/>
          <w:szCs w:val="24"/>
        </w:rPr>
        <w:instrText>Elsevier\nPMID: 33338541","page":"1031-1040","source":"www.jacionline.org","title":"Shared DNA methylation signatures in childhood allergy: The MeDALL study","title-short":"Shared DNA methylation signatures in childhood allergy","volume":"147","author":[{"</w:instrText>
      </w:r>
      <w:r>
        <w:rPr>
          <w:rFonts w:ascii="Arial" w:hAnsi="Arial" w:cs="Arial"/>
          <w:sz w:val="24"/>
          <w:szCs w:val="24"/>
        </w:rPr>
        <w:instrText>family":"Xu","given":"Cheng-Jian"},{"family":"Gruzieva","given":"Olena"},{"family":"Qi","given":"Cancan"},{"family":"Esplugues","given":"Ana"},{"family":"Gehring","given":"Ulrike"},{"family":"Bergström","given":"Anna"},{"family":"Mason","given":"Dan"},{"fa</w:instrText>
      </w:r>
      <w:r>
        <w:rPr>
          <w:rFonts w:ascii="Arial" w:hAnsi="Arial" w:cs="Arial"/>
          <w:sz w:val="24"/>
          <w:szCs w:val="24"/>
        </w:rPr>
        <w:instrText>mily":"Chatzi","given":"Leda"},{"family":"Porta","given":"Daniela"},{"family":"Carlsen","given":"Karin C. Lodrup"},{"family":"Baïz","given":"Nour"},{"family":"Madore","given":"Anne-Marie"},{"family":"Alenius","given":"Harri"},{"family":"Rijkom","given":"Bi</w:instrText>
      </w:r>
      <w:r>
        <w:rPr>
          <w:rFonts w:ascii="Arial" w:hAnsi="Arial" w:cs="Arial"/>
          <w:sz w:val="24"/>
          <w:szCs w:val="24"/>
        </w:rPr>
        <w:instrText>anca","dropping-particle":"van"},{"family":"Jankipersadsing","given":"Soesma A."},{"family":"Vlies","given":"Pieter","dropping-particle":"van der"},{"family":"Kull","given":"Inger"},{"family":"Hage","given":"Marianne","dropping-particle":"van"},{"family":"</w:instrText>
      </w:r>
      <w:r>
        <w:rPr>
          <w:rFonts w:ascii="Arial" w:hAnsi="Arial" w:cs="Arial"/>
          <w:sz w:val="24"/>
          <w:szCs w:val="24"/>
        </w:rPr>
        <w:instrText>Bustamante","given":"Mariona"},{"family":"Lertxundi","given":"Aitana"},{"family":"Torrent","given":"Matias"},{"family":"Santorelli","given":"Gillian"},{"family":"Fantini","given":"Maria Pia"},{"family":"Hovland","given":"Vegard"},{"family":"Pesce","given":</w:instrText>
      </w:r>
      <w:r>
        <w:rPr>
          <w:rFonts w:ascii="Arial" w:hAnsi="Arial" w:cs="Arial"/>
          <w:sz w:val="24"/>
          <w:szCs w:val="24"/>
        </w:rPr>
        <w:instrText>"Giancarlo"},{"family":"Fyhrquist","given":"Nanna"},{"family":"Laatikainen","given":"Tiina"},{"family":"Nawijn","given":"Martijn C."},{"family":"Li","given":"Yang"},{"family":"Wijmenga","given":"Cisca"},{"family":"Netea","given":"Mihai G."},{"family":"Bous</w:instrText>
      </w:r>
      <w:r>
        <w:rPr>
          <w:rFonts w:ascii="Arial" w:hAnsi="Arial" w:cs="Arial"/>
          <w:sz w:val="24"/>
          <w:szCs w:val="24"/>
        </w:rPr>
        <w:instrText>quet","given":"Jean"},{"family":"Anto","given":"Josep M."},{"family":"Laprise","given":"Catherine"},{"family":"Haahtela","given":"Tari"},{"family":"Annesi-Maesano","given":"Isabella"},{"family":"Carlsen","given":"Kai-Håkon"},{"family":"Gori","given":"David</w:instrText>
      </w:r>
      <w:r>
        <w:rPr>
          <w:rFonts w:ascii="Arial" w:hAnsi="Arial" w:cs="Arial"/>
          <w:sz w:val="24"/>
          <w:szCs w:val="24"/>
        </w:rPr>
        <w:instrText>e"},{"family":"Kogevinas","given":"Manolis"},{"family":"Wright","given":"John"},{"family":"Söderhäll","given":"Cilla"},{"family":"Vonk","given":"Judith M."},{"family":"Sunyer","given":"Jordi"},{"family":"Melén","given":"Erik"},{"family":"Koppelman","given"</w:instrText>
      </w:r>
      <w:r>
        <w:rPr>
          <w:rFonts w:ascii="Arial" w:hAnsi="Arial" w:cs="Arial"/>
          <w:sz w:val="24"/>
          <w:szCs w:val="24"/>
        </w:rPr>
        <w:instrText xml:space="preserve">:"Gerard H."}],"issued":{"date-parts":[["2021",3,1]]}}}],"schema":"https://github.com/citation-style-language/schema/raw/master/csl-citation.json"}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22</w:t>
      </w:r>
      <w:r>
        <w:rPr>
          <w:rFonts w:ascii="Arial" w:hAnsi="Arial" w:cs="Arial"/>
          <w:sz w:val="24"/>
          <w:szCs w:val="24"/>
        </w:rPr>
        <w:fldChar w:fldCharType="end"/>
      </w:r>
      <w:r>
        <w:rPr>
          <w:rFonts w:ascii="Arial" w:hAnsi="Arial" w:cs="Arial"/>
          <w:sz w:val="24"/>
          <w:szCs w:val="24"/>
        </w:rPr>
        <w:t xml:space="preserve">. We considered all CpGs reported in the publications for the initial MRS, usually all </w:t>
      </w:r>
      <w:proofErr w:type="spellStart"/>
      <w:r>
        <w:rPr>
          <w:rFonts w:ascii="Arial" w:hAnsi="Arial" w:cs="Arial"/>
          <w:sz w:val="24"/>
          <w:szCs w:val="24"/>
        </w:rPr>
        <w:t>CpGs</w:t>
      </w:r>
      <w:proofErr w:type="spellEnd"/>
      <w:r>
        <w:rPr>
          <w:rFonts w:ascii="Arial" w:hAnsi="Arial" w:cs="Arial"/>
          <w:sz w:val="24"/>
          <w:szCs w:val="24"/>
        </w:rPr>
        <w:t xml:space="preserve"> with epigen</w:t>
      </w:r>
      <w:r>
        <w:rPr>
          <w:rFonts w:ascii="Arial" w:hAnsi="Arial" w:cs="Arial"/>
          <w:sz w:val="24"/>
          <w:szCs w:val="24"/>
        </w:rPr>
        <w:t>ome-wide significance and sometimes with additional replication, and obtained summary statistics up to a broader p-value of 0.1 for two of the publications</w:t>
      </w:r>
      <w:r>
        <w:rPr>
          <w:rFonts w:ascii="Arial" w:hAnsi="Arial" w:cs="Arial"/>
          <w:sz w:val="24"/>
          <w:szCs w:val="24"/>
        </w:rPr>
        <w:fldChar w:fldCharType="begin"/>
      </w:r>
      <w:r>
        <w:rPr>
          <w:rFonts w:ascii="Arial" w:hAnsi="Arial" w:cs="Arial"/>
          <w:sz w:val="24"/>
          <w:szCs w:val="24"/>
        </w:rPr>
        <w:instrText xml:space="preserve"> ADDIN ZOTERO_ITEM CSL_CITATION {"citationID":"itq3mZm5","properties":{"formattedCitation":"\\super 2</w:instrText>
      </w:r>
      <w:r>
        <w:rPr>
          <w:rFonts w:ascii="Arial" w:hAnsi="Arial" w:cs="Arial"/>
          <w:sz w:val="24"/>
          <w:szCs w:val="24"/>
        </w:rPr>
        <w:instrText>3,24\\nosupersub{}","plainCitation":"23,24","noteIndex":0},"citationItems":[{"id":703,"uris":["http://zotero.org/groups/2409649/items/K49ST897"],"uri":["http://zotero.org/groups/2409649/items/K49ST897"],"itemData":{"id":703,"type":"article-journal","abstra</w:instrText>
      </w:r>
      <w:r>
        <w:rPr>
          <w:rFonts w:ascii="Arial" w:hAnsi="Arial" w:cs="Arial"/>
          <w:sz w:val="24"/>
          <w:szCs w:val="24"/>
        </w:rPr>
        <w:instrText>ct":"Background\nTotal immunoglobulin E (IgE) is a therapeutic target in allergic diseases. DNA methylation in white blood cells (WBCs) was associated with total IgE in an epigenome-wide association study (EWAS) of Caucasians. Whether DNA methylation of eo</w:instrText>
      </w:r>
      <w:r>
        <w:rPr>
          <w:rFonts w:ascii="Arial" w:hAnsi="Arial" w:cs="Arial"/>
          <w:sz w:val="24"/>
          <w:szCs w:val="24"/>
        </w:rPr>
        <w:instrText>sinophils explains those findings is insufficiently understood.\n\nMethods\nWe tested for association between genome-wide DNA methylation in WBCs and total IgE in two studies of Hispanic children: the Puerto Rico Genetics of Asthma and Lifestyle Study (PR-</w:instrText>
      </w:r>
      <w:r>
        <w:rPr>
          <w:rFonts w:ascii="Arial" w:hAnsi="Arial" w:cs="Arial"/>
          <w:sz w:val="24"/>
          <w:szCs w:val="24"/>
        </w:rPr>
        <w:instrText>GOAL, n = 306) and the Genes-environments and Admixture in Latino Americans (GALA II, n = 573). Whole-genome methylation of DNA from WBCs was measured using the Illumina Infinium HumanMethylation450 BeadChip. Total IgE was measured using the UniCAP 100 sys</w:instrText>
      </w:r>
      <w:r>
        <w:rPr>
          <w:rFonts w:ascii="Arial" w:hAnsi="Arial" w:cs="Arial"/>
          <w:sz w:val="24"/>
          <w:szCs w:val="24"/>
        </w:rPr>
        <w:instrText>tem. In PR-GOAL, WBC types (i.e. neutrophils, eosinophils, basophils, lymphocytes, and monocytes) in peripheral blood were measured using Coulter-Counter techniques. In GALA II, WBC types were imputed. Multivariable linear regression was used for the analy</w:instrText>
      </w:r>
      <w:r>
        <w:rPr>
          <w:rFonts w:ascii="Arial" w:hAnsi="Arial" w:cs="Arial"/>
          <w:sz w:val="24"/>
          <w:szCs w:val="24"/>
        </w:rPr>
        <w:instrText>sis of DNA methylation and total IgE, which was first conducted separately for each cohort, and then combining results from the two cohorts in a meta-analysis.\n\nResults\nCpG sites in multiple genes, including novel findings and results previously reporte</w:instrText>
      </w:r>
      <w:r>
        <w:rPr>
          <w:rFonts w:ascii="Arial" w:hAnsi="Arial" w:cs="Arial"/>
          <w:sz w:val="24"/>
          <w:szCs w:val="24"/>
        </w:rPr>
        <w:instrText>d in Caucasians, were significantly associated with total IgE. However, adjustment for WBC types resulted in markedly fewer significant sites. Top findings from this adjusted meta-analysis were in genes ZFPM1 (P=1.5×10−12), ACOT7 (P=2.5×10−11), and MND1 (P</w:instrText>
      </w:r>
      <w:r>
        <w:rPr>
          <w:rFonts w:ascii="Arial" w:hAnsi="Arial" w:cs="Arial"/>
          <w:sz w:val="24"/>
          <w:szCs w:val="24"/>
        </w:rPr>
        <w:instrText>=1.4×10−9).\n\nConclusions\nIn an EWAS adjusted for WBC types (including eosinophils), methylation changes in genes enriched in pathways relevant to asthma and immune responses were associated with total IgE among Hispanic children.","container-title":"The</w:instrText>
      </w:r>
      <w:r>
        <w:rPr>
          <w:rFonts w:ascii="Arial" w:hAnsi="Arial" w:cs="Arial"/>
          <w:sz w:val="24"/>
          <w:szCs w:val="24"/>
        </w:rPr>
        <w:instrText xml:space="preserve"> Journal of allergy and clinical immunology","DOI":"10.1016/j.jaci.2016.11.030","ISSN":"0091-6749","issue":"2","journalAbbreviation":"J Allergy Clin Immunol","note":"PMID: 28069425\nPMCID: PMC5500449","page":"571-577","source":"PubMed Central","title":"An </w:instrText>
      </w:r>
      <w:r>
        <w:rPr>
          <w:rFonts w:ascii="Arial" w:hAnsi="Arial" w:cs="Arial"/>
          <w:sz w:val="24"/>
          <w:szCs w:val="24"/>
        </w:rPr>
        <w:instrText>epigenome-wide association study of total serum immunoglobulin E in Hispanic children","volume":"140","author":[{"family":"Chen","given":"Wei"},{"family":"Wang","given":"Ting"},{"family":"Pino-Yanes","given":"Maria"},{"family":"Forno","given":"Erick"},{"fa</w:instrText>
      </w:r>
      <w:r>
        <w:rPr>
          <w:rFonts w:ascii="Arial" w:hAnsi="Arial" w:cs="Arial"/>
          <w:sz w:val="24"/>
          <w:szCs w:val="24"/>
        </w:rPr>
        <w:instrText>mily":"Liang","given":"Liming"},{"family":"Yan","given":"Qi"},{"family":"Hu","given":"Donglei"},{"family":"Weeks","given":"Daniel E."},{"family":"Baccarelli","given":"Andrea"},{"family":"Acosta-Perez","given":"Edna"},{"family":"Eng","given":"Celeste"},{"fa</w:instrText>
      </w:r>
      <w:r>
        <w:rPr>
          <w:rFonts w:ascii="Arial" w:hAnsi="Arial" w:cs="Arial"/>
          <w:sz w:val="24"/>
          <w:szCs w:val="24"/>
        </w:rPr>
        <w:instrText>mily":"Han","given":"Yueh-Ying"},{"family":"Boutaoui","given":"Nadia"},{"family":"Laprise","given":"Catherine"},{"family":"Davies","given":"Gwyneth A."},{"family":"Hopkin","given":"Julian M."},{"family":"Moffatt","given":"Miriam F."},{"family":"Cookson","g</w:instrText>
      </w:r>
      <w:r>
        <w:rPr>
          <w:rFonts w:ascii="Arial" w:hAnsi="Arial" w:cs="Arial"/>
          <w:sz w:val="24"/>
          <w:szCs w:val="24"/>
        </w:rPr>
        <w:instrText>iven":"William O.C.M."},{"family":"Canino","given":"Glorisa"},{"family":"Burchard","given":"Esteban G."},{"family":"Celedón","given":"Juan C."}],"issued":{"date-parts":[["2017",8]]}}},{"id":868,"uris":["http://zotero.org/groups/2409649/items/ZZXEI5I9"],"ur</w:instrText>
      </w:r>
      <w:r>
        <w:rPr>
          <w:rFonts w:ascii="Arial" w:hAnsi="Arial" w:cs="Arial"/>
          <w:sz w:val="24"/>
          <w:szCs w:val="24"/>
        </w:rPr>
        <w:instrText>i":["http://zotero.org/groups/2409649/items/ZZXEI5I9"],"itemData":{"id":868,"type":"article-journal","abstract":"BACKGROUND: The presence of allergic sensitization has a major influence on the development and course of common childhood conditions such as a</w:instrText>
      </w:r>
      <w:r>
        <w:rPr>
          <w:rFonts w:ascii="Arial" w:hAnsi="Arial" w:cs="Arial"/>
          <w:sz w:val="24"/>
          <w:szCs w:val="24"/>
        </w:rPr>
        <w:instrText>sthma and rhinitis. The etiology of allergic sensitization is poorly understood, and its underlying biological mechanisms are not well established. Several studies showed that DNA methylation (DNAm) at some CpGs is associated with allergic sensitization. H</w:instrText>
      </w:r>
      <w:r>
        <w:rPr>
          <w:rFonts w:ascii="Arial" w:hAnsi="Arial" w:cs="Arial"/>
          <w:sz w:val="24"/>
          <w:szCs w:val="24"/>
        </w:rPr>
        <w:instrText>owever, no studies have focused on the critical adolescence period.\nMETHODS: We assessed the association of pre- and postadolescence genome-wide DNAm with allergic sensitization against indoor, outdoor and food allergens, using linear mixed models. We hyp</w:instrText>
      </w:r>
      <w:r>
        <w:rPr>
          <w:rFonts w:ascii="Arial" w:hAnsi="Arial" w:cs="Arial"/>
          <w:sz w:val="24"/>
          <w:szCs w:val="24"/>
        </w:rPr>
        <w:instrText>othesized that DNAm is associated with sensitization in general, and with poly-sensitization status, and these associations are age- and gender-specific. We tested these hypotheses in the IoW cohort (n = 376) and examined the findings in the BAMSE cohort (</w:instrText>
      </w:r>
      <w:r>
        <w:rPr>
          <w:rFonts w:ascii="Arial" w:hAnsi="Arial" w:cs="Arial"/>
          <w:sz w:val="24"/>
          <w:szCs w:val="24"/>
        </w:rPr>
        <w:instrText>n = 267).\nRESULTS: Via linear mixed models, we identified 35 CpGs in IoW associated with allergic sensitization (at false discovery rate of 0.05), of which 33 were available in BAMSE and replicated with respect to the direction of associations with allerg</w:instrText>
      </w:r>
      <w:r>
        <w:rPr>
          <w:rFonts w:ascii="Arial" w:hAnsi="Arial" w:cs="Arial"/>
          <w:sz w:val="24"/>
          <w:szCs w:val="24"/>
        </w:rPr>
        <w:instrText>ic sensitization. At the 35 CpGs except for cg19210306 on C13orf27, a reduction in methylation among atopic subjects was observed, most notably for cg21220721 and cg11699125 (ACOT7). DNAm at cg10159529 was strongly correlated with expression of IL5RA in pe</w:instrText>
      </w:r>
      <w:r>
        <w:rPr>
          <w:rFonts w:ascii="Arial" w:hAnsi="Arial" w:cs="Arial"/>
          <w:sz w:val="24"/>
          <w:szCs w:val="24"/>
        </w:rPr>
        <w:instrText>ripheral blood (P-value = 6.76 × 10-20 ). Three CpGs (cg14121142, cg23842695, and cg26496795) were identified in IoW with age-specific association between DNAm and allergic sensitization.\nCONCLUSION: In adolescence, the status of allergic sensitization wa</w:instrText>
      </w:r>
      <w:r>
        <w:rPr>
          <w:rFonts w:ascii="Arial" w:hAnsi="Arial" w:cs="Arial"/>
          <w:sz w:val="24"/>
          <w:szCs w:val="24"/>
        </w:rPr>
        <w:instrText>s associated with DNAm differentiation and at some CpGs the association is likely to be age-specific.","container-title":"Allergy","DOI":"10.1111/all.13746","ISSN":"1398-9995","issue":"6","journalAbbreviation":"Allergy","language":"eng","note":"PMID: 30762</w:instrText>
      </w:r>
      <w:r>
        <w:rPr>
          <w:rFonts w:ascii="Arial" w:hAnsi="Arial" w:cs="Arial"/>
          <w:sz w:val="24"/>
          <w:szCs w:val="24"/>
        </w:rPr>
        <w:instrText>239\nPMCID: PMC6599678","page":"1166-1175","source":"PubMed","title":"DNA methylation and allergic sensitizations: A genome-scale longitudinal study during adolescence","title-short":"DNA methylation and allergic sensitizations","volume":"74","author":[{"f</w:instrText>
      </w:r>
      <w:r>
        <w:rPr>
          <w:rFonts w:ascii="Arial" w:hAnsi="Arial" w:cs="Arial"/>
          <w:sz w:val="24"/>
          <w:szCs w:val="24"/>
        </w:rPr>
        <w:instrText>amily":"Zhang","given":"Hongmei"},{"family":"Kaushal","given":"Akhilesh"},{"family":"Merid","given":"Simon Kebede"},{"family":"Melén","given":"Erik"},{"family":"Pershagen","given":"Göran"},{"family":"Rezwan","given":"Faisal I."},{"family":"Han","given":"Lu</w:instrText>
      </w:r>
      <w:r>
        <w:rPr>
          <w:rFonts w:ascii="Arial" w:hAnsi="Arial" w:cs="Arial"/>
          <w:sz w:val="24"/>
          <w:szCs w:val="24"/>
        </w:rPr>
        <w:instrText>hang"},{"family":"Ewart","given":"Susan"},{"family":"Arshad","given":"S. Hasan"},{"family":"Karmaus","given":"Wilfried"},{"family":"Holloway","given":"John W."}],"issued":{"date-parts":[["2019"]]}}}],"schema":"https://github.com/citation-style-language/sch</w:instrText>
      </w:r>
      <w:r>
        <w:rPr>
          <w:rFonts w:ascii="Arial" w:hAnsi="Arial" w:cs="Arial"/>
          <w:sz w:val="24"/>
          <w:szCs w:val="24"/>
        </w:rPr>
        <w:instrText xml:space="preserve">ema/raw/master/csl-citation.json"} </w:instrText>
      </w:r>
      <w:r>
        <w:rPr>
          <w:rFonts w:ascii="Arial" w:hAnsi="Arial" w:cs="Arial"/>
          <w:sz w:val="24"/>
          <w:szCs w:val="24"/>
        </w:rPr>
        <w:fldChar w:fldCharType="separate"/>
      </w:r>
      <w:r>
        <w:rPr>
          <w:rFonts w:ascii="Arial" w:hAnsi="Arial" w:cs="Arial"/>
          <w:sz w:val="24"/>
          <w:szCs w:val="24"/>
          <w:vertAlign w:val="superscript"/>
        </w:rPr>
        <w:t>23,24</w:t>
      </w:r>
      <w:r>
        <w:rPr>
          <w:rFonts w:ascii="Arial" w:hAnsi="Arial" w:cs="Arial"/>
          <w:sz w:val="24"/>
          <w:szCs w:val="24"/>
        </w:rPr>
        <w:fldChar w:fldCharType="end"/>
      </w:r>
      <w:r>
        <w:rPr>
          <w:rFonts w:ascii="Arial" w:hAnsi="Arial" w:cs="Arial"/>
          <w:sz w:val="24"/>
          <w:szCs w:val="24"/>
        </w:rPr>
        <w:t xml:space="preserve">. </w:t>
      </w:r>
    </w:p>
    <w:p w:rsidR="00C917BA" w:rsidRDefault="000020C2">
      <w:pPr>
        <w:spacing w:line="480" w:lineRule="auto"/>
        <w:rPr>
          <w:rFonts w:ascii="Arial" w:hAnsi="Arial" w:cs="Arial"/>
        </w:rPr>
      </w:pPr>
      <w:r>
        <w:rPr>
          <w:rFonts w:ascii="Arial" w:hAnsi="Arial" w:cs="Arial"/>
          <w:sz w:val="24"/>
          <w:szCs w:val="24"/>
        </w:rPr>
        <w:t xml:space="preserve">In a next step, co-methylated regions were calculated for the LISA study according to the publication for the </w:t>
      </w:r>
      <w:proofErr w:type="spellStart"/>
      <w:r>
        <w:rPr>
          <w:rFonts w:ascii="Arial" w:hAnsi="Arial" w:cs="Arial"/>
          <w:sz w:val="24"/>
          <w:szCs w:val="24"/>
        </w:rPr>
        <w:t>CoMeBack</w:t>
      </w:r>
      <w:proofErr w:type="spellEnd"/>
      <w:r>
        <w:rPr>
          <w:rFonts w:ascii="Arial" w:hAnsi="Arial" w:cs="Arial"/>
          <w:sz w:val="24"/>
          <w:szCs w:val="24"/>
        </w:rPr>
        <w:t xml:space="preserve"> method</w:t>
      </w:r>
      <w:r>
        <w:rPr>
          <w:rFonts w:ascii="Arial" w:hAnsi="Arial" w:cs="Arial"/>
          <w:sz w:val="24"/>
          <w:szCs w:val="24"/>
        </w:rPr>
        <w:fldChar w:fldCharType="begin"/>
      </w:r>
      <w:r>
        <w:rPr>
          <w:rFonts w:ascii="Arial" w:hAnsi="Arial" w:cs="Arial"/>
          <w:sz w:val="24"/>
          <w:szCs w:val="24"/>
        </w:rPr>
        <w:instrText xml:space="preserve"> ADDIN ZOTERO_ITEM CSL_CITATION {"citationID":"iEOs08Fm","properties":{"formattedCita</w:instrText>
      </w:r>
      <w:r>
        <w:rPr>
          <w:rFonts w:ascii="Arial" w:hAnsi="Arial" w:cs="Arial"/>
          <w:sz w:val="24"/>
          <w:szCs w:val="24"/>
        </w:rPr>
        <w:instrText>tion":"\\super 25\\nosupersub{}","plainCitation":"25","noteIndex":0},"citationItems":[{"id":1566,"uris":["http://zotero.org/groups/2409649/items/TJWDCYIE"],"uri":["http://zotero.org/groups/2409649/items/TJWDCYIE"],"itemData":{"id":1566,"type":"article-jour</w:instrText>
      </w:r>
      <w:r>
        <w:rPr>
          <w:rFonts w:ascii="Arial" w:hAnsi="Arial" w:cs="Arial"/>
          <w:sz w:val="24"/>
          <w:szCs w:val="24"/>
        </w:rPr>
        <w:instrText xml:space="preserve">nal","abstract":"MOTIVATION: High-dimensional DNA methylation (DNAm) array coverage, while sparse in the context of the entire DNA methylome, still constitutes a very large number of CpG probes. The ensuing multiple-test corrections affect the statistical </w:instrText>
      </w:r>
      <w:r>
        <w:rPr>
          <w:rFonts w:ascii="Arial" w:hAnsi="Arial" w:cs="Arial"/>
          <w:sz w:val="24"/>
          <w:szCs w:val="24"/>
        </w:rPr>
        <w:instrText>power to detect associations, likely contributing to prevalent limited reproducibility. Array probes measuring proximal CpG sites often have correlated levels of DNAm that may not only be biologically meaningful but also imply statistical dependence and re</w:instrText>
      </w:r>
      <w:r>
        <w:rPr>
          <w:rFonts w:ascii="Arial" w:hAnsi="Arial" w:cs="Arial"/>
          <w:sz w:val="24"/>
          <w:szCs w:val="24"/>
        </w:rPr>
        <w:instrText>dundancy. New methods that account for such correlations between adjacent probes may enable improved specificity, discovery and interpretation of statistical associations in DNAm array data.\nRESULTS: We developed a method named Co-Methylation with genomic</w:instrText>
      </w:r>
      <w:r>
        <w:rPr>
          <w:rFonts w:ascii="Arial" w:hAnsi="Arial" w:cs="Arial"/>
          <w:sz w:val="24"/>
          <w:szCs w:val="24"/>
        </w:rPr>
        <w:instrText xml:space="preserve"> CpG Background (CoMeBack) that estimates DNA co-methylation, defined as proximal CpG probes with correlated DNAm across individuals. CoMeBack outputs co-methylated regions (CMRs), spanning sets of array probes constructed based on all genomic CpG sites, i</w:instrText>
      </w:r>
      <w:r>
        <w:rPr>
          <w:rFonts w:ascii="Arial" w:hAnsi="Arial" w:cs="Arial"/>
          <w:sz w:val="24"/>
          <w:szCs w:val="24"/>
        </w:rPr>
        <w:instrText>ncluding those not measured on the array, and without any phenotypic variable inputs. This approach can reduce the multiple-test correction burden, while enhancing the discovery and specificity of statistical associations. We constructed and validated CMRs</w:instrText>
      </w:r>
      <w:r>
        <w:rPr>
          <w:rFonts w:ascii="Arial" w:hAnsi="Arial" w:cs="Arial"/>
          <w:sz w:val="24"/>
          <w:szCs w:val="24"/>
        </w:rPr>
        <w:instrText xml:space="preserve"> in whole blood, using publicly available Illumina Infinium 450 K array data from over 5000 individuals. These CMRs were enriched for enhancer chromatin states, and binding site motifs for several transcription factors involved in blood physiology. We illu</w:instrText>
      </w:r>
      <w:r>
        <w:rPr>
          <w:rFonts w:ascii="Arial" w:hAnsi="Arial" w:cs="Arial"/>
          <w:sz w:val="24"/>
          <w:szCs w:val="24"/>
        </w:rPr>
        <w:instrText>strated how CMR-based epigenome-wide association studies can improve discovery and reduce false positives for associations with chronological age.\nAVAILABILITY AND IMPLEMENTATION: https://bitbucket.org/flopflip/comeback.\nSUPPLEMENTARY INFORMATION: Supple</w:instrText>
      </w:r>
      <w:r>
        <w:rPr>
          <w:rFonts w:ascii="Arial" w:hAnsi="Arial" w:cs="Arial"/>
          <w:sz w:val="24"/>
          <w:szCs w:val="24"/>
        </w:rPr>
        <w:instrText>mentary data are available at Bioinformatics online.","container-title":"Bioinformatics (Oxford, England)","DOI":"10.1093/bioinformatics/btaa049","ISSN":"1367-4811","issue":"9","journalAbbreviation":"Bioinformatics","language":"eng","note":"PMID: 31985744"</w:instrText>
      </w:r>
      <w:r>
        <w:rPr>
          <w:rFonts w:ascii="Arial" w:hAnsi="Arial" w:cs="Arial"/>
          <w:sz w:val="24"/>
          <w:szCs w:val="24"/>
        </w:rPr>
        <w:instrText>,"page":"2675-2683","source":"PubMed","title":"CoMeBack: DNA methylation array data analysis for co-methylated regions","title-short":"CoMeBack","volume":"36","author":[{"family":"Gatev","given":"Evan"},{"family":"Gladish","given":"Nicole"},{"family":"Most</w:instrText>
      </w:r>
      <w:r>
        <w:rPr>
          <w:rFonts w:ascii="Arial" w:hAnsi="Arial" w:cs="Arial"/>
          <w:sz w:val="24"/>
          <w:szCs w:val="24"/>
        </w:rPr>
        <w:instrText xml:space="preserve">afavi","given":"Sara"},{"family":"Kobor","given":"Michael S."}],"issued":{"date-parts":[["2020",5,1]]}}}],"schema":"https://github.com/citation-style-language/schema/raw/master/csl-citation.json"} </w:instrText>
      </w:r>
      <w:r>
        <w:rPr>
          <w:rFonts w:ascii="Arial" w:hAnsi="Arial" w:cs="Arial"/>
          <w:sz w:val="24"/>
          <w:szCs w:val="24"/>
        </w:rPr>
        <w:fldChar w:fldCharType="separate"/>
      </w:r>
      <w:r>
        <w:rPr>
          <w:rFonts w:ascii="Arial" w:hAnsi="Arial" w:cs="Arial"/>
          <w:sz w:val="24"/>
          <w:szCs w:val="24"/>
          <w:vertAlign w:val="superscript"/>
        </w:rPr>
        <w:t>25</w:t>
      </w:r>
      <w:r>
        <w:rPr>
          <w:rFonts w:ascii="Arial" w:hAnsi="Arial" w:cs="Arial"/>
          <w:sz w:val="24"/>
          <w:szCs w:val="24"/>
        </w:rPr>
        <w:fldChar w:fldCharType="end"/>
      </w:r>
      <w:r>
        <w:rPr>
          <w:rFonts w:ascii="Arial" w:hAnsi="Arial" w:cs="Arial"/>
          <w:sz w:val="24"/>
          <w:szCs w:val="24"/>
        </w:rPr>
        <w:t>. Namely, we adjusted beta-values for cell type propor</w:t>
      </w:r>
      <w:r>
        <w:rPr>
          <w:rFonts w:ascii="Arial" w:hAnsi="Arial" w:cs="Arial"/>
          <w:sz w:val="24"/>
          <w:szCs w:val="24"/>
        </w:rPr>
        <w:t>tions estimated with the Houseman method</w:t>
      </w:r>
      <w:r>
        <w:rPr>
          <w:rFonts w:ascii="Arial" w:hAnsi="Arial" w:cs="Arial"/>
          <w:sz w:val="24"/>
          <w:szCs w:val="24"/>
        </w:rPr>
        <w:fldChar w:fldCharType="begin"/>
      </w:r>
      <w:r>
        <w:rPr>
          <w:rFonts w:ascii="Arial" w:hAnsi="Arial" w:cs="Arial"/>
          <w:sz w:val="24"/>
          <w:szCs w:val="24"/>
        </w:rPr>
        <w:instrText xml:space="preserve"> ADDIN ZOTERO_ITEM CSL_CITATION {"citationID":"34cD3E0i","properties":{"formattedCitation":"\\super 18\\nosupersub{}","plainCitation":"18","noteIndex":0},"citationItems":[{"id":674,"uris":["http://zotero.org/groups/2</w:instrText>
      </w:r>
      <w:r>
        <w:rPr>
          <w:rFonts w:ascii="Arial" w:hAnsi="Arial" w:cs="Arial"/>
          <w:sz w:val="24"/>
          <w:szCs w:val="24"/>
        </w:rPr>
        <w:instrText>409649/items/VDDFB6CU"],"uri":["http://zotero.org/groups/2409649/items/VDDFB6CU"],"itemData":{"id":674,"type":"article-journal","abstract":"Background\nThere has been a long-standing need in biomedical research for a method that quantifies the normally mix</w:instrText>
      </w:r>
      <w:r>
        <w:rPr>
          <w:rFonts w:ascii="Arial" w:hAnsi="Arial" w:cs="Arial"/>
          <w:sz w:val="24"/>
          <w:szCs w:val="24"/>
        </w:rPr>
        <w:instrText>ed composition of leukocytes beyond what is possible by simple histological or flow cytometric assessments. The latter is restricted by the labile nature of protein epitopes, requirements for cell processing, and timely cell analysis. In a diverse array of</w:instrText>
      </w:r>
      <w:r>
        <w:rPr>
          <w:rFonts w:ascii="Arial" w:hAnsi="Arial" w:cs="Arial"/>
          <w:sz w:val="24"/>
          <w:szCs w:val="24"/>
        </w:rPr>
        <w:instrText xml:space="preserve"> diseases and following numerous immune-toxic exposures, leukocyte composition will critically inform the underlying immuno-biology to most chronic medical conditions. Emerging research demonstrates that DNA methylation is responsible for cellular differen</w:instrText>
      </w:r>
      <w:r>
        <w:rPr>
          <w:rFonts w:ascii="Arial" w:hAnsi="Arial" w:cs="Arial"/>
          <w:sz w:val="24"/>
          <w:szCs w:val="24"/>
        </w:rPr>
        <w:instrText>tiation, and when measured in whole peripheral blood, serves to distinguish cancer cases from controls.\n\nResults\nHere we present a method, similar to regression calibration, for inferring changes in the distribution of white blood cells between differen</w:instrText>
      </w:r>
      <w:r>
        <w:rPr>
          <w:rFonts w:ascii="Arial" w:hAnsi="Arial" w:cs="Arial"/>
          <w:sz w:val="24"/>
          <w:szCs w:val="24"/>
        </w:rPr>
        <w:instrText>t subpopulations (e.g. cases and controls) using DNA methylation signatures, in combination with a previously obtained external validation set consisting of signatures from purified leukocyte samples. We validate the fundamental idea in a cell mixture reco</w:instrText>
      </w:r>
      <w:r>
        <w:rPr>
          <w:rFonts w:ascii="Arial" w:hAnsi="Arial" w:cs="Arial"/>
          <w:sz w:val="24"/>
          <w:szCs w:val="24"/>
        </w:rPr>
        <w:instrText>nstruction experiment, then demonstrate our method on DNA methylation data sets from several studies, including data from a Head and Neck Squamous Cell Carcinoma (HNSCC) study and an ovarian cancer study. Our method produces results consistent with prior b</w:instrText>
      </w:r>
      <w:r>
        <w:rPr>
          <w:rFonts w:ascii="Arial" w:hAnsi="Arial" w:cs="Arial"/>
          <w:sz w:val="24"/>
          <w:szCs w:val="24"/>
        </w:rPr>
        <w:instrText>iological findings, thereby validating the approach.\n\nConclusions\nOur method, in combination with an appropriate external validation set, promises new opportunities for large-scale immunological studies of both disease states and noxious exposures.","co</w:instrText>
      </w:r>
      <w:r>
        <w:rPr>
          <w:rFonts w:ascii="Arial" w:hAnsi="Arial" w:cs="Arial"/>
          <w:sz w:val="24"/>
          <w:szCs w:val="24"/>
        </w:rPr>
        <w:instrText xml:space="preserve">ntainer-title":"BMC Bioinformatics","DOI":"10.1186/1471-2105-13-86","ISSN":"1471-2105","journalAbbreviation":"BMC Bioinformatics","note":"PMID: 22568884\nPMCID: PMC3532182","page":"86","source":"PubMed Central","title":"DNA methylation arrays as surrogate </w:instrText>
      </w:r>
      <w:r>
        <w:rPr>
          <w:rFonts w:ascii="Arial" w:hAnsi="Arial" w:cs="Arial"/>
          <w:sz w:val="24"/>
          <w:szCs w:val="24"/>
        </w:rPr>
        <w:instrText>measures of cell mixture distribution","volume":"13","author":[{"family":"Houseman","given":"Eugene Andres"},{"family":"Accomando","given":"William P"},{"family":"Koestler","given":"Devin C"},{"family":"Christensen","given":"Brock C"},{"family":"Marsit","g</w:instrText>
      </w:r>
      <w:r>
        <w:rPr>
          <w:rFonts w:ascii="Arial" w:hAnsi="Arial" w:cs="Arial"/>
          <w:sz w:val="24"/>
          <w:szCs w:val="24"/>
        </w:rPr>
        <w:instrText>iven":"Carmen J"},{"family":"Nelson","given":"Heather H"},{"family":"Wiencke","given":"John K"},{"family":"Kelsey","given":"Karl T"}],"issued":{"date-parts":[["2012",5,8]]}}}],"schema":"https://github.com/citation-style-language/schema/raw/master/csl-citat</w:instrText>
      </w:r>
      <w:r>
        <w:rPr>
          <w:rFonts w:ascii="Arial" w:hAnsi="Arial" w:cs="Arial"/>
          <w:sz w:val="24"/>
          <w:szCs w:val="24"/>
        </w:rPr>
        <w:instrText xml:space="preserve">ion.json"} </w:instrText>
      </w:r>
      <w:r>
        <w:rPr>
          <w:rFonts w:ascii="Arial" w:hAnsi="Arial" w:cs="Arial"/>
          <w:sz w:val="24"/>
          <w:szCs w:val="24"/>
        </w:rPr>
        <w:fldChar w:fldCharType="separate"/>
      </w:r>
      <w:r>
        <w:rPr>
          <w:rFonts w:ascii="Arial" w:hAnsi="Arial" w:cs="Arial"/>
          <w:sz w:val="24"/>
          <w:szCs w:val="24"/>
          <w:vertAlign w:val="superscript"/>
        </w:rPr>
        <w:t>18</w:t>
      </w:r>
      <w:r>
        <w:rPr>
          <w:rFonts w:ascii="Arial" w:hAnsi="Arial" w:cs="Arial"/>
          <w:sz w:val="24"/>
          <w:szCs w:val="24"/>
        </w:rPr>
        <w:fldChar w:fldCharType="end"/>
      </w:r>
      <w:r>
        <w:rPr>
          <w:rFonts w:ascii="Arial" w:hAnsi="Arial" w:cs="Arial"/>
          <w:sz w:val="24"/>
          <w:szCs w:val="24"/>
        </w:rPr>
        <w:t xml:space="preserve"> and used the residuals to calculate correlated CpGs within a 2 kb proximity window.</w:t>
      </w:r>
    </w:p>
    <w:p w:rsidR="00C917BA" w:rsidRDefault="000020C2">
      <w:pPr>
        <w:spacing w:line="480" w:lineRule="auto"/>
        <w:rPr>
          <w:rFonts w:ascii="Arial" w:hAnsi="Arial" w:cs="Arial"/>
        </w:rPr>
      </w:pPr>
      <w:r>
        <w:rPr>
          <w:rFonts w:ascii="Arial" w:hAnsi="Arial" w:cs="Arial"/>
          <w:sz w:val="24"/>
          <w:szCs w:val="24"/>
        </w:rPr>
        <w:t>MRS were calculated for several p-value thresholds ranging from the 0.1 to the lowest available p-value per EWAS following the magnitude of 10 (1x10</w:t>
      </w:r>
      <w:r>
        <w:rPr>
          <w:rFonts w:ascii="Arial" w:hAnsi="Arial" w:cs="Arial"/>
          <w:sz w:val="24"/>
          <w:szCs w:val="24"/>
          <w:vertAlign w:val="superscript"/>
        </w:rPr>
        <w:t>-1</w:t>
      </w:r>
      <w:r>
        <w:rPr>
          <w:rFonts w:ascii="Arial" w:hAnsi="Arial" w:cs="Arial"/>
          <w:sz w:val="24"/>
          <w:szCs w:val="24"/>
        </w:rPr>
        <w:t xml:space="preserve"> to 1</w:t>
      </w:r>
      <w:r>
        <w:rPr>
          <w:rFonts w:ascii="Arial" w:hAnsi="Arial" w:cs="Arial"/>
          <w:sz w:val="24"/>
          <w:szCs w:val="24"/>
        </w:rPr>
        <w:t>x10</w:t>
      </w:r>
      <w:r>
        <w:rPr>
          <w:rFonts w:ascii="Arial" w:hAnsi="Arial" w:cs="Arial"/>
          <w:sz w:val="24"/>
          <w:szCs w:val="24"/>
          <w:vertAlign w:val="superscript"/>
        </w:rPr>
        <w:t>-x</w:t>
      </w:r>
      <w:r>
        <w:rPr>
          <w:rFonts w:ascii="Arial" w:hAnsi="Arial" w:cs="Arial"/>
          <w:sz w:val="24"/>
          <w:szCs w:val="24"/>
        </w:rPr>
        <w:t xml:space="preserve">). Each </w:t>
      </w:r>
      <w:proofErr w:type="spellStart"/>
      <w:r>
        <w:rPr>
          <w:rFonts w:ascii="Arial" w:hAnsi="Arial" w:cs="Arial"/>
          <w:sz w:val="24"/>
          <w:szCs w:val="24"/>
        </w:rPr>
        <w:t>resultsing</w:t>
      </w:r>
      <w:proofErr w:type="spellEnd"/>
      <w:r>
        <w:rPr>
          <w:rFonts w:ascii="Arial" w:hAnsi="Arial" w:cs="Arial"/>
          <w:sz w:val="24"/>
          <w:szCs w:val="24"/>
        </w:rPr>
        <w:t xml:space="preserve"> MRS was calculated in three steps: 1) CpGs were filtered for the respective p-value (=”thresholding”); 2) Remaining </w:t>
      </w:r>
      <w:proofErr w:type="spellStart"/>
      <w:r>
        <w:rPr>
          <w:rFonts w:ascii="Arial" w:hAnsi="Arial" w:cs="Arial"/>
          <w:sz w:val="24"/>
          <w:szCs w:val="24"/>
        </w:rPr>
        <w:t>CpGs</w:t>
      </w:r>
      <w:proofErr w:type="spellEnd"/>
      <w:r>
        <w:rPr>
          <w:rFonts w:ascii="Arial" w:hAnsi="Arial" w:cs="Arial"/>
          <w:sz w:val="24"/>
          <w:szCs w:val="24"/>
        </w:rPr>
        <w:t xml:space="preserve"> were joined to the co-methylated regions and in a cluster only the CpG with the lowest p-value remained (=”clum</w:t>
      </w:r>
      <w:r>
        <w:rPr>
          <w:rFonts w:ascii="Arial" w:hAnsi="Arial" w:cs="Arial"/>
          <w:sz w:val="24"/>
          <w:szCs w:val="24"/>
        </w:rPr>
        <w:t xml:space="preserve">ping”); 3) CpG beta-values were multiplied with the EWAS effect estimate and summed up over all included CpGs. </w:t>
      </w:r>
    </w:p>
    <w:p w:rsidR="00C917BA" w:rsidRDefault="000020C2">
      <w:pPr>
        <w:spacing w:line="480" w:lineRule="auto"/>
      </w:pPr>
      <w:r>
        <w:rPr>
          <w:rFonts w:ascii="Arial" w:hAnsi="Arial" w:cs="Arial"/>
          <w:sz w:val="24"/>
          <w:szCs w:val="24"/>
        </w:rPr>
        <w:t>To adjust for differently scaled phenotypes in original EWAS, all MRS were transformed to z-scores.</w:t>
      </w:r>
    </w:p>
    <w:p w:rsidR="00C917BA" w:rsidRDefault="00C917BA"/>
    <w:p w:rsidR="00C917BA" w:rsidRDefault="000020C2">
      <w:pPr>
        <w:pStyle w:val="Heading2"/>
        <w:rPr>
          <w:rFonts w:ascii="Arial" w:hAnsi="Arial" w:cs="Arial"/>
          <w:sz w:val="24"/>
        </w:rPr>
      </w:pPr>
      <w:r>
        <w:rPr>
          <w:rFonts w:ascii="Arial" w:hAnsi="Arial" w:cs="Arial"/>
          <w:sz w:val="24"/>
        </w:rPr>
        <w:br w:type="page"/>
      </w:r>
    </w:p>
    <w:p w:rsidR="00C917BA" w:rsidRDefault="000020C2">
      <w:pPr>
        <w:pStyle w:val="Heading3"/>
        <w:spacing w:line="480" w:lineRule="auto"/>
        <w:rPr>
          <w:rFonts w:ascii="Arial" w:hAnsi="Arial" w:cs="Arial"/>
          <w:color w:val="2E74B5" w:themeColor="accent1" w:themeShade="BF"/>
          <w:szCs w:val="26"/>
        </w:rPr>
      </w:pPr>
      <w:r>
        <w:rPr>
          <w:rFonts w:ascii="Arial" w:hAnsi="Arial" w:cs="Arial"/>
          <w:color w:val="2E74B5" w:themeColor="accent1" w:themeShade="BF"/>
          <w:szCs w:val="26"/>
        </w:rPr>
        <w:t>Table S1</w:t>
      </w:r>
    </w:p>
    <w:p w:rsidR="00C917BA" w:rsidRDefault="000020C2">
      <w:r>
        <w:t>Table of common determinants for allergic diseases. Table S1 provides information on determinants, which were used for comparing their performance to introduced MRS. A definition, as used in the LISA study, and reference publications, which investigated th</w:t>
      </w:r>
      <w:r>
        <w:t>eir influence in the context of allergic diseases or lung function, are presented.</w:t>
      </w:r>
    </w:p>
    <w:tbl>
      <w:tblPr>
        <w:tblStyle w:val="TableGrid"/>
        <w:tblW w:w="0" w:type="auto"/>
        <w:tblLook w:val="04A0" w:firstRow="1" w:lastRow="0" w:firstColumn="1" w:lastColumn="0" w:noHBand="0" w:noVBand="1"/>
      </w:tblPr>
      <w:tblGrid>
        <w:gridCol w:w="1623"/>
        <w:gridCol w:w="5485"/>
        <w:gridCol w:w="2242"/>
      </w:tblGrid>
      <w:tr w:rsidR="00C917BA">
        <w:tc>
          <w:tcPr>
            <w:tcW w:w="1623" w:type="dxa"/>
          </w:tcPr>
          <w:p w:rsidR="00C917BA" w:rsidRDefault="000020C2">
            <w:pPr>
              <w:rPr>
                <w:rFonts w:ascii="Arial" w:hAnsi="Arial" w:cs="Arial"/>
                <w:b/>
              </w:rPr>
            </w:pPr>
            <w:r>
              <w:rPr>
                <w:rFonts w:ascii="Arial" w:hAnsi="Arial" w:cs="Arial"/>
                <w:b/>
              </w:rPr>
              <w:t>Variable</w:t>
            </w:r>
          </w:p>
        </w:tc>
        <w:tc>
          <w:tcPr>
            <w:tcW w:w="5485" w:type="dxa"/>
          </w:tcPr>
          <w:p w:rsidR="00C917BA" w:rsidRDefault="000020C2">
            <w:pPr>
              <w:rPr>
                <w:rFonts w:ascii="Arial" w:hAnsi="Arial" w:cs="Arial"/>
                <w:b/>
              </w:rPr>
            </w:pPr>
            <w:r>
              <w:rPr>
                <w:rFonts w:ascii="Arial" w:hAnsi="Arial" w:cs="Arial"/>
                <w:b/>
              </w:rPr>
              <w:t>Definition</w:t>
            </w:r>
          </w:p>
        </w:tc>
        <w:tc>
          <w:tcPr>
            <w:tcW w:w="2242" w:type="dxa"/>
          </w:tcPr>
          <w:p w:rsidR="00C917BA" w:rsidRDefault="000020C2">
            <w:pPr>
              <w:rPr>
                <w:rFonts w:ascii="Arial" w:hAnsi="Arial" w:cs="Arial"/>
                <w:b/>
              </w:rPr>
            </w:pPr>
            <w:r>
              <w:rPr>
                <w:rFonts w:ascii="Arial" w:hAnsi="Arial" w:cs="Arial"/>
                <w:b/>
              </w:rPr>
              <w:t>Reference publication:</w:t>
            </w:r>
          </w:p>
        </w:tc>
      </w:tr>
      <w:tr w:rsidR="00C917BA">
        <w:tc>
          <w:tcPr>
            <w:tcW w:w="1623" w:type="dxa"/>
          </w:tcPr>
          <w:p w:rsidR="00C917BA" w:rsidRDefault="000020C2">
            <w:pPr>
              <w:rPr>
                <w:rFonts w:ascii="Arial" w:hAnsi="Arial" w:cs="Arial"/>
              </w:rPr>
            </w:pPr>
            <w:r>
              <w:rPr>
                <w:rFonts w:ascii="Arial" w:hAnsi="Arial" w:cs="Arial"/>
              </w:rPr>
              <w:t>Family history of allergic disease</w:t>
            </w:r>
          </w:p>
        </w:tc>
        <w:tc>
          <w:tcPr>
            <w:tcW w:w="5485" w:type="dxa"/>
          </w:tcPr>
          <w:p w:rsidR="00C917BA" w:rsidRDefault="000020C2">
            <w:pPr>
              <w:rPr>
                <w:rFonts w:ascii="Arial" w:hAnsi="Arial" w:cs="Arial"/>
              </w:rPr>
            </w:pPr>
            <w:r>
              <w:rPr>
                <w:rFonts w:ascii="Arial" w:hAnsi="Arial" w:cs="Arial"/>
              </w:rPr>
              <w:t xml:space="preserve">Asthma, atopic dermatitis or hay fever ever reported for none, one or both biological parents </w:t>
            </w:r>
            <w:r>
              <w:rPr>
                <w:rFonts w:ascii="Arial" w:hAnsi="Arial" w:cs="Arial"/>
              </w:rPr>
              <w:t>(no=0/ one parent=1/ both parents=2)</w:t>
            </w:r>
          </w:p>
        </w:tc>
        <w:tc>
          <w:tcPr>
            <w:tcW w:w="2242" w:type="dxa"/>
          </w:tcPr>
          <w:p w:rsidR="00C917BA" w:rsidRDefault="000020C2">
            <w:pPr>
              <w:rPr>
                <w:rFonts w:ascii="Arial" w:hAnsi="Arial" w:cs="Arial"/>
              </w:rPr>
            </w:pPr>
            <w:r>
              <w:rPr>
                <w:rFonts w:ascii="Arial" w:hAnsi="Arial" w:cs="Arial"/>
              </w:rPr>
              <w:t>Hu 2019</w:t>
            </w:r>
            <w:r>
              <w:rPr>
                <w:rFonts w:ascii="Arial" w:hAnsi="Arial" w:cs="Arial"/>
              </w:rPr>
              <w:fldChar w:fldCharType="begin"/>
            </w:r>
            <w:r>
              <w:rPr>
                <w:rFonts w:ascii="Arial" w:hAnsi="Arial" w:cs="Arial"/>
              </w:rPr>
              <w:instrText xml:space="preserve"> ADDIN ZOTERO_ITEM CSL_CITATION {"citationID":"apLOnnWO","properties":{"formattedCitation":"\\super 2\\nosupersub{}","plainCitation":"2","noteIndex":0},"citationItems":[{"id":451,"uris":["http://zotero.org/groups</w:instrText>
            </w:r>
            <w:r>
              <w:rPr>
                <w:rFonts w:ascii="Arial" w:hAnsi="Arial" w:cs="Arial"/>
              </w:rPr>
              <w:instrText xml:space="preserve">/2409646/items/MYK7B8T9"],"uri":["http://zotero.org/groups/2409646/items/MYK7B8T9"],"itemData":{"id":451,"type":"article-journal","abstract":"Background Childhood eczema is variable in onset and persistence. Objectives To identify eczema phenotypes during </w:instrText>
            </w:r>
            <w:r>
              <w:rPr>
                <w:rFonts w:ascii="Arial" w:hAnsi="Arial" w:cs="Arial"/>
              </w:rPr>
              <w:instrText>childhood, and their associations with early-life environmental and genetic factors. Methods In this study of 5297 children from a multiethnic population-based prospective cohort study, phenotypes based on parent-reported physician-diagnosed eczema from ag</w:instrText>
            </w:r>
            <w:r>
              <w:rPr>
                <w:rFonts w:ascii="Arial" w:hAnsi="Arial" w:cs="Arial"/>
              </w:rPr>
              <w:instrText xml:space="preserve">e 6 months to 10 years were identified using latent class growth analysis. Information on environmental factors was obtained using postal questionnaires. Four filaggrin mutations were genotyped and a risk score was calculated based on 30 genetic variants. </w:instrText>
            </w:r>
            <w:r>
              <w:rPr>
                <w:rFonts w:ascii="Arial" w:hAnsi="Arial" w:cs="Arial"/>
              </w:rPr>
              <w:instrText>Weighted adjusted multinomial models were used for association analyses. Results We identified the following five eczema phenotypes: never (76%), early transient (8%), mid-transient (6%) and late transient (8%) and persistent eczema (2%). Early transient a</w:instrText>
            </w:r>
            <w:r>
              <w:rPr>
                <w:rFonts w:ascii="Arial" w:hAnsi="Arial" w:cs="Arial"/>
              </w:rPr>
              <w:instrText>nd persistent eczema were most common in first-born children, those with a parental history of eczema, allergy or asthma and those with persistent wheezing [range of odds ratio (OR): 1.37, 95% confidence interval (CI) 1.07–1.74 and OR 3.38, 95%CI 1.95–5.85</w:instrText>
            </w:r>
            <w:r>
              <w:rPr>
                <w:rFonts w:ascii="Arial" w:hAnsi="Arial" w:cs="Arial"/>
              </w:rPr>
              <w:instrText>]. Early transient eczema was most common in male children only (OR 1·49, 95% CI 1·18–1·89). Children with late transient or persistent eczema were more often of Asian ethnicity (OR 2·04, 95% CI 1·14–3·65 and OR 3·08, 95% CI 1·34–7·10, respectively). Child</w:instrText>
            </w:r>
            <w:r>
              <w:rPr>
                <w:rFonts w:ascii="Arial" w:hAnsi="Arial" w:cs="Arial"/>
              </w:rPr>
              <w:instrText>ren with early, late transient and persistent eczema more often had a filaggrin mutation or additional risk alleles (range OR: 1.07, 95%CI 1.02–1.12 and OR 2.21, 95%CI 1.39–3.50). Eczema phenotypes were not associated with maternal education, breastfeeding</w:instrText>
            </w:r>
            <w:r>
              <w:rPr>
                <w:rFonts w:ascii="Arial" w:hAnsi="Arial" w:cs="Arial"/>
              </w:rPr>
              <w:instrText>, day care attendance and pet exposure. Conclusions Five eczema phenotypes were identified in a multiethnic paediatric population with limited differences in risk profiles, except for sex and ethnicity. What's already known about this topic? Two previous s</w:instrText>
            </w:r>
            <w:r>
              <w:rPr>
                <w:rFonts w:ascii="Arial" w:hAnsi="Arial" w:cs="Arial"/>
              </w:rPr>
              <w:instrText xml:space="preserve">tudies in longitudinal birth cohorts identified four and six different eczema phenotypes, predominantly in children of European ethnicity. What does this study add? Five eczema phenotypes were identified in a multiethnic paediatric population using latent </w:instrText>
            </w:r>
            <w:r>
              <w:rPr>
                <w:rFonts w:ascii="Arial" w:hAnsi="Arial" w:cs="Arial"/>
              </w:rPr>
              <w:instrText>class growth analysis. Children with early transient and persistent eczema were most often first-born children and had persistent wheezing, filaggrin mutation or additional risk alleles. Previously known eczema risk factors had limited differentiating capa</w:instrText>
            </w:r>
            <w:r>
              <w:rPr>
                <w:rFonts w:ascii="Arial" w:hAnsi="Arial" w:cs="Arial"/>
              </w:rPr>
              <w:instrText>bilities for eczema phenotypes, except for the association of early transient eczema with male children, and late transient and persistent eczema with Asian ethnicity.","container-title":"British Journal of Dermatology","DOI":"10.1111/bjd.17879","ISSN":"13</w:instrText>
            </w:r>
            <w:r>
              <w:rPr>
                <w:rFonts w:ascii="Arial" w:hAnsi="Arial" w:cs="Arial"/>
              </w:rPr>
              <w:instrText>65-2133","issue":"6","language":"en","note":"_eprint: https://onlinelibrary.wiley.com/doi/pdf/10.1111/bjd.17879","page":"1190-1197","source":"Wiley Online Library","title":"Most associations of early-life environmental exposures and genetic risk factors po</w:instrText>
            </w:r>
            <w:r>
              <w:rPr>
                <w:rFonts w:ascii="Arial" w:hAnsi="Arial" w:cs="Arial"/>
              </w:rPr>
              <w:instrText>orly differentiate between eczema phenotypes: the Generation R Study","title-short":"Most associations of early-life environmental exposures and genetic risk factors poorly differentiate between eczema phenotypes","volume":"181","author":[{"family":"Hu","g</w:instrText>
            </w:r>
            <w:r>
              <w:rPr>
                <w:rFonts w:ascii="Arial" w:hAnsi="Arial" w:cs="Arial"/>
              </w:rPr>
              <w:instrText>iven":"C."},{"family":"Duijts","given":"L."},{"family":"Erler","given":"N. S."},{"family":"Elbert","given":"N. J."},{"family":"Piketty","given":"C."},{"family":"Bourdès","given":"V."},{"family":"Blanchet</w:instrText>
            </w:r>
            <w:r>
              <w:rPr>
                <w:rFonts w:ascii="Cambria Math" w:hAnsi="Cambria Math" w:cs="Cambria Math"/>
              </w:rPr>
              <w:instrText>‐</w:instrText>
            </w:r>
            <w:r>
              <w:rPr>
                <w:rFonts w:ascii="Arial" w:hAnsi="Arial" w:cs="Arial"/>
              </w:rPr>
              <w:instrText>Réthoré","given":"S."},{"family":"Jongste","given":"</w:instrText>
            </w:r>
            <w:r>
              <w:rPr>
                <w:rFonts w:ascii="Arial" w:hAnsi="Arial" w:cs="Arial"/>
              </w:rPr>
              <w:instrText>J. C.","dropping-particle":"de"},{"family":"Pasmans","given":"S. G. M. A."},{"family":"Felix","given":"J. F."},{"family":"Nijsten","given":"T."}],"issued":{"date-parts":[["2019"]]}}}],"schema":"https://github.com/citation-style-language/schema/raw/master/c</w:instrText>
            </w:r>
            <w:r>
              <w:rPr>
                <w:rFonts w:ascii="Arial" w:hAnsi="Arial" w:cs="Arial"/>
              </w:rPr>
              <w:instrText xml:space="preserve">sl-citation.json"} </w:instrText>
            </w:r>
            <w:r>
              <w:rPr>
                <w:rFonts w:ascii="Arial" w:hAnsi="Arial" w:cs="Arial"/>
              </w:rPr>
              <w:fldChar w:fldCharType="separate"/>
            </w:r>
            <w:r>
              <w:rPr>
                <w:rFonts w:ascii="Arial" w:hAnsi="Arial" w:cs="Arial"/>
                <w:szCs w:val="24"/>
                <w:vertAlign w:val="superscript"/>
              </w:rPr>
              <w:t>2</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Parental education</w:t>
            </w:r>
          </w:p>
        </w:tc>
        <w:tc>
          <w:tcPr>
            <w:tcW w:w="5485" w:type="dxa"/>
          </w:tcPr>
          <w:p w:rsidR="00C917BA" w:rsidRDefault="000020C2">
            <w:pPr>
              <w:rPr>
                <w:rFonts w:ascii="Arial" w:hAnsi="Arial" w:cs="Arial"/>
              </w:rPr>
            </w:pPr>
            <w:r>
              <w:rPr>
                <w:rFonts w:ascii="Arial" w:hAnsi="Arial" w:cs="Arial"/>
              </w:rPr>
              <w:t xml:space="preserve">Defined as highest level of either parent (low or medium: &lt;= 10 years or high: &gt; 10 years of education) </w:t>
            </w:r>
          </w:p>
        </w:tc>
        <w:tc>
          <w:tcPr>
            <w:tcW w:w="2242" w:type="dxa"/>
          </w:tcPr>
          <w:p w:rsidR="00C917BA" w:rsidRDefault="000020C2">
            <w:pPr>
              <w:rPr>
                <w:rFonts w:ascii="Arial" w:hAnsi="Arial" w:cs="Arial"/>
              </w:rPr>
            </w:pPr>
            <w:r>
              <w:rPr>
                <w:rFonts w:ascii="Arial" w:hAnsi="Arial" w:cs="Arial"/>
              </w:rPr>
              <w:t>Hu 2019</w:t>
            </w:r>
            <w:r>
              <w:rPr>
                <w:rFonts w:ascii="Arial" w:hAnsi="Arial" w:cs="Arial"/>
              </w:rPr>
              <w:fldChar w:fldCharType="begin"/>
            </w:r>
            <w:r>
              <w:rPr>
                <w:rFonts w:ascii="Arial" w:hAnsi="Arial" w:cs="Arial"/>
              </w:rPr>
              <w:instrText xml:space="preserve"> ADDIN ZOTERO_ITEM CSL_CITATION {"citationID":"IHD5XofI","properties":{"formattedCitation":"\\super </w:instrText>
            </w:r>
            <w:r>
              <w:rPr>
                <w:rFonts w:ascii="Arial" w:hAnsi="Arial" w:cs="Arial"/>
              </w:rPr>
              <w:instrText>2\\nosupersub{}","plainCitation":"2","noteIndex":0},"citationItems":[{"id":451,"uris":["http://zotero.org/groups/2409646/items/MYK7B8T9"],"uri":["http://zotero.org/groups/2409646/items/MYK7B8T9"],"itemData":{"id":451,"type":"article-journal","abstract":"Ba</w:instrText>
            </w:r>
            <w:r>
              <w:rPr>
                <w:rFonts w:ascii="Arial" w:hAnsi="Arial" w:cs="Arial"/>
              </w:rPr>
              <w:instrText>ckground Childhood eczema is variable in onset and persistence. Objectives To identify eczema phenotypes during childhood, and their associations with early-life environmental and genetic factors. Methods In this study of 5297 children from a multiethnic p</w:instrText>
            </w:r>
            <w:r>
              <w:rPr>
                <w:rFonts w:ascii="Arial" w:hAnsi="Arial" w:cs="Arial"/>
              </w:rPr>
              <w:instrText>opulation-based prospective cohort study, phenotypes based on parent-reported physician-diagnosed eczema from age 6 months to 10 years were identified using latent class growth analysis. Information on environmental factors was obtained using postal questi</w:instrText>
            </w:r>
            <w:r>
              <w:rPr>
                <w:rFonts w:ascii="Arial" w:hAnsi="Arial" w:cs="Arial"/>
              </w:rPr>
              <w:instrText>onnaires. Four filaggrin mutations were genotyped and a risk score was calculated based on 30 genetic variants. Weighted adjusted multinomial models were used for association analyses. Results We identified the following five eczema phenotypes: never (76%)</w:instrText>
            </w:r>
            <w:r>
              <w:rPr>
                <w:rFonts w:ascii="Arial" w:hAnsi="Arial" w:cs="Arial"/>
              </w:rPr>
              <w:instrText>, early transient (8%), mid-transient (6%) and late transient (8%) and persistent eczema (2%). Early transient and persistent eczema were most common in first-born children, those with a parental history of eczema, allergy or asthma and those with persiste</w:instrText>
            </w:r>
            <w:r>
              <w:rPr>
                <w:rFonts w:ascii="Arial" w:hAnsi="Arial" w:cs="Arial"/>
              </w:rPr>
              <w:instrText>nt wheezing [range of odds ratio (OR): 1.37, 95% confidence interval (CI) 1.07–1.74 and OR 3.38, 95%CI 1.95–5.85]. Early transient eczema was most common in male children only (OR 1·49, 95% CI 1·18–1·89). Children with late transient or persistent eczema w</w:instrText>
            </w:r>
            <w:r>
              <w:rPr>
                <w:rFonts w:ascii="Arial" w:hAnsi="Arial" w:cs="Arial"/>
              </w:rPr>
              <w:instrText>ere more often of Asian ethnicity (OR 2·04, 95% CI 1·14–3·65 and OR 3·08, 95% CI 1·34–7·10, respectively). Children with early, late transient and persistent eczema more often had a filaggrin mutation or additional risk alleles (range OR: 1.07, 95%CI 1.02–</w:instrText>
            </w:r>
            <w:r>
              <w:rPr>
                <w:rFonts w:ascii="Arial" w:hAnsi="Arial" w:cs="Arial"/>
              </w:rPr>
              <w:instrText>1.12 and OR 2.21, 95%CI 1.39–3.50). Eczema phenotypes were not associated with maternal education, breastfeeding, day care attendance and pet exposure. Conclusions Five eczema phenotypes were identified in a multiethnic paediatric population with limited d</w:instrText>
            </w:r>
            <w:r>
              <w:rPr>
                <w:rFonts w:ascii="Arial" w:hAnsi="Arial" w:cs="Arial"/>
              </w:rPr>
              <w:instrText xml:space="preserve">ifferences in risk profiles, except for sex and ethnicity. What's already known about this topic? Two previous studies in longitudinal birth cohorts identified four and six different eczema phenotypes, predominantly in children of European ethnicity. What </w:instrText>
            </w:r>
            <w:r>
              <w:rPr>
                <w:rFonts w:ascii="Arial" w:hAnsi="Arial" w:cs="Arial"/>
              </w:rPr>
              <w:instrText>does this study add? Five eczema phenotypes were identified in a multiethnic paediatric population using latent class growth analysis. Children with early transient and persistent eczema were most often first-born children and had persistent wheezing, fila</w:instrText>
            </w:r>
            <w:r>
              <w:rPr>
                <w:rFonts w:ascii="Arial" w:hAnsi="Arial" w:cs="Arial"/>
              </w:rPr>
              <w:instrText>ggrin mutation or additional risk alleles. Previously known eczema risk factors had limited differentiating capabilities for eczema phenotypes, except for the association of early transient eczema with male children, and late transient and persistent eczem</w:instrText>
            </w:r>
            <w:r>
              <w:rPr>
                <w:rFonts w:ascii="Arial" w:hAnsi="Arial" w:cs="Arial"/>
              </w:rPr>
              <w:instrText>a with Asian ethnicity.","container-title":"British Journal of Dermatology","DOI":"10.1111/bjd.17879","ISSN":"1365-2133","issue":"6","language":"en","note":"_eprint: https://onlinelibrary.wiley.com/doi/pdf/10.1111/bjd.17879","page":"1190-1197","source":"Wi</w:instrText>
            </w:r>
            <w:r>
              <w:rPr>
                <w:rFonts w:ascii="Arial" w:hAnsi="Arial" w:cs="Arial"/>
              </w:rPr>
              <w:instrText>ley Online Library","title":"Most associations of early-life environmental exposures and genetic risk factors poorly differentiate between eczema phenotypes: the Generation R Study","title-short":"Most associations of early-life environmental exposures and</w:instrText>
            </w:r>
            <w:r>
              <w:rPr>
                <w:rFonts w:ascii="Arial" w:hAnsi="Arial" w:cs="Arial"/>
              </w:rPr>
              <w:instrText xml:space="preserve"> genetic risk factors poorly differentiate between eczema phenotypes","volume":"181","author":[{"family":"Hu","given":"C."},{"family":"Duijts","given":"L."},{"family":"Erler","given":"N. S."},{"family":"Elbert","given":"N. J."},{"family":"Piketty","given":</w:instrText>
            </w:r>
            <w:r>
              <w:rPr>
                <w:rFonts w:ascii="Arial" w:hAnsi="Arial" w:cs="Arial"/>
              </w:rPr>
              <w:instrText>"C."},{"family":"Bourdès","given":"V."},{"family":"Blanchet</w:instrText>
            </w:r>
            <w:r>
              <w:rPr>
                <w:rFonts w:ascii="Cambria Math" w:hAnsi="Cambria Math" w:cs="Cambria Math"/>
              </w:rPr>
              <w:instrText>‐</w:instrText>
            </w:r>
            <w:r>
              <w:rPr>
                <w:rFonts w:ascii="Arial" w:hAnsi="Arial" w:cs="Arial"/>
              </w:rPr>
              <w:instrText>Réthoré","given":"S."},{"family":"Jongste","given":"J. C.","dropping-particle":"de"},{"family":"Pasmans","given":"S. G. M. A."},{"family":"Felix","given":"J. F."},{"family":"Nijsten","given":"T."}</w:instrText>
            </w:r>
            <w:r>
              <w:rPr>
                <w:rFonts w:ascii="Arial" w:hAnsi="Arial" w:cs="Arial"/>
              </w:rPr>
              <w:instrText xml:space="preserve">],"issued":{"date-parts":[["2019"]]}}}],"schema":"https://github.com/citation-style-language/schema/raw/master/csl-citation.json"} </w:instrText>
            </w:r>
            <w:r>
              <w:rPr>
                <w:rFonts w:ascii="Arial" w:hAnsi="Arial" w:cs="Arial"/>
              </w:rPr>
              <w:fldChar w:fldCharType="separate"/>
            </w:r>
            <w:r>
              <w:rPr>
                <w:rFonts w:ascii="Arial" w:hAnsi="Arial" w:cs="Arial"/>
                <w:szCs w:val="24"/>
                <w:vertAlign w:val="superscript"/>
              </w:rPr>
              <w:t>2</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Breastfeeding</w:t>
            </w:r>
          </w:p>
        </w:tc>
        <w:tc>
          <w:tcPr>
            <w:tcW w:w="5485" w:type="dxa"/>
          </w:tcPr>
          <w:p w:rsidR="00C917BA" w:rsidRDefault="000020C2">
            <w:pPr>
              <w:rPr>
                <w:rFonts w:ascii="Arial" w:hAnsi="Arial" w:cs="Arial"/>
              </w:rPr>
            </w:pPr>
            <w:r>
              <w:rPr>
                <w:rFonts w:ascii="Arial" w:hAnsi="Arial" w:cs="Arial"/>
              </w:rPr>
              <w:t>Participants were exclusively breastfed during the first four months of life (0/1)</w:t>
            </w:r>
          </w:p>
        </w:tc>
        <w:tc>
          <w:tcPr>
            <w:tcW w:w="2242" w:type="dxa"/>
          </w:tcPr>
          <w:p w:rsidR="00C917BA" w:rsidRDefault="000020C2">
            <w:pPr>
              <w:rPr>
                <w:rFonts w:ascii="Arial" w:hAnsi="Arial" w:cs="Arial"/>
              </w:rPr>
            </w:pPr>
            <w:r>
              <w:rPr>
                <w:rFonts w:ascii="Arial" w:hAnsi="Arial" w:cs="Arial"/>
              </w:rPr>
              <w:t>Paternoster 2018, Hu 2</w:t>
            </w:r>
            <w:r>
              <w:rPr>
                <w:rFonts w:ascii="Arial" w:hAnsi="Arial" w:cs="Arial"/>
              </w:rPr>
              <w:t>019</w:t>
            </w:r>
            <w:r>
              <w:rPr>
                <w:rFonts w:ascii="Arial" w:hAnsi="Arial" w:cs="Arial"/>
              </w:rPr>
              <w:fldChar w:fldCharType="begin"/>
            </w:r>
            <w:r>
              <w:rPr>
                <w:rFonts w:ascii="Arial" w:hAnsi="Arial" w:cs="Arial"/>
              </w:rPr>
              <w:instrText xml:space="preserve"> ADDIN ZOTERO_ITEM CSL_CITATION {"citationID":"fdCKU5YC","properties":{"formattedCitation":"\\super 1,2\\nosupersub{}","plainCitation":"1,2","noteIndex":0},"citationItems":[{"id":475,"uris":["http://zotero.org/groups/2409646/items/4AGMSWSA"],"uri":["htt</w:instrText>
            </w:r>
            <w:r>
              <w:rPr>
                <w:rFonts w:ascii="Arial" w:hAnsi="Arial" w:cs="Arial"/>
              </w:rPr>
              <w:instrText>p://zotero.org/groups/2409646/items/4AGMSWSA"],"itemData":{"id":475,"type":"article-journal","abstract":"Background\nAtopic dermatitis (AD) is a prevalent disease with variable natural history. Longitudinal birth cohort studies provide an opportunity to de</w:instrText>
            </w:r>
            <w:r>
              <w:rPr>
                <w:rFonts w:ascii="Arial" w:hAnsi="Arial" w:cs="Arial"/>
              </w:rPr>
              <w:instrText>fine subgroups on the basis of disease trajectories, which may represent different genetic and environmental pathomechanisms.\n\nObjectives\nWe sought to investigate the existence of distinct longitudinal phenotypes of AD and test whether these findings ar</w:instrText>
            </w:r>
            <w:r>
              <w:rPr>
                <w:rFonts w:ascii="Arial" w:hAnsi="Arial" w:cs="Arial"/>
              </w:rPr>
              <w:instrText>e reproducible in 2 independent cohorts.\n\nMethods\nThe presence of AD was examined in 2 birth cohort studies including 9894 children from the United Kingdom (ALSPAC) and 3652 from the Netherlands (PIAMA). AD was defined by parental report of a typical it</w:instrText>
            </w:r>
            <w:r>
              <w:rPr>
                <w:rFonts w:ascii="Arial" w:hAnsi="Arial" w:cs="Arial"/>
              </w:rPr>
              <w:instrText>chy and/or flexural rash. Longitudinal latent class analysis was used to investigate patterns of AD from birth to the age of 11 to 16 years. We investigated associations with known AD risk factors, including FLG null mutations, 23 other established AD-gene</w:instrText>
            </w:r>
            <w:r>
              <w:rPr>
                <w:rFonts w:ascii="Arial" w:hAnsi="Arial" w:cs="Arial"/>
              </w:rPr>
              <w:instrText>tic risk variants, and atopic comorbidity.\n\nResults\nSix latent classes were identified, representing subphenotypes of AD, with remarkable consistency between the 2 cohorts. The most prevalent class was early-onset-early-resolving AD, which was associate</w:instrText>
            </w:r>
            <w:r>
              <w:rPr>
                <w:rFonts w:ascii="Arial" w:hAnsi="Arial" w:cs="Arial"/>
              </w:rPr>
              <w:instrText>d with male sex. Two classes of persistent disease were identified (early-onset-persistent and early-onset-late-resolving); these were most strongly associated with the AD-genetic risk score as well as personal and parental history of atopic disease. A yet</w:instrText>
            </w:r>
            <w:r>
              <w:rPr>
                <w:rFonts w:ascii="Arial" w:hAnsi="Arial" w:cs="Arial"/>
              </w:rPr>
              <w:instrText xml:space="preserve"> unrecognized class of mid-onset-resolving AD, not associated with FLG mutations, but strongly associated with asthma, was identified.\n\nConclusions\nSix classes based on temporal trajectories of rash were consistently identified in 2 population-based coh</w:instrText>
            </w:r>
            <w:r>
              <w:rPr>
                <w:rFonts w:ascii="Arial" w:hAnsi="Arial" w:cs="Arial"/>
              </w:rPr>
              <w:instrText>orts. The differing risk factor profiles and diverse prognoses demonstrate the potential importance of a stratified medicine approach for AD.","container-title":"The Journal of Allergy and Clinical Immunology","DOI":"10.1016/j.jaci.2017.09.044","ISSN":"009</w:instrText>
            </w:r>
            <w:r>
              <w:rPr>
                <w:rFonts w:ascii="Arial" w:hAnsi="Arial" w:cs="Arial"/>
              </w:rPr>
              <w:instrText>1-6749","issue":"3","journalAbbreviation":"J Allergy Clin Immunol","note":"PMID: 29129583\nPMCID: PMC5840507","page":"964-971","source":"PubMed Central","title":"Identification of atopic dermatitis subgroups in children from 2 longitudinal birth cohorts","</w:instrText>
            </w:r>
            <w:r>
              <w:rPr>
                <w:rFonts w:ascii="Arial" w:hAnsi="Arial" w:cs="Arial"/>
              </w:rPr>
              <w:instrText>volume":"141","author":[{"family":"Paternoster","given":"Lavinia"},{"family":"Savenije","given":"Olga E.M."},{"family":"Heron","given":"Jon"},{"family":"Evans","given":"David M."},{"family":"Vonk","given":"Judith M."},{"family":"Brunekreef","given":"Bert"}</w:instrText>
            </w:r>
            <w:r>
              <w:rPr>
                <w:rFonts w:ascii="Arial" w:hAnsi="Arial" w:cs="Arial"/>
              </w:rPr>
              <w:instrText>,{"family":"Wijga","given":"Alet H."},{"family":"Henderson","given":"A. John"},{"family":"Koppelman","given":"Gerard H."},{"family":"Brown","given":"Sara J."}],"issued":{"date-parts":[["2018",3]]}}},{"id":451,"uris":["http://zotero.org/groups/2409646/items</w:instrText>
            </w:r>
            <w:r>
              <w:rPr>
                <w:rFonts w:ascii="Arial" w:hAnsi="Arial" w:cs="Arial"/>
              </w:rPr>
              <w:instrText>/MYK7B8T9"],"uri":["http://zotero.org/groups/2409646/items/MYK7B8T9"],"itemData":{"id":451,"type":"article-journal","abstract":"Background Childhood eczema is variable in onset and persistence. Objectives To identify eczema phenotypes during childhood, and</w:instrText>
            </w:r>
            <w:r>
              <w:rPr>
                <w:rFonts w:ascii="Arial" w:hAnsi="Arial" w:cs="Arial"/>
              </w:rPr>
              <w:instrText xml:space="preserve"> their associations with early-life environmental and genetic factors. Methods In this study of 5297 children from a multiethnic population-based prospective cohort study, phenotypes based on parent-reported physician-diagnosed eczema from age 6 months to </w:instrText>
            </w:r>
            <w:r>
              <w:rPr>
                <w:rFonts w:ascii="Arial" w:hAnsi="Arial" w:cs="Arial"/>
              </w:rPr>
              <w:instrText>10 years were identified using latent class growth analysis. Information on environmental factors was obtained using postal questionnaires. Four filaggrin mutations were genotyped and a risk score was calculated based on 30 genetic variants. Weighted adjus</w:instrText>
            </w:r>
            <w:r>
              <w:rPr>
                <w:rFonts w:ascii="Arial" w:hAnsi="Arial" w:cs="Arial"/>
              </w:rPr>
              <w:instrText xml:space="preserve">ted multinomial models were used for association analyses. Results We identified the following five eczema phenotypes: never (76%), early transient (8%), mid-transient (6%) and late transient (8%) and persistent eczema (2%). Early transient and persistent </w:instrText>
            </w:r>
            <w:r>
              <w:rPr>
                <w:rFonts w:ascii="Arial" w:hAnsi="Arial" w:cs="Arial"/>
              </w:rPr>
              <w:instrText>eczema were most common in first-born children, those with a parental history of eczema, allergy or asthma and those with persistent wheezing [range of odds ratio (OR): 1.37, 95% confidence interval (CI) 1.07–1.74 and OR 3.38, 95%CI 1.95–5.85]. Early trans</w:instrText>
            </w:r>
            <w:r>
              <w:rPr>
                <w:rFonts w:ascii="Arial" w:hAnsi="Arial" w:cs="Arial"/>
              </w:rPr>
              <w:instrText>ient eczema was most common in male children only (OR 1·49, 95% CI 1·18–1·89). Children with late transient or persistent eczema were more often of Asian ethnicity (OR 2·04, 95% CI 1·14–3·65 and OR 3·08, 95% CI 1·34–7·10, respectively). Children with early</w:instrText>
            </w:r>
            <w:r>
              <w:rPr>
                <w:rFonts w:ascii="Arial" w:hAnsi="Arial" w:cs="Arial"/>
              </w:rPr>
              <w:instrText>, late transient and persistent eczema more often had a filaggrin mutation or additional risk alleles (range OR: 1.07, 95%CI 1.02–1.12 and OR 2.21, 95%CI 1.39–3.50). Eczema phenotypes were not associated with maternal education, breastfeeding, day care att</w:instrText>
            </w:r>
            <w:r>
              <w:rPr>
                <w:rFonts w:ascii="Arial" w:hAnsi="Arial" w:cs="Arial"/>
              </w:rPr>
              <w:instrText>endance and pet exposure. Conclusions Five eczema phenotypes were identified in a multiethnic paediatric population with limited differences in risk profiles, except for sex and ethnicity. What's already known about this topic? Two previous studies in long</w:instrText>
            </w:r>
            <w:r>
              <w:rPr>
                <w:rFonts w:ascii="Arial" w:hAnsi="Arial" w:cs="Arial"/>
              </w:rPr>
              <w:instrText>itudinal birth cohorts identified four and six different eczema phenotypes, predominantly in children of European ethnicity. What does this study add? Five eczema phenotypes were identified in a multiethnic paediatric population using latent class growth a</w:instrText>
            </w:r>
            <w:r>
              <w:rPr>
                <w:rFonts w:ascii="Arial" w:hAnsi="Arial" w:cs="Arial"/>
              </w:rPr>
              <w:instrText>nalysis. Children with early transient and persistent eczema were most often first-born children and had persistent wheezing, filaggrin mutation or additional risk alleles. Previously known eczema risk factors had limited differentiating capabilities for e</w:instrText>
            </w:r>
            <w:r>
              <w:rPr>
                <w:rFonts w:ascii="Arial" w:hAnsi="Arial" w:cs="Arial"/>
              </w:rPr>
              <w:instrText>czema phenotypes, except for the association of early transient eczema with male children, and late transient and persistent eczema with Asian ethnicity.","container-title":"British Journal of Dermatology","DOI":"10.1111/bjd.17879","ISSN":"1365-2133","issu</w:instrText>
            </w:r>
            <w:r>
              <w:rPr>
                <w:rFonts w:ascii="Arial" w:hAnsi="Arial" w:cs="Arial"/>
              </w:rPr>
              <w:instrText>e":"6","language":"en","note":"_eprint: https://onlinelibrary.wiley.com/doi/pdf/10.1111/bjd.17879","page":"1190-1197","source":"Wiley Online Library","title":"Most associations of early-life environmental exposures and genetic risk factors poorly different</w:instrText>
            </w:r>
            <w:r>
              <w:rPr>
                <w:rFonts w:ascii="Arial" w:hAnsi="Arial" w:cs="Arial"/>
              </w:rPr>
              <w:instrText>iate between eczema phenotypes: the Generation R Study","title-short":"Most associations of early-life environmental exposures and genetic risk factors poorly differentiate between eczema phenotypes","volume":"181","author":[{"family":"Hu","given":"C."},{"</w:instrText>
            </w:r>
            <w:r>
              <w:rPr>
                <w:rFonts w:ascii="Arial" w:hAnsi="Arial" w:cs="Arial"/>
              </w:rPr>
              <w:instrText>family":"Duijts","given":"L."},{"family":"Erler","given":"N. S."},{"family":"Elbert","given":"N. J."},{"family":"Piketty","given":"C."},{"family":"Bourdès","given":"V."},{"family":"Blanchet</w:instrText>
            </w:r>
            <w:r>
              <w:rPr>
                <w:rFonts w:ascii="Cambria Math" w:hAnsi="Cambria Math" w:cs="Cambria Math"/>
              </w:rPr>
              <w:instrText>‐</w:instrText>
            </w:r>
            <w:r>
              <w:rPr>
                <w:rFonts w:ascii="Arial" w:hAnsi="Arial" w:cs="Arial"/>
              </w:rPr>
              <w:instrText>Réthoré","given":"S."},{"family":"Jongste","given":"J. C.","droppi</w:instrText>
            </w:r>
            <w:r>
              <w:rPr>
                <w:rFonts w:ascii="Arial" w:hAnsi="Arial" w:cs="Arial"/>
              </w:rPr>
              <w:instrText>ng-particle":"de"},{"family":"Pasmans","given":"S. G. M. A."},{"family":"Felix","given":"J. F."},{"family":"Nijsten","given":"T."}],"issued":{"date-parts":[["2019"]]}}}],"schema":"https://github.com/citation-style-language/schema/raw/master/csl-citation.js</w:instrText>
            </w:r>
            <w:r>
              <w:rPr>
                <w:rFonts w:ascii="Arial" w:hAnsi="Arial" w:cs="Arial"/>
              </w:rPr>
              <w:instrText xml:space="preserve">on"} </w:instrText>
            </w:r>
            <w:r>
              <w:rPr>
                <w:rFonts w:ascii="Arial" w:hAnsi="Arial" w:cs="Arial"/>
              </w:rPr>
              <w:fldChar w:fldCharType="separate"/>
            </w:r>
            <w:r>
              <w:rPr>
                <w:rFonts w:ascii="Arial" w:hAnsi="Arial" w:cs="Arial"/>
                <w:szCs w:val="24"/>
                <w:vertAlign w:val="superscript"/>
              </w:rPr>
              <w:t>1,2</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Presence of older siblings</w:t>
            </w:r>
          </w:p>
        </w:tc>
        <w:tc>
          <w:tcPr>
            <w:tcW w:w="5485" w:type="dxa"/>
          </w:tcPr>
          <w:p w:rsidR="00C917BA" w:rsidRDefault="000020C2">
            <w:pPr>
              <w:rPr>
                <w:rFonts w:ascii="Arial" w:hAnsi="Arial" w:cs="Arial"/>
              </w:rPr>
            </w:pPr>
            <w:r>
              <w:rPr>
                <w:rFonts w:ascii="Arial" w:hAnsi="Arial" w:cs="Arial"/>
              </w:rPr>
              <w:t>Participants had older siblings (0/1)</w:t>
            </w:r>
          </w:p>
        </w:tc>
        <w:tc>
          <w:tcPr>
            <w:tcW w:w="2242" w:type="dxa"/>
          </w:tcPr>
          <w:p w:rsidR="00C917BA" w:rsidRDefault="000020C2">
            <w:pPr>
              <w:rPr>
                <w:rFonts w:ascii="Arial" w:hAnsi="Arial" w:cs="Arial"/>
              </w:rPr>
            </w:pPr>
            <w:proofErr w:type="spellStart"/>
            <w:r>
              <w:rPr>
                <w:rFonts w:ascii="Arial" w:hAnsi="Arial" w:cs="Arial"/>
              </w:rPr>
              <w:t>Nicolaou</w:t>
            </w:r>
            <w:proofErr w:type="spellEnd"/>
            <w:r>
              <w:rPr>
                <w:rFonts w:ascii="Arial" w:hAnsi="Arial" w:cs="Arial"/>
              </w:rPr>
              <w:t xml:space="preserve"> 2008</w:t>
            </w:r>
            <w:r>
              <w:rPr>
                <w:rFonts w:ascii="Arial" w:hAnsi="Arial" w:cs="Arial"/>
              </w:rPr>
              <w:fldChar w:fldCharType="begin"/>
            </w:r>
            <w:r>
              <w:rPr>
                <w:rFonts w:ascii="Arial" w:hAnsi="Arial" w:cs="Arial"/>
              </w:rPr>
              <w:instrText xml:space="preserve"> ADDIN ZOTERO_ITEM CSL_CITATION {"citationID":"0MYiia5G","properties":{"formattedCitation":"\\super 3\\nosupersub{}","plainCitation":"3","noteIndex":0},"citationItem</w:instrText>
            </w:r>
            <w:r>
              <w:rPr>
                <w:rFonts w:ascii="Arial" w:hAnsi="Arial" w:cs="Arial"/>
              </w:rPr>
              <w:instrText>s":[{"id":1468,"uris":["http://zotero.org/groups/2409649/items/5F39XEXG"],"uri":["http://zotero.org/groups/2409649/items/5F39XEXG"],"itemData":{"id":1468,"type":"article-journal","abstract":"&lt;h3&gt;Background&lt;/h3&gt;&lt;p&gt;There are conflicting data on the effect of</w:instrText>
            </w:r>
            <w:r>
              <w:rPr>
                <w:rFonts w:ascii="Arial" w:hAnsi="Arial" w:cs="Arial"/>
              </w:rPr>
              <w:instrText xml:space="preserve"> day-care attendance and position in sibship on the development of wheezing.&lt;/p&gt;&lt;h3&gt;Objective&lt;/h3&gt;&lt;p&gt;To investigate the relationship between day-care attendance and position in sibship with early childhood wheeze.&lt;/p&gt;&lt;h3&gt;Methods&lt;/h3&gt;&lt;p&gt;Prospective populati</w:instrText>
            </w:r>
            <w:r>
              <w:rPr>
                <w:rFonts w:ascii="Arial" w:hAnsi="Arial" w:cs="Arial"/>
              </w:rPr>
              <w:instrText>on-based birth cohort. At age 5 years, we collected information on parentally reported symptoms (n = 922); lung function was ascertained using plethysmography (n = 745) and allergic sensitization by skin testing (n = 815). Participants were assigned into c</w:instrText>
            </w:r>
            <w:r>
              <w:rPr>
                <w:rFonts w:ascii="Arial" w:hAnsi="Arial" w:cs="Arial"/>
              </w:rPr>
              <w:instrText>ategories according to the age of entry to day-care (0-6, 6-12, &gt;12 mo) and number of older siblings (0, 1, 2, &gt;2).&lt;/p&gt;&lt;h3&gt;Results&lt;/h3&gt;&lt;p&gt;Current wheeze was reported by 203 participants (22%); 224 (28%) were sensitized. In the multivariate model, sensitiza</w:instrText>
            </w:r>
            <w:r>
              <w:rPr>
                <w:rFonts w:ascii="Arial" w:hAnsi="Arial" w:cs="Arial"/>
              </w:rPr>
              <w:instrText xml:space="preserve">tion (odds ratio, 2.47; 95% CI, 1.66-3.67), male sex (1.49, 1.01-2.20), maternal asthma (1.72, 1.10-2.68), and maternal smoking during pregnancy (2.15, 1.26-3.66) significantly increased the risk of wheezing. Entering day-care between 6 and 12 or after 12 </w:instrText>
            </w:r>
            <w:r>
              <w:rPr>
                <w:rFonts w:ascii="Arial" w:hAnsi="Arial" w:cs="Arial"/>
              </w:rPr>
              <w:instrText xml:space="preserve">months of age was significantly and inversely associated with current wheeze (0.25, 0.11-0.60; and 0.65, 0.44-0.98, respectively). Entry into nursery between 6 and 12 months reduced the risk of persistent wheezing (&lt;i&gt;P&lt;/i&gt; = .04). We found no association </w:instrText>
            </w:r>
            <w:r>
              <w:rPr>
                <w:rFonts w:ascii="Arial" w:hAnsi="Arial" w:cs="Arial"/>
              </w:rPr>
              <w:instrText>between day-care attendance and lung function. Entering nursery in the first 6 months of life was associated with increased risk of atopy (2.47, 1.23-4.95). Having older siblings was associated only with rhinoconjunctivitis (0.72, 0.54-0.97).&lt;/p&gt;&lt;h3&gt;Conclu</w:instrText>
            </w:r>
            <w:r>
              <w:rPr>
                <w:rFonts w:ascii="Arial" w:hAnsi="Arial" w:cs="Arial"/>
              </w:rPr>
              <w:instrText>sion&lt;/h3&gt;&lt;p&gt;Day-care attendance was associated with a reduced risk of current wheezing in 5-year-old children. The protective effect appeared strongest for children who entered day-care between the ages of 6 and 12 months.&lt;/p&gt;","container-title":"Journal o</w:instrText>
            </w:r>
            <w:r>
              <w:rPr>
                <w:rFonts w:ascii="Arial" w:hAnsi="Arial" w:cs="Arial"/>
              </w:rPr>
              <w:instrText>f Allergy and Clinical Immunology","DOI":"10.1016/j.jaci.2008.06.033","ISSN":"0091-6749, 1097-6825","issue":"3","journalAbbreviation":"Journal of Allergy and Clinical Immunology","language":"English","note":"publisher: Elsevier\nPMID: 18774386","page":"500</w:instrText>
            </w:r>
            <w:r>
              <w:rPr>
                <w:rFonts w:ascii="Arial" w:hAnsi="Arial" w:cs="Arial"/>
              </w:rPr>
              <w:instrText>-506.e5","source":"www.jacionline.org","title":"Day-care attendance, position in sibship, and early childhood wheezing: A population-based birth cohort study","title-short":"Day-care attendance, position in sibship, and early childhood wheezing","volume":"</w:instrText>
            </w:r>
            <w:r>
              <w:rPr>
                <w:rFonts w:ascii="Arial" w:hAnsi="Arial" w:cs="Arial"/>
              </w:rPr>
              <w:instrText>122","author":[{"family":"Nicolaou","given":"Nicolaos C."},{"family":"Simpson","given":"Angela"},{"family":"Lowe","given":"Lesley A."},{"family":"Murray","given":"Clare S."},{"family":"Woodcock","given":"Ashley"},{"family":"Custovic","given":"Adnan"}],"iss</w:instrText>
            </w:r>
            <w:r>
              <w:rPr>
                <w:rFonts w:ascii="Arial" w:hAnsi="Arial" w:cs="Arial"/>
              </w:rPr>
              <w:instrText xml:space="preserve">ued":{"date-parts":[["2008",9,1]]}}}],"schema":"https://github.com/citation-style-language/schema/raw/master/csl-citation.json"} </w:instrText>
            </w:r>
            <w:r>
              <w:rPr>
                <w:rFonts w:ascii="Arial" w:hAnsi="Arial" w:cs="Arial"/>
              </w:rPr>
              <w:fldChar w:fldCharType="separate"/>
            </w:r>
            <w:r>
              <w:rPr>
                <w:rFonts w:ascii="Arial" w:hAnsi="Arial" w:cs="Arial"/>
                <w:szCs w:val="24"/>
                <w:vertAlign w:val="superscript"/>
              </w:rPr>
              <w:t>3</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Maternal smoking during pregnancy</w:t>
            </w:r>
          </w:p>
        </w:tc>
        <w:tc>
          <w:tcPr>
            <w:tcW w:w="5485" w:type="dxa"/>
          </w:tcPr>
          <w:p w:rsidR="00C917BA" w:rsidRDefault="000020C2">
            <w:pPr>
              <w:rPr>
                <w:rFonts w:ascii="Arial" w:hAnsi="Arial" w:cs="Arial"/>
              </w:rPr>
            </w:pPr>
            <w:r>
              <w:rPr>
                <w:rFonts w:ascii="Arial" w:hAnsi="Arial" w:cs="Arial"/>
              </w:rPr>
              <w:t>If mothers answered to have smoked at least one cigarette during the second or third tr</w:t>
            </w:r>
            <w:r>
              <w:rPr>
                <w:rFonts w:ascii="Arial" w:hAnsi="Arial" w:cs="Arial"/>
              </w:rPr>
              <w:t>imester of pregnancy (0/1)</w:t>
            </w:r>
          </w:p>
        </w:tc>
        <w:tc>
          <w:tcPr>
            <w:tcW w:w="2242" w:type="dxa"/>
          </w:tcPr>
          <w:p w:rsidR="00C917BA" w:rsidRDefault="000020C2">
            <w:pPr>
              <w:rPr>
                <w:rFonts w:ascii="Arial" w:hAnsi="Arial" w:cs="Arial"/>
              </w:rPr>
            </w:pPr>
            <w:proofErr w:type="spellStart"/>
            <w:r>
              <w:rPr>
                <w:rFonts w:ascii="Arial" w:hAnsi="Arial" w:cs="Arial"/>
              </w:rPr>
              <w:t>Luzak</w:t>
            </w:r>
            <w:proofErr w:type="spellEnd"/>
            <w:r>
              <w:rPr>
                <w:rFonts w:ascii="Arial" w:hAnsi="Arial" w:cs="Arial"/>
              </w:rPr>
              <w:t xml:space="preserve"> 2017</w:t>
            </w:r>
            <w:r>
              <w:rPr>
                <w:rFonts w:ascii="Arial" w:hAnsi="Arial" w:cs="Arial"/>
              </w:rPr>
              <w:fldChar w:fldCharType="begin"/>
            </w:r>
            <w:r>
              <w:rPr>
                <w:rFonts w:ascii="Arial" w:hAnsi="Arial" w:cs="Arial"/>
              </w:rPr>
              <w:instrText xml:space="preserve"> ADDIN ZOTERO_ITEM CSL_CITATION {"citationID":"bblf2AZn","properties":{"formattedCitation":"\\super 4\\nosupersub{}","plainCitation":"4","noteIndex":0},"citationItems":[{"id":754,"uris":["http://zotero.org/groups/240964</w:instrText>
            </w:r>
            <w:r>
              <w:rPr>
                <w:rFonts w:ascii="Arial" w:hAnsi="Arial" w:cs="Arial"/>
              </w:rPr>
              <w:instrText>9/items/DGC2G4TD"],"uri":["http://zotero.org/groups/2409649/items/DGC2G4TD"],"itemData":{"id":754,"type":"article-journal","abstract":"Background\nVarious factors may affect lung function at different stages in life. Since investigations that simultaneousl</w:instrText>
            </w:r>
            <w:r>
              <w:rPr>
                <w:rFonts w:ascii="Arial" w:hAnsi="Arial" w:cs="Arial"/>
              </w:rPr>
              <w:instrText>y consider several factors are rare, we examined the relative importance of early life, current environmental/lifestyle factors and allergic diseases on lung function in 15-year-olds.\n\nMethods\nBest subset selection was performed for linear regression mo</w:instrText>
            </w:r>
            <w:r>
              <w:rPr>
                <w:rFonts w:ascii="Arial" w:hAnsi="Arial" w:cs="Arial"/>
              </w:rPr>
              <w:instrText>dels to investigate associations between 21 diverse early life events and current factors with spirometric parameters (forced vital capacity, forced expiratory volume in 1 s and maximal mid-expiratory flow (FEF25–75)) in 1326 participants of the German GIN</w:instrText>
            </w:r>
            <w:r>
              <w:rPr>
                <w:rFonts w:ascii="Arial" w:hAnsi="Arial" w:cs="Arial"/>
              </w:rPr>
              <w:instrText>Iplus and LISAplus birth cohorts. To reduce model complexity, one model for each spirometric parameter was replicated 1000 times in random subpopulations (N = 884). Only those factors that were included in &gt;70% of the replication models were retained in th</w:instrText>
            </w:r>
            <w:r>
              <w:rPr>
                <w:rFonts w:ascii="Arial" w:hAnsi="Arial" w:cs="Arial"/>
              </w:rPr>
              <w:instrText>e final analysis.\n\nResults\nA higher peak weight velocity and early lung infections were the early life events prevalently associated with airflow limitation and FEF25–75. Current environmental/lifestyle factors at age 15 years and allergic diseases that</w:instrText>
            </w:r>
            <w:r>
              <w:rPr>
                <w:rFonts w:ascii="Arial" w:hAnsi="Arial" w:cs="Arial"/>
              </w:rPr>
              <w:instrText xml:space="preserve"> were associated with lung function were: indoor second-hand smoke exposure, vitamin D concentration, body mass index (BMI) and asthma status. Sex and height captured the majority of the explained variance (&gt;75%), followed by BMI (≤23.7%). The variance exp</w:instrText>
            </w:r>
            <w:r>
              <w:rPr>
                <w:rFonts w:ascii="Arial" w:hAnsi="Arial" w:cs="Arial"/>
              </w:rPr>
              <w:instrText>lained by early life events was comparatively low (median: 4.8%; range: 0.2–22.4%), but these events were consistently negatively associated with airway function.\n\nConclusions\nAlthough the explained variance was mainly captured by well-known factors inc</w:instrText>
            </w:r>
            <w:r>
              <w:rPr>
                <w:rFonts w:ascii="Arial" w:hAnsi="Arial" w:cs="Arial"/>
              </w:rPr>
              <w:instrText>luded in lung function prediction equations, our findings indicate early life and current factors that should be considered in studies on lung health among adolescents.\n\nElectronic supplementary material\nThe online version of this article (doi:10.1186/s</w:instrText>
            </w:r>
            <w:r>
              <w:rPr>
                <w:rFonts w:ascii="Arial" w:hAnsi="Arial" w:cs="Arial"/>
              </w:rPr>
              <w:instrText>12931-017-0619-5) contains supplementary material, which is available to authorized users.","container-title":"Respiratory Research","DOI":"10.1186/s12931-017-0619-5","ISSN":"1465-9921","journalAbbreviation":"Respir Res","note":"PMID: 28701166\nPMCID: PMC5</w:instrText>
            </w:r>
            <w:r>
              <w:rPr>
                <w:rFonts w:ascii="Arial" w:hAnsi="Arial" w:cs="Arial"/>
              </w:rPr>
              <w:instrText>508705","source":"PubMed Central","title":"Which early life events or current environmental and lifestyle factors influence lung function in adolescents? – results from the GINIplus &amp; LISAplus studies","title-short":"Which early life events or current envi</w:instrText>
            </w:r>
            <w:r>
              <w:rPr>
                <w:rFonts w:ascii="Arial" w:hAnsi="Arial" w:cs="Arial"/>
              </w:rPr>
              <w:instrText>ronmental and lifestyle factors influence lung function in adolescents?","URL":"https://www.ncbi.nlm.nih.gov/pmc/articles/PMC5508705/","volume":"18","author":[{"family":"Luzak","given":"Agnes"},{"family":"Fuertes","given":"Elaine"},{"family":"Flexeder","gi</w:instrText>
            </w:r>
            <w:r>
              <w:rPr>
                <w:rFonts w:ascii="Arial" w:hAnsi="Arial" w:cs="Arial"/>
              </w:rPr>
              <w:instrText>ven":"Claudia"},{"family":"Standl","given":"Marie"},{"family":"Berg","given":"Andrea","non-dropping-particle":"von"},{"family":"Berdel","given":"Dietrich"},{"family":"Koletzko","given":"Sibylle"},{"family":"Heinrich","given":"Joachim"},{"family":"Nowak","g</w:instrText>
            </w:r>
            <w:r>
              <w:rPr>
                <w:rFonts w:ascii="Arial" w:hAnsi="Arial" w:cs="Arial"/>
              </w:rPr>
              <w:instrText xml:space="preserve">iven":"Dennis"},{"family":"Schulz","given":"Holger"}],"accessed":{"date-parts":[["2020",2,27]]},"issued":{"date-parts":[["2017"]]}}}],"schema":"https://github.com/citation-style-language/schema/raw/master/csl-citation.json"} </w:instrText>
            </w:r>
            <w:r>
              <w:rPr>
                <w:rFonts w:ascii="Arial" w:hAnsi="Arial" w:cs="Arial"/>
              </w:rPr>
              <w:fldChar w:fldCharType="separate"/>
            </w:r>
            <w:r>
              <w:rPr>
                <w:rFonts w:ascii="Arial" w:hAnsi="Arial" w:cs="Arial"/>
                <w:szCs w:val="24"/>
                <w:vertAlign w:val="superscript"/>
              </w:rPr>
              <w:t>4</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 xml:space="preserve">Environmental smoke </w:t>
            </w:r>
            <w:r>
              <w:rPr>
                <w:rFonts w:ascii="Arial" w:hAnsi="Arial" w:cs="Arial"/>
              </w:rPr>
              <w:t>exposure (ETS)</w:t>
            </w:r>
          </w:p>
        </w:tc>
        <w:tc>
          <w:tcPr>
            <w:tcW w:w="5485" w:type="dxa"/>
          </w:tcPr>
          <w:p w:rsidR="00C917BA" w:rsidRDefault="000020C2">
            <w:pPr>
              <w:rPr>
                <w:rFonts w:ascii="Arial" w:hAnsi="Arial" w:cs="Arial"/>
              </w:rPr>
            </w:pPr>
            <w:r>
              <w:rPr>
                <w:rFonts w:ascii="Arial" w:hAnsi="Arial" w:cs="Arial"/>
              </w:rPr>
              <w:t>Smoking inside the house/flat within the first four years of life of the child (0/1)</w:t>
            </w:r>
          </w:p>
        </w:tc>
        <w:tc>
          <w:tcPr>
            <w:tcW w:w="2242" w:type="dxa"/>
          </w:tcPr>
          <w:p w:rsidR="00C917BA" w:rsidRDefault="000020C2">
            <w:pPr>
              <w:rPr>
                <w:rFonts w:ascii="Arial" w:hAnsi="Arial" w:cs="Arial"/>
              </w:rPr>
            </w:pPr>
            <w:proofErr w:type="spellStart"/>
            <w:r>
              <w:rPr>
                <w:rFonts w:ascii="Arial" w:hAnsi="Arial" w:cs="Arial"/>
              </w:rPr>
              <w:t>Luzak</w:t>
            </w:r>
            <w:proofErr w:type="spellEnd"/>
            <w:r>
              <w:rPr>
                <w:rFonts w:ascii="Arial" w:hAnsi="Arial" w:cs="Arial"/>
              </w:rPr>
              <w:t xml:space="preserve"> 2017</w:t>
            </w:r>
            <w:r>
              <w:rPr>
                <w:rFonts w:ascii="Arial" w:hAnsi="Arial" w:cs="Arial"/>
              </w:rPr>
              <w:fldChar w:fldCharType="begin"/>
            </w:r>
            <w:r>
              <w:rPr>
                <w:rFonts w:ascii="Arial" w:hAnsi="Arial" w:cs="Arial"/>
              </w:rPr>
              <w:instrText xml:space="preserve"> ADDIN ZOTERO_ITEM CSL_CITATION {"citationID":"bblf2AZn","properties":{"formattedCitation":"\\super 4\\nosupersub{}","plainCitation":"4","noteIndex":0},"citationItems":[{"id":754,"uris":["http://zotero.org/groups/2409649/items/DGC2G4TD"],"uri":["http://zot</w:instrText>
            </w:r>
            <w:r>
              <w:rPr>
                <w:rFonts w:ascii="Arial" w:hAnsi="Arial" w:cs="Arial"/>
              </w:rPr>
              <w:instrText xml:space="preserve">ero.org/groups/2409649/items/DGC2G4TD"],"itemData":{"id":754,"type":"article-journal","abstract":"Background\nVarious factors may affect lung function at different stages in life. Since investigations that simultaneously consider several factors are rare, </w:instrText>
            </w:r>
            <w:r>
              <w:rPr>
                <w:rFonts w:ascii="Arial" w:hAnsi="Arial" w:cs="Arial"/>
              </w:rPr>
              <w:instrText>we examined the relative importance of early life, current environmental/lifestyle factors and allergic diseases on lung function in 15-year-olds.\n\nMethods\nBest subset selection was performed for linear regression models to investigate associations betw</w:instrText>
            </w:r>
            <w:r>
              <w:rPr>
                <w:rFonts w:ascii="Arial" w:hAnsi="Arial" w:cs="Arial"/>
              </w:rPr>
              <w:instrText xml:space="preserve">een 21 diverse early life events and current factors with spirometric parameters (forced vital capacity, forced expiratory volume in 1 s and maximal mid-expiratory flow (FEF25–75)) in 1326 participants of the German GINIplus and LISAplus birth cohorts. To </w:instrText>
            </w:r>
            <w:r>
              <w:rPr>
                <w:rFonts w:ascii="Arial" w:hAnsi="Arial" w:cs="Arial"/>
              </w:rPr>
              <w:instrText>reduce model complexity, one model for each spirometric parameter was replicated 1000 times in random subpopulations (N = 884). Only those factors that were included in &gt;70% of the replication models were retained in the final analysis.\n\nResults\nA highe</w:instrText>
            </w:r>
            <w:r>
              <w:rPr>
                <w:rFonts w:ascii="Arial" w:hAnsi="Arial" w:cs="Arial"/>
              </w:rPr>
              <w:instrText>r peak weight velocity and early lung infections were the early life events prevalently associated with airflow limitation and FEF25–75. Current environmental/lifestyle factors at age 15 years and allergic diseases that were associated with lung function w</w:instrText>
            </w:r>
            <w:r>
              <w:rPr>
                <w:rFonts w:ascii="Arial" w:hAnsi="Arial" w:cs="Arial"/>
              </w:rPr>
              <w:instrText>ere: indoor second-hand smoke exposure, vitamin D concentration, body mass index (BMI) and asthma status. Sex and height captured the majority of the explained variance (&gt;75%), followed by BMI (≤23.7%). The variance explained by early life events was compa</w:instrText>
            </w:r>
            <w:r>
              <w:rPr>
                <w:rFonts w:ascii="Arial" w:hAnsi="Arial" w:cs="Arial"/>
              </w:rPr>
              <w:instrText>ratively low (median: 4.8%; range: 0.2–22.4%), but these events were consistently negatively associated with airway function.\n\nConclusions\nAlthough the explained variance was mainly captured by well-known factors included in lung function prediction equ</w:instrText>
            </w:r>
            <w:r>
              <w:rPr>
                <w:rFonts w:ascii="Arial" w:hAnsi="Arial" w:cs="Arial"/>
              </w:rPr>
              <w:instrText>ations, our findings indicate early life and current factors that should be considered in studies on lung health among adolescents.\n\nElectronic supplementary material\nThe online version of this article (doi:10.1186/s12931-017-0619-5) contains supplement</w:instrText>
            </w:r>
            <w:r>
              <w:rPr>
                <w:rFonts w:ascii="Arial" w:hAnsi="Arial" w:cs="Arial"/>
              </w:rPr>
              <w:instrText>ary material, which is available to authorized users.","container-title":"Respiratory Research","DOI":"10.1186/s12931-017-0619-5","ISSN":"1465-9921","journalAbbreviation":"Respir Res","note":"PMID: 28701166\nPMCID: PMC5508705","source":"PubMed Central","ti</w:instrText>
            </w:r>
            <w:r>
              <w:rPr>
                <w:rFonts w:ascii="Arial" w:hAnsi="Arial" w:cs="Arial"/>
              </w:rPr>
              <w:instrText>tle":"Which early life events or current environmental and lifestyle factors influence lung function in adolescents? – results from the GINIplus &amp; LISAplus studies","title-short":"Which early life events or current environmental and lifestyle factors influ</w:instrText>
            </w:r>
            <w:r>
              <w:rPr>
                <w:rFonts w:ascii="Arial" w:hAnsi="Arial" w:cs="Arial"/>
              </w:rPr>
              <w:instrText>ence lung function in adolescents?","URL":"https://www.ncbi.nlm.nih.gov/pmc/articles/PMC5508705/","volume":"18","author":[{"family":"Luzak","given":"Agnes"},{"family":"Fuertes","given":"Elaine"},{"family":"Flexeder","given":"Claudia"},{"family":"Standl","g</w:instrText>
            </w:r>
            <w:r>
              <w:rPr>
                <w:rFonts w:ascii="Arial" w:hAnsi="Arial" w:cs="Arial"/>
              </w:rPr>
              <w:instrText>iven":"Marie"},{"family":"Berg","given":"Andrea","non-dropping-particle":"von"},{"family":"Berdel","given":"Dietrich"},{"family":"Koletzko","given":"Sibylle"},{"family":"Heinrich","given":"Joachim"},{"family":"Nowak","given":"Dennis"},{"family":"Schulz","g</w:instrText>
            </w:r>
            <w:r>
              <w:rPr>
                <w:rFonts w:ascii="Arial" w:hAnsi="Arial" w:cs="Arial"/>
              </w:rPr>
              <w:instrText xml:space="preserve">iven":"Holger"}],"accessed":{"date-parts":[["2020",2,27]]},"issued":{"date-parts":[["2017"]]}}}],"schema":"https://github.com/citation-style-language/schema/raw/master/csl-citation.json"} </w:instrText>
            </w:r>
            <w:r>
              <w:rPr>
                <w:rFonts w:ascii="Arial" w:hAnsi="Arial" w:cs="Arial"/>
              </w:rPr>
              <w:fldChar w:fldCharType="separate"/>
            </w:r>
            <w:r>
              <w:rPr>
                <w:rFonts w:ascii="Arial" w:hAnsi="Arial" w:cs="Arial"/>
                <w:szCs w:val="24"/>
                <w:vertAlign w:val="superscript"/>
              </w:rPr>
              <w:t>4</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Furry big pets</w:t>
            </w:r>
          </w:p>
        </w:tc>
        <w:tc>
          <w:tcPr>
            <w:tcW w:w="5485" w:type="dxa"/>
          </w:tcPr>
          <w:p w:rsidR="00C917BA" w:rsidRDefault="000020C2">
            <w:pPr>
              <w:rPr>
                <w:rFonts w:ascii="Arial" w:hAnsi="Arial" w:cs="Arial"/>
              </w:rPr>
            </w:pPr>
            <w:r>
              <w:rPr>
                <w:rFonts w:ascii="Arial" w:hAnsi="Arial" w:cs="Arial"/>
              </w:rPr>
              <w:t>Participants had at least one cat or dog within</w:t>
            </w:r>
            <w:r>
              <w:rPr>
                <w:rFonts w:ascii="Arial" w:hAnsi="Arial" w:cs="Arial"/>
              </w:rPr>
              <w:t xml:space="preserve"> the first four years of life (0/1)</w:t>
            </w:r>
          </w:p>
        </w:tc>
        <w:tc>
          <w:tcPr>
            <w:tcW w:w="2242" w:type="dxa"/>
          </w:tcPr>
          <w:p w:rsidR="00C917BA" w:rsidRDefault="000020C2">
            <w:pPr>
              <w:rPr>
                <w:rFonts w:ascii="Arial" w:hAnsi="Arial" w:cs="Arial"/>
              </w:rPr>
            </w:pPr>
            <w:r>
              <w:rPr>
                <w:rFonts w:ascii="Arial" w:hAnsi="Arial" w:cs="Arial"/>
              </w:rPr>
              <w:t>Hu 2019</w:t>
            </w:r>
            <w:r>
              <w:rPr>
                <w:rFonts w:ascii="Arial" w:hAnsi="Arial" w:cs="Arial"/>
              </w:rPr>
              <w:fldChar w:fldCharType="begin"/>
            </w:r>
            <w:r>
              <w:rPr>
                <w:rFonts w:ascii="Arial" w:hAnsi="Arial" w:cs="Arial"/>
              </w:rPr>
              <w:instrText xml:space="preserve"> ADDIN ZOTERO_ITEM CSL_CITATION {"citationID":"IHD5XofI","properties":{"formattedCitation":"\\super 2\\nosupersub{}","plainCitation":"2","noteIndex":0},"citationItems":[{"id":451,"uris":["http://zotero.org/groups/</w:instrText>
            </w:r>
            <w:r>
              <w:rPr>
                <w:rFonts w:ascii="Arial" w:hAnsi="Arial" w:cs="Arial"/>
              </w:rPr>
              <w:instrText>2409646/items/MYK7B8T9"],"uri":["http://zotero.org/groups/2409646/items/MYK7B8T9"],"itemData":{"id":451,"type":"article-journal","abstract":"Background Childhood eczema is variable in onset and persistence. Objectives To identify eczema phenotypes during c</w:instrText>
            </w:r>
            <w:r>
              <w:rPr>
                <w:rFonts w:ascii="Arial" w:hAnsi="Arial" w:cs="Arial"/>
              </w:rPr>
              <w:instrText>hildhood, and their associations with early-life environmental and genetic factors. Methods In this study of 5297 children from a multiethnic population-based prospective cohort study, phenotypes based on parent-reported physician-diagnosed eczema from age</w:instrText>
            </w:r>
            <w:r>
              <w:rPr>
                <w:rFonts w:ascii="Arial" w:hAnsi="Arial" w:cs="Arial"/>
              </w:rPr>
              <w:instrText xml:space="preserve"> 6 months to 10 years were identified using latent class growth analysis. Information on environmental factors was obtained using postal questionnaires. Four filaggrin mutations were genotyped and a risk score was calculated based on 30 genetic variants. W</w:instrText>
            </w:r>
            <w:r>
              <w:rPr>
                <w:rFonts w:ascii="Arial" w:hAnsi="Arial" w:cs="Arial"/>
              </w:rPr>
              <w:instrText>eighted adjusted multinomial models were used for association analyses. Results We identified the following five eczema phenotypes: never (76%), early transient (8%), mid-transient (6%) and late transient (8%) and persistent eczema (2%). Early transient an</w:instrText>
            </w:r>
            <w:r>
              <w:rPr>
                <w:rFonts w:ascii="Arial" w:hAnsi="Arial" w:cs="Arial"/>
              </w:rPr>
              <w:instrText>d persistent eczema were most common in first-born children, those with a parental history of eczema, allergy or asthma and those with persistent wheezing [range of odds ratio (OR): 1.37, 95% confidence interval (CI) 1.07–1.74 and OR 3.38, 95%CI 1.95–5.85]</w:instrText>
            </w:r>
            <w:r>
              <w:rPr>
                <w:rFonts w:ascii="Arial" w:hAnsi="Arial" w:cs="Arial"/>
              </w:rPr>
              <w:instrText>. Early transient eczema was most common in male children only (OR 1·49, 95% CI 1·18–1·89). Children with late transient or persistent eczema were more often of Asian ethnicity (OR 2·04, 95% CI 1·14–3·65 and OR 3·08, 95% CI 1·34–7·10, respectively). Childr</w:instrText>
            </w:r>
            <w:r>
              <w:rPr>
                <w:rFonts w:ascii="Arial" w:hAnsi="Arial" w:cs="Arial"/>
              </w:rPr>
              <w:instrText>en with early, late transient and persistent eczema more often had a filaggrin mutation or additional risk alleles (range OR: 1.07, 95%CI 1.02–1.12 and OR 2.21, 95%CI 1.39–3.50). Eczema phenotypes were not associated with maternal education, breastfeeding,</w:instrText>
            </w:r>
            <w:r>
              <w:rPr>
                <w:rFonts w:ascii="Arial" w:hAnsi="Arial" w:cs="Arial"/>
              </w:rPr>
              <w:instrText xml:space="preserve"> day care attendance and pet exposure. Conclusions Five eczema phenotypes were identified in a multiethnic paediatric population with limited differences in risk profiles, except for sex and ethnicity. What's already known about this topic? Two previous st</w:instrText>
            </w:r>
            <w:r>
              <w:rPr>
                <w:rFonts w:ascii="Arial" w:hAnsi="Arial" w:cs="Arial"/>
              </w:rPr>
              <w:instrText>udies in longitudinal birth cohorts identified four and six different eczema phenotypes, predominantly in children of European ethnicity. What does this study add? Five eczema phenotypes were identified in a multiethnic paediatric population using latent c</w:instrText>
            </w:r>
            <w:r>
              <w:rPr>
                <w:rFonts w:ascii="Arial" w:hAnsi="Arial" w:cs="Arial"/>
              </w:rPr>
              <w:instrText>lass growth analysis. Children with early transient and persistent eczema were most often first-born children and had persistent wheezing, filaggrin mutation or additional risk alleles. Previously known eczema risk factors had limited differentiating capab</w:instrText>
            </w:r>
            <w:r>
              <w:rPr>
                <w:rFonts w:ascii="Arial" w:hAnsi="Arial" w:cs="Arial"/>
              </w:rPr>
              <w:instrText>ilities for eczema phenotypes, except for the association of early transient eczema with male children, and late transient and persistent eczema with Asian ethnicity.","container-title":"British Journal of Dermatology","DOI":"10.1111/bjd.17879","ISSN":"136</w:instrText>
            </w:r>
            <w:r>
              <w:rPr>
                <w:rFonts w:ascii="Arial" w:hAnsi="Arial" w:cs="Arial"/>
              </w:rPr>
              <w:instrText>5-2133","issue":"6","language":"en","note":"_eprint: https://onlinelibrary.wiley.com/doi/pdf/10.1111/bjd.17879","page":"1190-1197","source":"Wiley Online Library","title":"Most associations of early-life environmental exposures and genetic risk factors poo</w:instrText>
            </w:r>
            <w:r>
              <w:rPr>
                <w:rFonts w:ascii="Arial" w:hAnsi="Arial" w:cs="Arial"/>
              </w:rPr>
              <w:instrText>rly differentiate between eczema phenotypes: the Generation R Study","title-short":"Most associations of early-life environmental exposures and genetic risk factors poorly differentiate between eczema phenotypes","volume":"181","author":[{"family":"Hu","gi</w:instrText>
            </w:r>
            <w:r>
              <w:rPr>
                <w:rFonts w:ascii="Arial" w:hAnsi="Arial" w:cs="Arial"/>
              </w:rPr>
              <w:instrText>ven":"C."},{"family":"Duijts","given":"L."},{"family":"Erler","given":"N. S."},{"family":"Elbert","given":"N. J."},{"family":"Piketty","given":"C."},{"family":"Bourdès","given":"V."},{"family":"Blanchet</w:instrText>
            </w:r>
            <w:r>
              <w:rPr>
                <w:rFonts w:ascii="Cambria Math" w:hAnsi="Cambria Math" w:cs="Cambria Math"/>
              </w:rPr>
              <w:instrText>‐</w:instrText>
            </w:r>
            <w:r>
              <w:rPr>
                <w:rFonts w:ascii="Arial" w:hAnsi="Arial" w:cs="Arial"/>
              </w:rPr>
              <w:instrText>Réthoré","given":"S."},{"family":"Jongste","given":"J</w:instrText>
            </w:r>
            <w:r>
              <w:rPr>
                <w:rFonts w:ascii="Arial" w:hAnsi="Arial" w:cs="Arial"/>
              </w:rPr>
              <w:instrText>. C.","dropping-particle":"de"},{"family":"Pasmans","given":"S. G. M. A."},{"family":"Felix","given":"J. F."},{"family":"Nijsten","given":"T."}],"issued":{"date-parts":[["2019"]]}}}],"schema":"https://github.com/citation-style-language/schema/raw/master/cs</w:instrText>
            </w:r>
            <w:r>
              <w:rPr>
                <w:rFonts w:ascii="Arial" w:hAnsi="Arial" w:cs="Arial"/>
              </w:rPr>
              <w:instrText xml:space="preserve">l-citation.json"} </w:instrText>
            </w:r>
            <w:r>
              <w:rPr>
                <w:rFonts w:ascii="Arial" w:hAnsi="Arial" w:cs="Arial"/>
              </w:rPr>
              <w:fldChar w:fldCharType="separate"/>
            </w:r>
            <w:r>
              <w:rPr>
                <w:rFonts w:ascii="Arial" w:hAnsi="Arial" w:cs="Arial"/>
                <w:szCs w:val="24"/>
                <w:vertAlign w:val="superscript"/>
              </w:rPr>
              <w:t>2</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Bronchitis infection</w:t>
            </w:r>
          </w:p>
        </w:tc>
        <w:tc>
          <w:tcPr>
            <w:tcW w:w="5485" w:type="dxa"/>
          </w:tcPr>
          <w:p w:rsidR="00C917BA" w:rsidRDefault="000020C2">
            <w:pPr>
              <w:rPr>
                <w:rFonts w:ascii="Arial" w:hAnsi="Arial" w:cs="Arial"/>
              </w:rPr>
            </w:pPr>
            <w:r>
              <w:rPr>
                <w:rFonts w:ascii="Arial" w:hAnsi="Arial" w:cs="Arial"/>
              </w:rPr>
              <w:t>Physician diagnosis of bronchitis within the first three years of life (0/1)</w:t>
            </w:r>
          </w:p>
        </w:tc>
        <w:tc>
          <w:tcPr>
            <w:tcW w:w="2242" w:type="dxa"/>
          </w:tcPr>
          <w:p w:rsidR="00C917BA" w:rsidRDefault="000020C2">
            <w:pPr>
              <w:rPr>
                <w:rFonts w:ascii="Arial" w:hAnsi="Arial" w:cs="Arial"/>
              </w:rPr>
            </w:pPr>
            <w:proofErr w:type="spellStart"/>
            <w:r>
              <w:rPr>
                <w:rFonts w:ascii="Arial" w:hAnsi="Arial" w:cs="Arial"/>
              </w:rPr>
              <w:t>Luzak</w:t>
            </w:r>
            <w:proofErr w:type="spellEnd"/>
            <w:r>
              <w:rPr>
                <w:rFonts w:ascii="Arial" w:hAnsi="Arial" w:cs="Arial"/>
              </w:rPr>
              <w:t xml:space="preserve"> 2017</w:t>
            </w:r>
            <w:r>
              <w:rPr>
                <w:rFonts w:ascii="Arial" w:hAnsi="Arial" w:cs="Arial"/>
              </w:rPr>
              <w:fldChar w:fldCharType="begin"/>
            </w:r>
            <w:r>
              <w:rPr>
                <w:rFonts w:ascii="Arial" w:hAnsi="Arial" w:cs="Arial"/>
              </w:rPr>
              <w:instrText xml:space="preserve"> ADDIN ZOTERO_ITEM CSL_CITATION {"citationID":"bblf2AZn","properties":{"formattedCitation":"\\super 4\\nosupersub{}","plainC</w:instrText>
            </w:r>
            <w:r>
              <w:rPr>
                <w:rFonts w:ascii="Arial" w:hAnsi="Arial" w:cs="Arial"/>
              </w:rPr>
              <w:instrText>itation":"4","noteIndex":0},"citationItems":[{"id":754,"uris":["http://zotero.org/groups/2409649/items/DGC2G4TD"],"uri":["http://zotero.org/groups/2409649/items/DGC2G4TD"],"itemData":{"id":754,"type":"article-journal","abstract":"Background\nVarious factor</w:instrText>
            </w:r>
            <w:r>
              <w:rPr>
                <w:rFonts w:ascii="Arial" w:hAnsi="Arial" w:cs="Arial"/>
              </w:rPr>
              <w:instrText>s may affect lung function at different stages in life. Since investigations that simultaneously consider several factors are rare, we examined the relative importance of early life, current environmental/lifestyle factors and allergic diseases on lung fun</w:instrText>
            </w:r>
            <w:r>
              <w:rPr>
                <w:rFonts w:ascii="Arial" w:hAnsi="Arial" w:cs="Arial"/>
              </w:rPr>
              <w:instrText>ction in 15-year-olds.\n\nMethods\nBest subset selection was performed for linear regression models to investigate associations between 21 diverse early life events and current factors with spirometric parameters (forced vital capacity, forced expiratory v</w:instrText>
            </w:r>
            <w:r>
              <w:rPr>
                <w:rFonts w:ascii="Arial" w:hAnsi="Arial" w:cs="Arial"/>
              </w:rPr>
              <w:instrText>olume in 1 s and maximal mid-expiratory flow (FEF25–75)) in 1326 participants of the German GINIplus and LISAplus birth cohorts. To reduce model complexity, one model for each spirometric parameter was replicated 1000 times in random subpopulations (N = 88</w:instrText>
            </w:r>
            <w:r>
              <w:rPr>
                <w:rFonts w:ascii="Arial" w:hAnsi="Arial" w:cs="Arial"/>
              </w:rPr>
              <w:instrText>4). Only those factors that were included in &gt;70% of the replication models were retained in the final analysis.\n\nResults\nA higher peak weight velocity and early lung infections were the early life events prevalently associated with airflow limitation a</w:instrText>
            </w:r>
            <w:r>
              <w:rPr>
                <w:rFonts w:ascii="Arial" w:hAnsi="Arial" w:cs="Arial"/>
              </w:rPr>
              <w:instrText>nd FEF25–75. Current environmental/lifestyle factors at age 15 years and allergic diseases that were associated with lung function were: indoor second-hand smoke exposure, vitamin D concentration, body mass index (BMI) and asthma status. Sex and height cap</w:instrText>
            </w:r>
            <w:r>
              <w:rPr>
                <w:rFonts w:ascii="Arial" w:hAnsi="Arial" w:cs="Arial"/>
              </w:rPr>
              <w:instrText>tured the majority of the explained variance (&gt;75%), followed by BMI (≤23.7%). The variance explained by early life events was comparatively low (median: 4.8%; range: 0.2–22.4%), but these events were consistently negatively associated with airway function</w:instrText>
            </w:r>
            <w:r>
              <w:rPr>
                <w:rFonts w:ascii="Arial" w:hAnsi="Arial" w:cs="Arial"/>
              </w:rPr>
              <w:instrText>.\n\nConclusions\nAlthough the explained variance was mainly captured by well-known factors included in lung function prediction equations, our findings indicate early life and current factors that should be considered in studies on lung health among adole</w:instrText>
            </w:r>
            <w:r>
              <w:rPr>
                <w:rFonts w:ascii="Arial" w:hAnsi="Arial" w:cs="Arial"/>
              </w:rPr>
              <w:instrText>scents.\n\nElectronic supplementary material\nThe online version of this article (doi:10.1186/s12931-017-0619-5) contains supplementary material, which is available to authorized users.","container-title":"Respiratory Research","DOI":"10.1186/s12931-017-06</w:instrText>
            </w:r>
            <w:r>
              <w:rPr>
                <w:rFonts w:ascii="Arial" w:hAnsi="Arial" w:cs="Arial"/>
              </w:rPr>
              <w:instrText>19-5","ISSN":"1465-9921","journalAbbreviation":"Respir Res","note":"PMID: 28701166\nPMCID: PMC5508705","source":"PubMed Central","title":"Which early life events or current environmental and lifestyle factors influence lung function in adolescents? – resul</w:instrText>
            </w:r>
            <w:r>
              <w:rPr>
                <w:rFonts w:ascii="Arial" w:hAnsi="Arial" w:cs="Arial"/>
              </w:rPr>
              <w:instrText>ts from the GINIplus &amp; LISAplus studies","title-short":"Which early life events or current environmental and lifestyle factors influence lung function in adolescents?","URL":"https://www.ncbi.nlm.nih.gov/pmc/articles/PMC5508705/","volume":"18","author":[{"</w:instrText>
            </w:r>
            <w:r>
              <w:rPr>
                <w:rFonts w:ascii="Arial" w:hAnsi="Arial" w:cs="Arial"/>
              </w:rPr>
              <w:instrText>family":"Luzak","given":"Agnes"},{"family":"Fuertes","given":"Elaine"},{"family":"Flexeder","given":"Claudia"},{"family":"Standl","given":"Marie"},{"family":"Berg","given":"Andrea","non-dropping-particle":"von"},{"family":"Berdel","given":"Dietrich"},{"fam</w:instrText>
            </w:r>
            <w:r>
              <w:rPr>
                <w:rFonts w:ascii="Arial" w:hAnsi="Arial" w:cs="Arial"/>
              </w:rPr>
              <w:instrText>ily":"Koletzko","given":"Sibylle"},{"family":"Heinrich","given":"Joachim"},{"family":"Nowak","given":"Dennis"},{"family":"Schulz","given":"Holger"}],"accessed":{"date-parts":[["2020",2,27]]},"issued":{"date-parts":[["2017"]]}}}],"schema":"https://github.co</w:instrText>
            </w:r>
            <w:r>
              <w:rPr>
                <w:rFonts w:ascii="Arial" w:hAnsi="Arial" w:cs="Arial"/>
              </w:rPr>
              <w:instrText xml:space="preserve">m/citation-style-language/schema/raw/master/csl-citation.json"} </w:instrText>
            </w:r>
            <w:r>
              <w:rPr>
                <w:rFonts w:ascii="Arial" w:hAnsi="Arial" w:cs="Arial"/>
              </w:rPr>
              <w:fldChar w:fldCharType="separate"/>
            </w:r>
            <w:r>
              <w:rPr>
                <w:rFonts w:ascii="Arial" w:hAnsi="Arial" w:cs="Arial"/>
                <w:szCs w:val="24"/>
                <w:vertAlign w:val="superscript"/>
              </w:rPr>
              <w:t>4</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PRS for any allergic disease</w:t>
            </w:r>
          </w:p>
        </w:tc>
        <w:tc>
          <w:tcPr>
            <w:tcW w:w="5485" w:type="dxa"/>
          </w:tcPr>
          <w:p w:rsidR="00C917BA" w:rsidRDefault="000020C2">
            <w:pPr>
              <w:rPr>
                <w:rFonts w:ascii="Arial" w:hAnsi="Arial" w:cs="Arial"/>
              </w:rPr>
            </w:pPr>
            <w:r>
              <w:rPr>
                <w:rFonts w:ascii="Arial" w:hAnsi="Arial" w:cs="Arial"/>
              </w:rPr>
              <w:t xml:space="preserve">PRS calculated from SNPs reported to be associated with any allergic disease </w:t>
            </w:r>
          </w:p>
        </w:tc>
        <w:tc>
          <w:tcPr>
            <w:tcW w:w="2242" w:type="dxa"/>
          </w:tcPr>
          <w:p w:rsidR="00C917BA" w:rsidRDefault="000020C2">
            <w:pPr>
              <w:rPr>
                <w:rFonts w:ascii="Arial" w:hAnsi="Arial" w:cs="Arial"/>
                <w:highlight w:val="yellow"/>
              </w:rPr>
            </w:pPr>
            <w:r>
              <w:rPr>
                <w:rFonts w:ascii="Arial" w:hAnsi="Arial" w:cs="Arial"/>
              </w:rPr>
              <w:t xml:space="preserve">Ferreira 2017 &amp; 2019 </w:t>
            </w:r>
            <w:r>
              <w:rPr>
                <w:rFonts w:ascii="Arial" w:hAnsi="Arial" w:cs="Arial"/>
              </w:rPr>
              <w:fldChar w:fldCharType="begin"/>
            </w:r>
            <w:r>
              <w:rPr>
                <w:rFonts w:ascii="Arial" w:hAnsi="Arial" w:cs="Arial"/>
              </w:rPr>
              <w:instrText xml:space="preserve"> ADDIN ZOTERO_ITEM CSL_CITATION {"citationID":"MzsIAMgg","</w:instrText>
            </w:r>
            <w:r>
              <w:rPr>
                <w:rFonts w:ascii="Arial" w:hAnsi="Arial" w:cs="Arial"/>
              </w:rPr>
              <w:instrText>properties":{"formattedCitation":"\\super 5,6\\nosupersub{}","plainCitation":"5,6","noteIndex":0},"citationItems":[{"id":498,"uris":["http://zotero.org/groups/2409646/items/VNQZ7PBN"],"uri":["http://zotero.org/groups/2409646/items/VNQZ7PBN"],"itemData":{"i</w:instrText>
            </w:r>
            <w:r>
              <w:rPr>
                <w:rFonts w:ascii="Arial" w:hAnsi="Arial" w:cs="Arial"/>
              </w:rPr>
              <w:instrText>d":498,"type":"article-journal","abstract":"Asthma, hay fever (or allergic rhinitis) and eczema (or atopic\ndermatitis) often coexist in the same individuals, partly because of a shared genetic origin–. To\nidentify shared risk variants, we performed a gen</w:instrText>
            </w:r>
            <w:r>
              <w:rPr>
                <w:rFonts w:ascii="Arial" w:hAnsi="Arial" w:cs="Arial"/>
              </w:rPr>
              <w:instrText>ome-wide association study\n(GWAS, n=360,838) of a broad allergic disease phenotype that\nconsiders the presence of any one of these three diseases. We identified 136\nindependent risk variants (P&lt;3x10-8),\nincluding 73 not previously reported, which impli</w:instrText>
            </w:r>
            <w:r>
              <w:rPr>
                <w:rFonts w:ascii="Arial" w:hAnsi="Arial" w:cs="Arial"/>
              </w:rPr>
              <w:instrText>cate 132 nearby genes in\nallergic disease pathophysiology. Disease-specific effects were detected for\nonly six variants, confirming that most represent shared risk factors.\nTissue-specific heritability and biological process enrichment analyses suggest\</w:instrText>
            </w:r>
            <w:r>
              <w:rPr>
                <w:rFonts w:ascii="Arial" w:hAnsi="Arial" w:cs="Arial"/>
              </w:rPr>
              <w:instrText>nthat shared risk variants influence lymphocyte-mediated immunity. Six target\ngenes provide an opportunity for drug repositioning, while for 36 genes CpG\nmethylation was found to influence transcription independently of genetic\neffects. Asthma, hay feve</w:instrText>
            </w:r>
            <w:r>
              <w:rPr>
                <w:rFonts w:ascii="Arial" w:hAnsi="Arial" w:cs="Arial"/>
              </w:rPr>
              <w:instrText>r and eczema partly coexist because they share many\ngenetic risk variants that dysregulate the expression of immune-related\ngenes.","container-title":"Nature genetics","DOI":"10.1038/ng.3985","ISSN":"1061-4036","issue":"12","journalAbbreviation":"Nat Gen</w:instrText>
            </w:r>
            <w:r>
              <w:rPr>
                <w:rFonts w:ascii="Arial" w:hAnsi="Arial" w:cs="Arial"/>
              </w:rPr>
              <w:instrText>et","note":"PMID: 29083406\nPMCID: PMC5989923","page":"1752-1757","source":"PubMed Central","title":"Shared genetic origin of asthma, hay fever and eczema elucidates allergic disease biology","volume":"49","author":[{"family":"Ferreira","given":"Manuel A"}</w:instrText>
            </w:r>
            <w:r>
              <w:rPr>
                <w:rFonts w:ascii="Arial" w:hAnsi="Arial" w:cs="Arial"/>
              </w:rPr>
              <w:instrText>,{"family":"Vonk","given":"Judith M"},{"family":"Baurecht","given":"Hansjörg"},{"family":"Marenholz","given":"Ingo"},{"family":"Tian","given":"Chao"},{"family":"Hoffman","given":"Joshua D"},{"family":"Helmer","given":"Quinta"},{"family":"Tillander","given"</w:instrText>
            </w:r>
            <w:r>
              <w:rPr>
                <w:rFonts w:ascii="Arial" w:hAnsi="Arial" w:cs="Arial"/>
              </w:rPr>
              <w:instrText>:"Annika"},{"family":"Ullemar","given":"Vilhelmina"},{"family":"Dongen","given":"Jenny","non-dropping-particle":"van"},{"family":"Lu","given":"Yi"},{"family":"Rüschendorf","given":"Franz"},{"family":"Esparza-Gordillo","given":"Jorge"},{"family":"Medway","g</w:instrText>
            </w:r>
            <w:r>
              <w:rPr>
                <w:rFonts w:ascii="Arial" w:hAnsi="Arial" w:cs="Arial"/>
              </w:rPr>
              <w:instrText>iven":"Chris W"},{"family":"Mountjoy","given":"Edward"},{"family":"Burrows","given":"Kimberley"},{"family":"Hummel","given":"Oliver"},{"family":"Grosche","given":"Sarah"},{"family":"Brumpton","given":"Ben M"},{"family":"Witte","given":"John S"},{"family":"</w:instrText>
            </w:r>
            <w:r>
              <w:rPr>
                <w:rFonts w:ascii="Arial" w:hAnsi="Arial" w:cs="Arial"/>
              </w:rPr>
              <w:instrText>Hottenga","given":"Jouke-Jan"},{"family":"Willemsen","given":"Gonneke"},{"family":"Zheng","given":"Jie"},{"family":"Rodríguez","given":"Elke"},{"family":"Hotze","given":"Melanie"},{"family":"Franke","given":"Andre"},{"family":"Revez","given":"Joana A"},{"f</w:instrText>
            </w:r>
            <w:r>
              <w:rPr>
                <w:rFonts w:ascii="Arial" w:hAnsi="Arial" w:cs="Arial"/>
              </w:rPr>
              <w:instrText>amily":"Beesley","given":"Jonathan"},{"family":"Matheson","given":"Melanie C"},{"family":"Dharmage","given":"Shyamali C"},{"family":"Bain","given":"Lisa M"},{"family":"Fritsche","given":"Lars G"},{"family":"Gabrielsen","given":"Maiken E"},{"family":"Balliu</w:instrText>
            </w:r>
            <w:r>
              <w:rPr>
                <w:rFonts w:ascii="Arial" w:hAnsi="Arial" w:cs="Arial"/>
              </w:rPr>
              <w:instrText>","given":"Brunilda"},{"family":"Nielsen","given":"Jonas B"},{"family":"Zhou","given":"Wei"},{"family":"Hveem","given":"Kristian"},{"family":"Langhammer","given":"Arnulf"},{"family":"Holmen","given":"Oddgeir L"},{"family":"Løset","given":"Mari"},{"family":</w:instrText>
            </w:r>
            <w:r>
              <w:rPr>
                <w:rFonts w:ascii="Arial" w:hAnsi="Arial" w:cs="Arial"/>
              </w:rPr>
              <w:instrText>"Abecasis","given":"Gonçalo R"},{"family":"Willer","given":"Cristen J"},{"family":"Arnold","given":"Andreas"},{"family":"Homuth","given":"Georg"},{"family":"Schmidt","given":"Carsten O"},{"family":"Thompson","given":"Philip J"},{"family":"Martin","given":"</w:instrText>
            </w:r>
            <w:r>
              <w:rPr>
                <w:rFonts w:ascii="Arial" w:hAnsi="Arial" w:cs="Arial"/>
              </w:rPr>
              <w:instrText>Nicholas G"},{"family":"Duffy","given":"David L"},{"family":"Novak","given":"Natalija"},{"family":"Schulz","given":"Holger"},{"family":"Karrasch","given":"Stefan"},{"family":"Gieger","given":"Christian"},{"family":"Strauch","given":"Konstantin"},{"family":</w:instrText>
            </w:r>
            <w:r>
              <w:rPr>
                <w:rFonts w:ascii="Arial" w:hAnsi="Arial" w:cs="Arial"/>
              </w:rPr>
              <w:instrText>"Melles","given":"Ronald B"},{"family":"Hinds","given":"David A"},{"family":"Hübner","given":"Norbert"},{"family":"Weidinger","given":"Stephan"},{"family":"Magnusson","given":"Patrik KE"},{"family":"Jansen","given":"Rick"},{"family":"Jorgenson","given":"Er</w:instrText>
            </w:r>
            <w:r>
              <w:rPr>
                <w:rFonts w:ascii="Arial" w:hAnsi="Arial" w:cs="Arial"/>
              </w:rPr>
              <w:instrText>ic"},{"family":"Lee","given":"Young-Ae"},{"family":"Boomsma","given":"Dorret I"},{"family":"Almqvist","given":"Catarina"},{"family":"Karlsson","given":"Robert"},{"family":"Koppelman","given":"Gerard H"},{"family":"Paternoster","given":"Lavinia"}],"issued":</w:instrText>
            </w:r>
            <w:r>
              <w:rPr>
                <w:rFonts w:ascii="Arial" w:hAnsi="Arial" w:cs="Arial"/>
              </w:rPr>
              <w:instrText>{"date-parts":[["2017",12]]}}},{"id":511,"uris":["http://zotero.org/groups/2409646/items/YWV2H775"],"uri":["http://zotero.org/groups/2409646/items/YWV2H775"],"itemData":{"id":511,"type":"article-journal","abstract":"Background\nA recent genome-wide associa</w:instrText>
            </w:r>
            <w:r>
              <w:rPr>
                <w:rFonts w:ascii="Arial" w:hAnsi="Arial" w:cs="Arial"/>
              </w:rPr>
              <w:instrText>tion study (GWAS) identified 99 loci that contain genetic risk variants shared between asthma, hay fever, and eczema. Many more risk loci shared between these common allergic diseases remain to be discovered, which could point to new therapeutic opportunit</w:instrText>
            </w:r>
            <w:r>
              <w:rPr>
                <w:rFonts w:ascii="Arial" w:hAnsi="Arial" w:cs="Arial"/>
              </w:rPr>
              <w:instrText>ies.\nObjective\nWe sought to identify novel risk loci shared between asthma, hay fever, and eczema by applying a gene-based test of association to results from a published GWAS that included data from 360,838 subjects.\nMethods\nWe used approximate condit</w:instrText>
            </w:r>
            <w:r>
              <w:rPr>
                <w:rFonts w:ascii="Arial" w:hAnsi="Arial" w:cs="Arial"/>
              </w:rPr>
              <w:instrText>ional analysis to adjust the results from the published GWAS for the effects of the top risk variants identified in that study. We then analyzed the adjusted GWAS results with the EUGENE gene-based approach, which combines evidence for association with dis</w:instrText>
            </w:r>
            <w:r>
              <w:rPr>
                <w:rFonts w:ascii="Arial" w:hAnsi="Arial" w:cs="Arial"/>
              </w:rPr>
              <w:instrText>ease risk across regulatory variants identified in different tissues. Novel gene-based associations were followed up in an independent sample of 233,898 subjects from the UK Biobank study.\nResults\nOf the 19,432 genes tested, 30 had a significant gene-bas</w:instrText>
            </w:r>
            <w:r>
              <w:rPr>
                <w:rFonts w:ascii="Arial" w:hAnsi="Arial" w:cs="Arial"/>
              </w:rPr>
              <w:instrText>ed association at a Bonferroni-corrected P value of 2.5 × 10−6. Of these, 20 were also significantly associated (P &lt; .05/30 = .0016) with disease risk in the replication sample, including 19 that were located in 11 loci not reported to contain allergy risk</w:instrText>
            </w:r>
            <w:r>
              <w:rPr>
                <w:rFonts w:ascii="Arial" w:hAnsi="Arial" w:cs="Arial"/>
              </w:rPr>
              <w:instrText xml:space="preserve"> variants in previous GWASs. Among these were 9 genes with a known function that is directly relevant to allergic disease: FOSL2, VPRBP, IPCEF1, PRR5L, NCF4, APOBR, IL27, ATXN2L, and LAT. For 4 genes (eg, ATXN2L), a genetically determined decrease in gene </w:instrText>
            </w:r>
            <w:r>
              <w:rPr>
                <w:rFonts w:ascii="Arial" w:hAnsi="Arial" w:cs="Arial"/>
              </w:rPr>
              <w:instrText>expression was associated with decreased allergy risk, and therefore drugs that inhibit gene expression or function are predicted to ameliorate disease symptoms. The opposite directional effect was observed for 14 genes, including IL27, a cytokine known to</w:instrText>
            </w:r>
            <w:r>
              <w:rPr>
                <w:rFonts w:ascii="Arial" w:hAnsi="Arial" w:cs="Arial"/>
              </w:rPr>
              <w:instrText xml:space="preserve"> suppress TH2 responses.\nConclusion\nUsing a gene-based approach, we identified 11 risk loci for allergic disease that were not reported in previous GWASs. Functional studies that investigate the contribution of the 19 associated genes to the pathophysiol</w:instrText>
            </w:r>
            <w:r>
              <w:rPr>
                <w:rFonts w:ascii="Arial" w:hAnsi="Arial" w:cs="Arial"/>
              </w:rPr>
              <w:instrText>ogy of allergic disease and assess their therapeutic potential are warranted.","container-title":"Journal of Allergy and Clinical Immunology","DOI":"10.1016/j.jaci.2018.03.012","ISSN":"0091-6749","issue":"2","journalAbbreviation":"Journal of Allergy and Cl</w:instrText>
            </w:r>
            <w:r>
              <w:rPr>
                <w:rFonts w:ascii="Arial" w:hAnsi="Arial" w:cs="Arial"/>
              </w:rPr>
              <w:instrText>inical Immunology","language":"en","page":"691-699","source":"ScienceDirect","title":"Eleven loci with new reproducible genetic associations with allergic disease risk","volume":"143","author":[{"family":"Ferreira","given":"Manuel A. R."},{"family":"Vonk",</w:instrText>
            </w:r>
            <w:r>
              <w:rPr>
                <w:rFonts w:ascii="Arial" w:hAnsi="Arial" w:cs="Arial"/>
              </w:rPr>
              <w:instrText>"given":"Judith M."},{"family":"Baurecht","given":"Hansjörg"},{"family":"Marenholz","given":"Ingo"},{"family":"Tian","given":"Chao"},{"family":"Hoffman","given":"Joshua D."},{"family":"Helmer","given":"Quinta"},{"family":"Tillander","given":"Annika"},{"fam</w:instrText>
            </w:r>
            <w:r>
              <w:rPr>
                <w:rFonts w:ascii="Arial" w:hAnsi="Arial" w:cs="Arial"/>
              </w:rPr>
              <w:instrText>ily":"Ullemar","given":"Vilhelmina"},{"family":"Lu","given":"Yi"},{"family":"Rüschendorf","given":"Franz"},{"family":"Hinds","given":"David A."},{"family":"Hübner","given":"Norbert"},{"family":"Weidinger","given":"Stephan"},{"family":"Magnusson","given":"P</w:instrText>
            </w:r>
            <w:r>
              <w:rPr>
                <w:rFonts w:ascii="Arial" w:hAnsi="Arial" w:cs="Arial"/>
              </w:rPr>
              <w:instrText>atrik K. E."},{"family":"Jorgenson","given":"Eric"},{"family":"Lee","given":"Young-Ae"},{"family":"Boomsma","given":"Dorret I."},{"family":"Karlsson","given":"Robert"},{"family":"Almqvist","given":"Catarina"},{"family":"Koppelman","given":"Gerard H."},{"fa</w:instrText>
            </w:r>
            <w:r>
              <w:rPr>
                <w:rFonts w:ascii="Arial" w:hAnsi="Arial" w:cs="Arial"/>
              </w:rPr>
              <w:instrText xml:space="preserve">mily":"Paternoster","given":"Lavinia"}],"issued":{"date-parts":[["2019",2,1]]}}}],"schema":"https://github.com/citation-style-language/schema/raw/master/csl-citation.json"} </w:instrText>
            </w:r>
            <w:r>
              <w:rPr>
                <w:rFonts w:ascii="Arial" w:hAnsi="Arial" w:cs="Arial"/>
              </w:rPr>
              <w:fldChar w:fldCharType="separate"/>
            </w:r>
            <w:r>
              <w:rPr>
                <w:rFonts w:ascii="Arial" w:hAnsi="Arial" w:cs="Arial"/>
                <w:szCs w:val="24"/>
                <w:vertAlign w:val="superscript"/>
              </w:rPr>
              <w:t>5,6</w:t>
            </w:r>
            <w:r>
              <w:rPr>
                <w:rFonts w:ascii="Arial" w:hAnsi="Arial" w:cs="Arial"/>
              </w:rPr>
              <w:fldChar w:fldCharType="end"/>
            </w:r>
            <w:r>
              <w:rPr>
                <w:rFonts w:ascii="Arial" w:hAnsi="Arial" w:cs="Arial"/>
                <w:highlight w:val="yellow"/>
              </w:rPr>
              <w:t xml:space="preserve"> </w:t>
            </w:r>
          </w:p>
        </w:tc>
      </w:tr>
      <w:tr w:rsidR="00C917BA">
        <w:tc>
          <w:tcPr>
            <w:tcW w:w="1623" w:type="dxa"/>
          </w:tcPr>
          <w:p w:rsidR="00C917BA" w:rsidRDefault="000020C2">
            <w:pPr>
              <w:rPr>
                <w:rFonts w:ascii="Arial" w:hAnsi="Arial" w:cs="Arial"/>
              </w:rPr>
            </w:pPr>
            <w:r>
              <w:rPr>
                <w:rFonts w:ascii="Arial" w:hAnsi="Arial" w:cs="Arial"/>
              </w:rPr>
              <w:t>PRS for asthma</w:t>
            </w:r>
          </w:p>
        </w:tc>
        <w:tc>
          <w:tcPr>
            <w:tcW w:w="5485" w:type="dxa"/>
          </w:tcPr>
          <w:p w:rsidR="00C917BA" w:rsidRDefault="000020C2">
            <w:pPr>
              <w:rPr>
                <w:rFonts w:ascii="Arial" w:hAnsi="Arial" w:cs="Arial"/>
              </w:rPr>
            </w:pPr>
            <w:r>
              <w:rPr>
                <w:rFonts w:ascii="Arial" w:hAnsi="Arial" w:cs="Arial"/>
              </w:rPr>
              <w:t>PRS calculated from SNPs reported to be associated with ast</w:t>
            </w:r>
            <w:r>
              <w:rPr>
                <w:rFonts w:ascii="Arial" w:hAnsi="Arial" w:cs="Arial"/>
              </w:rPr>
              <w:t xml:space="preserve">hma </w:t>
            </w:r>
          </w:p>
        </w:tc>
        <w:tc>
          <w:tcPr>
            <w:tcW w:w="2242" w:type="dxa"/>
          </w:tcPr>
          <w:p w:rsidR="00C917BA" w:rsidRDefault="000020C2">
            <w:pPr>
              <w:rPr>
                <w:rFonts w:ascii="Arial" w:hAnsi="Arial" w:cs="Arial"/>
              </w:rPr>
            </w:pPr>
            <w:r>
              <w:rPr>
                <w:rFonts w:ascii="Arial" w:hAnsi="Arial" w:cs="Arial"/>
              </w:rPr>
              <w:t xml:space="preserve">El Husseini 2020 </w:t>
            </w:r>
            <w:r>
              <w:rPr>
                <w:rFonts w:ascii="Arial" w:hAnsi="Arial" w:cs="Arial"/>
              </w:rPr>
              <w:fldChar w:fldCharType="begin"/>
            </w:r>
            <w:r>
              <w:rPr>
                <w:rFonts w:ascii="Arial" w:hAnsi="Arial" w:cs="Arial"/>
              </w:rPr>
              <w:instrText xml:space="preserve"> ADDIN ZOTERO_ITEM CSL_CITATION {"citationID":"LUK61fP9","properties":{"formattedCitation":"\\super 7\\nosupersub{}","plainCitation":"7","noteIndex":0},"citationItems":[{"id":1317,"uris":["http://zotero.org/groups/2409646/items/7B35GQ</w:instrText>
            </w:r>
            <w:r>
              <w:rPr>
                <w:rFonts w:ascii="Arial" w:hAnsi="Arial" w:cs="Arial"/>
              </w:rPr>
              <w:instrText>5C"],"uri":["http://zotero.org/groups/2409646/items/7B35GQ5C"],"itemData":{"id":1317,"type":"article-journal","abstract":"Asthma is an inflammatory airway disease that is estimated to affect 339 million people globally. The symptoms of about 5–10% of patie</w:instrText>
            </w:r>
            <w:r>
              <w:rPr>
                <w:rFonts w:ascii="Arial" w:hAnsi="Arial" w:cs="Arial"/>
              </w:rPr>
              <w:instrText>nts with asthma are not adequately controlled with current therapy, and little success has been achieved in developing drugs that target the underlying mechanisms of asthma rather than suppressing symptoms. Over the past 3 years, well powered genetic studi</w:instrText>
            </w:r>
            <w:r>
              <w:rPr>
                <w:rFonts w:ascii="Arial" w:hAnsi="Arial" w:cs="Arial"/>
              </w:rPr>
              <w:instrText>es of asthma have increased the number of independent asthma-associated genetic loci to 128. In this Series paper, we describe the immense progress in asthma genetics over the past 13 years and link asthma genetic variants to possible drug targets. Further</w:instrText>
            </w:r>
            <w:r>
              <w:rPr>
                <w:rFonts w:ascii="Arial" w:hAnsi="Arial" w:cs="Arial"/>
              </w:rPr>
              <w:instrText xml:space="preserve"> studies are needed to establish the functional significance of gene variants associated with asthma in subgroups of patients and to describe the biological networks within which they function. The genomics-guided discovery of plausible drug targets for as</w:instrText>
            </w:r>
            <w:r>
              <w:rPr>
                <w:rFonts w:ascii="Arial" w:hAnsi="Arial" w:cs="Arial"/>
              </w:rPr>
              <w:instrText>thma could pave the way for the repurposing of existing drugs for asthma and the development of new treatments.","container-title":"The Lancet Respiratory Medicine","DOI":"10.1016/S2213-2600(20)30363-5","ISSN":"2213-2600","issue":"10","journalAbbreviation"</w:instrText>
            </w:r>
            <w:r>
              <w:rPr>
                <w:rFonts w:ascii="Arial" w:hAnsi="Arial" w:cs="Arial"/>
              </w:rPr>
              <w:instrText>:"The Lancet Respiratory Medicine","language":"en","page":"1045-1056","source":"ScienceDirect","title":"The genetics of asthma and the promise of genomics-guided drug target discovery","volume":"8","author":[{"family":"El-Husseini","given":"Zaid W"},{"fami</w:instrText>
            </w:r>
            <w:r>
              <w:rPr>
                <w:rFonts w:ascii="Arial" w:hAnsi="Arial" w:cs="Arial"/>
              </w:rPr>
              <w:instrText xml:space="preserve">ly":"Gosens","given":"Reinoud"},{"family":"Dekker","given":"Frank"},{"family":"Koppelman","given":"Gerard H"}],"issued":{"date-parts":[["2020",10,1]]}}}],"schema":"https://github.com/citation-style-language/schema/raw/master/csl-citation.json"} </w:instrText>
            </w:r>
            <w:r>
              <w:rPr>
                <w:rFonts w:ascii="Arial" w:hAnsi="Arial" w:cs="Arial"/>
              </w:rPr>
              <w:fldChar w:fldCharType="separate"/>
            </w:r>
            <w:r>
              <w:rPr>
                <w:rFonts w:ascii="Arial" w:hAnsi="Arial" w:cs="Arial"/>
                <w:szCs w:val="24"/>
                <w:vertAlign w:val="superscript"/>
              </w:rPr>
              <w:t>7</w:t>
            </w:r>
            <w:r>
              <w:rPr>
                <w:rFonts w:ascii="Arial" w:hAnsi="Arial" w:cs="Arial"/>
              </w:rPr>
              <w:fldChar w:fldCharType="end"/>
            </w:r>
            <w:r>
              <w:rPr>
                <w:rFonts w:ascii="Arial" w:hAnsi="Arial" w:cs="Arial"/>
              </w:rPr>
              <w:t xml:space="preserve"> </w:t>
            </w:r>
          </w:p>
        </w:tc>
      </w:tr>
      <w:tr w:rsidR="00C917BA">
        <w:tc>
          <w:tcPr>
            <w:tcW w:w="1623" w:type="dxa"/>
          </w:tcPr>
          <w:p w:rsidR="00C917BA" w:rsidRDefault="000020C2">
            <w:pPr>
              <w:rPr>
                <w:rFonts w:ascii="Arial" w:hAnsi="Arial" w:cs="Arial"/>
              </w:rPr>
            </w:pPr>
            <w:r>
              <w:rPr>
                <w:rFonts w:ascii="Arial" w:hAnsi="Arial" w:cs="Arial"/>
              </w:rPr>
              <w:t xml:space="preserve">PRS </w:t>
            </w:r>
            <w:r>
              <w:rPr>
                <w:rFonts w:ascii="Arial" w:hAnsi="Arial" w:cs="Arial"/>
              </w:rPr>
              <w:t>for dermatitis</w:t>
            </w:r>
          </w:p>
        </w:tc>
        <w:tc>
          <w:tcPr>
            <w:tcW w:w="5485" w:type="dxa"/>
          </w:tcPr>
          <w:p w:rsidR="00C917BA" w:rsidRDefault="000020C2">
            <w:pPr>
              <w:rPr>
                <w:rFonts w:ascii="Arial" w:hAnsi="Arial" w:cs="Arial"/>
              </w:rPr>
            </w:pPr>
            <w:r>
              <w:rPr>
                <w:rFonts w:ascii="Arial" w:hAnsi="Arial" w:cs="Arial"/>
              </w:rPr>
              <w:t xml:space="preserve">PRS calculated from SNPs reported to be associated with dermatitis </w:t>
            </w:r>
          </w:p>
        </w:tc>
        <w:tc>
          <w:tcPr>
            <w:tcW w:w="2242" w:type="dxa"/>
          </w:tcPr>
          <w:p w:rsidR="00C917BA" w:rsidRDefault="000020C2">
            <w:pPr>
              <w:rPr>
                <w:rFonts w:ascii="Arial" w:hAnsi="Arial" w:cs="Arial"/>
              </w:rPr>
            </w:pPr>
            <w:r>
              <w:rPr>
                <w:rFonts w:ascii="Arial" w:hAnsi="Arial" w:cs="Arial"/>
              </w:rPr>
              <w:t xml:space="preserve">Paternoster 2015 </w:t>
            </w:r>
            <w:r>
              <w:rPr>
                <w:rFonts w:ascii="Arial" w:hAnsi="Arial" w:cs="Arial"/>
              </w:rPr>
              <w:fldChar w:fldCharType="begin"/>
            </w:r>
            <w:r>
              <w:rPr>
                <w:rFonts w:ascii="Arial" w:hAnsi="Arial" w:cs="Arial"/>
              </w:rPr>
              <w:instrText xml:space="preserve"> ADDIN ZOTERO_ITEM CSL_CITATION {"citationID":"rPfIqaav","properties":{"formattedCitation":"\\super 8\\nosupersub{}","plainCitation":"8","noteIndex":0},"cit</w:instrText>
            </w:r>
            <w:r>
              <w:rPr>
                <w:rFonts w:ascii="Arial" w:hAnsi="Arial" w:cs="Arial"/>
              </w:rPr>
              <w:instrText>ationItems":[{"id":504,"uris":["http://zotero.org/groups/2409646/items/QQ88DR27"],"uri":["http://zotero.org/groups/2409646/items/QQ88DR27"],"itemData":{"id":504,"type":"article-journal","abstract":"Genetic association studies have identified 21 loci associ</w:instrText>
            </w:r>
            <w:r>
              <w:rPr>
                <w:rFonts w:ascii="Arial" w:hAnsi="Arial" w:cs="Arial"/>
              </w:rPr>
              <w:instrText>ated with atopic dermatitis risk predominantly in populations of European ancestry. To identify further susceptibility loci for this common, complex skin disease, we performed a meta-analysis of &gt;15 million genetic variants in 21,399 cases and 95,464 contr</w:instrText>
            </w:r>
            <w:r>
              <w:rPr>
                <w:rFonts w:ascii="Arial" w:hAnsi="Arial" w:cs="Arial"/>
              </w:rPr>
              <w:instrText>ols from populations of European, African, Japanese and Latino ancestry, followed by replication in 32,059 cases and 228,628 controls from 18 studies. We identified ten new risk loci, bringing the total number of known atopic dermatitis risk loci to 31 (wi</w:instrText>
            </w:r>
            <w:r>
              <w:rPr>
                <w:rFonts w:ascii="Arial" w:hAnsi="Arial" w:cs="Arial"/>
              </w:rPr>
              <w:instrText>th new secondary signals at four of these loci). Notably, the new loci include candidate genes with roles in the regulation of innate host defenses and T cell function, underscoring the important contribution of (auto)immune mechanisms to atopic dermatitis</w:instrText>
            </w:r>
            <w:r>
              <w:rPr>
                <w:rFonts w:ascii="Arial" w:hAnsi="Arial" w:cs="Arial"/>
              </w:rPr>
              <w:instrText xml:space="preserve"> pathogenesis.","container-title":"Nature Genetics","DOI":"10.1038/ng.3424","ISSN":"1546-1718","issue":"12","journalAbbreviation":"Nat. Genet.","language":"eng","note":"PMID: 26482879\nPMCID: PMC4753676","page":"1449-1456","source":"PubMed","title":"Multi-</w:instrText>
            </w:r>
            <w:r>
              <w:rPr>
                <w:rFonts w:ascii="Arial" w:hAnsi="Arial" w:cs="Arial"/>
              </w:rPr>
              <w:instrText>ancestry genome-wide association study of 21,000 cases and 95,000 controls identifies new risk loci for atopic dermatitis","volume":"47","author":[{"family":"Paternoster","given":"Lavinia"},{"family":"Standl","given":"Marie"},{"family":"Waage","given":"Joh</w:instrText>
            </w:r>
            <w:r>
              <w:rPr>
                <w:rFonts w:ascii="Arial" w:hAnsi="Arial" w:cs="Arial"/>
              </w:rPr>
              <w:instrText>annes"},{"family":"Baurecht","given":"Hansjörg"},{"family":"Hotze","given":"Melanie"},{"family":"Strachan","given":"David P."},{"family":"Curtin","given":"John A."},{"family":"Bønnelykke","given":"Klaus"},{"family":"Tian","given":"Chao"},{"family":"Takahas</w:instrText>
            </w:r>
            <w:r>
              <w:rPr>
                <w:rFonts w:ascii="Arial" w:hAnsi="Arial" w:cs="Arial"/>
              </w:rPr>
              <w:instrText>hi","given":"Atsushi"},{"family":"Esparza-Gordillo","given":"Jorge"},{"family":"Alves","given":"Alexessander Couto"},{"family":"Thyssen","given":"Jacob P."},{"family":"Dekker","given":"Herman T.","non-dropping-particle":"den"},{"family":"Ferreira","given":</w:instrText>
            </w:r>
            <w:r>
              <w:rPr>
                <w:rFonts w:ascii="Arial" w:hAnsi="Arial" w:cs="Arial"/>
              </w:rPr>
              <w:instrText>"Manuel A."},{"family":"Altmaier","given":"Elisabeth"},{"family":"Sleiman","given":"Patrick Ma"},{"family":"Xiao","given":"Feng Li"},{"family":"Gonzalez","given":"Juan R."},{"family":"Marenholz","given":"Ingo"},{"family":"Kalb","given":"Birgit"},{"family":</w:instrText>
            </w:r>
            <w:r>
              <w:rPr>
                <w:rFonts w:ascii="Arial" w:hAnsi="Arial" w:cs="Arial"/>
              </w:rPr>
              <w:instrText>"Yanes","given":"Maria Pino"},{"family":"Xu","given":"Cheng-Jian"},{"family":"Carstensen","given":"Lisbeth"},{"family":"Groen-Blokhuis","given":"Maria M."},{"family":"Venturini","given":"Cristina"},{"family":"Pennell","given":"Craig E."},{"family":"Barton"</w:instrText>
            </w:r>
            <w:r>
              <w:rPr>
                <w:rFonts w:ascii="Arial" w:hAnsi="Arial" w:cs="Arial"/>
              </w:rPr>
              <w:instrText>,"given":"Sheila J."},{"family":"Levin","given":"Albert M."},{"family":"Curjuric","given":"Ivan"},{"family":"Bustamante","given":"Mariona"},{"family":"Kreiner-Møller","given":"Eskil"},{"family":"Lockett","given":"Gabrielle A."},{"family":"Bacelis","given":</w:instrText>
            </w:r>
            <w:r>
              <w:rPr>
                <w:rFonts w:ascii="Arial" w:hAnsi="Arial" w:cs="Arial"/>
              </w:rPr>
              <w:instrText>"Jonas"},{"family":"Bunyavanich","given":"Supinda"},{"family":"Myers","given":"Rachel A."},{"family":"Matanovic","given":"Anja"},{"family":"Kumar","given":"Ashish"},{"family":"Tung","given":"Joyce Y."},{"family":"Hirota","given":"Tomomitsu"},{"family":"Kub</w:instrText>
            </w:r>
            <w:r>
              <w:rPr>
                <w:rFonts w:ascii="Arial" w:hAnsi="Arial" w:cs="Arial"/>
              </w:rPr>
              <w:instrText>o","given":"Michiaki"},{"family":"McArdle","given":"Wendy L."},{"family":"Henderson","given":"A. J."},{"family":"Kemp","given":"John P."},{"family":"Zheng","given":"Jie"},{"family":"Smith","given":"George Davey"},{"family":"Rüschendorf","given":"Franz"},{"</w:instrText>
            </w:r>
            <w:r>
              <w:rPr>
                <w:rFonts w:ascii="Arial" w:hAnsi="Arial" w:cs="Arial"/>
              </w:rPr>
              <w:instrText>family":"Bauerfeind","given":"Anja"},{"family":"Lee-Kirsch","given":"Min Ae"},{"family":"Arnold","given":"Andreas"},{"family":"Homuth","given":"Georg"},{"family":"Schmidt","given":"Carsten O."},{"family":"Mangold","given":"Elisabeth"},{"family":"Cichon","g</w:instrText>
            </w:r>
            <w:r>
              <w:rPr>
                <w:rFonts w:ascii="Arial" w:hAnsi="Arial" w:cs="Arial"/>
              </w:rPr>
              <w:instrText>iven":"Sven"},{"family":"Keil","given":"Thomas"},{"family":"Rodríguez","given":"Elke"},{"family":"Peters","given":"Annette"},{"family":"Franke","given":"Andre"},{"family":"Lieb","given":"Wolfgang"},{"family":"Novak","given":"Natalija"},{"family":"Fölster-H</w:instrText>
            </w:r>
            <w:r>
              <w:rPr>
                <w:rFonts w:ascii="Arial" w:hAnsi="Arial" w:cs="Arial"/>
              </w:rPr>
              <w:instrText>olst","given":"Regina"},{"family":"Horikoshi","given":"Momoko"},{"family":"Pekkanen","given":"Juha"},{"family":"Sebert","given":"Sylvain"},{"family":"Husemoen","given":"Lise L."},{"family":"Grarup","given":"Niels"},{"family":"Jongste","given":"Johan C.","n</w:instrText>
            </w:r>
            <w:r>
              <w:rPr>
                <w:rFonts w:ascii="Arial" w:hAnsi="Arial" w:cs="Arial"/>
              </w:rPr>
              <w:instrText>on-dropping-particle":"de"},{"family":"Rivadeneira","given":"Fernando"},{"family":"Hofman","given":"Albert"},{"family":"Jaddoe","given":"Vincent Wv"},{"family":"Pasmans","given":"Suzanne Gma"},{"family":"Elbert","given":"Niels J."},{"family":"Uitterlinden"</w:instrText>
            </w:r>
            <w:r>
              <w:rPr>
                <w:rFonts w:ascii="Arial" w:hAnsi="Arial" w:cs="Arial"/>
              </w:rPr>
              <w:instrText>,"given":"André G."},{"family":"Marks","given":"Guy B."},{"family":"Thompson","given":"Philip J."},{"family":"Matheson","given":"Melanie C."},{"family":"Robertson","given":"Colin F."},{"literal":"Australian Asthma Genetics Consortium (AAGC)"},{"family":"Ri</w:instrText>
            </w:r>
            <w:r>
              <w:rPr>
                <w:rFonts w:ascii="Arial" w:hAnsi="Arial" w:cs="Arial"/>
              </w:rPr>
              <w:instrText>ed","given":"Janina S."},{"family":"Li","given":"Jin"},{"family":"Zuo","given":"Xian Bo"},{"family":"Zheng","given":"Xiao Dong"},{"family":"Yin","given":"Xian Yong"},{"family":"Sun","given":"Liang Dan"},{"family":"McAleer","given":"Maeve A."},{"family":"O'</w:instrText>
            </w:r>
            <w:r>
              <w:rPr>
                <w:rFonts w:ascii="Arial" w:hAnsi="Arial" w:cs="Arial"/>
              </w:rPr>
              <w:instrText>Regan","given":"Grainne M."},{"family":"Fahy","given":"Caoimhe Mr"},{"family":"Campbell","given":"Linda E."},{"family":"Macek","given":"Milan"},{"family":"Kurek","given":"Michael"},{"family":"Hu","given":"Donglei"},{"family":"Eng","given":"Celeste"},{"fami</w:instrText>
            </w:r>
            <w:r>
              <w:rPr>
                <w:rFonts w:ascii="Arial" w:hAnsi="Arial" w:cs="Arial"/>
              </w:rPr>
              <w:instrText>ly":"Postma","given":"Dirkje S."},{"family":"Feenstra","given":"Bjarke"},{"family":"Geller","given":"Frank"},{"family":"Hottenga","given":"Jouke Jan"},{"family":"Middeldorp","given":"Christel M."},{"family":"Hysi","given":"Pirro"},{"family":"Bataille","giv</w:instrText>
            </w:r>
            <w:r>
              <w:rPr>
                <w:rFonts w:ascii="Arial" w:hAnsi="Arial" w:cs="Arial"/>
              </w:rPr>
              <w:instrText>en":"Veronique"},{"family":"Spector","given":"Tim"},{"family":"Tiesler","given":"Carla Mt"},{"family":"Thiering","given":"Elisabeth"},{"family":"Pahukasahasram","given":"Badri"},{"family":"Yang","given":"James J."},{"family":"Imboden","given":"Medea"},{"fa</w:instrText>
            </w:r>
            <w:r>
              <w:rPr>
                <w:rFonts w:ascii="Arial" w:hAnsi="Arial" w:cs="Arial"/>
              </w:rPr>
              <w:instrText>mily":"Huntsman","given":"Scott"},{"family":"Vilor-Tejedor","given":"Natàlia"},{"family":"Relton","given":"Caroline L."},{"family":"Myhre","given":"Ronny"},{"family":"Nystad","given":"Wenche"},{"family":"Custovic","given":"Adnan"},{"family":"Weiss","given"</w:instrText>
            </w:r>
            <w:r>
              <w:rPr>
                <w:rFonts w:ascii="Arial" w:hAnsi="Arial" w:cs="Arial"/>
              </w:rPr>
              <w:instrText>:"Scott T."},{"family":"Meyers","given":"Deborah A."},{"family":"Söderhäll","given":"Cilla"},{"family":"Melén","given":"Erik"},{"family":"Ober","given":"Carole"},{"family":"Raby","given":"Benjamin A."},{"family":"Simpson","given":"Angela"},{"family":"Jacob</w:instrText>
            </w:r>
            <w:r>
              <w:rPr>
                <w:rFonts w:ascii="Arial" w:hAnsi="Arial" w:cs="Arial"/>
              </w:rPr>
              <w:instrText xml:space="preserve">sson","given":"Bo"},{"family":"Holloway","given":"John W."},{"family":"Bisgaard","given":"Hans"},{"family":"Sunyer","given":"Jordi"},{"family":"Hensch","given":"Nicole M. Probst"},{"family":"Williams","given":"L. Keoki"},{"family":"Godfrey","given":"Keith </w:instrText>
            </w:r>
            <w:r>
              <w:rPr>
                <w:rFonts w:ascii="Arial" w:hAnsi="Arial" w:cs="Arial"/>
              </w:rPr>
              <w:instrText>M."},{"family":"Wang","given":"Carol A."},{"family":"Boomsma","given":"Dorret I."},{"family":"Melbye","given":"Mads"},{"family":"Koppelman","given":"Gerard H."},{"family":"Jarvis","given":"Deborah"},{"family":"McLean","given":"Wh Irwin"},{"family":"Irvine"</w:instrText>
            </w:r>
            <w:r>
              <w:rPr>
                <w:rFonts w:ascii="Arial" w:hAnsi="Arial" w:cs="Arial"/>
              </w:rPr>
              <w:instrText>,"given":"Alan D."},{"family":"Zhang","given":"Xue Jun"},{"family":"Hakonarson","given":"Hakon"},{"family":"Gieger","given":"Christian"},{"family":"Burchard","given":"Esteban G."},{"family":"Martin","given":"Nicholas G."},{"family":"Duijts","given":"Liesbe</w:instrText>
            </w:r>
            <w:r>
              <w:rPr>
                <w:rFonts w:ascii="Arial" w:hAnsi="Arial" w:cs="Arial"/>
              </w:rPr>
              <w:instrText>th"},{"family":"Linneberg","given":"Allan"},{"family":"Jarvelin","given":"Marjo-Riitta"},{"family":"Noethen","given":"Markus M."},{"family":"Lau","given":"Susanne"},{"family":"Hübner","given":"Norbert"},{"family":"Lee","given":"Young-Ae"},{"family":"Tamari</w:instrText>
            </w:r>
            <w:r>
              <w:rPr>
                <w:rFonts w:ascii="Arial" w:hAnsi="Arial" w:cs="Arial"/>
              </w:rPr>
              <w:instrText>","given":"Mayumi"},{"family":"Hinds","given":"David A."},{"family":"Glass","given":"Daniel"},{"family":"Brown","given":"Sara J."},{"family":"Heinrich","given":"Joachim"},{"family":"Evans","given":"David M."},{"family":"Weidinger","given":"Stephan"}],"issu</w:instrText>
            </w:r>
            <w:r>
              <w:rPr>
                <w:rFonts w:ascii="Arial" w:hAnsi="Arial" w:cs="Arial"/>
              </w:rPr>
              <w:instrText xml:space="preserve">ed":{"date-parts":[["2015",12]]}}}],"schema":"https://github.com/citation-style-language/schema/raw/master/csl-citation.json"} </w:instrText>
            </w:r>
            <w:r>
              <w:rPr>
                <w:rFonts w:ascii="Arial" w:hAnsi="Arial" w:cs="Arial"/>
              </w:rPr>
              <w:fldChar w:fldCharType="separate"/>
            </w:r>
            <w:r>
              <w:rPr>
                <w:rFonts w:ascii="Arial" w:hAnsi="Arial" w:cs="Arial"/>
                <w:szCs w:val="24"/>
                <w:vertAlign w:val="superscript"/>
              </w:rPr>
              <w:t>8</w:t>
            </w:r>
            <w:r>
              <w:rPr>
                <w:rFonts w:ascii="Arial" w:hAnsi="Arial" w:cs="Arial"/>
              </w:rPr>
              <w:fldChar w:fldCharType="end"/>
            </w:r>
            <w:r>
              <w:rPr>
                <w:rFonts w:ascii="Arial" w:hAnsi="Arial" w:cs="Arial"/>
              </w:rPr>
              <w:t xml:space="preserve"> </w:t>
            </w:r>
          </w:p>
        </w:tc>
      </w:tr>
      <w:tr w:rsidR="00C917BA">
        <w:tc>
          <w:tcPr>
            <w:tcW w:w="1623" w:type="dxa"/>
          </w:tcPr>
          <w:p w:rsidR="00C917BA" w:rsidRDefault="000020C2">
            <w:pPr>
              <w:rPr>
                <w:rFonts w:ascii="Arial" w:hAnsi="Arial" w:cs="Arial"/>
              </w:rPr>
            </w:pPr>
            <w:r>
              <w:rPr>
                <w:rFonts w:ascii="Arial" w:hAnsi="Arial" w:cs="Arial"/>
              </w:rPr>
              <w:t>PRS for rhinitis</w:t>
            </w:r>
          </w:p>
        </w:tc>
        <w:tc>
          <w:tcPr>
            <w:tcW w:w="5485" w:type="dxa"/>
          </w:tcPr>
          <w:p w:rsidR="00C917BA" w:rsidRDefault="000020C2">
            <w:pPr>
              <w:rPr>
                <w:rFonts w:ascii="Arial" w:hAnsi="Arial" w:cs="Arial"/>
              </w:rPr>
            </w:pPr>
            <w:r>
              <w:rPr>
                <w:rFonts w:ascii="Arial" w:hAnsi="Arial" w:cs="Arial"/>
              </w:rPr>
              <w:t xml:space="preserve">PRS calculated from SNPs reported to be associated with rhinitis </w:t>
            </w:r>
          </w:p>
        </w:tc>
        <w:tc>
          <w:tcPr>
            <w:tcW w:w="2242" w:type="dxa"/>
          </w:tcPr>
          <w:p w:rsidR="00C917BA" w:rsidRDefault="000020C2">
            <w:pPr>
              <w:rPr>
                <w:rFonts w:ascii="Arial" w:hAnsi="Arial" w:cs="Arial"/>
              </w:rPr>
            </w:pPr>
            <w:proofErr w:type="spellStart"/>
            <w:r>
              <w:rPr>
                <w:rFonts w:ascii="Arial" w:hAnsi="Arial" w:cs="Arial"/>
              </w:rPr>
              <w:t>Waage</w:t>
            </w:r>
            <w:proofErr w:type="spellEnd"/>
            <w:r>
              <w:rPr>
                <w:rFonts w:ascii="Arial" w:hAnsi="Arial" w:cs="Arial"/>
              </w:rPr>
              <w:t xml:space="preserve"> 2018 </w:t>
            </w:r>
            <w:r>
              <w:rPr>
                <w:rFonts w:ascii="Arial" w:hAnsi="Arial" w:cs="Arial"/>
              </w:rPr>
              <w:fldChar w:fldCharType="begin"/>
            </w:r>
            <w:r>
              <w:rPr>
                <w:rFonts w:ascii="Arial" w:hAnsi="Arial" w:cs="Arial"/>
              </w:rPr>
              <w:instrText xml:space="preserve"> ADDIN ZOTERO_ITEM CSL_CITATION {"citationID":"2NaLiKIy","properties":{"formattedCitation":"\\super 9\\nosupersub{}","plainCitation":"9","noteIndex":0},"citationItems":[{"id":803,"uris":["http://zotero.org/groups/2409649/items/JKF48MHZ"],"uri":["http://zot</w:instrText>
            </w:r>
            <w:r>
              <w:rPr>
                <w:rFonts w:ascii="Arial" w:hAnsi="Arial" w:cs="Arial"/>
              </w:rPr>
              <w:instrText>ero.org/groups/2409649/items/JKF48MHZ"],"itemData":{"id":803,"type":"article-journal","abstract":"Allergic rhinitis is the most common clinical presentation of allergy, affecting 400 million people worldwide, with increasing incidence in westernized countr</w:instrText>
            </w:r>
            <w:r>
              <w:rPr>
                <w:rFonts w:ascii="Arial" w:hAnsi="Arial" w:cs="Arial"/>
              </w:rPr>
              <w:instrText>ies1,2. To elucidate the genetic architecture and understand the underlying disease mechanisms, we carried out a meta-analysis of allergic rhinitis in 59,762 cases and 152,358 controls of European ancestry and identified a total of 41 risk loci for allergi</w:instrText>
            </w:r>
            <w:r>
              <w:rPr>
                <w:rFonts w:ascii="Arial" w:hAnsi="Arial" w:cs="Arial"/>
              </w:rPr>
              <w:instrText>c rhinitis, including 20 loci not previously associated with allergic rhinitis, which were confirmed in a replication phase of 60,720 cases and 618,527 controls. Functional annotation implicated genes involved in various immune pathways, and fine mapping o</w:instrText>
            </w:r>
            <w:r>
              <w:rPr>
                <w:rFonts w:ascii="Arial" w:hAnsi="Arial" w:cs="Arial"/>
              </w:rPr>
              <w:instrText>f the HLA region suggested amino acid variants important for antigen binding. We further performed genome-wide association study (GWAS) analyses of allergic sensitization against inhalant allergens and nonallergic rhinitis, which suggested shared genetic m</w:instrText>
            </w:r>
            <w:r>
              <w:rPr>
                <w:rFonts w:ascii="Arial" w:hAnsi="Arial" w:cs="Arial"/>
              </w:rPr>
              <w:instrText>echanisms across rhinitis-related traits. Future studies of the identified loci and genes might identify novel targets for treatment and prevention of allergic rhinitis.","container-title":"Nature Genetics","DOI":"10.1038/s41588-018-0157-1","ISSN":"1546-17</w:instrText>
            </w:r>
            <w:r>
              <w:rPr>
                <w:rFonts w:ascii="Arial" w:hAnsi="Arial" w:cs="Arial"/>
              </w:rPr>
              <w:instrText>18","issue":"8","journalAbbreviation":"Nat. Genet.","language":"eng","note":"PMID: 30013184","page":"1072-1080","source":"PubMed","title":"Genome-wide association and HLA fine-mapping studies identify risk loci and genetic pathways underlying allergic rhin</w:instrText>
            </w:r>
            <w:r>
              <w:rPr>
                <w:rFonts w:ascii="Arial" w:hAnsi="Arial" w:cs="Arial"/>
              </w:rPr>
              <w:instrText>itis","volume":"50","author":[{"family":"Waage","given":"Johannes"},{"family":"Standl","given":"Marie"},{"family":"Curtin","given":"John A."},{"family":"Jessen","given":"Leon E."},{"family":"Thorsen","given":"Jonathan"},{"family":"Tian","given":"Chao"},{"f</w:instrText>
            </w:r>
            <w:r>
              <w:rPr>
                <w:rFonts w:ascii="Arial" w:hAnsi="Arial" w:cs="Arial"/>
              </w:rPr>
              <w:instrText>amily":"Schoettler","given":"Nathan"},{"literal":"23andMe Research Team"},{"literal":"AAGC collaborators"},{"family":"Flores","given":"Carlos"},{"family":"Abdellaoui","given":"Abdel"},{"family":"Ahluwalia","given":"Tarunveer S."},{"family":"Alves","given":</w:instrText>
            </w:r>
            <w:r>
              <w:rPr>
                <w:rFonts w:ascii="Arial" w:hAnsi="Arial" w:cs="Arial"/>
              </w:rPr>
              <w:instrText>"Alexessander C."},{"family":"Amaral","given":"Andre F. S."},{"family":"Antó","given":"Josep M."},{"family":"Arnold","given":"Andreas"},{"family":"Barreto-Luis","given":"Amalia"},{"family":"Baurecht","given":"Hansjörg"},{"family":"Beijsterveldt","given":"C</w:instrText>
            </w:r>
            <w:r>
              <w:rPr>
                <w:rFonts w:ascii="Arial" w:hAnsi="Arial" w:cs="Arial"/>
              </w:rPr>
              <w:instrText>atharina E. M.","non-dropping-particle":"van"},{"family":"Bleecker","given":"Eugene R."},{"family":"Bonàs-Guarch","given":"Sílvia"},{"family":"Boomsma","given":"Dorret I."},{"family":"Brix","given":"Susanne"},{"family":"Bunyavanich","given":"Supinda"},{"fa</w:instrText>
            </w:r>
            <w:r>
              <w:rPr>
                <w:rFonts w:ascii="Arial" w:hAnsi="Arial" w:cs="Arial"/>
              </w:rPr>
              <w:instrText>mily":"Burchard","given":"Esteban G."},{"family":"Chen","given":"Zhanghua"},{"family":"Curjuric","given":"Ivan"},{"family":"Custovic","given":"Adnan"},{"family":"Dekker","given":"Herman T.","non-dropping-particle":"den"},{"family":"Dharmage","given":"Shyam</w:instrText>
            </w:r>
            <w:r>
              <w:rPr>
                <w:rFonts w:ascii="Arial" w:hAnsi="Arial" w:cs="Arial"/>
              </w:rPr>
              <w:instrText>ali C."},{"family":"Dmitrieva","given":"Julia"},{"family":"Duijts","given":"Liesbeth"},{"family":"Ege","given":"Markus J."},{"family":"Gauderman","given":"W. James"},{"family":"Georges","given":"Michel"},{"family":"Gieger","given":"Christian"},{"family":"G</w:instrText>
            </w:r>
            <w:r>
              <w:rPr>
                <w:rFonts w:ascii="Arial" w:hAnsi="Arial" w:cs="Arial"/>
              </w:rPr>
              <w:instrText>illiland","given":"Frank"},{"family":"Granell","given":"Raquel"},{"family":"Gui","given":"Hongsheng"},{"family":"Hansen","given":"Torben"},{"family":"Heinrich","given":"Joachim"},{"family":"Henderson","given":"John"},{"family":"Hernandez-Pacheco","given":"</w:instrText>
            </w:r>
            <w:r>
              <w:rPr>
                <w:rFonts w:ascii="Arial" w:hAnsi="Arial" w:cs="Arial"/>
              </w:rPr>
              <w:instrText>Natalia"},{"family":"Holt","given":"Patrick"},{"family":"Imboden","given":"Medea"},{"family":"Jaddoe","given":"Vincent W. V."},{"family":"Jarvelin","given":"Marjo-Riitta"},{"family":"Jarvis","given":"Deborah L."},{"family":"Jensen","given":"Kamilla K."},{"</w:instrText>
            </w:r>
            <w:r>
              <w:rPr>
                <w:rFonts w:ascii="Arial" w:hAnsi="Arial" w:cs="Arial"/>
              </w:rPr>
              <w:instrText>family":"Jónsdóttir","given":"Ingileif"},{"family":"Kabesch","given":"Michael"},{"family":"Kaprio","given":"Jaakko"},{"family":"Kumar","given":"Ashish"},{"family":"Lee","given":"Young-Ae"},{"family":"Levin","given":"Albert M."},{"family":"Li","given":"Xing</w:instrText>
            </w:r>
            <w:r>
              <w:rPr>
                <w:rFonts w:ascii="Arial" w:hAnsi="Arial" w:cs="Arial"/>
              </w:rPr>
              <w:instrText>nan"},{"family":"Lorenzo-Diaz","given":"Fabian"},{"family":"Melén","given":"Erik"},{"family":"Mercader","given":"Josep M."},{"family":"Meyers","given":"Deborah A."},{"family":"Myers","given":"Rachel"},{"family":"Nicolae","given":"Dan L."},{"family":"Nohr",</w:instrText>
            </w:r>
            <w:r>
              <w:rPr>
                <w:rFonts w:ascii="Arial" w:hAnsi="Arial" w:cs="Arial"/>
              </w:rPr>
              <w:instrText>"given":"Ellen A."},{"family":"Palviainen","given":"Teemu"},{"family":"Paternoster","given":"Lavinia"},{"family":"Pennell","given":"Craig E."},{"family":"Pershagen","given":"Göran"},{"family":"Pino-Yanes","given":"Maria"},{"family":"Probst-Hensch","given":</w:instrText>
            </w:r>
            <w:r>
              <w:rPr>
                <w:rFonts w:ascii="Arial" w:hAnsi="Arial" w:cs="Arial"/>
              </w:rPr>
              <w:instrText>"Nicole M."},{"family":"Rüschendorf","given":"Franz"},{"family":"Simpson","given":"Angela"},{"family":"Stefansson","given":"Kari"},{"family":"Sunyer","given":"Jordi"},{"family":"Sveinbjornsson","given":"Gardar"},{"family":"Thiering","given":"Elisabeth"},{"</w:instrText>
            </w:r>
            <w:r>
              <w:rPr>
                <w:rFonts w:ascii="Arial" w:hAnsi="Arial" w:cs="Arial"/>
              </w:rPr>
              <w:instrText>family":"Thompson","given":"Philip J."},{"family":"Torrent","given":"Maties"},{"family":"Torrents","given":"David"},{"family":"Tung","given":"Joyce Y."},{"family":"Wang","given":"Carol A."},{"family":"Weidinger","given":"Stephan"},{"family":"Weiss","given"</w:instrText>
            </w:r>
            <w:r>
              <w:rPr>
                <w:rFonts w:ascii="Arial" w:hAnsi="Arial" w:cs="Arial"/>
              </w:rPr>
              <w:instrText>:"Scott"},{"family":"Willemsen","given":"Gonneke"},{"family":"Williams","given":"L. Keoki"},{"family":"Ober","given":"Carole"},{"family":"Hinds","given":"David A."},{"family":"Ferreira","given":"Manuel A."},{"family":"Bisgaard","given":"Hans"},{"family":"S</w:instrText>
            </w:r>
            <w:r>
              <w:rPr>
                <w:rFonts w:ascii="Arial" w:hAnsi="Arial" w:cs="Arial"/>
              </w:rPr>
              <w:instrText xml:space="preserve">trachan","given":"David P."},{"family":"Bønnelykke","given":"Klaus"}],"issued":{"date-parts":[["2018"]]}}}],"schema":"https://github.com/citation-style-language/schema/raw/master/csl-citation.json"} </w:instrText>
            </w:r>
            <w:r>
              <w:rPr>
                <w:rFonts w:ascii="Arial" w:hAnsi="Arial" w:cs="Arial"/>
              </w:rPr>
              <w:fldChar w:fldCharType="separate"/>
            </w:r>
            <w:r>
              <w:rPr>
                <w:rFonts w:ascii="Arial" w:hAnsi="Arial" w:cs="Arial"/>
                <w:szCs w:val="24"/>
                <w:vertAlign w:val="superscript"/>
              </w:rPr>
              <w:t>9</w:t>
            </w:r>
            <w:r>
              <w:rPr>
                <w:rFonts w:ascii="Arial" w:hAnsi="Arial" w:cs="Arial"/>
              </w:rPr>
              <w:fldChar w:fldCharType="end"/>
            </w:r>
          </w:p>
        </w:tc>
      </w:tr>
      <w:tr w:rsidR="00C917BA">
        <w:tc>
          <w:tcPr>
            <w:tcW w:w="1623" w:type="dxa"/>
          </w:tcPr>
          <w:p w:rsidR="00C917BA" w:rsidRDefault="000020C2">
            <w:pPr>
              <w:rPr>
                <w:rFonts w:ascii="Arial" w:hAnsi="Arial" w:cs="Arial"/>
              </w:rPr>
            </w:pPr>
            <w:r>
              <w:rPr>
                <w:rFonts w:ascii="Arial" w:hAnsi="Arial" w:cs="Arial"/>
              </w:rPr>
              <w:t xml:space="preserve">PRS for high </w:t>
            </w:r>
            <w:proofErr w:type="spellStart"/>
            <w:r>
              <w:rPr>
                <w:rFonts w:ascii="Arial" w:hAnsi="Arial" w:cs="Arial"/>
              </w:rPr>
              <w:t>IgE</w:t>
            </w:r>
            <w:proofErr w:type="spellEnd"/>
          </w:p>
        </w:tc>
        <w:tc>
          <w:tcPr>
            <w:tcW w:w="5485" w:type="dxa"/>
          </w:tcPr>
          <w:p w:rsidR="00C917BA" w:rsidRDefault="000020C2">
            <w:pPr>
              <w:rPr>
                <w:rFonts w:ascii="Arial" w:hAnsi="Arial" w:cs="Arial"/>
              </w:rPr>
            </w:pPr>
            <w:r>
              <w:rPr>
                <w:rFonts w:ascii="Arial" w:hAnsi="Arial" w:cs="Arial"/>
              </w:rPr>
              <w:t xml:space="preserve">PRS calculated from SNPs reported to be associated with </w:t>
            </w:r>
            <w:proofErr w:type="spellStart"/>
            <w:r>
              <w:rPr>
                <w:rFonts w:ascii="Arial" w:hAnsi="Arial" w:cs="Arial"/>
              </w:rPr>
              <w:t>IgE</w:t>
            </w:r>
            <w:proofErr w:type="spellEnd"/>
            <w:r>
              <w:rPr>
                <w:rFonts w:ascii="Arial" w:hAnsi="Arial" w:cs="Arial"/>
              </w:rPr>
              <w:t xml:space="preserve"> </w:t>
            </w:r>
          </w:p>
        </w:tc>
        <w:tc>
          <w:tcPr>
            <w:tcW w:w="2242" w:type="dxa"/>
          </w:tcPr>
          <w:p w:rsidR="00C917BA" w:rsidRDefault="000020C2">
            <w:pPr>
              <w:rPr>
                <w:rFonts w:ascii="Arial" w:hAnsi="Arial" w:cs="Arial"/>
              </w:rPr>
            </w:pPr>
            <w:r>
              <w:rPr>
                <w:rFonts w:ascii="Arial" w:hAnsi="Arial" w:cs="Arial"/>
              </w:rPr>
              <w:t xml:space="preserve">Granada 2012 </w:t>
            </w:r>
            <w:r>
              <w:rPr>
                <w:rFonts w:ascii="Arial" w:hAnsi="Arial" w:cs="Arial"/>
              </w:rPr>
              <w:fldChar w:fldCharType="begin"/>
            </w:r>
            <w:r>
              <w:rPr>
                <w:rFonts w:ascii="Arial" w:hAnsi="Arial" w:cs="Arial"/>
              </w:rPr>
              <w:instrText xml:space="preserve"> ADDIN ZOTERO_ITEM CSL_CITATION {"citationID":"IfwJUgTe","properties":{"formattedCitation":"\\super 10\\nosupersub{}","plainCitation":"10","noteIndex":0},"citationItems":[{"id":1576,</w:instrText>
            </w:r>
            <w:r>
              <w:rPr>
                <w:rFonts w:ascii="Arial" w:hAnsi="Arial" w:cs="Arial"/>
              </w:rPr>
              <w:instrText>"uris":["http://zotero.org/groups/2409649/items/LA424YJG"],"uri":["http://zotero.org/groups/2409649/items/LA424YJG"],"itemData":{"id":1576,"type":"article-journal","abstract":"BACKGROUND: Atopy and plasma IgE concentration are genetically complex traits, a</w:instrText>
            </w:r>
            <w:r>
              <w:rPr>
                <w:rFonts w:ascii="Arial" w:hAnsi="Arial" w:cs="Arial"/>
              </w:rPr>
              <w:instrText>nd the specific genetic risk factors that lead to IgE dysregulation and clinical atopy are an area of active investigation.\nOBJECTIVE: We sought to ascertain the genetic risk factors that lead to IgE dysregulation.\nMETHODS: A genome-wide association stud</w:instrText>
            </w:r>
            <w:r>
              <w:rPr>
                <w:rFonts w:ascii="Arial" w:hAnsi="Arial" w:cs="Arial"/>
              </w:rPr>
              <w:instrText xml:space="preserve">y (GWAS) was performed in 6819 participants from the Framingham Heart Study (FHS). Seventy of the top single nucleotide polymorphisms (SNPs) were selected based on P values and linkage disequilibrium among neighboring SNPs and evaluated in a meta-analysis </w:instrText>
            </w:r>
            <w:r>
              <w:rPr>
                <w:rFonts w:ascii="Arial" w:hAnsi="Arial" w:cs="Arial"/>
              </w:rPr>
              <w:instrText>with 5 independent populations from the Cooperative Health Research in the Region of Augsburg cohort, the British 1958 Birth Cohort, and the Childhood Asthma Management Program cohort.\nRESULTS: Thirteen SNPs located in the region of 3 genes, FCER1A, signa</w:instrText>
            </w:r>
            <w:r>
              <w:rPr>
                <w:rFonts w:ascii="Arial" w:hAnsi="Arial" w:cs="Arial"/>
              </w:rPr>
              <w:instrText>l transducer and activator of transcription 6 (STAT6), and IL13, were found to have genome-wide significance in the FHS cohort GWAS. The most significant SNPs from the 3 regions were rs2251746 (FCER1A, P = 2.11 × 10(-12)), rs1059513 (STAT6, P = 2.87 × 10(-</w:instrText>
            </w:r>
            <w:r>
              <w:rPr>
                <w:rFonts w:ascii="Arial" w:hAnsi="Arial" w:cs="Arial"/>
              </w:rPr>
              <w:instrText>8)), and rs1295686 (IL13, P = 3.55 × 10(-8)). Four additional gene regions, HLA-G, HLA-DQA2, HLA-A, and Duffy blood group, chemokine receptor (DARC), reached genome-wide statistical significance in a meta-analysis combining the FHS and replication cohorts,</w:instrText>
            </w:r>
            <w:r>
              <w:rPr>
                <w:rFonts w:ascii="Arial" w:hAnsi="Arial" w:cs="Arial"/>
              </w:rPr>
              <w:instrText xml:space="preserve"> although the DARC association did not appear independent of SNPs in the nearby FCER1A gene.\nCONCLUSION: This GWAS of the FHS cohort has identified genetic loci in HLA genes that might have a role in the pathogenesis of IgE dysregulation and atopy. It als</w:instrText>
            </w:r>
            <w:r>
              <w:rPr>
                <w:rFonts w:ascii="Arial" w:hAnsi="Arial" w:cs="Arial"/>
              </w:rPr>
              <w:instrText>o confirmed the association of the known susceptibility loci FCER1A, STAT6, and IL13 for the dysregulation of total IgE.","container-title":"The Journal of Allergy and Clinical Immunology","DOI":"10.1016/j.jaci.2011.09.029","ISSN":"1097-6825","issue":"3","</w:instrText>
            </w:r>
            <w:r>
              <w:rPr>
                <w:rFonts w:ascii="Arial" w:hAnsi="Arial" w:cs="Arial"/>
              </w:rPr>
              <w:instrText>journalAbbreviation":"J Allergy Clin Immunol","language":"eng","note":"PMID: 22075330\nPMCID: PMC3293994","page":"840-845.e21","source":"PubMed","title":"A genome-wide association study of plasma total IgE concentrations in the Framingham Heart Study","vol</w:instrText>
            </w:r>
            <w:r>
              <w:rPr>
                <w:rFonts w:ascii="Arial" w:hAnsi="Arial" w:cs="Arial"/>
              </w:rPr>
              <w:instrText>ume":"129","author":[{"family":"Granada","given":"Mark"},{"family":"Wilk","given":"Jemma B."},{"family":"Tuzova","given":"Marina"},{"family":"Strachan","given":"David P."},{"family":"Weidinger","given":"Stephan"},{"family":"Albrecht","given":"Eva"},{"famil</w:instrText>
            </w:r>
            <w:r>
              <w:rPr>
                <w:rFonts w:ascii="Arial" w:hAnsi="Arial" w:cs="Arial"/>
              </w:rPr>
              <w:instrText>y":"Gieger","given":"Christian"},{"family":"Heinrich","given":"Joachim"},{"family":"Himes","given":"Blanca E."},{"family":"Hunninghake","given":"Gary M."},{"family":"Celedón","given":"Juan C."},{"family":"Weiss","given":"Scott T."},{"family":"Cruikshank","</w:instrText>
            </w:r>
            <w:r>
              <w:rPr>
                <w:rFonts w:ascii="Arial" w:hAnsi="Arial" w:cs="Arial"/>
              </w:rPr>
              <w:instrText>given":"William W."},{"family":"Farrer","given":"Lindsay A."},{"family":"Center","given":"David M."},{"family":"O'Connor","given":"George T."}],"issued":{"date-parts":[["2012",3]]}}}],"schema":"https://github.com/citation-style-language/schema/raw/master/c</w:instrText>
            </w:r>
            <w:r>
              <w:rPr>
                <w:rFonts w:ascii="Arial" w:hAnsi="Arial" w:cs="Arial"/>
              </w:rPr>
              <w:instrText xml:space="preserve">sl-citation.json"} </w:instrText>
            </w:r>
            <w:r>
              <w:rPr>
                <w:rFonts w:ascii="Arial" w:hAnsi="Arial" w:cs="Arial"/>
              </w:rPr>
              <w:fldChar w:fldCharType="separate"/>
            </w:r>
            <w:r>
              <w:rPr>
                <w:rFonts w:ascii="Arial" w:hAnsi="Arial" w:cs="Arial"/>
                <w:szCs w:val="24"/>
                <w:vertAlign w:val="superscript"/>
              </w:rPr>
              <w:t>10</w:t>
            </w:r>
            <w:r>
              <w:rPr>
                <w:rFonts w:ascii="Arial" w:hAnsi="Arial" w:cs="Arial"/>
              </w:rPr>
              <w:fldChar w:fldCharType="end"/>
            </w:r>
          </w:p>
        </w:tc>
      </w:tr>
    </w:tbl>
    <w:p w:rsidR="00C917BA" w:rsidRDefault="00C917BA">
      <w:pPr>
        <w:spacing w:line="480" w:lineRule="auto"/>
        <w:rPr>
          <w:rFonts w:ascii="Arial" w:hAnsi="Arial" w:cs="Arial"/>
          <w:sz w:val="24"/>
          <w:szCs w:val="24"/>
        </w:rPr>
      </w:pPr>
    </w:p>
    <w:p w:rsidR="00C917BA" w:rsidRDefault="000020C2">
      <w:pPr>
        <w:rPr>
          <w:rFonts w:ascii="Arial" w:eastAsiaTheme="majorEastAsia" w:hAnsi="Arial" w:cs="Arial"/>
          <w:color w:val="2E74B5" w:themeColor="accent1" w:themeShade="BF"/>
          <w:sz w:val="24"/>
          <w:szCs w:val="26"/>
        </w:rPr>
      </w:pPr>
      <w:r>
        <w:rPr>
          <w:rFonts w:ascii="Arial" w:hAnsi="Arial" w:cs="Arial"/>
          <w:sz w:val="24"/>
        </w:rPr>
        <w:br w:type="page"/>
      </w:r>
    </w:p>
    <w:p w:rsidR="00C917BA" w:rsidRDefault="000020C2">
      <w:pPr>
        <w:pStyle w:val="Heading2"/>
        <w:rPr>
          <w:rFonts w:ascii="Arial" w:hAnsi="Arial" w:cs="Arial"/>
          <w:sz w:val="24"/>
        </w:rPr>
      </w:pPr>
      <w:r>
        <w:rPr>
          <w:rFonts w:ascii="Arial" w:hAnsi="Arial" w:cs="Arial"/>
          <w:sz w:val="24"/>
        </w:rPr>
        <w:t>Figure S1</w:t>
      </w:r>
    </w:p>
    <w:p w:rsidR="00C917BA" w:rsidRDefault="00C917BA"/>
    <w:p w:rsidR="00C917BA" w:rsidRDefault="000020C2">
      <w:pPr>
        <w:keepNext/>
      </w:pPr>
      <w:r>
        <w:rPr>
          <w:noProof/>
        </w:rPr>
        <w:drawing>
          <wp:inline distT="0" distB="0" distL="0" distR="0">
            <wp:extent cx="4336156" cy="2918690"/>
            <wp:effectExtent l="0" t="0" r="762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 S1.PNG"/>
                    <pic:cNvPicPr/>
                  </pic:nvPicPr>
                  <pic:blipFill>
                    <a:blip r:embed="rId5">
                      <a:extLst>
                        <a:ext uri="{28A0092B-C50C-407E-A947-70E740481C1C}">
                          <a14:useLocalDpi xmlns:a14="http://schemas.microsoft.com/office/drawing/2010/main" val="0"/>
                        </a:ext>
                      </a:extLst>
                    </a:blip>
                    <a:stretch>
                      <a:fillRect/>
                    </a:stretch>
                  </pic:blipFill>
                  <pic:spPr>
                    <a:xfrm>
                      <a:off x="0" y="0"/>
                      <a:ext cx="4336156" cy="2918690"/>
                    </a:xfrm>
                    <a:prstGeom prst="rect">
                      <a:avLst/>
                    </a:prstGeom>
                  </pic:spPr>
                </pic:pic>
              </a:graphicData>
            </a:graphic>
          </wp:inline>
        </w:drawing>
      </w:r>
    </w:p>
    <w:p w:rsidR="00C917BA" w:rsidRDefault="000020C2">
      <w:pPr>
        <w:pStyle w:val="Caption"/>
      </w:pPr>
      <w:r>
        <w:t>Figure S1: Flow chart of sample sizes recruited, analyzed in the lab and finally included in the analyses of the present study. For six and ten years, DNAm was measured as well as the outcome categorized from serum</w:t>
      </w:r>
      <w:r>
        <w:t xml:space="preserve"> </w:t>
      </w:r>
      <w:proofErr w:type="spellStart"/>
      <w:r>
        <w:t>IgE</w:t>
      </w:r>
      <w:proofErr w:type="spellEnd"/>
      <w:r>
        <w:t xml:space="preserve"> measurements. For 15 years only this outcome data was available. A total of 240 participants from the LISA study were covered – 221 with data for both six and ten years and 19 with DNAm data available at only one time point.</w:t>
      </w:r>
    </w:p>
    <w:p w:rsidR="00C917BA" w:rsidRDefault="00C917BA"/>
    <w:p w:rsidR="00C917BA" w:rsidRDefault="000020C2">
      <w:pPr>
        <w:pStyle w:val="Heading2"/>
        <w:rPr>
          <w:rFonts w:ascii="Arial" w:hAnsi="Arial" w:cs="Arial"/>
          <w:sz w:val="24"/>
        </w:rPr>
      </w:pPr>
      <w:r>
        <w:rPr>
          <w:rFonts w:ascii="Arial" w:hAnsi="Arial" w:cs="Arial"/>
          <w:sz w:val="24"/>
        </w:rPr>
        <w:t>Figure S2</w:t>
      </w:r>
    </w:p>
    <w:p w:rsidR="00C917BA" w:rsidRDefault="000020C2">
      <w:pPr>
        <w:keepNext/>
      </w:pPr>
      <w:r>
        <w:rPr>
          <w:noProof/>
        </w:rPr>
        <w:drawing>
          <wp:inline distT="0" distB="0" distL="0" distR="0">
            <wp:extent cx="4831038" cy="2676656"/>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therAllergies_All.PNG"/>
                    <pic:cNvPicPr/>
                  </pic:nvPicPr>
                  <pic:blipFill>
                    <a:blip r:embed="rId6">
                      <a:extLst>
                        <a:ext uri="{28A0092B-C50C-407E-A947-70E740481C1C}">
                          <a14:useLocalDpi xmlns:a14="http://schemas.microsoft.com/office/drawing/2010/main" val="0"/>
                        </a:ext>
                      </a:extLst>
                    </a:blip>
                    <a:stretch>
                      <a:fillRect/>
                    </a:stretch>
                  </pic:blipFill>
                  <pic:spPr>
                    <a:xfrm>
                      <a:off x="0" y="0"/>
                      <a:ext cx="4831038" cy="2676656"/>
                    </a:xfrm>
                    <a:prstGeom prst="rect">
                      <a:avLst/>
                    </a:prstGeom>
                  </pic:spPr>
                </pic:pic>
              </a:graphicData>
            </a:graphic>
          </wp:inline>
        </w:drawing>
      </w:r>
    </w:p>
    <w:p w:rsidR="00C917BA" w:rsidRDefault="000020C2">
      <w:pPr>
        <w:pStyle w:val="Caption"/>
      </w:pPr>
      <w:r>
        <w:t>Figure S2: Re</w:t>
      </w:r>
      <w:r>
        <w:t>ceiver operating characteristics (ROC) curve for MRS at six and ten years on aeroallergen sensitization.</w:t>
      </w:r>
    </w:p>
    <w:p w:rsidR="00C917BA" w:rsidRDefault="00C917BA"/>
    <w:p w:rsidR="00C917BA" w:rsidRDefault="000020C2">
      <w:pPr>
        <w:pStyle w:val="Heading2"/>
        <w:rPr>
          <w:rFonts w:ascii="Arial" w:hAnsi="Arial" w:cs="Arial"/>
          <w:sz w:val="24"/>
        </w:rPr>
      </w:pPr>
      <w:r>
        <w:rPr>
          <w:rFonts w:ascii="Arial" w:hAnsi="Arial" w:cs="Arial"/>
          <w:sz w:val="24"/>
        </w:rPr>
        <w:t xml:space="preserve">Figure S3 </w:t>
      </w:r>
    </w:p>
    <w:p w:rsidR="00C917BA" w:rsidRDefault="000020C2">
      <w:pPr>
        <w:keepNext/>
      </w:pPr>
      <w:r>
        <w:rPr>
          <w:noProof/>
        </w:rPr>
        <w:drawing>
          <wp:inline distT="0" distB="0" distL="0" distR="0">
            <wp:extent cx="5723116" cy="5410669"/>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Correlation.PNG"/>
                    <pic:cNvPicPr/>
                  </pic:nvPicPr>
                  <pic:blipFill>
                    <a:blip r:embed="rId7">
                      <a:extLst>
                        <a:ext uri="{28A0092B-C50C-407E-A947-70E740481C1C}">
                          <a14:useLocalDpi xmlns:a14="http://schemas.microsoft.com/office/drawing/2010/main" val="0"/>
                        </a:ext>
                      </a:extLst>
                    </a:blip>
                    <a:stretch>
                      <a:fillRect/>
                    </a:stretch>
                  </pic:blipFill>
                  <pic:spPr>
                    <a:xfrm>
                      <a:off x="0" y="0"/>
                      <a:ext cx="5723116" cy="5410669"/>
                    </a:xfrm>
                    <a:prstGeom prst="rect">
                      <a:avLst/>
                    </a:prstGeom>
                  </pic:spPr>
                </pic:pic>
              </a:graphicData>
            </a:graphic>
          </wp:inline>
        </w:drawing>
      </w:r>
    </w:p>
    <w:p w:rsidR="00C917BA" w:rsidRDefault="000020C2">
      <w:pPr>
        <w:pStyle w:val="Caption"/>
      </w:pPr>
      <w:r>
        <w:t>Figure S3: Correlation of best performing MRS at six years. Hierarchical clustering was applied to order the scores.</w:t>
      </w:r>
    </w:p>
    <w:p w:rsidR="00C917BA" w:rsidRDefault="000020C2">
      <w:pPr>
        <w:pStyle w:val="Heading2"/>
        <w:rPr>
          <w:rFonts w:ascii="Arial" w:hAnsi="Arial" w:cs="Arial"/>
          <w:sz w:val="24"/>
        </w:rPr>
      </w:pPr>
      <w:r>
        <w:rPr>
          <w:rFonts w:ascii="Arial" w:hAnsi="Arial" w:cs="Arial"/>
          <w:sz w:val="24"/>
        </w:rPr>
        <w:t>Figure S4</w:t>
      </w:r>
    </w:p>
    <w:p w:rsidR="00C917BA" w:rsidRDefault="000020C2">
      <w:pPr>
        <w:keepNext/>
      </w:pPr>
      <w:r>
        <w:rPr>
          <w:noProof/>
        </w:rPr>
        <w:drawing>
          <wp:inline distT="0" distB="0" distL="0" distR="0">
            <wp:extent cx="4791499" cy="413758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OtherAllergies_All.PNG"/>
                    <pic:cNvPicPr/>
                  </pic:nvPicPr>
                  <pic:blipFill>
                    <a:blip r:embed="rId8">
                      <a:extLst>
                        <a:ext uri="{28A0092B-C50C-407E-A947-70E740481C1C}">
                          <a14:useLocalDpi xmlns:a14="http://schemas.microsoft.com/office/drawing/2010/main" val="0"/>
                        </a:ext>
                      </a:extLst>
                    </a:blip>
                    <a:stretch>
                      <a:fillRect/>
                    </a:stretch>
                  </pic:blipFill>
                  <pic:spPr>
                    <a:xfrm>
                      <a:off x="0" y="0"/>
                      <a:ext cx="4791499" cy="4137587"/>
                    </a:xfrm>
                    <a:prstGeom prst="rect">
                      <a:avLst/>
                    </a:prstGeom>
                  </pic:spPr>
                </pic:pic>
              </a:graphicData>
            </a:graphic>
          </wp:inline>
        </w:drawing>
      </w:r>
    </w:p>
    <w:p w:rsidR="00C917BA" w:rsidRDefault="000020C2">
      <w:pPr>
        <w:pStyle w:val="Caption"/>
      </w:pPr>
      <w:r>
        <w:t xml:space="preserve">Figure </w:t>
      </w:r>
      <w:r>
        <w:t>S4: Predictive assessment of MRSs towards other allergic diseases symptoms in a cross-sectional model at six years.</w:t>
      </w:r>
      <w:r>
        <w:rPr>
          <w:rFonts w:cstheme="minorHAnsi"/>
          <w:sz w:val="22"/>
        </w:rPr>
        <w:t xml:space="preserve">. </w:t>
      </w:r>
      <w:r>
        <w:rPr>
          <w:rFonts w:cstheme="minorHAnsi"/>
        </w:rPr>
        <w:t>Three different models were tested regarding the performance of MRS on other allergic diseases symptoms as well as their (A) mean effect si</w:t>
      </w:r>
      <w:r>
        <w:rPr>
          <w:rFonts w:cstheme="minorHAnsi"/>
        </w:rPr>
        <w:t>ze per publication over all p-value thresholds, (B) performance and (C) explained variance for the different p-values thresholds (determining how many CpG sites were included in the MRS). All models are adjusted for sex, age, whether the blood was taken wi</w:t>
      </w:r>
      <w:r>
        <w:rPr>
          <w:rFonts w:cstheme="minorHAnsi"/>
        </w:rPr>
        <w:t>thin the allergy season and cell type proportions. RR (A) were derived from Poisson regressions, whereas the other criterions (B&amp;C) were calculated using logistic regression.</w:t>
      </w:r>
    </w:p>
    <w:p w:rsidR="00C917BA" w:rsidRDefault="000020C2">
      <w:pPr>
        <w:pStyle w:val="Heading2"/>
        <w:rPr>
          <w:rFonts w:ascii="Arial" w:hAnsi="Arial" w:cs="Arial"/>
          <w:sz w:val="24"/>
        </w:rPr>
      </w:pPr>
      <w:r>
        <w:rPr>
          <w:rFonts w:ascii="Arial" w:hAnsi="Arial" w:cs="Arial"/>
          <w:sz w:val="24"/>
        </w:rPr>
        <w:t>Figure S5</w:t>
      </w:r>
    </w:p>
    <w:p w:rsidR="00C917BA" w:rsidRDefault="000020C2">
      <w:pPr>
        <w:keepNext/>
      </w:pPr>
      <w:r>
        <w:rPr>
          <w:noProof/>
        </w:rPr>
        <w:drawing>
          <wp:inline distT="0" distB="0" distL="0" distR="0">
            <wp:extent cx="5473337" cy="54254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RS_CTP_correlation_EpiDISH.PNG"/>
                    <pic:cNvPicPr/>
                  </pic:nvPicPr>
                  <pic:blipFill rotWithShape="1">
                    <a:blip r:embed="rId9">
                      <a:extLst>
                        <a:ext uri="{28A0092B-C50C-407E-A947-70E740481C1C}">
                          <a14:useLocalDpi xmlns:a14="http://schemas.microsoft.com/office/drawing/2010/main" val="0"/>
                        </a:ext>
                      </a:extLst>
                    </a:blip>
                    <a:srcRect l="3456"/>
                    <a:stretch/>
                  </pic:blipFill>
                  <pic:spPr bwMode="auto">
                    <a:xfrm>
                      <a:off x="0" y="0"/>
                      <a:ext cx="5473811" cy="5425910"/>
                    </a:xfrm>
                    <a:prstGeom prst="rect">
                      <a:avLst/>
                    </a:prstGeom>
                    <a:ln>
                      <a:noFill/>
                    </a:ln>
                    <a:extLst>
                      <a:ext uri="{53640926-AAD7-44D8-BBD7-CCE9431645EC}">
                        <a14:shadowObscured xmlns:a14="http://schemas.microsoft.com/office/drawing/2010/main"/>
                      </a:ext>
                    </a:extLst>
                  </pic:spPr>
                </pic:pic>
              </a:graphicData>
            </a:graphic>
          </wp:inline>
        </w:drawing>
      </w:r>
    </w:p>
    <w:p w:rsidR="00C917BA" w:rsidRDefault="000020C2">
      <w:pPr>
        <w:pStyle w:val="Caption"/>
      </w:pPr>
      <w:r>
        <w:t>Figure S5: Correlation between best performing MRS and estimated cell</w:t>
      </w:r>
      <w:r>
        <w:t xml:space="preserve"> type proportions using the </w:t>
      </w:r>
      <w:proofErr w:type="spellStart"/>
      <w:r>
        <w:t>EpiDISH</w:t>
      </w:r>
      <w:proofErr w:type="spellEnd"/>
      <w:r>
        <w:t xml:space="preserve"> package at six years.</w:t>
      </w:r>
    </w:p>
    <w:p w:rsidR="00C917BA" w:rsidRDefault="00C917BA"/>
    <w:p w:rsidR="00C917BA" w:rsidRDefault="00C917BA">
      <w:pPr>
        <w:rPr>
          <w:rFonts w:ascii="Arial" w:eastAsiaTheme="majorEastAsia" w:hAnsi="Arial" w:cs="Arial"/>
          <w:color w:val="2E74B5" w:themeColor="accent1" w:themeShade="BF"/>
          <w:sz w:val="24"/>
          <w:szCs w:val="26"/>
        </w:rPr>
      </w:pPr>
    </w:p>
    <w:p w:rsidR="00C917BA" w:rsidRDefault="00C917BA">
      <w:pPr>
        <w:rPr>
          <w:rFonts w:ascii="Arial" w:eastAsiaTheme="majorEastAsia" w:hAnsi="Arial" w:cs="Arial"/>
          <w:color w:val="2E74B5" w:themeColor="accent1" w:themeShade="BF"/>
          <w:sz w:val="24"/>
          <w:szCs w:val="26"/>
        </w:rPr>
      </w:pPr>
    </w:p>
    <w:p w:rsidR="00C917BA" w:rsidRDefault="00C917BA">
      <w:pPr>
        <w:rPr>
          <w:rFonts w:ascii="Arial" w:eastAsiaTheme="majorEastAsia" w:hAnsi="Arial" w:cs="Arial"/>
          <w:color w:val="2E74B5" w:themeColor="accent1" w:themeShade="BF"/>
          <w:sz w:val="24"/>
          <w:szCs w:val="26"/>
        </w:rPr>
      </w:pPr>
    </w:p>
    <w:p w:rsidR="00C917BA" w:rsidRDefault="00C917BA">
      <w:pPr>
        <w:rPr>
          <w:rFonts w:ascii="Arial" w:eastAsiaTheme="majorEastAsia" w:hAnsi="Arial" w:cs="Arial"/>
          <w:color w:val="2E74B5" w:themeColor="accent1" w:themeShade="BF"/>
          <w:sz w:val="24"/>
          <w:szCs w:val="26"/>
        </w:rPr>
      </w:pPr>
    </w:p>
    <w:p w:rsidR="00C917BA" w:rsidRDefault="00C917BA">
      <w:pPr>
        <w:rPr>
          <w:rFonts w:ascii="Arial" w:eastAsiaTheme="majorEastAsia" w:hAnsi="Arial" w:cs="Arial"/>
          <w:color w:val="2E74B5" w:themeColor="accent1" w:themeShade="BF"/>
          <w:sz w:val="24"/>
          <w:szCs w:val="26"/>
        </w:rPr>
      </w:pPr>
    </w:p>
    <w:p w:rsidR="00C917BA" w:rsidRDefault="00C917BA">
      <w:pPr>
        <w:rPr>
          <w:rFonts w:ascii="Arial" w:eastAsiaTheme="majorEastAsia" w:hAnsi="Arial" w:cs="Arial"/>
          <w:color w:val="2E74B5" w:themeColor="accent1" w:themeShade="BF"/>
          <w:sz w:val="24"/>
          <w:szCs w:val="26"/>
        </w:rPr>
      </w:pPr>
    </w:p>
    <w:p w:rsidR="00C917BA" w:rsidRDefault="000020C2">
      <w:pPr>
        <w:rPr>
          <w:rFonts w:ascii="Arial" w:eastAsiaTheme="majorEastAsia" w:hAnsi="Arial" w:cs="Arial"/>
          <w:color w:val="2E74B5" w:themeColor="accent1" w:themeShade="BF"/>
          <w:sz w:val="24"/>
          <w:szCs w:val="26"/>
        </w:rPr>
      </w:pPr>
      <w:r>
        <w:rPr>
          <w:rFonts w:ascii="Arial" w:eastAsiaTheme="majorEastAsia" w:hAnsi="Arial" w:cs="Arial"/>
          <w:color w:val="2E74B5" w:themeColor="accent1" w:themeShade="BF"/>
          <w:sz w:val="24"/>
          <w:szCs w:val="26"/>
        </w:rPr>
        <w:t>Figure S6</w:t>
      </w:r>
    </w:p>
    <w:p w:rsidR="00C917BA" w:rsidRDefault="000020C2">
      <w:pPr>
        <w:keepNext/>
      </w:pPr>
      <w:r>
        <w:rPr>
          <w:noProof/>
        </w:rPr>
        <w:drawing>
          <wp:inline distT="0" distB="0" distL="0" distR="0">
            <wp:extent cx="7388898" cy="5513789"/>
            <wp:effectExtent l="4127" t="0" r="6668" b="6667"/>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rrelation_CpG2.PNG"/>
                    <pic:cNvPicPr/>
                  </pic:nvPicPr>
                  <pic:blipFill>
                    <a:blip r:embed="rId10">
                      <a:extLst>
                        <a:ext uri="{28A0092B-C50C-407E-A947-70E740481C1C}">
                          <a14:useLocalDpi xmlns:a14="http://schemas.microsoft.com/office/drawing/2010/main" val="0"/>
                        </a:ext>
                      </a:extLst>
                    </a:blip>
                    <a:stretch>
                      <a:fillRect/>
                    </a:stretch>
                  </pic:blipFill>
                  <pic:spPr>
                    <a:xfrm rot="5400000">
                      <a:off x="0" y="0"/>
                      <a:ext cx="7399454" cy="5521666"/>
                    </a:xfrm>
                    <a:prstGeom prst="rect">
                      <a:avLst/>
                    </a:prstGeom>
                  </pic:spPr>
                </pic:pic>
              </a:graphicData>
            </a:graphic>
          </wp:inline>
        </w:drawing>
      </w:r>
    </w:p>
    <w:p w:rsidR="00C917BA" w:rsidRDefault="000020C2">
      <w:pPr>
        <w:rPr>
          <w:i/>
          <w:iCs/>
          <w:color w:val="44546A" w:themeColor="text2"/>
          <w:sz w:val="18"/>
          <w:szCs w:val="18"/>
        </w:rPr>
      </w:pPr>
      <w:r>
        <w:rPr>
          <w:i/>
          <w:iCs/>
          <w:color w:val="44546A" w:themeColor="text2"/>
          <w:sz w:val="18"/>
          <w:szCs w:val="18"/>
        </w:rPr>
        <w:t xml:space="preserve">Figure S6: Correlation of single CpGs included in best performing MRS at six years. </w:t>
      </w:r>
    </w:p>
    <w:p w:rsidR="00C917BA" w:rsidRDefault="000020C2">
      <w:pPr>
        <w:pStyle w:val="Heading3"/>
        <w:rPr>
          <w:rFonts w:ascii="Arial" w:hAnsi="Arial" w:cs="Arial"/>
          <w:color w:val="2E74B5" w:themeColor="accent1" w:themeShade="BF"/>
          <w:szCs w:val="26"/>
        </w:rPr>
      </w:pPr>
      <w:r>
        <w:rPr>
          <w:rFonts w:ascii="Arial" w:hAnsi="Arial" w:cs="Arial"/>
          <w:color w:val="2E74B5" w:themeColor="accent1" w:themeShade="BF"/>
          <w:szCs w:val="26"/>
        </w:rPr>
        <w:t>References</w:t>
      </w:r>
    </w:p>
    <w:p w:rsidR="00C917BA" w:rsidRDefault="000020C2">
      <w:pPr>
        <w:pStyle w:val="Bibliography"/>
        <w:rPr>
          <w:rFonts w:ascii="Calibri" w:hAnsi="Calibri" w:cs="Calibri"/>
          <w:lang w:val="de-DE"/>
        </w:rPr>
      </w:pPr>
      <w:r>
        <w:fldChar w:fldCharType="begin"/>
      </w:r>
      <w:r>
        <w:instrText xml:space="preserve"> ADDIN ZOTERO_BIBL {"uncited":[],"omitted":[],"custom":[]} CSL_BIBLIOGRAPHY </w:instrText>
      </w:r>
      <w:r>
        <w:fldChar w:fldCharType="separate"/>
      </w:r>
      <w:r>
        <w:rPr>
          <w:rFonts w:ascii="Calibri" w:hAnsi="Calibri" w:cs="Calibri"/>
        </w:rPr>
        <w:t xml:space="preserve">1. </w:t>
      </w:r>
      <w:r>
        <w:rPr>
          <w:rFonts w:ascii="Calibri" w:hAnsi="Calibri" w:cs="Calibri"/>
        </w:rPr>
        <w:tab/>
      </w:r>
      <w:r>
        <w:rPr>
          <w:rFonts w:ascii="Calibri" w:hAnsi="Calibri" w:cs="Calibri"/>
        </w:rPr>
        <w:t xml:space="preserve">Paternoster L, Savenije OEM, Heron J, et al. Identification of atopic dermatitis subgroups in children from 2 longitudinal birth cohorts. </w:t>
      </w:r>
      <w:r>
        <w:rPr>
          <w:rFonts w:ascii="Calibri" w:hAnsi="Calibri" w:cs="Calibri"/>
          <w:i/>
          <w:iCs/>
          <w:lang w:val="de-DE"/>
        </w:rPr>
        <w:t>J Allergy Clin Immunol</w:t>
      </w:r>
      <w:r>
        <w:rPr>
          <w:rFonts w:ascii="Calibri" w:hAnsi="Calibri" w:cs="Calibri"/>
          <w:lang w:val="de-DE"/>
        </w:rPr>
        <w:t>. 2018;141(3):964-971. doi:10.1016/j.jaci.2017.09.044</w:t>
      </w:r>
    </w:p>
    <w:p w:rsidR="00C917BA" w:rsidRDefault="000020C2">
      <w:pPr>
        <w:pStyle w:val="Bibliography"/>
        <w:rPr>
          <w:rFonts w:ascii="Calibri" w:hAnsi="Calibri" w:cs="Calibri"/>
        </w:rPr>
      </w:pPr>
      <w:r>
        <w:rPr>
          <w:rFonts w:ascii="Calibri" w:hAnsi="Calibri" w:cs="Calibri"/>
          <w:lang w:val="de-DE"/>
        </w:rPr>
        <w:t xml:space="preserve">2. </w:t>
      </w:r>
      <w:r>
        <w:rPr>
          <w:rFonts w:ascii="Calibri" w:hAnsi="Calibri" w:cs="Calibri"/>
          <w:lang w:val="de-DE"/>
        </w:rPr>
        <w:tab/>
        <w:t xml:space="preserve">Hu C, Duijts L, Erler NS, et al. </w:t>
      </w:r>
      <w:r>
        <w:rPr>
          <w:rFonts w:ascii="Calibri" w:hAnsi="Calibri" w:cs="Calibri"/>
        </w:rPr>
        <w:t xml:space="preserve">Most </w:t>
      </w:r>
      <w:r>
        <w:rPr>
          <w:rFonts w:ascii="Calibri" w:hAnsi="Calibri" w:cs="Calibri"/>
        </w:rPr>
        <w:t xml:space="preserve">associations of early-life environmental exposures and genetic risk factors poorly differentiate between eczema phenotypes: the Generation R Study. </w:t>
      </w:r>
      <w:r>
        <w:rPr>
          <w:rFonts w:ascii="Calibri" w:hAnsi="Calibri" w:cs="Calibri"/>
          <w:i/>
          <w:iCs/>
        </w:rPr>
        <w:t>Br J Dermatol</w:t>
      </w:r>
      <w:r>
        <w:rPr>
          <w:rFonts w:ascii="Calibri" w:hAnsi="Calibri" w:cs="Calibri"/>
        </w:rPr>
        <w:t>. 2019;181(6):1190-1197. doi:10.1111/bjd.17879</w:t>
      </w:r>
    </w:p>
    <w:p w:rsidR="00C917BA" w:rsidRDefault="000020C2">
      <w:pPr>
        <w:pStyle w:val="Bibliography"/>
        <w:rPr>
          <w:rFonts w:ascii="Calibri" w:hAnsi="Calibri" w:cs="Calibri"/>
        </w:rPr>
      </w:pPr>
      <w:r>
        <w:rPr>
          <w:rFonts w:ascii="Calibri" w:hAnsi="Calibri" w:cs="Calibri"/>
        </w:rPr>
        <w:t xml:space="preserve">3. </w:t>
      </w:r>
      <w:r>
        <w:rPr>
          <w:rFonts w:ascii="Calibri" w:hAnsi="Calibri" w:cs="Calibri"/>
        </w:rPr>
        <w:tab/>
        <w:t xml:space="preserve">Nicolaou NC, Simpson A, Lowe LA, Murray CS, </w:t>
      </w:r>
      <w:r>
        <w:rPr>
          <w:rFonts w:ascii="Calibri" w:hAnsi="Calibri" w:cs="Calibri"/>
        </w:rPr>
        <w:t xml:space="preserve">Woodcock A, Custovic A. Day-care attendance, position in sibship, and early childhood wheezing: A population-based birth cohort study. </w:t>
      </w:r>
      <w:r>
        <w:rPr>
          <w:rFonts w:ascii="Calibri" w:hAnsi="Calibri" w:cs="Calibri"/>
          <w:i/>
          <w:iCs/>
        </w:rPr>
        <w:t>J Allergy Clin Immunol</w:t>
      </w:r>
      <w:r>
        <w:rPr>
          <w:rFonts w:ascii="Calibri" w:hAnsi="Calibri" w:cs="Calibri"/>
        </w:rPr>
        <w:t>. 2008;122(3):500-506.e5. doi:10.1016/j.jaci.2008.06.033</w:t>
      </w:r>
    </w:p>
    <w:p w:rsidR="00C917BA" w:rsidRDefault="000020C2">
      <w:pPr>
        <w:pStyle w:val="Bibliography"/>
        <w:rPr>
          <w:rFonts w:ascii="Calibri" w:hAnsi="Calibri" w:cs="Calibri"/>
          <w:lang w:val="de-DE"/>
        </w:rPr>
      </w:pPr>
      <w:r>
        <w:rPr>
          <w:rFonts w:ascii="Calibri" w:hAnsi="Calibri" w:cs="Calibri"/>
        </w:rPr>
        <w:t xml:space="preserve">4. </w:t>
      </w:r>
      <w:r>
        <w:rPr>
          <w:rFonts w:ascii="Calibri" w:hAnsi="Calibri" w:cs="Calibri"/>
        </w:rPr>
        <w:tab/>
        <w:t>Luzak A, Fuertes E, Flexeder C, et al.</w:t>
      </w:r>
      <w:r>
        <w:rPr>
          <w:rFonts w:ascii="Calibri" w:hAnsi="Calibri" w:cs="Calibri"/>
        </w:rPr>
        <w:t xml:space="preserve"> Which early life events or current environmental and lifestyle factors influence lung function in adolescents? – results from the GINIplus &amp; LISAplus studies. </w:t>
      </w:r>
      <w:r>
        <w:rPr>
          <w:rFonts w:ascii="Calibri" w:hAnsi="Calibri" w:cs="Calibri"/>
          <w:i/>
          <w:iCs/>
          <w:lang w:val="de-DE"/>
        </w:rPr>
        <w:t>Respir Res</w:t>
      </w:r>
      <w:r>
        <w:rPr>
          <w:rFonts w:ascii="Calibri" w:hAnsi="Calibri" w:cs="Calibri"/>
          <w:lang w:val="de-DE"/>
        </w:rPr>
        <w:t>. 2017;18. doi:10.1186/s12931-017-0619-5</w:t>
      </w:r>
    </w:p>
    <w:p w:rsidR="00C917BA" w:rsidRDefault="000020C2">
      <w:pPr>
        <w:pStyle w:val="Bibliography"/>
        <w:rPr>
          <w:rFonts w:ascii="Calibri" w:hAnsi="Calibri" w:cs="Calibri"/>
          <w:lang w:val="de-DE"/>
        </w:rPr>
      </w:pPr>
      <w:r>
        <w:rPr>
          <w:rFonts w:ascii="Calibri" w:hAnsi="Calibri" w:cs="Calibri"/>
          <w:lang w:val="de-DE"/>
        </w:rPr>
        <w:t xml:space="preserve">5. </w:t>
      </w:r>
      <w:r>
        <w:rPr>
          <w:rFonts w:ascii="Calibri" w:hAnsi="Calibri" w:cs="Calibri"/>
          <w:lang w:val="de-DE"/>
        </w:rPr>
        <w:tab/>
        <w:t xml:space="preserve">Ferreira MA, Vonk JM, Baurecht H, et al. </w:t>
      </w:r>
      <w:r>
        <w:rPr>
          <w:rFonts w:ascii="Calibri" w:hAnsi="Calibri" w:cs="Calibri"/>
        </w:rPr>
        <w:t xml:space="preserve">Shared genetic origin of asthma, hay fever and eczema elucidates allergic disease biology. </w:t>
      </w:r>
      <w:r>
        <w:rPr>
          <w:rFonts w:ascii="Calibri" w:hAnsi="Calibri" w:cs="Calibri"/>
          <w:i/>
          <w:iCs/>
          <w:lang w:val="de-DE"/>
        </w:rPr>
        <w:t>Nat Genet</w:t>
      </w:r>
      <w:r>
        <w:rPr>
          <w:rFonts w:ascii="Calibri" w:hAnsi="Calibri" w:cs="Calibri"/>
          <w:lang w:val="de-DE"/>
        </w:rPr>
        <w:t>. 2017;49(12):1752-1757. doi:10.1038/ng.3985</w:t>
      </w:r>
    </w:p>
    <w:p w:rsidR="00C917BA" w:rsidRDefault="000020C2">
      <w:pPr>
        <w:pStyle w:val="Bibliography"/>
        <w:rPr>
          <w:rFonts w:ascii="Calibri" w:hAnsi="Calibri" w:cs="Calibri"/>
          <w:lang w:val="de-DE"/>
        </w:rPr>
      </w:pPr>
      <w:r>
        <w:rPr>
          <w:rFonts w:ascii="Calibri" w:hAnsi="Calibri" w:cs="Calibri"/>
          <w:lang w:val="de-DE"/>
        </w:rPr>
        <w:t xml:space="preserve">6. </w:t>
      </w:r>
      <w:r>
        <w:rPr>
          <w:rFonts w:ascii="Calibri" w:hAnsi="Calibri" w:cs="Calibri"/>
          <w:lang w:val="de-DE"/>
        </w:rPr>
        <w:tab/>
        <w:t xml:space="preserve">Ferreira MAR, Vonk JM, Baurecht H, et al. </w:t>
      </w:r>
      <w:r>
        <w:rPr>
          <w:rFonts w:ascii="Calibri" w:hAnsi="Calibri" w:cs="Calibri"/>
        </w:rPr>
        <w:t>Eleven loci with new reproducible genetic associations with aller</w:t>
      </w:r>
      <w:r>
        <w:rPr>
          <w:rFonts w:ascii="Calibri" w:hAnsi="Calibri" w:cs="Calibri"/>
        </w:rPr>
        <w:t xml:space="preserve">gic disease risk. </w:t>
      </w:r>
      <w:r>
        <w:rPr>
          <w:rFonts w:ascii="Calibri" w:hAnsi="Calibri" w:cs="Calibri"/>
          <w:i/>
          <w:iCs/>
          <w:lang w:val="de-DE"/>
        </w:rPr>
        <w:t>J Allergy Clin Immunol</w:t>
      </w:r>
      <w:r>
        <w:rPr>
          <w:rFonts w:ascii="Calibri" w:hAnsi="Calibri" w:cs="Calibri"/>
          <w:lang w:val="de-DE"/>
        </w:rPr>
        <w:t>. 2019;143(2):691-699. doi:10.1016/j.jaci.2018.03.012</w:t>
      </w:r>
    </w:p>
    <w:p w:rsidR="00C917BA" w:rsidRDefault="000020C2">
      <w:pPr>
        <w:pStyle w:val="Bibliography"/>
        <w:rPr>
          <w:rFonts w:ascii="Calibri" w:hAnsi="Calibri" w:cs="Calibri"/>
        </w:rPr>
      </w:pPr>
      <w:r>
        <w:rPr>
          <w:rFonts w:ascii="Calibri" w:hAnsi="Calibri" w:cs="Calibri"/>
          <w:lang w:val="de-DE"/>
        </w:rPr>
        <w:t xml:space="preserve">7. </w:t>
      </w:r>
      <w:r>
        <w:rPr>
          <w:rFonts w:ascii="Calibri" w:hAnsi="Calibri" w:cs="Calibri"/>
          <w:lang w:val="de-DE"/>
        </w:rPr>
        <w:tab/>
        <w:t xml:space="preserve">El-Husseini ZW, Gosens R, Dekker F, Koppelman GH. </w:t>
      </w:r>
      <w:r>
        <w:rPr>
          <w:rFonts w:ascii="Calibri" w:hAnsi="Calibri" w:cs="Calibri"/>
        </w:rPr>
        <w:t xml:space="preserve">The genetics of asthma and the promise of genomics-guided drug target discovery. </w:t>
      </w:r>
      <w:r>
        <w:rPr>
          <w:rFonts w:ascii="Calibri" w:hAnsi="Calibri" w:cs="Calibri"/>
          <w:i/>
          <w:iCs/>
        </w:rPr>
        <w:t>Lancet Respir Med</w:t>
      </w:r>
      <w:r>
        <w:rPr>
          <w:rFonts w:ascii="Calibri" w:hAnsi="Calibri" w:cs="Calibri"/>
        </w:rPr>
        <w:t>. 2020;8(1</w:t>
      </w:r>
      <w:r>
        <w:rPr>
          <w:rFonts w:ascii="Calibri" w:hAnsi="Calibri" w:cs="Calibri"/>
        </w:rPr>
        <w:t>0):1045-1056. doi:10.1016/S2213-2600(20)30363-5</w:t>
      </w:r>
    </w:p>
    <w:p w:rsidR="00C917BA" w:rsidRDefault="000020C2">
      <w:pPr>
        <w:pStyle w:val="Bibliography"/>
        <w:rPr>
          <w:rFonts w:ascii="Calibri" w:hAnsi="Calibri" w:cs="Calibri"/>
          <w:lang w:val="de-DE"/>
        </w:rPr>
      </w:pPr>
      <w:r>
        <w:rPr>
          <w:rFonts w:ascii="Calibri" w:hAnsi="Calibri" w:cs="Calibri"/>
        </w:rPr>
        <w:t xml:space="preserve">8. </w:t>
      </w:r>
      <w:r>
        <w:rPr>
          <w:rFonts w:ascii="Calibri" w:hAnsi="Calibri" w:cs="Calibri"/>
        </w:rPr>
        <w:tab/>
        <w:t xml:space="preserve">Paternoster L, Standl M, Waage J, et al. Multi-ancestry genome-wide association study of 21,000 cases and 95,000 controls identifies new risk loci for atopic dermatitis. </w:t>
      </w:r>
      <w:r>
        <w:rPr>
          <w:rFonts w:ascii="Calibri" w:hAnsi="Calibri" w:cs="Calibri"/>
          <w:i/>
          <w:iCs/>
          <w:lang w:val="de-DE"/>
        </w:rPr>
        <w:t>Nat Genet</w:t>
      </w:r>
      <w:r>
        <w:rPr>
          <w:rFonts w:ascii="Calibri" w:hAnsi="Calibri" w:cs="Calibri"/>
          <w:lang w:val="de-DE"/>
        </w:rPr>
        <w:t xml:space="preserve">. 2015;47(12):1449-1456. </w:t>
      </w:r>
      <w:r>
        <w:rPr>
          <w:rFonts w:ascii="Calibri" w:hAnsi="Calibri" w:cs="Calibri"/>
          <w:lang w:val="de-DE"/>
        </w:rPr>
        <w:t>doi:10.1038/ng.3424</w:t>
      </w:r>
    </w:p>
    <w:p w:rsidR="00C917BA" w:rsidRDefault="000020C2">
      <w:pPr>
        <w:pStyle w:val="Bibliography"/>
        <w:rPr>
          <w:rFonts w:ascii="Calibri" w:hAnsi="Calibri" w:cs="Calibri"/>
        </w:rPr>
      </w:pPr>
      <w:r>
        <w:rPr>
          <w:rFonts w:ascii="Calibri" w:hAnsi="Calibri" w:cs="Calibri"/>
          <w:lang w:val="de-DE"/>
        </w:rPr>
        <w:t xml:space="preserve">9. </w:t>
      </w:r>
      <w:r>
        <w:rPr>
          <w:rFonts w:ascii="Calibri" w:hAnsi="Calibri" w:cs="Calibri"/>
          <w:lang w:val="de-DE"/>
        </w:rPr>
        <w:tab/>
        <w:t xml:space="preserve">Waage J, Standl M, Curtin JA, et al. </w:t>
      </w:r>
      <w:r>
        <w:rPr>
          <w:rFonts w:ascii="Calibri" w:hAnsi="Calibri" w:cs="Calibri"/>
        </w:rPr>
        <w:t xml:space="preserve">Genome-wide association and HLA fine-mapping studies identify risk loci and genetic pathways underlying allergic rhinitis. </w:t>
      </w:r>
      <w:r>
        <w:rPr>
          <w:rFonts w:ascii="Calibri" w:hAnsi="Calibri" w:cs="Calibri"/>
          <w:i/>
          <w:iCs/>
        </w:rPr>
        <w:t>Nat Genet</w:t>
      </w:r>
      <w:r>
        <w:rPr>
          <w:rFonts w:ascii="Calibri" w:hAnsi="Calibri" w:cs="Calibri"/>
        </w:rPr>
        <w:t>. 2018;50(8):1072-1080. doi:10.1038/s41588-018-0157-1</w:t>
      </w:r>
    </w:p>
    <w:p w:rsidR="00C917BA" w:rsidRDefault="000020C2">
      <w:pPr>
        <w:pStyle w:val="Bibliography"/>
        <w:rPr>
          <w:rFonts w:ascii="Calibri" w:hAnsi="Calibri" w:cs="Calibri"/>
        </w:rPr>
      </w:pPr>
      <w:r>
        <w:rPr>
          <w:rFonts w:ascii="Calibri" w:hAnsi="Calibri" w:cs="Calibri"/>
        </w:rPr>
        <w:t xml:space="preserve">10. </w:t>
      </w:r>
      <w:r>
        <w:rPr>
          <w:rFonts w:ascii="Calibri" w:hAnsi="Calibri" w:cs="Calibri"/>
        </w:rPr>
        <w:tab/>
        <w:t>Gran</w:t>
      </w:r>
      <w:r>
        <w:rPr>
          <w:rFonts w:ascii="Calibri" w:hAnsi="Calibri" w:cs="Calibri"/>
        </w:rPr>
        <w:t xml:space="preserve">ada M, Wilk JB, Tuzova M, et al. A genome-wide association study of plasma total IgE concentrations in the Framingham Heart Study. </w:t>
      </w:r>
      <w:r>
        <w:rPr>
          <w:rFonts w:ascii="Calibri" w:hAnsi="Calibri" w:cs="Calibri"/>
          <w:i/>
          <w:iCs/>
        </w:rPr>
        <w:t>J Allergy Clin Immunol</w:t>
      </w:r>
      <w:r>
        <w:rPr>
          <w:rFonts w:ascii="Calibri" w:hAnsi="Calibri" w:cs="Calibri"/>
        </w:rPr>
        <w:t>. 2012;129(3):840-845.e21. doi:10.1016/j.jaci.2011.09.029</w:t>
      </w:r>
    </w:p>
    <w:p w:rsidR="00C917BA" w:rsidRDefault="000020C2">
      <w:pPr>
        <w:pStyle w:val="Bibliography"/>
        <w:rPr>
          <w:rFonts w:ascii="Calibri" w:hAnsi="Calibri" w:cs="Calibri"/>
        </w:rPr>
      </w:pPr>
      <w:r>
        <w:rPr>
          <w:rFonts w:ascii="Calibri" w:hAnsi="Calibri" w:cs="Calibri"/>
        </w:rPr>
        <w:t xml:space="preserve">11. </w:t>
      </w:r>
      <w:r>
        <w:rPr>
          <w:rFonts w:ascii="Calibri" w:hAnsi="Calibri" w:cs="Calibri"/>
        </w:rPr>
        <w:tab/>
        <w:t xml:space="preserve">R Core Team. </w:t>
      </w:r>
      <w:r>
        <w:rPr>
          <w:rFonts w:ascii="Calibri" w:hAnsi="Calibri" w:cs="Calibri"/>
          <w:i/>
          <w:iCs/>
        </w:rPr>
        <w:t xml:space="preserve">R: A Language and </w:t>
      </w:r>
      <w:r>
        <w:rPr>
          <w:rFonts w:ascii="Calibri" w:hAnsi="Calibri" w:cs="Calibri"/>
          <w:i/>
          <w:iCs/>
        </w:rPr>
        <w:t>Environment for Statistical Computing</w:t>
      </w:r>
      <w:r>
        <w:rPr>
          <w:rFonts w:ascii="Calibri" w:hAnsi="Calibri" w:cs="Calibri"/>
        </w:rPr>
        <w:t>. R Foundation for Statistical Computing; 2019. https://www.R-project.org/</w:t>
      </w:r>
    </w:p>
    <w:p w:rsidR="00C917BA" w:rsidRDefault="000020C2">
      <w:pPr>
        <w:pStyle w:val="Bibliography"/>
        <w:rPr>
          <w:rFonts w:ascii="Calibri" w:hAnsi="Calibri" w:cs="Calibri"/>
        </w:rPr>
      </w:pPr>
      <w:r>
        <w:rPr>
          <w:rFonts w:ascii="Calibri" w:hAnsi="Calibri" w:cs="Calibri"/>
        </w:rPr>
        <w:t xml:space="preserve">12. </w:t>
      </w:r>
      <w:r>
        <w:rPr>
          <w:rFonts w:ascii="Calibri" w:hAnsi="Calibri" w:cs="Calibri"/>
        </w:rPr>
        <w:tab/>
        <w:t>Minfi: a flexible and comprehensive Bioconductor package for the analysis of Infinium DNA methylation microarrays | Bioinformatics | Oxford</w:t>
      </w:r>
      <w:r>
        <w:rPr>
          <w:rFonts w:ascii="Calibri" w:hAnsi="Calibri" w:cs="Calibri"/>
        </w:rPr>
        <w:t xml:space="preserve"> Academic. Accessed September 2, 2021. https://academic.oup.com/bioinformatics/article/30/10/1363/267584</w:t>
      </w:r>
    </w:p>
    <w:p w:rsidR="00C917BA" w:rsidRDefault="000020C2">
      <w:pPr>
        <w:pStyle w:val="Bibliography"/>
        <w:rPr>
          <w:rFonts w:ascii="Calibri" w:hAnsi="Calibri" w:cs="Calibri"/>
        </w:rPr>
      </w:pPr>
      <w:r>
        <w:rPr>
          <w:rFonts w:ascii="Calibri" w:hAnsi="Calibri" w:cs="Calibri"/>
        </w:rPr>
        <w:t xml:space="preserve">13. </w:t>
      </w:r>
      <w:r>
        <w:rPr>
          <w:rFonts w:ascii="Calibri" w:hAnsi="Calibri" w:cs="Calibri"/>
        </w:rPr>
        <w:tab/>
        <w:t xml:space="preserve">Fortin JP, Labbe A, Lemire M, et al. Functional normalization of 450k methylation array data improves replication in large cancer studies. </w:t>
      </w:r>
      <w:r>
        <w:rPr>
          <w:rFonts w:ascii="Calibri" w:hAnsi="Calibri" w:cs="Calibri"/>
          <w:i/>
          <w:iCs/>
        </w:rPr>
        <w:t xml:space="preserve">Genome </w:t>
      </w:r>
      <w:r>
        <w:rPr>
          <w:rFonts w:ascii="Calibri" w:hAnsi="Calibri" w:cs="Calibri"/>
          <w:i/>
          <w:iCs/>
        </w:rPr>
        <w:t>Biol</w:t>
      </w:r>
      <w:r>
        <w:rPr>
          <w:rFonts w:ascii="Calibri" w:hAnsi="Calibri" w:cs="Calibri"/>
        </w:rPr>
        <w:t>. 2014;15(12):503. doi:10.1186/s13059-014-0503-2</w:t>
      </w:r>
    </w:p>
    <w:p w:rsidR="00C917BA" w:rsidRDefault="000020C2">
      <w:pPr>
        <w:pStyle w:val="Bibliography"/>
        <w:rPr>
          <w:rFonts w:ascii="Calibri" w:hAnsi="Calibri" w:cs="Calibri"/>
        </w:rPr>
      </w:pPr>
      <w:r>
        <w:rPr>
          <w:rFonts w:ascii="Calibri" w:hAnsi="Calibri" w:cs="Calibri"/>
        </w:rPr>
        <w:t xml:space="preserve">14. </w:t>
      </w:r>
      <w:r>
        <w:rPr>
          <w:rFonts w:ascii="Calibri" w:hAnsi="Calibri" w:cs="Calibri"/>
        </w:rPr>
        <w:tab/>
        <w:t xml:space="preserve">Du P, Kibbe WA, Lin SM. lumi: a pipeline for processing Illumina microarray. </w:t>
      </w:r>
      <w:r>
        <w:rPr>
          <w:rFonts w:ascii="Calibri" w:hAnsi="Calibri" w:cs="Calibri"/>
          <w:i/>
          <w:iCs/>
        </w:rPr>
        <w:t>Bioinforma Oxf Engl</w:t>
      </w:r>
      <w:r>
        <w:rPr>
          <w:rFonts w:ascii="Calibri" w:hAnsi="Calibri" w:cs="Calibri"/>
        </w:rPr>
        <w:t>. 2008;24(13):1547-1548. doi:10.1093/bioinformatics/btn224</w:t>
      </w:r>
    </w:p>
    <w:p w:rsidR="00C917BA" w:rsidRDefault="000020C2">
      <w:pPr>
        <w:pStyle w:val="Bibliography"/>
        <w:rPr>
          <w:rFonts w:ascii="Calibri" w:hAnsi="Calibri" w:cs="Calibri"/>
        </w:rPr>
      </w:pPr>
      <w:r>
        <w:rPr>
          <w:rFonts w:ascii="Calibri" w:hAnsi="Calibri" w:cs="Calibri"/>
        </w:rPr>
        <w:t xml:space="preserve">15. </w:t>
      </w:r>
      <w:r>
        <w:rPr>
          <w:rFonts w:ascii="Calibri" w:hAnsi="Calibri" w:cs="Calibri"/>
        </w:rPr>
        <w:tab/>
        <w:t xml:space="preserve">Pidsley R, Y Wong CC, Volta M, Lunnon </w:t>
      </w:r>
      <w:r>
        <w:rPr>
          <w:rFonts w:ascii="Calibri" w:hAnsi="Calibri" w:cs="Calibri"/>
        </w:rPr>
        <w:t xml:space="preserve">K, Mill J, Schalkwyk LC. A data-driven approach to preprocessing Illumina 450K methylation array data. </w:t>
      </w:r>
      <w:r>
        <w:rPr>
          <w:rFonts w:ascii="Calibri" w:hAnsi="Calibri" w:cs="Calibri"/>
          <w:i/>
          <w:iCs/>
        </w:rPr>
        <w:t>BMC Genomics</w:t>
      </w:r>
      <w:r>
        <w:rPr>
          <w:rFonts w:ascii="Calibri" w:hAnsi="Calibri" w:cs="Calibri"/>
        </w:rPr>
        <w:t>. 2013;14:293. doi:10.1186/1471-2164-14-293</w:t>
      </w:r>
    </w:p>
    <w:p w:rsidR="00C917BA" w:rsidRDefault="000020C2">
      <w:pPr>
        <w:pStyle w:val="Bibliography"/>
        <w:rPr>
          <w:rFonts w:ascii="Calibri" w:hAnsi="Calibri" w:cs="Calibri"/>
        </w:rPr>
      </w:pPr>
      <w:r>
        <w:rPr>
          <w:rFonts w:ascii="Calibri" w:hAnsi="Calibri" w:cs="Calibri"/>
        </w:rPr>
        <w:t xml:space="preserve">16. </w:t>
      </w:r>
      <w:r>
        <w:rPr>
          <w:rFonts w:ascii="Calibri" w:hAnsi="Calibri" w:cs="Calibri"/>
        </w:rPr>
        <w:tab/>
        <w:t>Hannum G, Guinney J, Zhao L, et al. Genome-wide methylation profiles reveal quantitative vie</w:t>
      </w:r>
      <w:r>
        <w:rPr>
          <w:rFonts w:ascii="Calibri" w:hAnsi="Calibri" w:cs="Calibri"/>
        </w:rPr>
        <w:t xml:space="preserve">ws of human aging rates. </w:t>
      </w:r>
      <w:r>
        <w:rPr>
          <w:rFonts w:ascii="Calibri" w:hAnsi="Calibri" w:cs="Calibri"/>
          <w:i/>
          <w:iCs/>
        </w:rPr>
        <w:t>Mol Cell</w:t>
      </w:r>
      <w:r>
        <w:rPr>
          <w:rFonts w:ascii="Calibri" w:hAnsi="Calibri" w:cs="Calibri"/>
        </w:rPr>
        <w:t>. 2013;49(2):359-367. doi:10.1016/j.molcel.2012.10.016</w:t>
      </w:r>
    </w:p>
    <w:p w:rsidR="00C917BA" w:rsidRDefault="000020C2">
      <w:pPr>
        <w:pStyle w:val="Bibliography"/>
        <w:rPr>
          <w:rFonts w:ascii="Calibri" w:hAnsi="Calibri" w:cs="Calibri"/>
        </w:rPr>
      </w:pPr>
      <w:r>
        <w:rPr>
          <w:rFonts w:ascii="Calibri" w:hAnsi="Calibri" w:cs="Calibri"/>
        </w:rPr>
        <w:t xml:space="preserve">17. </w:t>
      </w:r>
      <w:r>
        <w:rPr>
          <w:rFonts w:ascii="Calibri" w:hAnsi="Calibri" w:cs="Calibri"/>
        </w:rPr>
        <w:tab/>
        <w:t xml:space="preserve">Johnson WE, Li C, Rabinovic A. Adjusting batch effects in microarray expression data using empirical Bayes methods. </w:t>
      </w:r>
      <w:r>
        <w:rPr>
          <w:rFonts w:ascii="Calibri" w:hAnsi="Calibri" w:cs="Calibri"/>
          <w:i/>
          <w:iCs/>
        </w:rPr>
        <w:t>Biostat Oxf Engl</w:t>
      </w:r>
      <w:r>
        <w:rPr>
          <w:rFonts w:ascii="Calibri" w:hAnsi="Calibri" w:cs="Calibri"/>
        </w:rPr>
        <w:t>. 2007;8(1):118-127. doi:10.109</w:t>
      </w:r>
      <w:r>
        <w:rPr>
          <w:rFonts w:ascii="Calibri" w:hAnsi="Calibri" w:cs="Calibri"/>
        </w:rPr>
        <w:t>3/biostatistics/kxj037</w:t>
      </w:r>
    </w:p>
    <w:p w:rsidR="00C917BA" w:rsidRDefault="000020C2">
      <w:pPr>
        <w:pStyle w:val="Bibliography"/>
        <w:rPr>
          <w:rFonts w:ascii="Calibri" w:hAnsi="Calibri" w:cs="Calibri"/>
        </w:rPr>
      </w:pPr>
      <w:r>
        <w:rPr>
          <w:rFonts w:ascii="Calibri" w:hAnsi="Calibri" w:cs="Calibri"/>
        </w:rPr>
        <w:t xml:space="preserve">18. </w:t>
      </w:r>
      <w:r>
        <w:rPr>
          <w:rFonts w:ascii="Calibri" w:hAnsi="Calibri" w:cs="Calibri"/>
        </w:rPr>
        <w:tab/>
        <w:t xml:space="preserve">Houseman EA, Accomando WP, Koestler DC, et al. DNA methylation arrays as surrogate measures of cell mixture distribution. </w:t>
      </w:r>
      <w:r>
        <w:rPr>
          <w:rFonts w:ascii="Calibri" w:hAnsi="Calibri" w:cs="Calibri"/>
          <w:i/>
          <w:iCs/>
        </w:rPr>
        <w:t>BMC Bioinformatics</w:t>
      </w:r>
      <w:r>
        <w:rPr>
          <w:rFonts w:ascii="Calibri" w:hAnsi="Calibri" w:cs="Calibri"/>
        </w:rPr>
        <w:t>. 2012;13:86. doi:10.1186/1471-2105-13-86</w:t>
      </w:r>
    </w:p>
    <w:p w:rsidR="00C917BA" w:rsidRDefault="000020C2">
      <w:pPr>
        <w:pStyle w:val="Bibliography"/>
        <w:rPr>
          <w:rFonts w:ascii="Calibri" w:hAnsi="Calibri" w:cs="Calibri"/>
        </w:rPr>
      </w:pPr>
      <w:r>
        <w:rPr>
          <w:rFonts w:ascii="Calibri" w:hAnsi="Calibri" w:cs="Calibri"/>
        </w:rPr>
        <w:t xml:space="preserve">19. </w:t>
      </w:r>
      <w:r>
        <w:rPr>
          <w:rFonts w:ascii="Calibri" w:hAnsi="Calibri" w:cs="Calibri"/>
        </w:rPr>
        <w:tab/>
        <w:t>Koestler DC, Jones MJ, Usset J, et al. Im</w:t>
      </w:r>
      <w:r>
        <w:rPr>
          <w:rFonts w:ascii="Calibri" w:hAnsi="Calibri" w:cs="Calibri"/>
        </w:rPr>
        <w:t xml:space="preserve">proving cell mixture deconvolution by identifying optimal DNA methylation libraries (IDOL). </w:t>
      </w:r>
      <w:r>
        <w:rPr>
          <w:rFonts w:ascii="Calibri" w:hAnsi="Calibri" w:cs="Calibri"/>
          <w:i/>
          <w:iCs/>
        </w:rPr>
        <w:t>BMC Bioinformatics</w:t>
      </w:r>
      <w:r>
        <w:rPr>
          <w:rFonts w:ascii="Calibri" w:hAnsi="Calibri" w:cs="Calibri"/>
        </w:rPr>
        <w:t>. 2016;17(1):120. doi:10.1186/s12859-016-0943-7</w:t>
      </w:r>
    </w:p>
    <w:p w:rsidR="00C917BA" w:rsidRDefault="000020C2">
      <w:pPr>
        <w:pStyle w:val="Bibliography"/>
        <w:rPr>
          <w:rFonts w:ascii="Calibri" w:hAnsi="Calibri" w:cs="Calibri"/>
          <w:lang w:val="de-DE"/>
        </w:rPr>
      </w:pPr>
      <w:r>
        <w:rPr>
          <w:rFonts w:ascii="Calibri" w:hAnsi="Calibri" w:cs="Calibri"/>
        </w:rPr>
        <w:t xml:space="preserve">20. </w:t>
      </w:r>
      <w:r>
        <w:rPr>
          <w:rFonts w:ascii="Calibri" w:hAnsi="Calibri" w:cs="Calibri"/>
        </w:rPr>
        <w:tab/>
        <w:t>Salas LA, Koestler DC, Butler RA, et al. An optimized library for reference-based deconvoluti</w:t>
      </w:r>
      <w:r>
        <w:rPr>
          <w:rFonts w:ascii="Calibri" w:hAnsi="Calibri" w:cs="Calibri"/>
        </w:rPr>
        <w:t xml:space="preserve">on of whole-blood biospecimens assayed using the Illumina HumanMethylationEPIC BeadArray. </w:t>
      </w:r>
      <w:r>
        <w:rPr>
          <w:rFonts w:ascii="Calibri" w:hAnsi="Calibri" w:cs="Calibri"/>
          <w:i/>
          <w:iCs/>
          <w:lang w:val="de-DE"/>
        </w:rPr>
        <w:t>Genome Biol</w:t>
      </w:r>
      <w:r>
        <w:rPr>
          <w:rFonts w:ascii="Calibri" w:hAnsi="Calibri" w:cs="Calibri"/>
          <w:lang w:val="de-DE"/>
        </w:rPr>
        <w:t>. 2018;19:64. doi:10.1186/s13059-018-1448-7</w:t>
      </w:r>
    </w:p>
    <w:p w:rsidR="00C917BA" w:rsidRDefault="000020C2">
      <w:pPr>
        <w:pStyle w:val="Bibliography"/>
        <w:rPr>
          <w:rFonts w:ascii="Calibri" w:hAnsi="Calibri" w:cs="Calibri"/>
        </w:rPr>
      </w:pPr>
      <w:r>
        <w:rPr>
          <w:rFonts w:ascii="Calibri" w:hAnsi="Calibri" w:cs="Calibri"/>
          <w:lang w:val="de-DE"/>
        </w:rPr>
        <w:t xml:space="preserve">21. </w:t>
      </w:r>
      <w:r>
        <w:rPr>
          <w:rFonts w:ascii="Calibri" w:hAnsi="Calibri" w:cs="Calibri"/>
          <w:lang w:val="de-DE"/>
        </w:rPr>
        <w:tab/>
        <w:t xml:space="preserve">Reese SE, Xu CJ, den Dekker HT, et al. </w:t>
      </w:r>
      <w:r>
        <w:rPr>
          <w:rFonts w:ascii="Calibri" w:hAnsi="Calibri" w:cs="Calibri"/>
        </w:rPr>
        <w:t>Epigenome-wide meta-analysis of DNA methylation and childhood asthm</w:t>
      </w:r>
      <w:r>
        <w:rPr>
          <w:rFonts w:ascii="Calibri" w:hAnsi="Calibri" w:cs="Calibri"/>
        </w:rPr>
        <w:t xml:space="preserve">a. </w:t>
      </w:r>
      <w:r>
        <w:rPr>
          <w:rFonts w:ascii="Calibri" w:hAnsi="Calibri" w:cs="Calibri"/>
          <w:i/>
          <w:iCs/>
        </w:rPr>
        <w:t>J Allergy Clin Immunol</w:t>
      </w:r>
      <w:r>
        <w:rPr>
          <w:rFonts w:ascii="Calibri" w:hAnsi="Calibri" w:cs="Calibri"/>
        </w:rPr>
        <w:t>. 2019;143(6):2062-2074. doi:10.1016/j.jaci.2018.11.043</w:t>
      </w:r>
    </w:p>
    <w:p w:rsidR="00C917BA" w:rsidRDefault="000020C2">
      <w:pPr>
        <w:pStyle w:val="Bibliography"/>
        <w:rPr>
          <w:rFonts w:ascii="Calibri" w:hAnsi="Calibri" w:cs="Calibri"/>
        </w:rPr>
      </w:pPr>
      <w:r>
        <w:rPr>
          <w:rFonts w:ascii="Calibri" w:hAnsi="Calibri" w:cs="Calibri"/>
        </w:rPr>
        <w:t xml:space="preserve">22. </w:t>
      </w:r>
      <w:r>
        <w:rPr>
          <w:rFonts w:ascii="Calibri" w:hAnsi="Calibri" w:cs="Calibri"/>
        </w:rPr>
        <w:tab/>
        <w:t xml:space="preserve">Xu CJ, Gruzieva O, Qi C, et al. Shared DNA methylation signatures in childhood allergy: The MeDALL study. </w:t>
      </w:r>
      <w:r>
        <w:rPr>
          <w:rFonts w:ascii="Calibri" w:hAnsi="Calibri" w:cs="Calibri"/>
          <w:i/>
          <w:iCs/>
        </w:rPr>
        <w:t>J Allergy Clin Immunol</w:t>
      </w:r>
      <w:r>
        <w:rPr>
          <w:rFonts w:ascii="Calibri" w:hAnsi="Calibri" w:cs="Calibri"/>
        </w:rPr>
        <w:t>. 2021;147(3):1031-1040. doi:10.1016/j.jac</w:t>
      </w:r>
      <w:r>
        <w:rPr>
          <w:rFonts w:ascii="Calibri" w:hAnsi="Calibri" w:cs="Calibri"/>
        </w:rPr>
        <w:t>i.2020.11.044</w:t>
      </w:r>
    </w:p>
    <w:p w:rsidR="00C917BA" w:rsidRDefault="000020C2">
      <w:pPr>
        <w:pStyle w:val="Bibliography"/>
        <w:rPr>
          <w:rFonts w:ascii="Calibri" w:hAnsi="Calibri" w:cs="Calibri"/>
        </w:rPr>
      </w:pPr>
      <w:r>
        <w:rPr>
          <w:rFonts w:ascii="Calibri" w:hAnsi="Calibri" w:cs="Calibri"/>
        </w:rPr>
        <w:t xml:space="preserve">23. </w:t>
      </w:r>
      <w:r>
        <w:rPr>
          <w:rFonts w:ascii="Calibri" w:hAnsi="Calibri" w:cs="Calibri"/>
        </w:rPr>
        <w:tab/>
        <w:t xml:space="preserve">Chen W, Wang T, Pino-Yanes M, et al. An epigenome-wide association study of total serum immunoglobulin E in Hispanic children. </w:t>
      </w:r>
      <w:r>
        <w:rPr>
          <w:rFonts w:ascii="Calibri" w:hAnsi="Calibri" w:cs="Calibri"/>
          <w:i/>
          <w:iCs/>
        </w:rPr>
        <w:t>J Allergy Clin Immunol</w:t>
      </w:r>
      <w:r>
        <w:rPr>
          <w:rFonts w:ascii="Calibri" w:hAnsi="Calibri" w:cs="Calibri"/>
        </w:rPr>
        <w:t>. 2017;140(2):571-577. doi:10.1016/j.jaci.2016.11.030</w:t>
      </w:r>
    </w:p>
    <w:p w:rsidR="00C917BA" w:rsidRDefault="000020C2">
      <w:pPr>
        <w:pStyle w:val="Bibliography"/>
        <w:rPr>
          <w:rFonts w:ascii="Calibri" w:hAnsi="Calibri" w:cs="Calibri"/>
        </w:rPr>
      </w:pPr>
      <w:r>
        <w:rPr>
          <w:rFonts w:ascii="Calibri" w:hAnsi="Calibri" w:cs="Calibri"/>
        </w:rPr>
        <w:t xml:space="preserve">24. </w:t>
      </w:r>
      <w:r>
        <w:rPr>
          <w:rFonts w:ascii="Calibri" w:hAnsi="Calibri" w:cs="Calibri"/>
        </w:rPr>
        <w:tab/>
        <w:t>Zhang H, Kaushal A, Merid SK,</w:t>
      </w:r>
      <w:r>
        <w:rPr>
          <w:rFonts w:ascii="Calibri" w:hAnsi="Calibri" w:cs="Calibri"/>
        </w:rPr>
        <w:t xml:space="preserve"> et al. DNA methylation and allergic sensitizations: A genome-scale longitudinal study during adolescence. </w:t>
      </w:r>
      <w:r>
        <w:rPr>
          <w:rFonts w:ascii="Calibri" w:hAnsi="Calibri" w:cs="Calibri"/>
          <w:i/>
          <w:iCs/>
        </w:rPr>
        <w:t>Allergy</w:t>
      </w:r>
      <w:r>
        <w:rPr>
          <w:rFonts w:ascii="Calibri" w:hAnsi="Calibri" w:cs="Calibri"/>
        </w:rPr>
        <w:t>. 2019;74(6):1166-1175. doi:10.1111/all.13746</w:t>
      </w:r>
    </w:p>
    <w:p w:rsidR="00C917BA" w:rsidRDefault="000020C2">
      <w:pPr>
        <w:pStyle w:val="Bibliography"/>
        <w:rPr>
          <w:rFonts w:ascii="Calibri" w:hAnsi="Calibri" w:cs="Calibri"/>
        </w:rPr>
      </w:pPr>
      <w:r>
        <w:rPr>
          <w:rFonts w:ascii="Calibri" w:hAnsi="Calibri" w:cs="Calibri"/>
        </w:rPr>
        <w:t xml:space="preserve">25. </w:t>
      </w:r>
      <w:r>
        <w:rPr>
          <w:rFonts w:ascii="Calibri" w:hAnsi="Calibri" w:cs="Calibri"/>
        </w:rPr>
        <w:tab/>
        <w:t>Gatev E, Gladish N, Mostafavi S, Kobor MS. CoMeBack: DNA methylation array data analysis fo</w:t>
      </w:r>
      <w:r>
        <w:rPr>
          <w:rFonts w:ascii="Calibri" w:hAnsi="Calibri" w:cs="Calibri"/>
        </w:rPr>
        <w:t xml:space="preserve">r co-methylated regions. </w:t>
      </w:r>
      <w:r>
        <w:rPr>
          <w:rFonts w:ascii="Calibri" w:hAnsi="Calibri" w:cs="Calibri"/>
          <w:i/>
          <w:iCs/>
        </w:rPr>
        <w:t>Bioinforma Oxf Engl</w:t>
      </w:r>
      <w:r>
        <w:rPr>
          <w:rFonts w:ascii="Calibri" w:hAnsi="Calibri" w:cs="Calibri"/>
        </w:rPr>
        <w:t>. 2020;36(9):2675-2683. doi:10.1093/bioinformatics/btaa049</w:t>
      </w:r>
    </w:p>
    <w:p w:rsidR="00C917BA" w:rsidRDefault="000020C2">
      <w:r>
        <w:fldChar w:fldCharType="end"/>
      </w:r>
    </w:p>
    <w:sectPr w:rsidR="00C917BA">
      <w:pgSz w:w="12240" w:h="15840"/>
      <w:pgMar w:top="1440" w:right="1440" w:bottom="1440" w:left="1440" w:header="720" w:footer="720" w:gutter="0"/>
      <w:lnNumType w:countBy="1" w:restart="continuou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activeWritingStyle w:appName="MSWord" w:lang="de-DE" w:vendorID="64" w:dllVersion="6" w:nlCheck="1" w:checkStyle="0"/>
  <w:activeWritingStyle w:appName="MSWord" w:lang="en-US" w:vendorID="64" w:dllVersion="6" w:nlCheck="1" w:checkStyle="1"/>
  <w:activeWritingStyle w:appName="MSWord" w:lang="en-US" w:vendorID="64" w:dllVersion="4096" w:nlCheck="1" w:checkStyle="0"/>
  <w:activeWritingStyle w:appName="MSWord" w:lang="de-DE" w:vendorID="64" w:dllVersion="4096" w:nlCheck="1" w:checkStyle="0"/>
  <w:activeWritingStyle w:appName="MSWord" w:lang="en-US" w:vendorID="64" w:dllVersion="131078" w:nlCheck="1" w:checkStyle="1"/>
  <w:proofState w:spelling="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917BA"/>
    <w:rsid w:val="000020C2"/>
    <w:rsid w:val="00C917B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5:chartTrackingRefBased/>
  <w15:docId w15:val="{E0870B95-5B16-4E90-AB24-E2EBD3689E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Pr>
      <w:rFonts w:asciiTheme="majorHAnsi" w:eastAsiaTheme="majorEastAsia" w:hAnsiTheme="majorHAnsi" w:cstheme="majorBidi"/>
      <w:color w:val="1F4D78" w:themeColor="accent1" w:themeShade="7F"/>
      <w:sz w:val="24"/>
      <w:szCs w:val="24"/>
    </w:rPr>
  </w:style>
  <w:style w:type="character" w:styleId="CommentReference">
    <w:name w:val="annotation reference"/>
    <w:basedOn w:val="DefaultParagraphFont"/>
    <w:uiPriority w:val="99"/>
    <w:semiHidden/>
    <w:unhideWhenUsed/>
    <w:rPr>
      <w:sz w:val="16"/>
      <w:szCs w:val="16"/>
    </w:r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BalloonText">
    <w:name w:val="Balloon Text"/>
    <w:basedOn w:val="Normal"/>
    <w:link w:val="BalloonTextChar"/>
    <w:uiPriority w:val="99"/>
    <w:semiHidden/>
    <w:unhideWhenUsed/>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Pr>
      <w:rFonts w:ascii="Segoe UI" w:hAnsi="Segoe UI" w:cs="Segoe UI"/>
      <w:sz w:val="18"/>
      <w:szCs w:val="18"/>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ibliography">
    <w:name w:val="Bibliography"/>
    <w:basedOn w:val="Normal"/>
    <w:next w:val="Normal"/>
    <w:uiPriority w:val="37"/>
    <w:unhideWhenUsed/>
    <w:pPr>
      <w:tabs>
        <w:tab w:val="left" w:pos="504"/>
      </w:tabs>
      <w:spacing w:after="240" w:line="240" w:lineRule="auto"/>
      <w:ind w:left="504" w:hanging="504"/>
    </w:pPr>
  </w:style>
  <w:style w:type="paragraph" w:styleId="CommentSubject">
    <w:name w:val="annotation subject"/>
    <w:basedOn w:val="CommentText"/>
    <w:next w:val="CommentText"/>
    <w:link w:val="CommentSubjectChar"/>
    <w:uiPriority w:val="99"/>
    <w:semiHidden/>
    <w:unhideWhenUsed/>
    <w:rPr>
      <w:b/>
      <w:bCs/>
    </w:rPr>
  </w:style>
  <w:style w:type="character" w:customStyle="1" w:styleId="CommentSubjectChar">
    <w:name w:val="Comment Subject Char"/>
    <w:basedOn w:val="CommentTextChar"/>
    <w:link w:val="CommentSubject"/>
    <w:uiPriority w:val="99"/>
    <w:semiHidden/>
    <w:rPr>
      <w:b/>
      <w:bCs/>
      <w:sz w:val="20"/>
      <w:szCs w:val="20"/>
    </w:rPr>
  </w:style>
  <w:style w:type="paragraph" w:styleId="Revision">
    <w:name w:val="Revision"/>
    <w:hidden/>
    <w:uiPriority w:val="99"/>
    <w:semiHidden/>
    <w:pPr>
      <w:spacing w:after="0" w:line="240" w:lineRule="auto"/>
    </w:pPr>
  </w:style>
  <w:style w:type="paragraph" w:styleId="Caption">
    <w:name w:val="caption"/>
    <w:basedOn w:val="Normal"/>
    <w:next w:val="Normal"/>
    <w:uiPriority w:val="35"/>
    <w:unhideWhenUsed/>
    <w:qFormat/>
    <w:pPr>
      <w:spacing w:after="200" w:line="240" w:lineRule="auto"/>
    </w:pPr>
    <w:rPr>
      <w:i/>
      <w:iCs/>
      <w:color w:val="44546A" w:themeColor="text2"/>
      <w:sz w:val="18"/>
      <w:szCs w:val="18"/>
    </w:rPr>
  </w:style>
  <w:style w:type="character" w:styleId="LineNumber">
    <w:name w:val="line number"/>
    <w:basedOn w:val="DefaultParagraphFon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E0B954A-A1ED-430B-AEFF-093782B087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15</Pages>
  <Words>21693</Words>
  <Characters>123652</Characters>
  <Application>Microsoft Office Word</Application>
  <DocSecurity>0</DocSecurity>
  <Lines>1030</Lines>
  <Paragraphs>290</Paragraphs>
  <ScaleCrop>false</ScaleCrop>
  <HeadingPairs>
    <vt:vector size="2" baseType="variant">
      <vt:variant>
        <vt:lpstr>Title</vt:lpstr>
      </vt:variant>
      <vt:variant>
        <vt:i4>1</vt:i4>
      </vt:variant>
    </vt:vector>
  </HeadingPairs>
  <TitlesOfParts>
    <vt:vector size="1" baseType="lpstr">
      <vt:lpstr/>
    </vt:vector>
  </TitlesOfParts>
  <Company>Helmholtz Zentrum München</Company>
  <LinksUpToDate>false</LinksUpToDate>
  <CharactersWithSpaces>145055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Kilanowski, Anna</dc:creator>
  <cp:keywords/>
  <dc:description/>
  <cp:lastModifiedBy>Vembu B.</cp:lastModifiedBy>
  <cp:revision>5</cp:revision>
  <cp:lastPrinted>2022-01-10T14:37:00Z</cp:lastPrinted>
  <dcterms:created xsi:type="dcterms:W3CDTF">2022-02-10T09:23:00Z</dcterms:created>
  <dcterms:modified xsi:type="dcterms:W3CDTF">2022-04-21T08:08:00Z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ZOTERO_PREF_1">
    <vt:lpwstr>&lt;data data-version="3" zotero-version="5.0.96.3"&gt;&lt;session id="uWCnGMPT"/&gt;&lt;style id="http://www.zotero.org/styles/american-medical-association" hasBibliography="1" bibliographyStyleHasBeenSet="1"/&gt;&lt;prefs&gt;&lt;pref name="fieldType" value="Field"/&gt;&lt;pref name="au</vt:lpwstr>
  </property>
  <property fmtid="{D5CDD505-2E9C-101B-9397-08002B2CF9AE}" pid="3" name="ZOTERO_PREF_2">
    <vt:lpwstr>tomaticJournalAbbreviations" value="true"/&gt;&lt;/prefs&gt;&lt;/data&gt;</vt:lpwstr>
  </property>
</Properties>
</file>