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uppressLineNumbers/>
        <w:spacing w:line="480" w:lineRule="auto"/>
        <w:jc w:val="both"/>
        <w:rPr>
          <w:rFonts w:ascii="Times New Roman" w:hAnsi="Times New Roman" w:cs="Times New Roman"/>
          <w:b/>
          <w:bCs/>
        </w:rPr>
      </w:pPr>
      <w:r>
        <w:rPr>
          <w:rFonts w:ascii="Calibri" w:eastAsia="Times New Roman" w:hAnsi="Calibri" w:cs="Calibri"/>
          <w:b/>
          <w:bCs/>
          <w:color w:val="000000"/>
          <w:sz w:val="28"/>
          <w:szCs w:val="28"/>
          <w:highlight w:val="yellow"/>
          <w:shd w:val="clear" w:color="auto" w:fill="FFFFFF"/>
        </w:rPr>
        <w:t>Impact of prenatal and childhood adversity effects around World War II on multimorbidity</w:t>
      </w:r>
      <w:bookmarkStart w:id="0" w:name="_GoBack"/>
      <w:bookmarkEnd w:id="0"/>
      <w:r>
        <w:rPr>
          <w:rFonts w:ascii="Calibri" w:eastAsia="Times New Roman" w:hAnsi="Calibri" w:cs="Calibri"/>
          <w:b/>
          <w:bCs/>
          <w:color w:val="000000"/>
          <w:sz w:val="28"/>
          <w:szCs w:val="28"/>
          <w:highlight w:val="yellow"/>
          <w:shd w:val="clear" w:color="auto" w:fill="FFFFFF"/>
        </w:rPr>
        <w:t>: Results from the KORA-Age study</w:t>
      </w:r>
      <w:r>
        <w:rPr>
          <w:rFonts w:ascii="Times New Roman" w:hAnsi="Times New Roman" w:cs="Times New Roman"/>
          <w:b/>
          <w:bCs/>
          <w:sz w:val="24"/>
          <w:szCs w:val="24"/>
        </w:rPr>
        <w:t xml:space="preserve"> </w:t>
      </w:r>
    </w:p>
    <w:p>
      <w:pPr>
        <w:suppressLineNumbers/>
        <w:spacing w:line="480" w:lineRule="auto"/>
        <w:jc w:val="both"/>
        <w:rPr>
          <w:rStyle w:val="fontstyle01"/>
          <w:rFonts w:ascii="Times New Roman" w:hAnsi="Times New Roman" w:cs="Times New Roman"/>
          <w:color w:val="auto"/>
          <w:sz w:val="20"/>
          <w:szCs w:val="20"/>
        </w:rPr>
      </w:pPr>
      <w:r>
        <w:rPr>
          <w:rStyle w:val="fontstyle01"/>
          <w:rFonts w:ascii="Times New Roman" w:hAnsi="Times New Roman" w:cs="Times New Roman"/>
          <w:color w:val="auto"/>
          <w:sz w:val="20"/>
          <w:szCs w:val="20"/>
        </w:rPr>
        <w:t>Ava Arshadipour</w:t>
      </w:r>
      <w:r>
        <w:rPr>
          <w:rStyle w:val="fontstyle01"/>
          <w:rFonts w:ascii="Times New Roman" w:hAnsi="Times New Roman" w:cs="Times New Roman"/>
          <w:color w:val="auto"/>
          <w:sz w:val="20"/>
          <w:szCs w:val="20"/>
          <w:vertAlign w:val="superscript"/>
        </w:rPr>
        <w:t>1,2*</w:t>
      </w:r>
      <w:r>
        <w:rPr>
          <w:rStyle w:val="fontstyle01"/>
          <w:rFonts w:ascii="Times New Roman" w:hAnsi="Times New Roman" w:cs="Times New Roman"/>
          <w:color w:val="auto"/>
          <w:sz w:val="20"/>
          <w:szCs w:val="20"/>
        </w:rPr>
        <w:t>, BarbaraThorand</w:t>
      </w:r>
      <w:r>
        <w:rPr>
          <w:rStyle w:val="fontstyle01"/>
          <w:rFonts w:ascii="Times New Roman" w:hAnsi="Times New Roman" w:cs="Times New Roman"/>
          <w:color w:val="auto"/>
          <w:sz w:val="20"/>
          <w:szCs w:val="20"/>
          <w:vertAlign w:val="superscript"/>
        </w:rPr>
        <w:t>1,6</w:t>
      </w:r>
      <w:r>
        <w:rPr>
          <w:rStyle w:val="fontstyle01"/>
          <w:rFonts w:ascii="Times New Roman" w:hAnsi="Times New Roman" w:cs="Times New Roman"/>
          <w:color w:val="auto"/>
          <w:sz w:val="20"/>
          <w:szCs w:val="20"/>
        </w:rPr>
        <w:t>, Birgit Linkohr</w:t>
      </w:r>
      <w:r>
        <w:rPr>
          <w:rStyle w:val="fontstyle01"/>
          <w:rFonts w:ascii="Times New Roman" w:hAnsi="Times New Roman" w:cs="Times New Roman"/>
          <w:color w:val="auto"/>
          <w:sz w:val="20"/>
          <w:szCs w:val="20"/>
          <w:vertAlign w:val="superscript"/>
        </w:rPr>
        <w:t>1</w:t>
      </w:r>
      <w:r>
        <w:rPr>
          <w:rStyle w:val="fontstyle01"/>
          <w:rFonts w:ascii="Times New Roman" w:hAnsi="Times New Roman" w:cs="Times New Roman"/>
          <w:color w:val="auto"/>
          <w:sz w:val="20"/>
          <w:szCs w:val="20"/>
        </w:rPr>
        <w:t>, Susanne Rospleszcz</w:t>
      </w:r>
      <w:r>
        <w:rPr>
          <w:rStyle w:val="fontstyle01"/>
          <w:rFonts w:ascii="Times New Roman" w:hAnsi="Times New Roman" w:cs="Times New Roman"/>
          <w:color w:val="auto"/>
          <w:sz w:val="20"/>
          <w:szCs w:val="20"/>
          <w:vertAlign w:val="superscript"/>
        </w:rPr>
        <w:t>1,2</w:t>
      </w:r>
      <w:r>
        <w:rPr>
          <w:rStyle w:val="fontstyle01"/>
          <w:rFonts w:ascii="Times New Roman" w:hAnsi="Times New Roman" w:cs="Times New Roman"/>
          <w:color w:val="auto"/>
          <w:sz w:val="20"/>
          <w:szCs w:val="20"/>
        </w:rPr>
        <w:t>, Karl-Heinz Ladwig</w:t>
      </w:r>
      <w:r>
        <w:rPr>
          <w:rStyle w:val="fontstyle01"/>
          <w:rFonts w:ascii="Times New Roman" w:hAnsi="Times New Roman" w:cs="Times New Roman"/>
          <w:color w:val="auto"/>
          <w:sz w:val="20"/>
          <w:szCs w:val="20"/>
          <w:vertAlign w:val="superscript"/>
        </w:rPr>
        <w:t>1,3</w:t>
      </w:r>
      <w:r>
        <w:rPr>
          <w:rStyle w:val="fontstyle01"/>
          <w:rFonts w:ascii="Times New Roman" w:hAnsi="Times New Roman" w:cs="Times New Roman"/>
          <w:color w:val="auto"/>
          <w:sz w:val="20"/>
          <w:szCs w:val="20"/>
        </w:rPr>
        <w:t>, Margit Heier</w:t>
      </w:r>
      <w:r>
        <w:rPr>
          <w:rStyle w:val="fontstyle01"/>
          <w:rFonts w:ascii="Times New Roman" w:hAnsi="Times New Roman" w:cs="Times New Roman"/>
          <w:color w:val="auto"/>
          <w:sz w:val="20"/>
          <w:szCs w:val="20"/>
          <w:vertAlign w:val="superscript"/>
        </w:rPr>
        <w:t>1,4</w:t>
      </w:r>
      <w:r>
        <w:rPr>
          <w:rStyle w:val="fontstyle01"/>
          <w:rFonts w:ascii="Times New Roman" w:hAnsi="Times New Roman" w:cs="Times New Roman"/>
          <w:color w:val="auto"/>
          <w:sz w:val="20"/>
          <w:szCs w:val="20"/>
        </w:rPr>
        <w:t>, Annette Peters</w:t>
      </w:r>
      <w:r>
        <w:rPr>
          <w:rStyle w:val="fontstyle01"/>
          <w:rFonts w:ascii="Times New Roman" w:hAnsi="Times New Roman" w:cs="Times New Roman"/>
          <w:color w:val="auto"/>
          <w:sz w:val="20"/>
          <w:szCs w:val="20"/>
          <w:vertAlign w:val="superscript"/>
        </w:rPr>
        <w:t>1,2,5,6</w:t>
      </w:r>
    </w:p>
    <w:p>
      <w:pPr>
        <w:pStyle w:val="ListParagraph"/>
        <w:numPr>
          <w:ilvl w:val="0"/>
          <w:numId w:val="1"/>
        </w:numPr>
        <w:suppressLineNumbers/>
        <w:shd w:val="clear" w:color="auto" w:fill="FFFFFF"/>
        <w:spacing w:after="0" w:line="480" w:lineRule="auto"/>
        <w:ind w:left="0"/>
        <w:jc w:val="both"/>
        <w:rPr>
          <w:rFonts w:ascii="Times New Roman" w:hAnsi="Times New Roman" w:cs="Times New Roman"/>
          <w:sz w:val="20"/>
          <w:szCs w:val="20"/>
        </w:rPr>
      </w:pPr>
      <w:r>
        <w:rPr>
          <w:rFonts w:ascii="Times New Roman" w:hAnsi="Times New Roman" w:cs="Times New Roman"/>
          <w:sz w:val="20"/>
          <w:szCs w:val="20"/>
        </w:rPr>
        <w:t>Institute of Epidemiology, Helmholtz Munich, German Research Center for Environmental Health, Neuherberg, Germany.</w:t>
      </w:r>
    </w:p>
    <w:p>
      <w:pPr>
        <w:pStyle w:val="ListParagraph"/>
        <w:numPr>
          <w:ilvl w:val="0"/>
          <w:numId w:val="1"/>
        </w:numPr>
        <w:suppressLineNumbers/>
        <w:shd w:val="clear" w:color="auto" w:fill="FFFFFF"/>
        <w:spacing w:after="0" w:line="480" w:lineRule="auto"/>
        <w:ind w:left="0"/>
        <w:jc w:val="both"/>
        <w:rPr>
          <w:rFonts w:ascii="Times New Roman" w:hAnsi="Times New Roman" w:cs="Times New Roman"/>
          <w:sz w:val="20"/>
          <w:szCs w:val="20"/>
        </w:rPr>
      </w:pPr>
      <w:r>
        <w:rPr>
          <w:rFonts w:ascii="Times New Roman" w:hAnsi="Times New Roman" w:cs="Times New Roman"/>
          <w:sz w:val="20"/>
          <w:szCs w:val="20"/>
        </w:rPr>
        <w:t>Institute for Medical Information Processing Biometry and Epidemiology (IBE), Ludwig-Maximilians-Universität München, Munich, Germany.</w:t>
      </w:r>
    </w:p>
    <w:p>
      <w:pPr>
        <w:pStyle w:val="ListParagraph"/>
        <w:numPr>
          <w:ilvl w:val="0"/>
          <w:numId w:val="1"/>
        </w:numPr>
        <w:suppressLineNumbers/>
        <w:shd w:val="clear" w:color="auto" w:fill="FFFFFF"/>
        <w:spacing w:after="0" w:line="480" w:lineRule="auto"/>
        <w:ind w:left="0"/>
        <w:jc w:val="both"/>
        <w:rPr>
          <w:rFonts w:ascii="Times New Roman" w:hAnsi="Times New Roman" w:cs="Times New Roman"/>
          <w:sz w:val="20"/>
          <w:szCs w:val="20"/>
        </w:rPr>
      </w:pPr>
      <w:r>
        <w:rPr>
          <w:rFonts w:ascii="Times New Roman" w:hAnsi="Times New Roman" w:cs="Times New Roman"/>
          <w:sz w:val="20"/>
          <w:szCs w:val="20"/>
        </w:rPr>
        <w:t>Department for Psychosomatic Medicine and Psychotherapy, Klinikum Rechts der Isar, Technical University of Munich, Munich, Germany.</w:t>
      </w:r>
    </w:p>
    <w:p>
      <w:pPr>
        <w:pStyle w:val="ListParagraph"/>
        <w:numPr>
          <w:ilvl w:val="0"/>
          <w:numId w:val="1"/>
        </w:numPr>
        <w:suppressLineNumbers/>
        <w:shd w:val="clear" w:color="auto" w:fill="FFFFFF"/>
        <w:spacing w:after="0" w:line="480" w:lineRule="auto"/>
        <w:ind w:left="0"/>
        <w:jc w:val="both"/>
        <w:rPr>
          <w:rFonts w:ascii="Times New Roman" w:hAnsi="Times New Roman" w:cs="Times New Roman"/>
          <w:sz w:val="20"/>
          <w:szCs w:val="20"/>
        </w:rPr>
      </w:pPr>
      <w:r>
        <w:rPr>
          <w:rFonts w:ascii="Times New Roman" w:hAnsi="Times New Roman" w:cs="Times New Roman"/>
          <w:sz w:val="20"/>
          <w:szCs w:val="20"/>
        </w:rPr>
        <w:t>KORA Study Centre, University Hospital of Augsburg, Augsburg, Germany.</w:t>
      </w:r>
    </w:p>
    <w:p>
      <w:pPr>
        <w:pStyle w:val="ListParagraph"/>
        <w:numPr>
          <w:ilvl w:val="0"/>
          <w:numId w:val="1"/>
        </w:numPr>
        <w:suppressLineNumbers/>
        <w:shd w:val="clear" w:color="auto" w:fill="FFFFFF"/>
        <w:spacing w:after="0" w:line="480" w:lineRule="auto"/>
        <w:ind w:left="0"/>
        <w:jc w:val="both"/>
        <w:rPr>
          <w:rFonts w:ascii="Times New Roman" w:hAnsi="Times New Roman" w:cs="Times New Roman"/>
          <w:sz w:val="20"/>
          <w:szCs w:val="20"/>
        </w:rPr>
      </w:pPr>
      <w:r>
        <w:rPr>
          <w:rFonts w:ascii="Times New Roman" w:hAnsi="Times New Roman" w:cs="Times New Roman"/>
          <w:sz w:val="20"/>
          <w:szCs w:val="20"/>
        </w:rPr>
        <w:t>German Center for Cardiovascular Disease Research (DZHK), Munich Heart Alliance, Munich, Germany.</w:t>
      </w:r>
    </w:p>
    <w:p>
      <w:pPr>
        <w:pStyle w:val="ListParagraph"/>
        <w:numPr>
          <w:ilvl w:val="0"/>
          <w:numId w:val="1"/>
        </w:numPr>
        <w:suppressLineNumbers/>
        <w:shd w:val="clear" w:color="auto" w:fill="FFFFFF"/>
        <w:spacing w:after="0" w:line="480" w:lineRule="auto"/>
        <w:ind w:left="0"/>
        <w:jc w:val="both"/>
        <w:rPr>
          <w:rFonts w:ascii="Times New Roman" w:hAnsi="Times New Roman" w:cs="Times New Roman"/>
          <w:sz w:val="20"/>
          <w:szCs w:val="20"/>
        </w:rPr>
      </w:pPr>
      <w:r>
        <w:rPr>
          <w:rFonts w:ascii="Times New Roman" w:hAnsi="Times New Roman" w:cs="Times New Roman"/>
          <w:sz w:val="20"/>
          <w:szCs w:val="20"/>
        </w:rPr>
        <w:t>German Center for Diabetes Research (DZD), München-Neuherberg, Germany.</w:t>
      </w:r>
    </w:p>
    <w:p>
      <w:pPr>
        <w:spacing w:after="0" w:line="360" w:lineRule="auto"/>
        <w:jc w:val="both"/>
        <w:rPr>
          <w:rFonts w:ascii="Times New Roman" w:hAnsi="Times New Roman" w:cs="Times New Roman"/>
          <w:sz w:val="20"/>
          <w:szCs w:val="20"/>
        </w:rPr>
      </w:pPr>
    </w:p>
    <w:p>
      <w:pPr>
        <w:spacing w:after="120" w:line="360" w:lineRule="auto"/>
        <w:jc w:val="both"/>
        <w:rPr>
          <w:rFonts w:ascii="Times New Roman" w:hAnsi="Times New Roman" w:cs="Times New Roman"/>
          <w:b/>
        </w:rPr>
      </w:pPr>
      <w:r>
        <w:rPr>
          <w:rFonts w:ascii="Times New Roman" w:hAnsi="Times New Roman" w:cs="Times New Roman"/>
          <w:b/>
        </w:rPr>
        <w:t xml:space="preserve">Journal: BMC Geriatrics </w:t>
      </w:r>
    </w:p>
    <w:p>
      <w:pPr>
        <w:spacing w:after="0" w:line="360" w:lineRule="auto"/>
        <w:jc w:val="both"/>
        <w:rPr>
          <w:rFonts w:ascii="Times New Roman" w:hAnsi="Times New Roman" w:cs="Times New Roman"/>
          <w:sz w:val="20"/>
          <w:szCs w:val="20"/>
        </w:rPr>
      </w:pPr>
    </w:p>
    <w:p>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Corresponding author</w:t>
      </w:r>
    </w:p>
    <w:p>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Ava Arshadipour,</w:t>
      </w:r>
    </w:p>
    <w:p>
      <w:pPr>
        <w:pStyle w:val="ListParagraph"/>
        <w:numPr>
          <w:ilvl w:val="0"/>
          <w:numId w:val="1"/>
        </w:numPr>
        <w:suppressLineNumbers/>
        <w:shd w:val="clear" w:color="auto" w:fill="FFFFFF"/>
        <w:spacing w:after="0" w:line="480" w:lineRule="auto"/>
        <w:ind w:left="0"/>
        <w:jc w:val="both"/>
        <w:rPr>
          <w:rFonts w:ascii="Times New Roman" w:hAnsi="Times New Roman" w:cs="Times New Roman"/>
          <w:sz w:val="20"/>
          <w:szCs w:val="20"/>
        </w:rPr>
      </w:pPr>
      <w:r>
        <w:rPr>
          <w:rFonts w:ascii="Times New Roman" w:hAnsi="Times New Roman" w:cs="Times New Roman"/>
          <w:sz w:val="20"/>
          <w:szCs w:val="20"/>
        </w:rPr>
        <w:t>Institute for Medical Information Processing Biometry and Epidemiology (IBE), Ludwig-Maximilians-Universität München, Munich, Germany.</w:t>
      </w:r>
    </w:p>
    <w:p>
      <w:pPr>
        <w:spacing w:after="0" w:line="360" w:lineRule="auto"/>
        <w:jc w:val="both"/>
        <w:rPr>
          <w:rFonts w:ascii="Times New Roman" w:hAnsi="Times New Roman" w:cs="Times New Roman"/>
          <w:sz w:val="20"/>
          <w:szCs w:val="20"/>
        </w:rPr>
      </w:pPr>
      <w:r>
        <w:rPr>
          <w:rFonts w:ascii="Times New Roman" w:hAnsi="Times New Roman" w:cs="Times New Roman"/>
          <w:sz w:val="20"/>
          <w:szCs w:val="20"/>
        </w:rPr>
        <w:t>Institute of Epidemiology, Helmholtz Munich, German Research Center for Environmental Health, Ingolstädter Landstraße 1, 85764 Munich, Germany</w:t>
      </w:r>
    </w:p>
    <w:p>
      <w:pPr>
        <w:spacing w:after="0" w:line="360" w:lineRule="auto"/>
        <w:jc w:val="both"/>
        <w:rPr>
          <w:rFonts w:ascii="Times New Roman" w:hAnsi="Times New Roman" w:cs="Times New Roman"/>
          <w:sz w:val="20"/>
          <w:szCs w:val="20"/>
        </w:rPr>
      </w:pPr>
      <w:r>
        <w:rPr>
          <w:rFonts w:ascii="Times New Roman" w:hAnsi="Times New Roman" w:cs="Times New Roman"/>
          <w:sz w:val="20"/>
          <w:szCs w:val="20"/>
        </w:rPr>
        <w:t>Tel.: +49 89 3187-49281, +49 1777369163</w:t>
      </w:r>
    </w:p>
    <w:p>
      <w:pPr>
        <w:suppressLineNumbers/>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Email: </w:t>
      </w:r>
      <w:r>
        <w:rPr>
          <w:rStyle w:val="Hyperlink"/>
          <w:rFonts w:ascii="Times New Roman" w:hAnsi="Times New Roman" w:cs="Times New Roman"/>
          <w:color w:val="auto"/>
          <w:sz w:val="20"/>
          <w:szCs w:val="20"/>
        </w:rPr>
        <w:t>a.arshadipour@campus.lmu.de, a.arshadipour2020@gmail.com</w:t>
      </w:r>
    </w:p>
    <w:p>
      <w:pPr>
        <w:jc w:val="both"/>
        <w:rPr>
          <w:rFonts w:ascii="Times New Roman" w:hAnsi="Times New Roman" w:cs="Times New Roman"/>
          <w:b/>
          <w:bCs/>
          <w:sz w:val="24"/>
          <w:szCs w:val="24"/>
        </w:rPr>
      </w:pPr>
    </w:p>
    <w:p>
      <w:pPr>
        <w:pStyle w:val="Heading1"/>
        <w:shd w:val="clear" w:color="auto" w:fill="FFFFFF"/>
        <w:rPr>
          <w:rFonts w:asciiTheme="majorBidi" w:hAnsiTheme="majorBidi" w:cstheme="majorBidi"/>
          <w:color w:val="111111"/>
          <w:sz w:val="24"/>
          <w:szCs w:val="24"/>
        </w:rPr>
      </w:pPr>
      <w:r>
        <w:rPr>
          <w:rFonts w:asciiTheme="majorBidi" w:hAnsiTheme="majorBidi" w:cstheme="majorBidi"/>
          <w:color w:val="111111"/>
          <w:sz w:val="24"/>
          <w:szCs w:val="24"/>
        </w:rPr>
        <w:lastRenderedPageBreak/>
        <w:t xml:space="preserve">Figure S1. Predicted probability of MM stratified by birth phases and sex </w:t>
      </w:r>
    </w:p>
    <w:p>
      <w:pPr>
        <w:pStyle w:val="Heading1"/>
        <w:shd w:val="clear" w:color="auto" w:fill="FFFFFF"/>
        <w:rPr>
          <w:rFonts w:ascii="Arial" w:hAnsi="Arial" w:cs="Arial"/>
          <w:b w:val="0"/>
          <w:bCs w:val="0"/>
          <w:color w:val="333333"/>
          <w:sz w:val="21"/>
          <w:szCs w:val="21"/>
          <w:shd w:val="clear" w:color="auto" w:fill="FFFFFF"/>
        </w:rPr>
      </w:pPr>
      <w:r>
        <w:rPr>
          <w:rFonts w:ascii="Arial" w:hAnsi="Arial" w:cs="Arial"/>
          <w:b w:val="0"/>
          <w:bCs w:val="0"/>
          <w:noProof/>
          <w:color w:val="333333"/>
          <w:sz w:val="21"/>
          <w:szCs w:val="21"/>
          <w:shd w:val="clear" w:color="auto" w:fill="FFFFFF"/>
        </w:rPr>
        <w:drawing>
          <wp:inline distT="0" distB="0" distL="0" distR="0">
            <wp:extent cx="8368076" cy="4164594"/>
            <wp:effectExtent l="0" t="0" r="0" b="7620"/>
            <wp:docPr id="4" name="Picture 4" descr="C:\Users\azam.arshadipour\Desktop\Dell file 7 Nov 2020\Ava.25may2020\Ava\Thesis\comments\manuscript 20 oct\BMC Geriatics\sup fi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zam.arshadipour\Desktop\Dell file 7 Nov 2020\Ava.25may2020\Ava\Thesis\comments\manuscript 20 oct\BMC Geriatics\sup fig 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7168" cy="4174096"/>
                    </a:xfrm>
                    <a:prstGeom prst="rect">
                      <a:avLst/>
                    </a:prstGeom>
                    <a:noFill/>
                    <a:ln>
                      <a:noFill/>
                    </a:ln>
                  </pic:spPr>
                </pic:pic>
              </a:graphicData>
            </a:graphic>
          </wp:inline>
        </w:drawing>
      </w:r>
      <w:r>
        <w:rPr>
          <w:rFonts w:ascii="Arial" w:hAnsi="Arial" w:cs="Arial"/>
          <w:b w:val="0"/>
          <w:bCs w:val="0"/>
          <w:color w:val="333333"/>
          <w:sz w:val="21"/>
          <w:szCs w:val="21"/>
          <w:shd w:val="clear" w:color="auto" w:fill="FFFFFF"/>
        </w:rPr>
        <w:t xml:space="preserve"> </w:t>
      </w:r>
    </w:p>
    <w:p>
      <w:pPr>
        <w:pStyle w:val="Heading1"/>
        <w:shd w:val="clear" w:color="auto" w:fill="FFFFFF"/>
        <w:rPr>
          <w:rFonts w:asciiTheme="majorBidi" w:hAnsiTheme="majorBidi" w:cstheme="majorBidi"/>
          <w:b w:val="0"/>
          <w:bCs w:val="0"/>
          <w:color w:val="111111"/>
          <w:sz w:val="20"/>
          <w:szCs w:val="20"/>
        </w:rPr>
      </w:pPr>
      <w:r>
        <w:rPr>
          <w:rFonts w:asciiTheme="majorBidi" w:hAnsiTheme="majorBidi" w:cstheme="majorBidi"/>
          <w:b w:val="0"/>
          <w:bCs w:val="0"/>
          <w:color w:val="111111"/>
          <w:sz w:val="20"/>
          <w:szCs w:val="20"/>
        </w:rPr>
        <w:t>The interaction of sex and birth phases for predicted probability of MM based on multiple logistic regression adjusted for age, sex, education, alcohol use, physical activity, BMI, smoking behavior and cognitive status. There were no significant differences (p &lt; 0.05) in all levels of birth phases between men and women.</w:t>
      </w:r>
    </w:p>
    <w:p>
      <w:pPr>
        <w:rPr>
          <w:rFonts w:asciiTheme="majorBidi" w:eastAsia="Times New Roman" w:hAnsiTheme="majorBidi" w:cstheme="majorBidi"/>
          <w:b/>
          <w:bCs/>
          <w:color w:val="111111"/>
          <w:kern w:val="36"/>
          <w:sz w:val="24"/>
          <w:szCs w:val="24"/>
        </w:rPr>
      </w:pPr>
    </w:p>
    <w:p>
      <w:pPr>
        <w:rPr>
          <w:rFonts w:asciiTheme="majorBidi" w:eastAsia="Times New Roman" w:hAnsiTheme="majorBidi" w:cstheme="majorBidi"/>
          <w:b/>
          <w:bCs/>
          <w:color w:val="111111"/>
          <w:kern w:val="36"/>
          <w:sz w:val="24"/>
          <w:szCs w:val="24"/>
        </w:rPr>
      </w:pPr>
    </w:p>
    <w:p>
      <w:pPr>
        <w:rPr>
          <w:rFonts w:asciiTheme="majorBidi" w:eastAsia="Times New Roman" w:hAnsiTheme="majorBidi" w:cstheme="majorBidi"/>
          <w:b/>
          <w:bCs/>
          <w:color w:val="111111"/>
          <w:kern w:val="36"/>
          <w:sz w:val="24"/>
          <w:szCs w:val="24"/>
        </w:rPr>
      </w:pPr>
      <w:r>
        <w:rPr>
          <w:rFonts w:asciiTheme="majorBidi" w:eastAsia="Times New Roman" w:hAnsiTheme="majorBidi" w:cstheme="majorBidi"/>
          <w:b/>
          <w:bCs/>
          <w:color w:val="111111"/>
          <w:kern w:val="36"/>
          <w:sz w:val="24"/>
          <w:szCs w:val="24"/>
        </w:rPr>
        <w:lastRenderedPageBreak/>
        <w:t xml:space="preserve">Figure S2. Prevalence of multimorbidity and single chronic diseases stratified by sex for all participants (n=3,377) from KORA-Age 1 and KORA-Age 3. </w:t>
      </w:r>
    </w:p>
    <w:p>
      <w:pPr>
        <w:rPr>
          <w:rFonts w:asciiTheme="majorBidi" w:eastAsia="Times New Roman" w:hAnsiTheme="majorBidi" w:cstheme="majorBidi"/>
          <w:b/>
          <w:bCs/>
          <w:color w:val="111111"/>
          <w:kern w:val="36"/>
          <w:sz w:val="24"/>
          <w:szCs w:val="24"/>
        </w:rPr>
      </w:pPr>
      <w:r>
        <w:rPr>
          <w:noProof/>
        </w:rPr>
        <w:drawing>
          <wp:inline distT="0" distB="0" distL="0" distR="0">
            <wp:extent cx="7713980" cy="4109013"/>
            <wp:effectExtent l="0" t="0" r="1270" b="6350"/>
            <wp:docPr id="1" name="Chart 1">
              <a:extLst xmlns:a="http://schemas.openxmlformats.org/drawingml/2006/main">
                <a:ext uri="{FF2B5EF4-FFF2-40B4-BE49-F238E27FC236}">
                  <a16:creationId xmlns:a16="http://schemas.microsoft.com/office/drawing/2014/main" id="{52A175A2-F00F-4307-96B6-47E13C2C0D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rFonts w:asciiTheme="majorBidi" w:eastAsia="Times New Roman" w:hAnsiTheme="majorBidi" w:cstheme="majorBidi"/>
          <w:b/>
          <w:bCs/>
          <w:color w:val="111111"/>
          <w:kern w:val="36"/>
          <w:sz w:val="24"/>
          <w:szCs w:val="24"/>
        </w:rPr>
      </w:pPr>
    </w:p>
    <w:p>
      <w:pPr>
        <w:rPr>
          <w:rFonts w:asciiTheme="majorBidi" w:eastAsia="Times New Roman" w:hAnsiTheme="majorBidi" w:cstheme="majorBidi"/>
          <w:b/>
          <w:bCs/>
          <w:color w:val="111111"/>
          <w:kern w:val="36"/>
          <w:sz w:val="24"/>
          <w:szCs w:val="24"/>
        </w:rPr>
      </w:pPr>
    </w:p>
    <w:p>
      <w:pPr>
        <w:rPr>
          <w:rFonts w:asciiTheme="majorBidi" w:eastAsia="Times New Roman" w:hAnsiTheme="majorBidi" w:cstheme="majorBidi"/>
          <w:b/>
          <w:bCs/>
          <w:color w:val="111111"/>
          <w:kern w:val="36"/>
          <w:sz w:val="24"/>
          <w:szCs w:val="24"/>
        </w:rPr>
      </w:pPr>
    </w:p>
    <w:p>
      <w:pPr>
        <w:rPr>
          <w:rFonts w:asciiTheme="majorBidi" w:eastAsia="Times New Roman" w:hAnsiTheme="majorBidi" w:cstheme="majorBidi"/>
          <w:b/>
          <w:bCs/>
          <w:color w:val="111111"/>
          <w:kern w:val="36"/>
          <w:sz w:val="24"/>
          <w:szCs w:val="24"/>
        </w:rPr>
      </w:pPr>
      <w:r>
        <w:rPr>
          <w:rFonts w:asciiTheme="majorBidi" w:eastAsia="Times New Roman" w:hAnsiTheme="majorBidi" w:cstheme="majorBidi"/>
          <w:b/>
          <w:bCs/>
          <w:color w:val="111111"/>
          <w:kern w:val="36"/>
          <w:sz w:val="24"/>
          <w:szCs w:val="24"/>
        </w:rPr>
        <w:lastRenderedPageBreak/>
        <w:t xml:space="preserve">Figure S3. Dendrogram based on the hierarchical clustering of chronic diseases using the average linkage method and Yule-Q coefficient for men. </w:t>
      </w:r>
    </w:p>
    <w:p>
      <w:pPr>
        <w:rPr>
          <w:rFonts w:asciiTheme="majorBidi" w:hAnsiTheme="majorBidi" w:cstheme="majorBidi"/>
        </w:rPr>
      </w:pPr>
      <w:r>
        <w:rPr>
          <w:rFonts w:asciiTheme="majorBidi" w:hAnsiTheme="majorBidi" w:cstheme="majorBidi"/>
          <w:noProof/>
        </w:rPr>
        <w:drawing>
          <wp:inline distT="0" distB="0" distL="0" distR="0">
            <wp:extent cx="8052635" cy="4332849"/>
            <wp:effectExtent l="0" t="0" r="5715" b="0"/>
            <wp:docPr id="7" name="Picture 7" descr="C:\Users\azam.arshadipour\Desktop\Dell file 7 Nov 2020\Ava.25may2020\Ava\Thesis\comments\manuscript 20 oct\figures\final figures\ad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zam.arshadipour\Desktop\Dell file 7 Nov 2020\Ava.25may2020\Ava\Thesis\comments\manuscript 20 oct\figures\final figures\add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96260" cy="4356322"/>
                    </a:xfrm>
                    <a:prstGeom prst="rect">
                      <a:avLst/>
                    </a:prstGeom>
                    <a:noFill/>
                    <a:ln>
                      <a:noFill/>
                    </a:ln>
                  </pic:spPr>
                </pic:pic>
              </a:graphicData>
            </a:graphic>
          </wp:inline>
        </w:drawing>
      </w:r>
    </w:p>
    <w:p>
      <w:pPr>
        <w:pStyle w:val="Heading1"/>
        <w:shd w:val="clear" w:color="auto" w:fill="FFFFFF"/>
        <w:rPr>
          <w:rFonts w:asciiTheme="majorBidi" w:hAnsiTheme="majorBidi" w:cstheme="majorBidi"/>
          <w:b w:val="0"/>
          <w:bCs w:val="0"/>
          <w:color w:val="111111"/>
          <w:sz w:val="20"/>
          <w:szCs w:val="20"/>
        </w:rPr>
      </w:pPr>
      <w:r>
        <w:rPr>
          <w:rFonts w:asciiTheme="majorBidi" w:hAnsiTheme="majorBidi" w:cstheme="majorBidi"/>
          <w:b w:val="0"/>
          <w:bCs w:val="0"/>
          <w:color w:val="111111"/>
          <w:sz w:val="20"/>
          <w:szCs w:val="20"/>
        </w:rPr>
        <w:t>The threshold (dotted line. h=0.7) was used to specify three main clusters.</w:t>
      </w:r>
    </w:p>
    <w:p>
      <w:pPr>
        <w:rPr>
          <w:rFonts w:asciiTheme="majorBidi" w:hAnsiTheme="majorBidi" w:cstheme="majorBidi"/>
        </w:rPr>
      </w:pPr>
    </w:p>
    <w:p>
      <w:pPr>
        <w:rPr>
          <w:rFonts w:asciiTheme="majorBidi" w:eastAsia="Times New Roman" w:hAnsiTheme="majorBidi" w:cstheme="majorBidi"/>
          <w:b/>
          <w:bCs/>
          <w:color w:val="111111"/>
          <w:kern w:val="36"/>
          <w:sz w:val="24"/>
          <w:szCs w:val="24"/>
        </w:rPr>
      </w:pPr>
    </w:p>
    <w:p>
      <w:pPr>
        <w:rPr>
          <w:rFonts w:asciiTheme="majorBidi" w:eastAsia="Times New Roman" w:hAnsiTheme="majorBidi" w:cstheme="majorBidi"/>
          <w:b/>
          <w:bCs/>
          <w:color w:val="111111"/>
          <w:kern w:val="36"/>
          <w:sz w:val="24"/>
          <w:szCs w:val="24"/>
        </w:rPr>
      </w:pPr>
      <w:r>
        <w:rPr>
          <w:rFonts w:asciiTheme="majorBidi" w:eastAsia="Times New Roman" w:hAnsiTheme="majorBidi" w:cstheme="majorBidi"/>
          <w:b/>
          <w:bCs/>
          <w:color w:val="111111"/>
          <w:kern w:val="36"/>
          <w:sz w:val="24"/>
          <w:szCs w:val="24"/>
        </w:rPr>
        <w:lastRenderedPageBreak/>
        <w:t xml:space="preserve">Figure S4. Dendrogram based on the hierarchical clustering of chronic diseases using the average linkage method and Yule-Q coefficient for women. </w:t>
      </w:r>
    </w:p>
    <w:p>
      <w:pPr>
        <w:rPr>
          <w:rFonts w:asciiTheme="majorBidi" w:eastAsia="Times New Roman" w:hAnsiTheme="majorBidi" w:cstheme="majorBidi"/>
          <w:b/>
          <w:bCs/>
          <w:color w:val="111111"/>
          <w:kern w:val="36"/>
          <w:sz w:val="24"/>
          <w:szCs w:val="24"/>
        </w:rPr>
      </w:pPr>
      <w:r>
        <w:rPr>
          <w:rFonts w:asciiTheme="majorBidi" w:eastAsia="Times New Roman" w:hAnsiTheme="majorBidi" w:cstheme="majorBidi"/>
          <w:b/>
          <w:bCs/>
          <w:noProof/>
          <w:color w:val="111111"/>
          <w:kern w:val="36"/>
          <w:sz w:val="24"/>
          <w:szCs w:val="24"/>
        </w:rPr>
        <w:drawing>
          <wp:inline distT="0" distB="0" distL="0" distR="0">
            <wp:extent cx="6896746" cy="4518769"/>
            <wp:effectExtent l="0" t="0" r="0" b="0"/>
            <wp:docPr id="8" name="Picture 8" descr="C:\Users\azam.arshadipour\Desktop\Dell file 7 Nov 2020\Ava.25may2020\Ava\Thesis\comments\manuscript 20 oct\figures\final figures\ad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zam.arshadipour\Desktop\Dell file 7 Nov 2020\Ava.25may2020\Ava\Thesis\comments\manuscript 20 oct\figures\final figures\add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46138" cy="4551131"/>
                    </a:xfrm>
                    <a:prstGeom prst="rect">
                      <a:avLst/>
                    </a:prstGeom>
                    <a:noFill/>
                    <a:ln>
                      <a:noFill/>
                    </a:ln>
                  </pic:spPr>
                </pic:pic>
              </a:graphicData>
            </a:graphic>
          </wp:inline>
        </w:drawing>
      </w:r>
    </w:p>
    <w:p>
      <w:pPr>
        <w:pStyle w:val="Heading1"/>
        <w:shd w:val="clear" w:color="auto" w:fill="FFFFFF"/>
        <w:rPr>
          <w:rFonts w:asciiTheme="majorBidi" w:hAnsiTheme="majorBidi" w:cstheme="majorBidi"/>
          <w:b w:val="0"/>
          <w:bCs w:val="0"/>
          <w:color w:val="111111"/>
          <w:sz w:val="20"/>
          <w:szCs w:val="20"/>
        </w:rPr>
      </w:pPr>
      <w:r>
        <w:rPr>
          <w:rFonts w:asciiTheme="majorBidi" w:hAnsiTheme="majorBidi" w:cstheme="majorBidi"/>
          <w:b w:val="0"/>
          <w:bCs w:val="0"/>
          <w:color w:val="111111"/>
          <w:sz w:val="20"/>
          <w:szCs w:val="20"/>
        </w:rPr>
        <w:t>The threshold (dotted line. h=0.7) was used to specify three main clusters.</w:t>
      </w:r>
    </w:p>
    <w:p>
      <w:pPr>
        <w:rPr>
          <w:rFonts w:asciiTheme="majorBidi" w:eastAsia="Times New Roman" w:hAnsiTheme="majorBidi" w:cstheme="majorBidi"/>
          <w:b/>
          <w:bCs/>
          <w:color w:val="111111"/>
          <w:kern w:val="36"/>
          <w:sz w:val="24"/>
          <w:szCs w:val="24"/>
        </w:rPr>
      </w:pPr>
    </w:p>
    <w:p>
      <w:pPr>
        <w:rPr>
          <w:rFonts w:asciiTheme="majorBidi" w:eastAsia="Times New Roman" w:hAnsiTheme="majorBidi" w:cstheme="majorBidi"/>
          <w:b/>
          <w:bCs/>
          <w:color w:val="111111"/>
          <w:kern w:val="36"/>
          <w:sz w:val="24"/>
          <w:szCs w:val="24"/>
        </w:rPr>
      </w:pPr>
      <w:r>
        <w:rPr>
          <w:rFonts w:asciiTheme="majorBidi" w:eastAsia="Times New Roman" w:hAnsiTheme="majorBidi" w:cstheme="majorBidi"/>
          <w:b/>
          <w:bCs/>
          <w:color w:val="111111"/>
          <w:kern w:val="36"/>
          <w:sz w:val="24"/>
          <w:szCs w:val="24"/>
        </w:rPr>
        <w:lastRenderedPageBreak/>
        <w:t xml:space="preserve">Figure S5. Dendrogram based on the hierarchical clustering of chronic diseases without hypertension for all participants using average linkage method and Yule-Q coefficient (Sensitivity analysis). </w:t>
      </w:r>
    </w:p>
    <w:p>
      <w:pPr>
        <w:rPr>
          <w:rFonts w:asciiTheme="majorBidi" w:eastAsia="Times New Roman" w:hAnsiTheme="majorBidi" w:cstheme="majorBidi"/>
          <w:b/>
          <w:bCs/>
          <w:color w:val="111111"/>
          <w:kern w:val="36"/>
          <w:sz w:val="24"/>
          <w:szCs w:val="24"/>
        </w:rPr>
      </w:pPr>
      <w:r>
        <w:rPr>
          <w:rFonts w:asciiTheme="majorBidi" w:eastAsia="Times New Roman" w:hAnsiTheme="majorBidi" w:cstheme="majorBidi"/>
          <w:b/>
          <w:bCs/>
          <w:noProof/>
          <w:color w:val="111111"/>
          <w:kern w:val="36"/>
          <w:sz w:val="24"/>
          <w:szCs w:val="24"/>
        </w:rPr>
        <w:drawing>
          <wp:inline distT="0" distB="0" distL="0" distR="0">
            <wp:extent cx="5501640" cy="4214256"/>
            <wp:effectExtent l="0" t="0" r="3810" b="0"/>
            <wp:docPr id="2" name="Picture 2" descr="C:\Users\azam.arshadipour\Desktop\Dell file 7 Nov 2020\Ava.25may2020\Thesis\comments\manuscript 20 oct\Europian journal of Epi files\Figures in jpg format\Additional 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am.arshadipour\Desktop\Dell file 7 Nov 2020\Ava.25may2020\Thesis\comments\manuscript 20 oct\Europian journal of Epi files\Figures in jpg format\Additional figure 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1606" cy="4221890"/>
                    </a:xfrm>
                    <a:prstGeom prst="rect">
                      <a:avLst/>
                    </a:prstGeom>
                    <a:noFill/>
                    <a:ln>
                      <a:noFill/>
                    </a:ln>
                  </pic:spPr>
                </pic:pic>
              </a:graphicData>
            </a:graphic>
          </wp:inline>
        </w:drawing>
      </w:r>
    </w:p>
    <w:p>
      <w:pPr>
        <w:pStyle w:val="Heading1"/>
        <w:shd w:val="clear" w:color="auto" w:fill="FFFFFF"/>
        <w:rPr>
          <w:rFonts w:asciiTheme="majorBidi" w:hAnsiTheme="majorBidi" w:cstheme="majorBidi"/>
          <w:b w:val="0"/>
          <w:bCs w:val="0"/>
          <w:color w:val="111111"/>
          <w:sz w:val="20"/>
          <w:szCs w:val="20"/>
        </w:rPr>
      </w:pPr>
      <w:r>
        <w:rPr>
          <w:rFonts w:asciiTheme="majorBidi" w:hAnsiTheme="majorBidi" w:cstheme="majorBidi"/>
          <w:b w:val="0"/>
          <w:bCs w:val="0"/>
          <w:color w:val="111111"/>
          <w:sz w:val="20"/>
          <w:szCs w:val="20"/>
        </w:rPr>
        <w:t>The threshold (dotted line. h=0.7) was used to specify three main clusters.</w:t>
      </w:r>
    </w:p>
    <w:p>
      <w:pPr>
        <w:rPr>
          <w:rFonts w:asciiTheme="majorBidi" w:eastAsia="Times New Roman" w:hAnsiTheme="majorBidi" w:cstheme="majorBidi"/>
          <w:b/>
          <w:bCs/>
          <w:color w:val="111111"/>
          <w:kern w:val="36"/>
          <w:sz w:val="24"/>
          <w:szCs w:val="24"/>
        </w:rPr>
      </w:pPr>
    </w:p>
    <w:p>
      <w:pPr>
        <w:rPr>
          <w:rFonts w:asciiTheme="majorBidi" w:eastAsia="Times New Roman" w:hAnsiTheme="majorBidi" w:cstheme="majorBidi"/>
          <w:b/>
          <w:bCs/>
          <w:color w:val="111111"/>
          <w:kern w:val="36"/>
          <w:sz w:val="24"/>
          <w:szCs w:val="24"/>
        </w:rPr>
      </w:pPr>
    </w:p>
    <w:p>
      <w:pPr>
        <w:rPr>
          <w:rFonts w:asciiTheme="majorBidi" w:eastAsia="Times New Roman" w:hAnsiTheme="majorBidi" w:cstheme="majorBidi"/>
          <w:b/>
          <w:bCs/>
          <w:color w:val="111111"/>
          <w:kern w:val="36"/>
          <w:sz w:val="24"/>
          <w:szCs w:val="24"/>
        </w:rPr>
      </w:pPr>
      <w:r>
        <w:rPr>
          <w:rFonts w:asciiTheme="majorBidi" w:eastAsia="Times New Roman" w:hAnsiTheme="majorBidi" w:cstheme="majorBidi"/>
          <w:b/>
          <w:bCs/>
          <w:color w:val="111111"/>
          <w:kern w:val="36"/>
          <w:sz w:val="24"/>
          <w:szCs w:val="24"/>
        </w:rPr>
        <w:lastRenderedPageBreak/>
        <w:t xml:space="preserve">Figure S6. Dendrogram based on the hierarchical clustering of chronic diseases for all participants using the single linkage method and Yule-Q coefficient (sensitivity analysis). </w:t>
      </w:r>
    </w:p>
    <w:p>
      <w:pPr>
        <w:rPr>
          <w:rFonts w:asciiTheme="majorBidi" w:eastAsia="Times New Roman" w:hAnsiTheme="majorBidi" w:cstheme="majorBidi"/>
          <w:b/>
          <w:bCs/>
          <w:color w:val="111111"/>
          <w:kern w:val="36"/>
          <w:sz w:val="24"/>
          <w:szCs w:val="24"/>
        </w:rPr>
      </w:pPr>
      <w:r>
        <w:rPr>
          <w:rFonts w:asciiTheme="majorBidi" w:eastAsia="Times New Roman" w:hAnsiTheme="majorBidi" w:cstheme="majorBidi"/>
          <w:b/>
          <w:bCs/>
          <w:noProof/>
          <w:color w:val="111111"/>
          <w:kern w:val="36"/>
          <w:sz w:val="24"/>
          <w:szCs w:val="24"/>
        </w:rPr>
        <w:drawing>
          <wp:inline distT="0" distB="0" distL="0" distR="0">
            <wp:extent cx="6617776" cy="4284856"/>
            <wp:effectExtent l="0" t="0" r="0" b="1905"/>
            <wp:docPr id="10" name="Picture 10" descr="C:\Users\azam.arshadipour\Desktop\Dell file 7 Nov 2020\Ava.25may2020\Ava\Thesis\comments\manuscript 20 oct\figures\final figures\ad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zam.arshadipour\Desktop\Dell file 7 Nov 2020\Ava.25may2020\Ava\Thesis\comments\manuscript 20 oct\figures\final figures\add 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8602" cy="4304815"/>
                    </a:xfrm>
                    <a:prstGeom prst="rect">
                      <a:avLst/>
                    </a:prstGeom>
                    <a:noFill/>
                    <a:ln>
                      <a:noFill/>
                    </a:ln>
                  </pic:spPr>
                </pic:pic>
              </a:graphicData>
            </a:graphic>
          </wp:inline>
        </w:drawing>
      </w:r>
    </w:p>
    <w:p>
      <w:pPr>
        <w:pStyle w:val="Heading1"/>
        <w:shd w:val="clear" w:color="auto" w:fill="FFFFFF"/>
        <w:rPr>
          <w:rFonts w:asciiTheme="majorBidi" w:hAnsiTheme="majorBidi" w:cstheme="majorBidi"/>
          <w:b w:val="0"/>
          <w:bCs w:val="0"/>
          <w:color w:val="111111"/>
          <w:sz w:val="20"/>
          <w:szCs w:val="20"/>
        </w:rPr>
      </w:pPr>
      <w:r>
        <w:rPr>
          <w:rFonts w:asciiTheme="majorBidi" w:hAnsiTheme="majorBidi" w:cstheme="majorBidi"/>
          <w:b w:val="0"/>
          <w:bCs w:val="0"/>
          <w:color w:val="111111"/>
          <w:sz w:val="20"/>
          <w:szCs w:val="20"/>
        </w:rPr>
        <w:t>The threshold (dotted line. h=0.7) was used to specify three main clusters.</w:t>
      </w:r>
    </w:p>
    <w:p>
      <w:pPr>
        <w:rPr>
          <w:rFonts w:asciiTheme="majorBidi" w:eastAsia="Times New Roman" w:hAnsiTheme="majorBidi" w:cstheme="majorBidi"/>
          <w:b/>
          <w:bCs/>
          <w:color w:val="111111"/>
          <w:kern w:val="36"/>
          <w:sz w:val="24"/>
          <w:szCs w:val="24"/>
        </w:rPr>
      </w:pPr>
    </w:p>
    <w:p>
      <w:pPr>
        <w:rPr>
          <w:rFonts w:asciiTheme="majorBidi" w:eastAsia="Times New Roman" w:hAnsiTheme="majorBidi" w:cstheme="majorBidi"/>
          <w:b/>
          <w:bCs/>
          <w:color w:val="111111"/>
          <w:kern w:val="36"/>
          <w:sz w:val="24"/>
          <w:szCs w:val="24"/>
        </w:rPr>
      </w:pPr>
      <w:r>
        <w:rPr>
          <w:rFonts w:asciiTheme="majorBidi" w:eastAsia="Times New Roman" w:hAnsiTheme="majorBidi" w:cstheme="majorBidi"/>
          <w:b/>
          <w:bCs/>
          <w:color w:val="111111"/>
          <w:kern w:val="36"/>
          <w:sz w:val="24"/>
          <w:szCs w:val="24"/>
        </w:rPr>
        <w:lastRenderedPageBreak/>
        <w:t xml:space="preserve">Figure S7. Dendrogram based on the hierarchical clustering of chronic diseases for all participants using Ward.d linkage method and Yule-Q coefficient (sensitivity analysis). </w:t>
      </w:r>
      <w:r>
        <w:rPr>
          <w:rFonts w:asciiTheme="majorBidi" w:eastAsia="Times New Roman" w:hAnsiTheme="majorBidi" w:cstheme="majorBidi"/>
          <w:b/>
          <w:bCs/>
          <w:noProof/>
          <w:color w:val="111111"/>
          <w:kern w:val="36"/>
          <w:sz w:val="24"/>
          <w:szCs w:val="24"/>
        </w:rPr>
        <w:drawing>
          <wp:inline distT="0" distB="0" distL="0" distR="0">
            <wp:extent cx="6617776" cy="4152384"/>
            <wp:effectExtent l="0" t="0" r="0" b="635"/>
            <wp:docPr id="17" name="Picture 17" descr="C:\Users\azam.arshadipour\Desktop\Dell file 7 Nov 2020\Ava.25may2020\Ava\Thesis\comments\manuscript 20 oct\figures\final figures\Ad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zam.arshadipour\Desktop\Dell file 7 Nov 2020\Ava.25may2020\Ava\Thesis\comments\manuscript 20 oct\figures\final figures\Add 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0576" cy="4179239"/>
                    </a:xfrm>
                    <a:prstGeom prst="rect">
                      <a:avLst/>
                    </a:prstGeom>
                    <a:noFill/>
                    <a:ln>
                      <a:noFill/>
                    </a:ln>
                  </pic:spPr>
                </pic:pic>
              </a:graphicData>
            </a:graphic>
          </wp:inline>
        </w:drawing>
      </w:r>
    </w:p>
    <w:p>
      <w:pPr>
        <w:rPr>
          <w:rFonts w:asciiTheme="majorBidi" w:eastAsia="Times New Roman" w:hAnsiTheme="majorBidi" w:cstheme="majorBidi"/>
          <w:b/>
          <w:bCs/>
          <w:color w:val="111111"/>
          <w:kern w:val="36"/>
          <w:sz w:val="24"/>
          <w:szCs w:val="24"/>
        </w:rPr>
      </w:pPr>
    </w:p>
    <w:p>
      <w:pPr>
        <w:pStyle w:val="Heading1"/>
        <w:shd w:val="clear" w:color="auto" w:fill="FFFFFF"/>
        <w:rPr>
          <w:rFonts w:asciiTheme="majorBidi" w:hAnsiTheme="majorBidi" w:cstheme="majorBidi"/>
          <w:b w:val="0"/>
          <w:bCs w:val="0"/>
          <w:color w:val="111111"/>
          <w:sz w:val="20"/>
          <w:szCs w:val="20"/>
        </w:rPr>
      </w:pPr>
      <w:r>
        <w:rPr>
          <w:rFonts w:asciiTheme="majorBidi" w:hAnsiTheme="majorBidi" w:cstheme="majorBidi"/>
          <w:b w:val="0"/>
          <w:bCs w:val="0"/>
          <w:color w:val="111111"/>
          <w:sz w:val="20"/>
          <w:szCs w:val="20"/>
        </w:rPr>
        <w:t>The threshold (dotted line. h=0.7) was used to specify three main clusters.</w:t>
      </w:r>
    </w:p>
    <w:p>
      <w:pPr>
        <w:rPr>
          <w:rFonts w:asciiTheme="majorBidi" w:eastAsia="Times New Roman" w:hAnsiTheme="majorBidi" w:cstheme="majorBidi"/>
          <w:b/>
          <w:bCs/>
          <w:color w:val="111111"/>
          <w:kern w:val="36"/>
          <w:sz w:val="24"/>
          <w:szCs w:val="24"/>
        </w:rPr>
      </w:pPr>
    </w:p>
    <w:p>
      <w:pPr>
        <w:rPr>
          <w:rFonts w:asciiTheme="majorBidi" w:eastAsia="Times New Roman" w:hAnsiTheme="majorBidi" w:cstheme="majorBidi"/>
          <w:b/>
          <w:bCs/>
          <w:color w:val="111111"/>
          <w:kern w:val="36"/>
          <w:sz w:val="24"/>
          <w:szCs w:val="24"/>
        </w:rPr>
      </w:pPr>
      <w:r>
        <w:rPr>
          <w:rFonts w:asciiTheme="majorBidi" w:eastAsia="Times New Roman" w:hAnsiTheme="majorBidi" w:cstheme="majorBidi"/>
          <w:b/>
          <w:bCs/>
          <w:color w:val="111111"/>
          <w:kern w:val="36"/>
          <w:sz w:val="24"/>
          <w:szCs w:val="24"/>
        </w:rPr>
        <w:lastRenderedPageBreak/>
        <w:t>Table S1. The number of chronic diseases stratified by sex and birth phase variable for the whole data from KORA-Age 1 and Kora-Age 3.</w:t>
      </w:r>
    </w:p>
    <w:tbl>
      <w:tblPr>
        <w:tblW w:w="15223" w:type="dxa"/>
        <w:jc w:val="center"/>
        <w:tblLook w:val="04A0" w:firstRow="1" w:lastRow="0" w:firstColumn="1" w:lastColumn="0" w:noHBand="0" w:noVBand="1"/>
      </w:tblPr>
      <w:tblGrid>
        <w:gridCol w:w="815"/>
        <w:gridCol w:w="876"/>
        <w:gridCol w:w="824"/>
        <w:gridCol w:w="1038"/>
        <w:gridCol w:w="786"/>
        <w:gridCol w:w="786"/>
        <w:gridCol w:w="786"/>
        <w:gridCol w:w="786"/>
        <w:gridCol w:w="786"/>
        <w:gridCol w:w="786"/>
        <w:gridCol w:w="786"/>
        <w:gridCol w:w="726"/>
        <w:gridCol w:w="726"/>
        <w:gridCol w:w="786"/>
        <w:gridCol w:w="786"/>
        <w:gridCol w:w="786"/>
        <w:gridCol w:w="786"/>
        <w:gridCol w:w="786"/>
        <w:gridCol w:w="786"/>
      </w:tblGrid>
      <w:tr>
        <w:trPr>
          <w:trHeight w:val="734"/>
          <w:jc w:val="center"/>
        </w:trPr>
        <w:tc>
          <w:tcPr>
            <w:tcW w:w="8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4"/>
                <w:szCs w:val="14"/>
              </w:rPr>
            </w:pPr>
            <w:r>
              <w:rPr>
                <w:rFonts w:asciiTheme="majorBidi" w:eastAsia="Times New Roman" w:hAnsiTheme="majorBidi" w:cstheme="majorBidi"/>
                <w:sz w:val="14"/>
                <w:szCs w:val="14"/>
              </w:rPr>
              <w:t>Number of diseases</w:t>
            </w:r>
          </w:p>
        </w:tc>
        <w:tc>
          <w:tcPr>
            <w:tcW w:w="2738" w:type="dxa"/>
            <w:gridSpan w:val="3"/>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Total</w:t>
            </w:r>
          </w:p>
        </w:tc>
        <w:tc>
          <w:tcPr>
            <w:tcW w:w="2358" w:type="dxa"/>
            <w:gridSpan w:val="3"/>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Pre-war</w:t>
            </w:r>
          </w:p>
        </w:tc>
        <w:tc>
          <w:tcPr>
            <w:tcW w:w="2358" w:type="dxa"/>
            <w:gridSpan w:val="3"/>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Early war</w:t>
            </w:r>
          </w:p>
        </w:tc>
        <w:tc>
          <w:tcPr>
            <w:tcW w:w="2238" w:type="dxa"/>
            <w:gridSpan w:val="3"/>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Late war</w:t>
            </w:r>
          </w:p>
        </w:tc>
        <w:tc>
          <w:tcPr>
            <w:tcW w:w="2358" w:type="dxa"/>
            <w:gridSpan w:val="3"/>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Famine</w:t>
            </w:r>
          </w:p>
        </w:tc>
        <w:tc>
          <w:tcPr>
            <w:tcW w:w="2358" w:type="dxa"/>
            <w:gridSpan w:val="3"/>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After famine</w:t>
            </w:r>
          </w:p>
        </w:tc>
      </w:tr>
      <w:tr>
        <w:trPr>
          <w:trHeight w:val="796"/>
          <w:jc w:val="center"/>
        </w:trPr>
        <w:tc>
          <w:tcPr>
            <w:tcW w:w="815" w:type="dxa"/>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jc w:val="center"/>
              <w:rPr>
                <w:rFonts w:asciiTheme="majorBidi" w:eastAsia="Times New Roman" w:hAnsiTheme="majorBidi" w:cstheme="majorBidi"/>
                <w:sz w:val="14"/>
                <w:szCs w:val="14"/>
              </w:rPr>
            </w:pPr>
          </w:p>
        </w:tc>
        <w:tc>
          <w:tcPr>
            <w:tcW w:w="87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Total (3,377)</w:t>
            </w:r>
          </w:p>
        </w:tc>
        <w:tc>
          <w:tcPr>
            <w:tcW w:w="824"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Male (1,616)</w:t>
            </w:r>
          </w:p>
        </w:tc>
        <w:tc>
          <w:tcPr>
            <w:tcW w:w="1038"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Female (1,761)</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Total (684)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Male (327)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Female (357)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Total (1,236)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Male (608)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Female (628)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Total (283)</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Male (136)</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Female (147)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Total (574)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Male (267)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Female (307)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Total (600)</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Male (278)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Female (322)</w:t>
            </w:r>
          </w:p>
        </w:tc>
      </w:tr>
      <w:tr>
        <w:trPr>
          <w:trHeight w:val="734"/>
          <w:jc w:val="center"/>
        </w:trPr>
        <w:tc>
          <w:tcPr>
            <w:tcW w:w="815"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4"/>
                <w:szCs w:val="14"/>
              </w:rPr>
            </w:pPr>
            <w:r>
              <w:rPr>
                <w:rFonts w:asciiTheme="majorBidi" w:eastAsia="Times New Roman" w:hAnsiTheme="majorBidi" w:cstheme="majorBidi"/>
                <w:sz w:val="14"/>
                <w:szCs w:val="14"/>
              </w:rPr>
              <w:t>0</w:t>
            </w:r>
          </w:p>
        </w:tc>
        <w:tc>
          <w:tcPr>
            <w:tcW w:w="87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638 (18.9%)</w:t>
            </w:r>
          </w:p>
        </w:tc>
        <w:tc>
          <w:tcPr>
            <w:tcW w:w="824"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312 (19.3%)</w:t>
            </w:r>
          </w:p>
        </w:tc>
        <w:tc>
          <w:tcPr>
            <w:tcW w:w="1038"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326 (18.5%)</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112 (16.4%)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56 (17.1%)</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56 (15.7%)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243 (19.7%)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128 (21.1%)</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115 (18.3%)</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42 (14.8%)</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21 (15.4%)</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21 (14.3%)</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97 (16.9%)</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38 (14.2%)</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59 (19.2%)</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144 (24%)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69 (24.8%)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75 (23.3%)</w:t>
            </w:r>
          </w:p>
        </w:tc>
      </w:tr>
      <w:tr>
        <w:trPr>
          <w:trHeight w:val="796"/>
          <w:jc w:val="center"/>
        </w:trPr>
        <w:tc>
          <w:tcPr>
            <w:tcW w:w="815"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4"/>
                <w:szCs w:val="14"/>
              </w:rPr>
            </w:pPr>
            <w:r>
              <w:rPr>
                <w:rFonts w:asciiTheme="majorBidi" w:eastAsia="Times New Roman" w:hAnsiTheme="majorBidi" w:cstheme="majorBidi"/>
                <w:sz w:val="14"/>
                <w:szCs w:val="14"/>
              </w:rPr>
              <w:t>1</w:t>
            </w:r>
          </w:p>
        </w:tc>
        <w:tc>
          <w:tcPr>
            <w:tcW w:w="87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1,072 (31.7%)</w:t>
            </w:r>
          </w:p>
        </w:tc>
        <w:tc>
          <w:tcPr>
            <w:tcW w:w="824"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516 (31.9%)</w:t>
            </w:r>
          </w:p>
        </w:tc>
        <w:tc>
          <w:tcPr>
            <w:tcW w:w="1038"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556 (31.6%)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202 (29.5%)</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99 (30.3%)</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103 (28.9%)</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432 (35%)</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207 (34%)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225 (35.8%)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65 (23%)</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30 (22.1%)</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35 (23.8%)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167 (29.1%)</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90 (33.7%)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77 (25.1%)</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206 (34.3%)</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90 (32.4%)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116 (36.0%)</w:t>
            </w:r>
          </w:p>
        </w:tc>
      </w:tr>
      <w:tr>
        <w:trPr>
          <w:trHeight w:val="734"/>
          <w:jc w:val="center"/>
        </w:trPr>
        <w:tc>
          <w:tcPr>
            <w:tcW w:w="815"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4"/>
                <w:szCs w:val="14"/>
              </w:rPr>
            </w:pPr>
            <w:r>
              <w:rPr>
                <w:rFonts w:asciiTheme="majorBidi" w:eastAsia="Times New Roman" w:hAnsiTheme="majorBidi" w:cstheme="majorBidi"/>
                <w:sz w:val="14"/>
                <w:szCs w:val="14"/>
              </w:rPr>
              <w:t>2</w:t>
            </w:r>
          </w:p>
        </w:tc>
        <w:tc>
          <w:tcPr>
            <w:tcW w:w="87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873 (25.9%)</w:t>
            </w:r>
          </w:p>
        </w:tc>
        <w:tc>
          <w:tcPr>
            <w:tcW w:w="824"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404 (25.0%)</w:t>
            </w:r>
          </w:p>
        </w:tc>
        <w:tc>
          <w:tcPr>
            <w:tcW w:w="1038"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469 (26.6%)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186 (27.2%)</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84 (25.7%)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102 (28.6%)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311 (25.2%)</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149 (24.5%)</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162 (25.8%)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85 (30%)</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41 (30.1%)</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44 (29.9%)</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151 (26.3%)</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71 (26.6%)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80 (26.1%)</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140 (23.3%)</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59 (21.2%)</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81 (25.2%)</w:t>
            </w:r>
          </w:p>
        </w:tc>
      </w:tr>
      <w:tr>
        <w:trPr>
          <w:trHeight w:val="734"/>
          <w:jc w:val="center"/>
        </w:trPr>
        <w:tc>
          <w:tcPr>
            <w:tcW w:w="815" w:type="dxa"/>
            <w:tcBorders>
              <w:top w:val="nil"/>
              <w:left w:val="single" w:sz="4" w:space="0" w:color="auto"/>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4"/>
                <w:szCs w:val="14"/>
              </w:rPr>
            </w:pPr>
            <w:r>
              <w:rPr>
                <w:rFonts w:asciiTheme="majorBidi" w:eastAsia="Times New Roman" w:hAnsiTheme="majorBidi" w:cstheme="majorBidi"/>
                <w:sz w:val="14"/>
                <w:szCs w:val="14"/>
              </w:rPr>
              <w:t>&gt;=2 (Multi</w:t>
            </w:r>
          </w:p>
          <w:p>
            <w:pPr>
              <w:spacing w:after="0" w:line="240" w:lineRule="auto"/>
              <w:jc w:val="center"/>
              <w:rPr>
                <w:rFonts w:asciiTheme="majorBidi" w:eastAsia="Times New Roman" w:hAnsiTheme="majorBidi" w:cstheme="majorBidi"/>
                <w:sz w:val="14"/>
                <w:szCs w:val="14"/>
              </w:rPr>
            </w:pPr>
            <w:r>
              <w:rPr>
                <w:rFonts w:asciiTheme="majorBidi" w:eastAsia="Times New Roman" w:hAnsiTheme="majorBidi" w:cstheme="majorBidi"/>
                <w:sz w:val="14"/>
                <w:szCs w:val="14"/>
              </w:rPr>
              <w:t>morbidity)</w:t>
            </w:r>
          </w:p>
        </w:tc>
        <w:tc>
          <w:tcPr>
            <w:tcW w:w="87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1,667 (49.4%)</w:t>
            </w:r>
          </w:p>
        </w:tc>
        <w:tc>
          <w:tcPr>
            <w:tcW w:w="824"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788 (48.8%)</w:t>
            </w:r>
          </w:p>
        </w:tc>
        <w:tc>
          <w:tcPr>
            <w:tcW w:w="1038" w:type="dxa"/>
            <w:tcBorders>
              <w:top w:val="nil"/>
              <w:left w:val="nil"/>
              <w:bottom w:val="single" w:sz="4" w:space="0" w:color="auto"/>
              <w:right w:val="single" w:sz="4" w:space="0" w:color="auto"/>
            </w:tcBorders>
            <w:shd w:val="clear" w:color="auto" w:fill="auto"/>
            <w:noWrap/>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879 (49.9%)</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370 (54.1%)</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172 (52.6%)</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198 (55.5%)</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561 (45.4%)</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273 (44.9%)</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288 (45.9%)</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176 (62.2%)</w:t>
            </w:r>
          </w:p>
        </w:tc>
        <w:tc>
          <w:tcPr>
            <w:tcW w:w="72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85 (62.5%)</w:t>
            </w:r>
          </w:p>
        </w:tc>
        <w:tc>
          <w:tcPr>
            <w:tcW w:w="72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91 (61.9%)</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310 (54%)</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139 (52.1%)</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171 (55.7%)</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250 (41.7%)</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119 (42.8%)</w:t>
            </w:r>
          </w:p>
        </w:tc>
        <w:tc>
          <w:tcPr>
            <w:tcW w:w="786" w:type="dxa"/>
            <w:tcBorders>
              <w:top w:val="nil"/>
              <w:left w:val="nil"/>
              <w:bottom w:val="single" w:sz="4" w:space="0" w:color="auto"/>
              <w:right w:val="single" w:sz="4" w:space="0" w:color="auto"/>
            </w:tcBorders>
            <w:shd w:val="clear" w:color="auto" w:fill="auto"/>
            <w:vAlign w:val="center"/>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131 (40.7%)</w:t>
            </w:r>
          </w:p>
        </w:tc>
      </w:tr>
      <w:tr>
        <w:trPr>
          <w:trHeight w:val="734"/>
          <w:jc w:val="center"/>
        </w:trPr>
        <w:tc>
          <w:tcPr>
            <w:tcW w:w="815"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4"/>
                <w:szCs w:val="14"/>
              </w:rPr>
            </w:pPr>
            <w:r>
              <w:rPr>
                <w:rFonts w:asciiTheme="majorBidi" w:eastAsia="Times New Roman" w:hAnsiTheme="majorBidi" w:cstheme="majorBidi"/>
                <w:sz w:val="14"/>
                <w:szCs w:val="14"/>
              </w:rPr>
              <w:t>&gt;=3</w:t>
            </w:r>
          </w:p>
        </w:tc>
        <w:tc>
          <w:tcPr>
            <w:tcW w:w="87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794 (23.5%)</w:t>
            </w:r>
          </w:p>
        </w:tc>
        <w:tc>
          <w:tcPr>
            <w:tcW w:w="824"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384 (23.8%)</w:t>
            </w:r>
          </w:p>
        </w:tc>
        <w:tc>
          <w:tcPr>
            <w:tcW w:w="1038"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410 (23.3%)</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184 (26.9%)</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88 (26.9%)</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96 (26.9%)</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250 (20.2%)</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124 (20.4%)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126 (20.1%)</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91 (32.2%)</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44 (32.4%)</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47 (32%)</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159 (27.7%)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68 (25.5%)</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91 (26.9%)</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110 (18.3%)</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60 (21.6%)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50 (15.5%)</w:t>
            </w:r>
          </w:p>
        </w:tc>
      </w:tr>
      <w:tr>
        <w:trPr>
          <w:trHeight w:val="734"/>
          <w:jc w:val="center"/>
        </w:trPr>
        <w:tc>
          <w:tcPr>
            <w:tcW w:w="815"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4"/>
                <w:szCs w:val="14"/>
              </w:rPr>
            </w:pPr>
            <w:r>
              <w:rPr>
                <w:rFonts w:asciiTheme="majorBidi" w:eastAsia="Times New Roman" w:hAnsiTheme="majorBidi" w:cstheme="majorBidi"/>
                <w:sz w:val="14"/>
                <w:szCs w:val="14"/>
              </w:rPr>
              <w:t>&gt;=4</w:t>
            </w:r>
          </w:p>
        </w:tc>
        <w:tc>
          <w:tcPr>
            <w:tcW w:w="87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320 (9.5%)</w:t>
            </w:r>
          </w:p>
        </w:tc>
        <w:tc>
          <w:tcPr>
            <w:tcW w:w="824"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147 (9.1%)</w:t>
            </w:r>
          </w:p>
        </w:tc>
        <w:tc>
          <w:tcPr>
            <w:tcW w:w="1038"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173 (9.8%)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78 (11.4%)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37 (11.3%)</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41 (11.5%)</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104 (8.4%)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48 (7.9%)</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56 (8.9%)</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35 (12.4%)</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16 (11.8%)</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19 (12.9%)</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62 (10.8%)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25 (9.4%)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37 (12.1%)</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41 (6.8%)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21 (7.6%)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20 (6.2%)</w:t>
            </w:r>
          </w:p>
        </w:tc>
      </w:tr>
      <w:tr>
        <w:trPr>
          <w:trHeight w:val="734"/>
          <w:jc w:val="center"/>
        </w:trPr>
        <w:tc>
          <w:tcPr>
            <w:tcW w:w="815"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4"/>
                <w:szCs w:val="14"/>
              </w:rPr>
            </w:pPr>
            <w:r>
              <w:rPr>
                <w:rFonts w:asciiTheme="majorBidi" w:eastAsia="Times New Roman" w:hAnsiTheme="majorBidi" w:cstheme="majorBidi"/>
                <w:sz w:val="14"/>
                <w:szCs w:val="14"/>
              </w:rPr>
              <w:t>&gt;=5</w:t>
            </w:r>
          </w:p>
        </w:tc>
        <w:tc>
          <w:tcPr>
            <w:tcW w:w="87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124 (3.7%)</w:t>
            </w:r>
          </w:p>
        </w:tc>
        <w:tc>
          <w:tcPr>
            <w:tcW w:w="824"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57 (3.5%)</w:t>
            </w:r>
          </w:p>
        </w:tc>
        <w:tc>
          <w:tcPr>
            <w:tcW w:w="1038"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67 (3.8%)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30 (4.4%)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12 (3.7%)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18 (5%)</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44 (3.6%)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22 (3.6%)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22 (3.5%)</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17 (6%)</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9 (6.6%)</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8 (5.4%)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21 (3.7%)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10 (3.7%)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11 (3.6%)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12 (2%)</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 (1.4%)</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8 (2.5%)</w:t>
            </w:r>
          </w:p>
        </w:tc>
      </w:tr>
      <w:tr>
        <w:trPr>
          <w:trHeight w:val="734"/>
          <w:jc w:val="center"/>
        </w:trPr>
        <w:tc>
          <w:tcPr>
            <w:tcW w:w="815"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4"/>
                <w:szCs w:val="14"/>
              </w:rPr>
            </w:pPr>
            <w:r>
              <w:rPr>
                <w:rFonts w:asciiTheme="majorBidi" w:eastAsia="Times New Roman" w:hAnsiTheme="majorBidi" w:cstheme="majorBidi"/>
                <w:sz w:val="14"/>
                <w:szCs w:val="14"/>
              </w:rPr>
              <w:t>&gt;=6</w:t>
            </w:r>
          </w:p>
        </w:tc>
        <w:tc>
          <w:tcPr>
            <w:tcW w:w="87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50 (1.5%)</w:t>
            </w:r>
          </w:p>
        </w:tc>
        <w:tc>
          <w:tcPr>
            <w:tcW w:w="824"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24 (1.5%)</w:t>
            </w:r>
          </w:p>
        </w:tc>
        <w:tc>
          <w:tcPr>
            <w:tcW w:w="1038"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26 (1.5%)</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12 (1.8%)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 (1.2%)</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8 (2.2%)</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21 (1.7%)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11 (1.8%)</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10 (1.6%)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6 (2.1%)</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 (2.2%)</w:t>
            </w:r>
          </w:p>
        </w:tc>
        <w:tc>
          <w:tcPr>
            <w:tcW w:w="72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3 (2%)</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9 (1.6%)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4 (1.5%)</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5 (1.6%)</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 (0.3%)</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2 (0.7%)</w:t>
            </w:r>
          </w:p>
        </w:tc>
        <w:tc>
          <w:tcPr>
            <w:tcW w:w="786"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heme="majorBidi" w:eastAsia="Times New Roman" w:hAnsiTheme="majorBidi" w:cstheme="majorBidi"/>
                <w:sz w:val="12"/>
                <w:szCs w:val="12"/>
              </w:rPr>
            </w:pPr>
            <w:r>
              <w:rPr>
                <w:rFonts w:asciiTheme="majorBidi" w:eastAsia="Times New Roman" w:hAnsiTheme="majorBidi" w:cstheme="majorBidi"/>
                <w:sz w:val="12"/>
                <w:szCs w:val="12"/>
              </w:rPr>
              <w:t>0 (0.0%)</w:t>
            </w:r>
          </w:p>
        </w:tc>
      </w:tr>
    </w:tbl>
    <w:p>
      <w:pPr>
        <w:rPr>
          <w:rFonts w:asciiTheme="majorBidi" w:hAnsiTheme="majorBidi" w:cstheme="majorBidi"/>
        </w:rPr>
      </w:pPr>
      <w:r>
        <w:rPr>
          <w:rFonts w:asciiTheme="majorBidi" w:eastAsia="Times New Roman" w:hAnsiTheme="majorBidi" w:cstheme="majorBidi"/>
          <w:color w:val="111111"/>
          <w:kern w:val="36"/>
          <w:sz w:val="20"/>
          <w:szCs w:val="20"/>
        </w:rPr>
        <w:t xml:space="preserve">Phases were defined based on participant’s critical developmental age (prenatal gestation or the first two years of life) and the World War II situation in Germany. </w:t>
      </w:r>
    </w:p>
    <w:p>
      <w:pPr>
        <w:rPr>
          <w:rFonts w:asciiTheme="majorBidi" w:eastAsia="Times New Roman" w:hAnsiTheme="majorBidi" w:cstheme="majorBidi"/>
          <w:b/>
          <w:bCs/>
          <w:color w:val="111111"/>
          <w:kern w:val="36"/>
          <w:sz w:val="24"/>
          <w:szCs w:val="24"/>
        </w:rPr>
      </w:pPr>
      <w:r>
        <w:rPr>
          <w:rFonts w:asciiTheme="majorBidi" w:hAnsiTheme="majorBidi" w:cstheme="majorBidi"/>
        </w:rPr>
        <w:lastRenderedPageBreak/>
        <w:t xml:space="preserve"> </w:t>
      </w:r>
      <w:r>
        <w:rPr>
          <w:rFonts w:asciiTheme="majorBidi" w:eastAsia="Times New Roman" w:hAnsiTheme="majorBidi" w:cstheme="majorBidi"/>
          <w:b/>
          <w:bCs/>
          <w:color w:val="111111"/>
          <w:kern w:val="36"/>
          <w:sz w:val="24"/>
          <w:szCs w:val="24"/>
        </w:rPr>
        <w:t xml:space="preserve">Table S2. Odds ratios and 95% confidence intervals for multimorbidity </w:t>
      </w:r>
      <w:r>
        <w:rPr>
          <w:rFonts w:asciiTheme="majorBidi" w:eastAsia="Times New Roman" w:hAnsiTheme="majorBidi" w:cstheme="majorBidi"/>
          <w:b/>
          <w:bCs/>
          <w:kern w:val="36"/>
          <w:sz w:val="24"/>
          <w:szCs w:val="24"/>
        </w:rPr>
        <w:t xml:space="preserve">based on hierarchical logistic regression without hypertension for the whole participants (n=3,377) from KORA-Age 1 and KORA-Age 3. </w:t>
      </w:r>
      <w:r>
        <w:rPr>
          <w:rFonts w:asciiTheme="majorBidi" w:eastAsia="Times New Roman" w:hAnsiTheme="majorBidi" w:cstheme="majorBidi"/>
          <w:b/>
          <w:bCs/>
          <w:color w:val="111111"/>
          <w:kern w:val="36"/>
          <w:sz w:val="24"/>
          <w:szCs w:val="24"/>
        </w:rPr>
        <w:t>(Sensitivity analysis)</w:t>
      </w:r>
    </w:p>
    <w:tbl>
      <w:tblPr>
        <w:tblW w:w="12195" w:type="dxa"/>
        <w:tblInd w:w="-5" w:type="dxa"/>
        <w:tblLook w:val="04A0" w:firstRow="1" w:lastRow="0" w:firstColumn="1" w:lastColumn="0" w:noHBand="0" w:noVBand="1"/>
      </w:tblPr>
      <w:tblGrid>
        <w:gridCol w:w="4108"/>
        <w:gridCol w:w="1369"/>
        <w:gridCol w:w="1867"/>
        <w:gridCol w:w="1786"/>
        <w:gridCol w:w="1466"/>
        <w:gridCol w:w="1599"/>
      </w:tblGrid>
      <w:tr>
        <w:trPr>
          <w:trHeight w:val="323"/>
        </w:trPr>
        <w:tc>
          <w:tcPr>
            <w:tcW w:w="54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characteristics</w:t>
            </w:r>
          </w:p>
        </w:tc>
        <w:tc>
          <w:tcPr>
            <w:tcW w:w="1867" w:type="dxa"/>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model 1</w:t>
            </w:r>
          </w:p>
        </w:tc>
        <w:tc>
          <w:tcPr>
            <w:tcW w:w="1786" w:type="dxa"/>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model 2</w:t>
            </w: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model 3</w:t>
            </w:r>
          </w:p>
        </w:tc>
        <w:tc>
          <w:tcPr>
            <w:tcW w:w="1599" w:type="dxa"/>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model 4</w:t>
            </w:r>
          </w:p>
        </w:tc>
      </w:tr>
      <w:tr>
        <w:trPr>
          <w:trHeight w:val="323"/>
        </w:trPr>
        <w:tc>
          <w:tcPr>
            <w:tcW w:w="54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age</w:t>
            </w:r>
          </w:p>
        </w:tc>
        <w:tc>
          <w:tcPr>
            <w:tcW w:w="1867"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1.11 (0.95-1.15)</w:t>
            </w:r>
          </w:p>
        </w:tc>
        <w:tc>
          <w:tcPr>
            <w:tcW w:w="1786"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 </w:t>
            </w:r>
          </w:p>
        </w:tc>
        <w:tc>
          <w:tcPr>
            <w:tcW w:w="1466"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1.10 (0.96-1.15)</w:t>
            </w: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1.10 (0.96-1.15)</w:t>
            </w:r>
          </w:p>
        </w:tc>
      </w:tr>
      <w:tr>
        <w:trPr>
          <w:trHeight w:val="524"/>
        </w:trPr>
        <w:tc>
          <w:tcPr>
            <w:tcW w:w="4108" w:type="dxa"/>
            <w:vMerge w:val="restart"/>
            <w:tcBorders>
              <w:top w:val="nil"/>
              <w:left w:val="single" w:sz="4" w:space="0" w:color="auto"/>
              <w:bottom w:val="single" w:sz="4" w:space="0" w:color="000000"/>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Birth phases (ref: After famine)</w:t>
            </w: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Pre-war</w:t>
            </w:r>
          </w:p>
        </w:tc>
        <w:tc>
          <w:tcPr>
            <w:tcW w:w="1867" w:type="dxa"/>
            <w:vMerge w:val="restart"/>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 </w:t>
            </w:r>
          </w:p>
        </w:tc>
        <w:tc>
          <w:tcPr>
            <w:tcW w:w="1786"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1.64 (1.28-2.09)</w:t>
            </w:r>
          </w:p>
        </w:tc>
        <w:tc>
          <w:tcPr>
            <w:tcW w:w="1466"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1.44 (0.96-2.16)</w:t>
            </w: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1.64 (1.07-2.49)</w:t>
            </w:r>
          </w:p>
        </w:tc>
      </w:tr>
      <w:tr>
        <w:trPr>
          <w:trHeight w:val="323"/>
        </w:trPr>
        <w:tc>
          <w:tcPr>
            <w:tcW w:w="4108" w:type="dxa"/>
            <w:vMerge/>
            <w:tcBorders>
              <w:top w:val="nil"/>
              <w:left w:val="single" w:sz="4" w:space="0" w:color="auto"/>
              <w:bottom w:val="single" w:sz="4" w:space="0" w:color="000000"/>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Early war</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1.21 (0.96-1.52)</w:t>
            </w:r>
          </w:p>
        </w:tc>
        <w:tc>
          <w:tcPr>
            <w:tcW w:w="1466"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1.17 (0.92-1.49)</w:t>
            </w: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1.21 (0.94-1.56)</w:t>
            </w:r>
          </w:p>
        </w:tc>
      </w:tr>
      <w:tr>
        <w:trPr>
          <w:trHeight w:val="323"/>
        </w:trPr>
        <w:tc>
          <w:tcPr>
            <w:tcW w:w="4108" w:type="dxa"/>
            <w:vMerge/>
            <w:tcBorders>
              <w:top w:val="nil"/>
              <w:left w:val="single" w:sz="4" w:space="0" w:color="auto"/>
              <w:bottom w:val="single" w:sz="4" w:space="0" w:color="000000"/>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Late war</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2.3 (1.69-3.1)</w:t>
            </w:r>
          </w:p>
        </w:tc>
        <w:tc>
          <w:tcPr>
            <w:tcW w:w="1466"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1.98 (1.22-3.19)</w:t>
            </w: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2.14 (1.29-3.52)</w:t>
            </w:r>
          </w:p>
        </w:tc>
      </w:tr>
      <w:tr>
        <w:trPr>
          <w:trHeight w:val="323"/>
        </w:trPr>
        <w:tc>
          <w:tcPr>
            <w:tcW w:w="4108" w:type="dxa"/>
            <w:vMerge/>
            <w:tcBorders>
              <w:top w:val="nil"/>
              <w:left w:val="single" w:sz="4" w:space="0" w:color="auto"/>
              <w:bottom w:val="single" w:sz="4" w:space="0" w:color="000000"/>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Famine</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1.68 (1.30-2.17)</w:t>
            </w:r>
          </w:p>
        </w:tc>
        <w:tc>
          <w:tcPr>
            <w:tcW w:w="1466"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1.56 (1.12-2.15)</w:t>
            </w: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1.52 (1.08-2.14)</w:t>
            </w:r>
          </w:p>
        </w:tc>
      </w:tr>
      <w:tr>
        <w:trPr>
          <w:trHeight w:val="323"/>
        </w:trPr>
        <w:tc>
          <w:tcPr>
            <w:tcW w:w="4108" w:type="dxa"/>
            <w:tcBorders>
              <w:top w:val="nil"/>
              <w:left w:val="single" w:sz="4" w:space="0" w:color="auto"/>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Female (ref: male)</w:t>
            </w: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 </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val="restart"/>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 </w:t>
            </w:r>
          </w:p>
        </w:tc>
        <w:tc>
          <w:tcPr>
            <w:tcW w:w="1466" w:type="dxa"/>
            <w:vMerge w:val="restart"/>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 </w:t>
            </w: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0.91 (0.75-1.08)</w:t>
            </w:r>
          </w:p>
        </w:tc>
      </w:tr>
      <w:tr>
        <w:trPr>
          <w:trHeight w:val="323"/>
        </w:trPr>
        <w:tc>
          <w:tcPr>
            <w:tcW w:w="4108" w:type="dxa"/>
            <w:vMerge w:val="restart"/>
            <w:tcBorders>
              <w:top w:val="nil"/>
              <w:left w:val="single" w:sz="4" w:space="0" w:color="auto"/>
              <w:bottom w:val="single" w:sz="4" w:space="0" w:color="000000"/>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Education (ref: Low)</w:t>
            </w: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Middle</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0.99 (0.76-1.3)</w:t>
            </w:r>
          </w:p>
        </w:tc>
      </w:tr>
      <w:tr>
        <w:trPr>
          <w:trHeight w:val="323"/>
        </w:trPr>
        <w:tc>
          <w:tcPr>
            <w:tcW w:w="4108" w:type="dxa"/>
            <w:vMerge/>
            <w:tcBorders>
              <w:top w:val="nil"/>
              <w:left w:val="single" w:sz="4" w:space="0" w:color="auto"/>
              <w:bottom w:val="single" w:sz="4" w:space="0" w:color="000000"/>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High</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0.87 (0.65-1.18)</w:t>
            </w:r>
          </w:p>
        </w:tc>
      </w:tr>
      <w:tr>
        <w:trPr>
          <w:trHeight w:val="524"/>
        </w:trPr>
        <w:tc>
          <w:tcPr>
            <w:tcW w:w="4108" w:type="dxa"/>
            <w:vMerge w:val="restart"/>
            <w:tcBorders>
              <w:top w:val="nil"/>
              <w:left w:val="single" w:sz="4" w:space="0" w:color="auto"/>
              <w:bottom w:val="single" w:sz="4" w:space="0" w:color="000000"/>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Alcohol consumption (ref: never or rare use)</w:t>
            </w: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Once a week</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0.99 (0.78-1.24)</w:t>
            </w:r>
          </w:p>
        </w:tc>
      </w:tr>
      <w:tr>
        <w:trPr>
          <w:trHeight w:val="323"/>
        </w:trPr>
        <w:tc>
          <w:tcPr>
            <w:tcW w:w="4108" w:type="dxa"/>
            <w:vMerge/>
            <w:tcBorders>
              <w:top w:val="nil"/>
              <w:left w:val="single" w:sz="4" w:space="0" w:color="auto"/>
              <w:bottom w:val="single" w:sz="4" w:space="0" w:color="000000"/>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Daily use</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0.66 (0.55-0.8)</w:t>
            </w:r>
          </w:p>
        </w:tc>
      </w:tr>
      <w:tr>
        <w:trPr>
          <w:trHeight w:val="323"/>
        </w:trPr>
        <w:tc>
          <w:tcPr>
            <w:tcW w:w="4108" w:type="dxa"/>
            <w:tcBorders>
              <w:top w:val="nil"/>
              <w:left w:val="single" w:sz="4" w:space="0" w:color="auto"/>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Physical Activity (active)</w:t>
            </w: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Inactive</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1.44 (1.22-1.69)</w:t>
            </w:r>
          </w:p>
        </w:tc>
      </w:tr>
      <w:tr>
        <w:trPr>
          <w:trHeight w:val="524"/>
        </w:trPr>
        <w:tc>
          <w:tcPr>
            <w:tcW w:w="4108" w:type="dxa"/>
            <w:vMerge w:val="restart"/>
            <w:tcBorders>
              <w:top w:val="nil"/>
              <w:left w:val="single" w:sz="4" w:space="0" w:color="auto"/>
              <w:bottom w:val="single" w:sz="4" w:space="0" w:color="000000"/>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BMI (ref: Underweight or normal )</w:t>
            </w: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Overweight</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1.05 (0.87-1.27)</w:t>
            </w:r>
          </w:p>
        </w:tc>
      </w:tr>
      <w:tr>
        <w:trPr>
          <w:trHeight w:val="323"/>
        </w:trPr>
        <w:tc>
          <w:tcPr>
            <w:tcW w:w="4108" w:type="dxa"/>
            <w:vMerge/>
            <w:tcBorders>
              <w:top w:val="nil"/>
              <w:left w:val="single" w:sz="4" w:space="0" w:color="auto"/>
              <w:bottom w:val="single" w:sz="4" w:space="0" w:color="000000"/>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Obesity class I</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1.46 (1.16-1.84)</w:t>
            </w:r>
          </w:p>
        </w:tc>
      </w:tr>
      <w:tr>
        <w:trPr>
          <w:trHeight w:val="323"/>
        </w:trPr>
        <w:tc>
          <w:tcPr>
            <w:tcW w:w="4108" w:type="dxa"/>
            <w:vMerge/>
            <w:tcBorders>
              <w:top w:val="nil"/>
              <w:left w:val="single" w:sz="4" w:space="0" w:color="auto"/>
              <w:bottom w:val="single" w:sz="4" w:space="0" w:color="000000"/>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Obesity class II or III</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2.11 (1.52-2.91)</w:t>
            </w:r>
          </w:p>
        </w:tc>
      </w:tr>
      <w:tr>
        <w:trPr>
          <w:trHeight w:val="524"/>
        </w:trPr>
        <w:tc>
          <w:tcPr>
            <w:tcW w:w="4108" w:type="dxa"/>
            <w:vMerge w:val="restart"/>
            <w:tcBorders>
              <w:top w:val="nil"/>
              <w:left w:val="single" w:sz="4" w:space="0" w:color="auto"/>
              <w:bottom w:val="single" w:sz="4" w:space="0" w:color="000000"/>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Smoking behavior(ref: never)</w:t>
            </w: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Active smoker</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1.28 (0.97-1.67)</w:t>
            </w:r>
          </w:p>
        </w:tc>
      </w:tr>
      <w:tr>
        <w:trPr>
          <w:trHeight w:val="323"/>
        </w:trPr>
        <w:tc>
          <w:tcPr>
            <w:tcW w:w="4108" w:type="dxa"/>
            <w:vMerge/>
            <w:tcBorders>
              <w:top w:val="nil"/>
              <w:left w:val="single" w:sz="4" w:space="0" w:color="auto"/>
              <w:bottom w:val="single" w:sz="4" w:space="0" w:color="000000"/>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Ex-smoker</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1.41 (1.19-1.68)</w:t>
            </w:r>
          </w:p>
        </w:tc>
      </w:tr>
      <w:tr>
        <w:trPr>
          <w:trHeight w:val="524"/>
        </w:trPr>
        <w:tc>
          <w:tcPr>
            <w:tcW w:w="4108" w:type="dxa"/>
            <w:vMerge w:val="restart"/>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Cognitive status(ref: good)</w:t>
            </w:r>
          </w:p>
        </w:tc>
        <w:tc>
          <w:tcPr>
            <w:tcW w:w="136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Mildly impaired</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1.7 (1.27-2.27)</w:t>
            </w:r>
          </w:p>
        </w:tc>
      </w:tr>
      <w:tr>
        <w:trPr>
          <w:trHeight w:val="323"/>
        </w:trPr>
        <w:tc>
          <w:tcPr>
            <w:tcW w:w="4108"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369" w:type="dxa"/>
            <w:tcBorders>
              <w:top w:val="nil"/>
              <w:left w:val="nil"/>
              <w:bottom w:val="nil"/>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Impaired</w:t>
            </w:r>
          </w:p>
        </w:tc>
        <w:tc>
          <w:tcPr>
            <w:tcW w:w="1867"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78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466" w:type="dxa"/>
            <w:vMerge/>
            <w:tcBorders>
              <w:top w:val="nil"/>
              <w:left w:val="single" w:sz="4" w:space="0" w:color="auto"/>
              <w:bottom w:val="nil"/>
              <w:right w:val="single" w:sz="4" w:space="0" w:color="auto"/>
            </w:tcBorders>
            <w:vAlign w:val="center"/>
            <w:hideMark/>
          </w:tcPr>
          <w:p>
            <w:pPr>
              <w:spacing w:after="0" w:line="240" w:lineRule="auto"/>
              <w:rPr>
                <w:rFonts w:asciiTheme="majorBidi" w:eastAsia="Times New Roman" w:hAnsiTheme="majorBidi" w:cstheme="majorBidi"/>
                <w:color w:val="000000"/>
                <w:sz w:val="14"/>
                <w:szCs w:val="14"/>
              </w:rPr>
            </w:pPr>
          </w:p>
        </w:tc>
        <w:tc>
          <w:tcPr>
            <w:tcW w:w="1599" w:type="dxa"/>
            <w:tcBorders>
              <w:top w:val="nil"/>
              <w:left w:val="nil"/>
              <w:bottom w:val="nil"/>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1.31 (0.80-2.17)</w:t>
            </w:r>
          </w:p>
        </w:tc>
      </w:tr>
      <w:tr>
        <w:trPr>
          <w:trHeight w:val="323"/>
        </w:trPr>
        <w:tc>
          <w:tcPr>
            <w:tcW w:w="54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AIC</w:t>
            </w:r>
          </w:p>
        </w:tc>
        <w:tc>
          <w:tcPr>
            <w:tcW w:w="1867" w:type="dxa"/>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4,107.9</w:t>
            </w:r>
          </w:p>
        </w:tc>
        <w:tc>
          <w:tcPr>
            <w:tcW w:w="1786" w:type="dxa"/>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4,103.6</w:t>
            </w: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4,105</w:t>
            </w:r>
          </w:p>
        </w:tc>
        <w:tc>
          <w:tcPr>
            <w:tcW w:w="1599" w:type="dxa"/>
            <w:tcBorders>
              <w:top w:val="single" w:sz="4" w:space="0" w:color="auto"/>
              <w:left w:val="nil"/>
              <w:bottom w:val="single" w:sz="4" w:space="0" w:color="auto"/>
              <w:right w:val="single" w:sz="4" w:space="0" w:color="auto"/>
            </w:tcBorders>
            <w:shd w:val="clear" w:color="auto" w:fill="auto"/>
            <w:noWrap/>
            <w:vAlign w:val="center"/>
            <w:hideMark/>
          </w:tcPr>
          <w:p>
            <w:pPr>
              <w:spacing w:after="0" w:line="240" w:lineRule="auto"/>
              <w:jc w:val="center"/>
              <w:rPr>
                <w:rFonts w:asciiTheme="majorBidi" w:eastAsia="Times New Roman" w:hAnsiTheme="majorBidi" w:cstheme="majorBidi"/>
                <w:color w:val="000000"/>
                <w:sz w:val="14"/>
                <w:szCs w:val="14"/>
              </w:rPr>
            </w:pPr>
            <w:r>
              <w:rPr>
                <w:rFonts w:asciiTheme="majorBidi" w:eastAsia="Times New Roman" w:hAnsiTheme="majorBidi" w:cstheme="majorBidi"/>
                <w:color w:val="000000"/>
                <w:sz w:val="14"/>
                <w:szCs w:val="14"/>
              </w:rPr>
              <w:t>3,873.2</w:t>
            </w:r>
          </w:p>
        </w:tc>
      </w:tr>
    </w:tbl>
    <w:p>
      <w:pPr>
        <w:pStyle w:val="Heading1"/>
        <w:shd w:val="clear" w:color="auto" w:fill="FFFFFF"/>
        <w:rPr>
          <w:rFonts w:asciiTheme="majorBidi" w:hAnsiTheme="majorBidi" w:cstheme="majorBidi"/>
          <w:b w:val="0"/>
          <w:bCs w:val="0"/>
          <w:color w:val="111111"/>
          <w:sz w:val="20"/>
          <w:szCs w:val="20"/>
        </w:rPr>
      </w:pPr>
      <w:r>
        <w:rPr>
          <w:rFonts w:asciiTheme="majorBidi" w:hAnsiTheme="majorBidi" w:cstheme="majorBidi"/>
          <w:b w:val="0"/>
          <w:bCs w:val="0"/>
          <w:color w:val="111111"/>
          <w:sz w:val="20"/>
          <w:szCs w:val="20"/>
        </w:rPr>
        <w:t xml:space="preserve">Phases were defined based on participant’s critical developmental age (prenatal gestation or the first two years of life) and the World War II situation in Germany. </w:t>
      </w:r>
    </w:p>
    <w:p>
      <w:pPr>
        <w:pStyle w:val="Heading1"/>
        <w:shd w:val="clear" w:color="auto" w:fill="FFFFFF"/>
        <w:rPr>
          <w:rFonts w:asciiTheme="majorBidi" w:hAnsiTheme="majorBidi" w:cstheme="majorBidi"/>
          <w:color w:val="111111"/>
          <w:sz w:val="24"/>
          <w:szCs w:val="24"/>
          <w:highlight w:val="yellow"/>
        </w:rPr>
      </w:pPr>
      <w:r>
        <w:rPr>
          <w:rFonts w:asciiTheme="majorBidi" w:hAnsiTheme="majorBidi" w:cstheme="majorBidi"/>
          <w:color w:val="111111"/>
          <w:sz w:val="24"/>
          <w:szCs w:val="24"/>
          <w:highlight w:val="yellow"/>
        </w:rPr>
        <w:lastRenderedPageBreak/>
        <w:t xml:space="preserve">Table </w:t>
      </w:r>
      <w:r>
        <w:rPr>
          <w:rFonts w:asciiTheme="majorBidi" w:hAnsiTheme="majorBidi" w:cstheme="majorBidi"/>
          <w:sz w:val="24"/>
          <w:szCs w:val="24"/>
          <w:highlight w:val="yellow"/>
        </w:rPr>
        <w:t>S3. Resulting for multimorbidity risk based on hierarchical logistic regression (odds ratio and 95% confidence intervals) and generalized linear mixed models (GLMMs) for the whole participants (n=3,377) from KORA-Age 1 and KORA-Age 3 (Sensi</w:t>
      </w:r>
      <w:r>
        <w:rPr>
          <w:rFonts w:asciiTheme="majorBidi" w:hAnsiTheme="majorBidi" w:cstheme="majorBidi"/>
          <w:color w:val="111111"/>
          <w:sz w:val="24"/>
          <w:szCs w:val="24"/>
          <w:highlight w:val="yellow"/>
        </w:rPr>
        <w:t>tivity analysis).</w:t>
      </w:r>
    </w:p>
    <w:tbl>
      <w:tblPr>
        <w:tblW w:w="12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2102"/>
        <w:gridCol w:w="1898"/>
        <w:gridCol w:w="1898"/>
        <w:gridCol w:w="2441"/>
      </w:tblGrid>
      <w:tr>
        <w:trPr>
          <w:trHeight w:val="330"/>
        </w:trPr>
        <w:tc>
          <w:tcPr>
            <w:tcW w:w="5831" w:type="dxa"/>
            <w:gridSpan w:val="2"/>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Characteristics</w:t>
            </w:r>
          </w:p>
        </w:tc>
        <w:tc>
          <w:tcPr>
            <w:tcW w:w="1898" w:type="dxa"/>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logistic regression model</w:t>
            </w:r>
          </w:p>
        </w:tc>
        <w:tc>
          <w:tcPr>
            <w:tcW w:w="1898" w:type="dxa"/>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Generalized linear mixed model with phase as random effect</w:t>
            </w:r>
          </w:p>
        </w:tc>
        <w:tc>
          <w:tcPr>
            <w:tcW w:w="2441" w:type="dxa"/>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Generalized linear mixed model with phase nested in study as random effect</w:t>
            </w:r>
          </w:p>
        </w:tc>
      </w:tr>
      <w:tr>
        <w:trPr>
          <w:trHeight w:val="480"/>
        </w:trPr>
        <w:tc>
          <w:tcPr>
            <w:tcW w:w="5831" w:type="dxa"/>
            <w:gridSpan w:val="2"/>
            <w:vMerge/>
            <w:vAlign w:val="center"/>
            <w:hideMark/>
          </w:tcPr>
          <w:p>
            <w:pPr>
              <w:spacing w:after="0" w:line="240" w:lineRule="auto"/>
              <w:rPr>
                <w:rFonts w:ascii="Times New Roman" w:eastAsia="Times New Roman" w:hAnsi="Times New Roman" w:cs="Times New Roman"/>
                <w:color w:val="000000"/>
                <w:sz w:val="14"/>
                <w:szCs w:val="14"/>
              </w:rPr>
            </w:pPr>
          </w:p>
        </w:tc>
        <w:tc>
          <w:tcPr>
            <w:tcW w:w="1898" w:type="dxa"/>
            <w:vMerge/>
            <w:vAlign w:val="center"/>
            <w:hideMark/>
          </w:tcPr>
          <w:p>
            <w:pPr>
              <w:spacing w:after="0" w:line="240" w:lineRule="auto"/>
              <w:rPr>
                <w:rFonts w:ascii="Times New Roman" w:eastAsia="Times New Roman" w:hAnsi="Times New Roman" w:cs="Times New Roman"/>
                <w:color w:val="000000"/>
                <w:sz w:val="14"/>
                <w:szCs w:val="14"/>
              </w:rPr>
            </w:pPr>
          </w:p>
        </w:tc>
        <w:tc>
          <w:tcPr>
            <w:tcW w:w="1898" w:type="dxa"/>
            <w:vMerge/>
            <w:vAlign w:val="center"/>
            <w:hideMark/>
          </w:tcPr>
          <w:p>
            <w:pPr>
              <w:spacing w:after="0" w:line="240" w:lineRule="auto"/>
              <w:rPr>
                <w:rFonts w:ascii="Times New Roman" w:eastAsia="Times New Roman" w:hAnsi="Times New Roman" w:cs="Times New Roman"/>
                <w:color w:val="000000"/>
                <w:sz w:val="14"/>
                <w:szCs w:val="14"/>
              </w:rPr>
            </w:pPr>
          </w:p>
        </w:tc>
        <w:tc>
          <w:tcPr>
            <w:tcW w:w="2441" w:type="dxa"/>
            <w:vMerge/>
            <w:vAlign w:val="center"/>
            <w:hideMark/>
          </w:tcPr>
          <w:p>
            <w:pPr>
              <w:spacing w:after="0" w:line="240" w:lineRule="auto"/>
              <w:rPr>
                <w:rFonts w:ascii="Times New Roman" w:eastAsia="Times New Roman" w:hAnsi="Times New Roman" w:cs="Times New Roman"/>
                <w:color w:val="000000"/>
                <w:sz w:val="14"/>
                <w:szCs w:val="14"/>
              </w:rPr>
            </w:pPr>
          </w:p>
        </w:tc>
      </w:tr>
      <w:tr>
        <w:trPr>
          <w:trHeight w:val="282"/>
        </w:trPr>
        <w:tc>
          <w:tcPr>
            <w:tcW w:w="5831" w:type="dxa"/>
            <w:gridSpan w:val="2"/>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Standardized age</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1.11 (0.96-1.27)</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1.26 (0.80,1.26)</w:t>
            </w:r>
          </w:p>
        </w:tc>
        <w:tc>
          <w:tcPr>
            <w:tcW w:w="2441"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1.26 (1.19,1.33)</w:t>
            </w:r>
          </w:p>
        </w:tc>
      </w:tr>
      <w:tr>
        <w:trPr>
          <w:trHeight w:val="282"/>
        </w:trPr>
        <w:tc>
          <w:tcPr>
            <w:tcW w:w="3729" w:type="dxa"/>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Birth phases (ref: After famine)</w:t>
            </w: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Pre-war</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1.35 (0.92-1.98)</w:t>
            </w:r>
          </w:p>
        </w:tc>
        <w:tc>
          <w:tcPr>
            <w:tcW w:w="1898" w:type="dxa"/>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Random effect</w:t>
            </w:r>
          </w:p>
        </w:tc>
        <w:tc>
          <w:tcPr>
            <w:tcW w:w="2441" w:type="dxa"/>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Random effect</w:t>
            </w:r>
          </w:p>
        </w:tc>
      </w:tr>
      <w:tr>
        <w:trPr>
          <w:trHeight w:val="282"/>
        </w:trPr>
        <w:tc>
          <w:tcPr>
            <w:tcW w:w="3729" w:type="dxa"/>
            <w:vMerge/>
            <w:vAlign w:val="center"/>
            <w:hideMark/>
          </w:tcPr>
          <w:p>
            <w:pPr>
              <w:spacing w:after="0" w:line="240" w:lineRule="auto"/>
              <w:rPr>
                <w:rFonts w:ascii="Times New Roman" w:eastAsia="Times New Roman" w:hAnsi="Times New Roman" w:cs="Times New Roman"/>
                <w:color w:val="000000"/>
                <w:sz w:val="14"/>
                <w:szCs w:val="14"/>
              </w:rPr>
            </w:pP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Early war</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1.08 (0.87-1.34)</w:t>
            </w:r>
          </w:p>
        </w:tc>
        <w:tc>
          <w:tcPr>
            <w:tcW w:w="1898" w:type="dxa"/>
            <w:vMerge/>
            <w:vAlign w:val="center"/>
            <w:hideMark/>
          </w:tcPr>
          <w:p>
            <w:pPr>
              <w:spacing w:after="0" w:line="240" w:lineRule="auto"/>
              <w:rPr>
                <w:rFonts w:ascii="Times New Roman" w:eastAsia="Times New Roman" w:hAnsi="Times New Roman" w:cs="Times New Roman"/>
                <w:color w:val="000000"/>
                <w:sz w:val="14"/>
                <w:szCs w:val="14"/>
              </w:rPr>
            </w:pPr>
          </w:p>
        </w:tc>
        <w:tc>
          <w:tcPr>
            <w:tcW w:w="2441" w:type="dxa"/>
            <w:vMerge/>
            <w:vAlign w:val="center"/>
            <w:hideMark/>
          </w:tcPr>
          <w:p>
            <w:pPr>
              <w:spacing w:after="0" w:line="240" w:lineRule="auto"/>
              <w:rPr>
                <w:rFonts w:ascii="Times New Roman" w:eastAsia="Times New Roman" w:hAnsi="Times New Roman" w:cs="Times New Roman"/>
                <w:color w:val="000000"/>
                <w:sz w:val="14"/>
                <w:szCs w:val="14"/>
              </w:rPr>
            </w:pPr>
          </w:p>
        </w:tc>
      </w:tr>
      <w:tr>
        <w:trPr>
          <w:trHeight w:val="282"/>
        </w:trPr>
        <w:tc>
          <w:tcPr>
            <w:tcW w:w="3729" w:type="dxa"/>
            <w:vMerge/>
            <w:vAlign w:val="center"/>
            <w:hideMark/>
          </w:tcPr>
          <w:p>
            <w:pPr>
              <w:spacing w:after="0" w:line="240" w:lineRule="auto"/>
              <w:rPr>
                <w:rFonts w:ascii="Times New Roman" w:eastAsia="Times New Roman" w:hAnsi="Times New Roman" w:cs="Times New Roman"/>
                <w:color w:val="000000"/>
                <w:sz w:val="14"/>
                <w:szCs w:val="14"/>
              </w:rPr>
            </w:pP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Late war</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1.83 (1.15-2.91)</w:t>
            </w:r>
          </w:p>
        </w:tc>
        <w:tc>
          <w:tcPr>
            <w:tcW w:w="1898" w:type="dxa"/>
            <w:vMerge/>
            <w:vAlign w:val="center"/>
            <w:hideMark/>
          </w:tcPr>
          <w:p>
            <w:pPr>
              <w:spacing w:after="0" w:line="240" w:lineRule="auto"/>
              <w:rPr>
                <w:rFonts w:ascii="Times New Roman" w:eastAsia="Times New Roman" w:hAnsi="Times New Roman" w:cs="Times New Roman"/>
                <w:color w:val="000000"/>
                <w:sz w:val="14"/>
                <w:szCs w:val="14"/>
              </w:rPr>
            </w:pPr>
          </w:p>
        </w:tc>
        <w:tc>
          <w:tcPr>
            <w:tcW w:w="2441" w:type="dxa"/>
            <w:vMerge/>
            <w:vAlign w:val="center"/>
            <w:hideMark/>
          </w:tcPr>
          <w:p>
            <w:pPr>
              <w:spacing w:after="0" w:line="240" w:lineRule="auto"/>
              <w:rPr>
                <w:rFonts w:ascii="Times New Roman" w:eastAsia="Times New Roman" w:hAnsi="Times New Roman" w:cs="Times New Roman"/>
                <w:color w:val="000000"/>
                <w:sz w:val="14"/>
                <w:szCs w:val="14"/>
              </w:rPr>
            </w:pPr>
          </w:p>
        </w:tc>
      </w:tr>
      <w:tr>
        <w:trPr>
          <w:trHeight w:val="282"/>
        </w:trPr>
        <w:tc>
          <w:tcPr>
            <w:tcW w:w="3729" w:type="dxa"/>
            <w:vMerge/>
            <w:vAlign w:val="center"/>
            <w:hideMark/>
          </w:tcPr>
          <w:p>
            <w:pPr>
              <w:spacing w:after="0" w:line="240" w:lineRule="auto"/>
              <w:rPr>
                <w:rFonts w:ascii="Times New Roman" w:eastAsia="Times New Roman" w:hAnsi="Times New Roman" w:cs="Times New Roman"/>
                <w:color w:val="000000"/>
                <w:sz w:val="14"/>
                <w:szCs w:val="14"/>
              </w:rPr>
            </w:pP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Famine</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1.35 (0.99-1.84)</w:t>
            </w:r>
          </w:p>
        </w:tc>
        <w:tc>
          <w:tcPr>
            <w:tcW w:w="1898" w:type="dxa"/>
            <w:vMerge/>
            <w:vAlign w:val="center"/>
            <w:hideMark/>
          </w:tcPr>
          <w:p>
            <w:pPr>
              <w:spacing w:after="0" w:line="240" w:lineRule="auto"/>
              <w:rPr>
                <w:rFonts w:ascii="Times New Roman" w:eastAsia="Times New Roman" w:hAnsi="Times New Roman" w:cs="Times New Roman"/>
                <w:color w:val="000000"/>
                <w:sz w:val="14"/>
                <w:szCs w:val="14"/>
              </w:rPr>
            </w:pPr>
          </w:p>
        </w:tc>
        <w:tc>
          <w:tcPr>
            <w:tcW w:w="2441" w:type="dxa"/>
            <w:vMerge/>
            <w:vAlign w:val="center"/>
            <w:hideMark/>
          </w:tcPr>
          <w:p>
            <w:pPr>
              <w:spacing w:after="0" w:line="240" w:lineRule="auto"/>
              <w:rPr>
                <w:rFonts w:ascii="Times New Roman" w:eastAsia="Times New Roman" w:hAnsi="Times New Roman" w:cs="Times New Roman"/>
                <w:color w:val="000000"/>
                <w:sz w:val="14"/>
                <w:szCs w:val="14"/>
              </w:rPr>
            </w:pPr>
          </w:p>
        </w:tc>
      </w:tr>
      <w:tr>
        <w:trPr>
          <w:trHeight w:val="282"/>
        </w:trPr>
        <w:tc>
          <w:tcPr>
            <w:tcW w:w="5831" w:type="dxa"/>
            <w:gridSpan w:val="2"/>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Female (ref: male)</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0.98 (0.83-1.16)</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0.97 (0.72,1.14)</w:t>
            </w:r>
          </w:p>
        </w:tc>
        <w:tc>
          <w:tcPr>
            <w:tcW w:w="2441"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0.99 (0.81,1.13)</w:t>
            </w:r>
          </w:p>
        </w:tc>
      </w:tr>
      <w:tr>
        <w:trPr>
          <w:trHeight w:val="282"/>
        </w:trPr>
        <w:tc>
          <w:tcPr>
            <w:tcW w:w="3729" w:type="dxa"/>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Education (ref: low)</w:t>
            </w: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Middle</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0.82 (0.63-1.05)</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0.82 (0.62,1.05)</w:t>
            </w:r>
          </w:p>
        </w:tc>
        <w:tc>
          <w:tcPr>
            <w:tcW w:w="2441"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0.83 (0.58,1.07)</w:t>
            </w:r>
          </w:p>
        </w:tc>
      </w:tr>
      <w:tr>
        <w:trPr>
          <w:trHeight w:val="282"/>
        </w:trPr>
        <w:tc>
          <w:tcPr>
            <w:tcW w:w="3729" w:type="dxa"/>
            <w:vMerge/>
            <w:vAlign w:val="center"/>
            <w:hideMark/>
          </w:tcPr>
          <w:p>
            <w:pPr>
              <w:spacing w:after="0" w:line="240" w:lineRule="auto"/>
              <w:rPr>
                <w:rFonts w:ascii="Times New Roman" w:eastAsia="Times New Roman" w:hAnsi="Times New Roman" w:cs="Times New Roman"/>
                <w:color w:val="000000"/>
                <w:sz w:val="14"/>
                <w:szCs w:val="14"/>
              </w:rPr>
            </w:pP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High</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0.72 (0.55-0.95)</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0.75 (0.49,9.96)</w:t>
            </w:r>
          </w:p>
        </w:tc>
        <w:tc>
          <w:tcPr>
            <w:tcW w:w="2441"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0.73 (0.48,1.02)</w:t>
            </w:r>
          </w:p>
        </w:tc>
      </w:tr>
      <w:tr>
        <w:trPr>
          <w:trHeight w:val="433"/>
        </w:trPr>
        <w:tc>
          <w:tcPr>
            <w:tcW w:w="3729" w:type="dxa"/>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Alcohol consumption (ref: never or rare use)</w:t>
            </w: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Once a week</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0.99 (0.81-1.20)</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0.97 (0.80,1.11)</w:t>
            </w:r>
          </w:p>
        </w:tc>
        <w:tc>
          <w:tcPr>
            <w:tcW w:w="2441"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0.95 (0.75, 1.18)</w:t>
            </w:r>
          </w:p>
        </w:tc>
      </w:tr>
      <w:tr>
        <w:trPr>
          <w:trHeight w:val="424"/>
        </w:trPr>
        <w:tc>
          <w:tcPr>
            <w:tcW w:w="3729" w:type="dxa"/>
            <w:vMerge/>
            <w:vAlign w:val="center"/>
            <w:hideMark/>
          </w:tcPr>
          <w:p>
            <w:pPr>
              <w:spacing w:after="0" w:line="240" w:lineRule="auto"/>
              <w:rPr>
                <w:rFonts w:ascii="Times New Roman" w:eastAsia="Times New Roman" w:hAnsi="Times New Roman" w:cs="Times New Roman"/>
                <w:color w:val="000000"/>
                <w:sz w:val="14"/>
                <w:szCs w:val="14"/>
              </w:rPr>
            </w:pP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Daily use</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0.76 (0.64-0.91)</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0.74 (0.61,0.89)</w:t>
            </w:r>
          </w:p>
        </w:tc>
        <w:tc>
          <w:tcPr>
            <w:tcW w:w="2441"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0.72 (0.57,0.91)</w:t>
            </w:r>
          </w:p>
        </w:tc>
      </w:tr>
      <w:tr>
        <w:trPr>
          <w:trHeight w:val="518"/>
        </w:trPr>
        <w:tc>
          <w:tcPr>
            <w:tcW w:w="3729"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Physical Activity (active)</w:t>
            </w: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Inactive</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1.47 (1.26-1.72)</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1.53 (1.24,1.84)</w:t>
            </w:r>
          </w:p>
        </w:tc>
        <w:tc>
          <w:tcPr>
            <w:tcW w:w="2441"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1.50 (1.38,1.68)</w:t>
            </w:r>
          </w:p>
        </w:tc>
      </w:tr>
      <w:tr>
        <w:trPr>
          <w:trHeight w:val="282"/>
        </w:trPr>
        <w:tc>
          <w:tcPr>
            <w:tcW w:w="3729" w:type="dxa"/>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BMI (ref: underweight or normal)</w:t>
            </w: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Overweight</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1.32 (1.11-1.57)</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1.30 (1.08,1.52)</w:t>
            </w:r>
          </w:p>
        </w:tc>
        <w:tc>
          <w:tcPr>
            <w:tcW w:w="2441"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1.28 (1.05,1.47)</w:t>
            </w:r>
          </w:p>
        </w:tc>
      </w:tr>
      <w:tr>
        <w:trPr>
          <w:trHeight w:val="282"/>
        </w:trPr>
        <w:tc>
          <w:tcPr>
            <w:tcW w:w="3729" w:type="dxa"/>
            <w:vMerge/>
            <w:vAlign w:val="center"/>
            <w:hideMark/>
          </w:tcPr>
          <w:p>
            <w:pPr>
              <w:spacing w:after="0" w:line="240" w:lineRule="auto"/>
              <w:rPr>
                <w:rFonts w:ascii="Times New Roman" w:eastAsia="Times New Roman" w:hAnsi="Times New Roman" w:cs="Times New Roman"/>
                <w:color w:val="000000"/>
                <w:sz w:val="14"/>
                <w:szCs w:val="14"/>
              </w:rPr>
            </w:pP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Obesity class I</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1.92 (1.55-2.38)</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1.89 (1.47,2.28)</w:t>
            </w:r>
          </w:p>
        </w:tc>
        <w:tc>
          <w:tcPr>
            <w:tcW w:w="2441"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1.75 (1.41,2.11)</w:t>
            </w:r>
          </w:p>
        </w:tc>
      </w:tr>
      <w:tr>
        <w:trPr>
          <w:trHeight w:val="348"/>
        </w:trPr>
        <w:tc>
          <w:tcPr>
            <w:tcW w:w="3729" w:type="dxa"/>
            <w:vMerge/>
            <w:vAlign w:val="center"/>
            <w:hideMark/>
          </w:tcPr>
          <w:p>
            <w:pPr>
              <w:spacing w:after="0" w:line="240" w:lineRule="auto"/>
              <w:rPr>
                <w:rFonts w:ascii="Times New Roman" w:eastAsia="Times New Roman" w:hAnsi="Times New Roman" w:cs="Times New Roman"/>
                <w:color w:val="000000"/>
                <w:sz w:val="14"/>
                <w:szCs w:val="14"/>
              </w:rPr>
            </w:pP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Obesity class II or III</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3.09 (2.21-4.33)</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3.01 (2.04,4.15)</w:t>
            </w:r>
          </w:p>
        </w:tc>
        <w:tc>
          <w:tcPr>
            <w:tcW w:w="2441"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3.14 (2.01,4.04)</w:t>
            </w:r>
          </w:p>
        </w:tc>
      </w:tr>
      <w:tr>
        <w:trPr>
          <w:trHeight w:val="282"/>
        </w:trPr>
        <w:tc>
          <w:tcPr>
            <w:tcW w:w="3729" w:type="dxa"/>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Smoking behavior (ref: never smoker)</w:t>
            </w: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Active smoker</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1.34 (1.05-1.72)</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1.39 (1.11,1.34)</w:t>
            </w:r>
          </w:p>
        </w:tc>
        <w:tc>
          <w:tcPr>
            <w:tcW w:w="2441"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1.39 (1.14,1.63)</w:t>
            </w:r>
          </w:p>
        </w:tc>
      </w:tr>
      <w:tr>
        <w:trPr>
          <w:trHeight w:val="282"/>
        </w:trPr>
        <w:tc>
          <w:tcPr>
            <w:tcW w:w="3729" w:type="dxa"/>
            <w:vMerge/>
            <w:vAlign w:val="center"/>
            <w:hideMark/>
          </w:tcPr>
          <w:p>
            <w:pPr>
              <w:spacing w:after="0" w:line="240" w:lineRule="auto"/>
              <w:rPr>
                <w:rFonts w:ascii="Times New Roman" w:eastAsia="Times New Roman" w:hAnsi="Times New Roman" w:cs="Times New Roman"/>
                <w:color w:val="000000"/>
                <w:sz w:val="14"/>
                <w:szCs w:val="14"/>
              </w:rPr>
            </w:pP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Ex-smoker</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1.36 (1.16-1.59)</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1.34 (1.04,1.55)</w:t>
            </w:r>
          </w:p>
        </w:tc>
        <w:tc>
          <w:tcPr>
            <w:tcW w:w="2441"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1.34 (1.19,1.50)</w:t>
            </w:r>
          </w:p>
        </w:tc>
      </w:tr>
      <w:tr>
        <w:trPr>
          <w:trHeight w:val="282"/>
        </w:trPr>
        <w:tc>
          <w:tcPr>
            <w:tcW w:w="3729" w:type="dxa"/>
            <w:vMerge w:val="restart"/>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Cognitive status (ref: good)</w:t>
            </w: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Mildly impaired</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1.43 (1.07-1.92)</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1.39 (1.03,1.85)</w:t>
            </w:r>
          </w:p>
        </w:tc>
        <w:tc>
          <w:tcPr>
            <w:tcW w:w="2441"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1.33 (1.01,1.78)</w:t>
            </w:r>
          </w:p>
        </w:tc>
      </w:tr>
      <w:tr>
        <w:trPr>
          <w:trHeight w:val="282"/>
        </w:trPr>
        <w:tc>
          <w:tcPr>
            <w:tcW w:w="3729" w:type="dxa"/>
            <w:vMerge/>
            <w:vAlign w:val="center"/>
            <w:hideMark/>
          </w:tcPr>
          <w:p>
            <w:pPr>
              <w:spacing w:after="0" w:line="240" w:lineRule="auto"/>
              <w:rPr>
                <w:rFonts w:ascii="Times New Roman" w:eastAsia="Times New Roman" w:hAnsi="Times New Roman" w:cs="Times New Roman"/>
                <w:color w:val="000000"/>
                <w:sz w:val="14"/>
                <w:szCs w:val="14"/>
              </w:rPr>
            </w:pPr>
          </w:p>
        </w:tc>
        <w:tc>
          <w:tcPr>
            <w:tcW w:w="2102" w:type="dxa"/>
            <w:shd w:val="clear" w:color="auto" w:fill="auto"/>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Impaired</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1.32 (0.81-2.18)</w:t>
            </w:r>
          </w:p>
        </w:tc>
        <w:tc>
          <w:tcPr>
            <w:tcW w:w="1898"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1.32 (0.79,2.15)</w:t>
            </w:r>
          </w:p>
        </w:tc>
        <w:tc>
          <w:tcPr>
            <w:tcW w:w="2441" w:type="dxa"/>
            <w:shd w:val="clear" w:color="auto" w:fill="auto"/>
            <w:noWrap/>
            <w:vAlign w:val="center"/>
            <w:hideMark/>
          </w:tcPr>
          <w:p>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1.29 (0.77,2.07)</w:t>
            </w:r>
          </w:p>
        </w:tc>
      </w:tr>
    </w:tbl>
    <w:p>
      <w:pPr>
        <w:pStyle w:val="Heading1"/>
        <w:shd w:val="clear" w:color="auto" w:fill="FFFFFF"/>
        <w:rPr>
          <w:rFonts w:asciiTheme="majorBidi" w:hAnsiTheme="majorBidi" w:cstheme="majorBidi"/>
          <w:b w:val="0"/>
          <w:bCs w:val="0"/>
          <w:color w:val="111111"/>
          <w:sz w:val="20"/>
          <w:szCs w:val="20"/>
        </w:rPr>
      </w:pPr>
      <w:r>
        <w:rPr>
          <w:rFonts w:asciiTheme="majorBidi" w:hAnsiTheme="majorBidi" w:cstheme="majorBidi"/>
          <w:b w:val="0"/>
          <w:bCs w:val="0"/>
          <w:color w:val="111111"/>
          <w:sz w:val="20"/>
          <w:szCs w:val="20"/>
        </w:rPr>
        <w:t xml:space="preserve">Phases were defined based on participant’s critical developmental age (prenatal gestation or the first two years of life) and the World War II situation in Germany. </w:t>
      </w:r>
    </w:p>
    <w:p>
      <w:pPr>
        <w:pStyle w:val="Heading1"/>
        <w:shd w:val="clear" w:color="auto" w:fill="FFFFFF"/>
        <w:rPr>
          <w:rFonts w:asciiTheme="majorBidi" w:hAnsiTheme="majorBidi" w:cstheme="majorBidi"/>
          <w:b w:val="0"/>
          <w:bCs w:val="0"/>
          <w:color w:val="111111"/>
          <w:sz w:val="20"/>
          <w:szCs w:val="20"/>
        </w:rPr>
      </w:pPr>
    </w:p>
    <w:sectPr>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hannonStd-Boo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5221D"/>
    <w:multiLevelType w:val="hybridMultilevel"/>
    <w:tmpl w:val="946205F8"/>
    <w:lvl w:ilvl="0" w:tplc="B4C21DC2">
      <w:start w:val="1"/>
      <w:numFmt w:val="decimal"/>
      <w:lvlText w:val="%1"/>
      <w:lvlJc w:val="left"/>
      <w:pPr>
        <w:ind w:left="720" w:hanging="360"/>
      </w:pPr>
      <w:rPr>
        <w:rFonts w:hint="default"/>
      </w:rPr>
    </w:lvl>
    <w:lvl w:ilvl="1" w:tplc="159C3E8C" w:tentative="1">
      <w:start w:val="1"/>
      <w:numFmt w:val="lowerLetter"/>
      <w:lvlText w:val="%2."/>
      <w:lvlJc w:val="left"/>
      <w:pPr>
        <w:ind w:left="1440" w:hanging="360"/>
      </w:pPr>
    </w:lvl>
    <w:lvl w:ilvl="2" w:tplc="E662DBE2" w:tentative="1">
      <w:start w:val="1"/>
      <w:numFmt w:val="lowerRoman"/>
      <w:lvlText w:val="%3."/>
      <w:lvlJc w:val="right"/>
      <w:pPr>
        <w:ind w:left="2160" w:hanging="180"/>
      </w:pPr>
    </w:lvl>
    <w:lvl w:ilvl="3" w:tplc="0AFA58FC" w:tentative="1">
      <w:start w:val="1"/>
      <w:numFmt w:val="decimal"/>
      <w:lvlText w:val="%4."/>
      <w:lvlJc w:val="left"/>
      <w:pPr>
        <w:ind w:left="2880" w:hanging="360"/>
      </w:pPr>
    </w:lvl>
    <w:lvl w:ilvl="4" w:tplc="1750C29A" w:tentative="1">
      <w:start w:val="1"/>
      <w:numFmt w:val="lowerLetter"/>
      <w:lvlText w:val="%5."/>
      <w:lvlJc w:val="left"/>
      <w:pPr>
        <w:ind w:left="3600" w:hanging="360"/>
      </w:pPr>
    </w:lvl>
    <w:lvl w:ilvl="5" w:tplc="136ECE7E" w:tentative="1">
      <w:start w:val="1"/>
      <w:numFmt w:val="lowerRoman"/>
      <w:lvlText w:val="%6."/>
      <w:lvlJc w:val="right"/>
      <w:pPr>
        <w:ind w:left="4320" w:hanging="180"/>
      </w:pPr>
    </w:lvl>
    <w:lvl w:ilvl="6" w:tplc="369086C4" w:tentative="1">
      <w:start w:val="1"/>
      <w:numFmt w:val="decimal"/>
      <w:lvlText w:val="%7."/>
      <w:lvlJc w:val="left"/>
      <w:pPr>
        <w:ind w:left="5040" w:hanging="360"/>
      </w:pPr>
    </w:lvl>
    <w:lvl w:ilvl="7" w:tplc="AE4ACCF6" w:tentative="1">
      <w:start w:val="1"/>
      <w:numFmt w:val="lowerLetter"/>
      <w:lvlText w:val="%8."/>
      <w:lvlJc w:val="left"/>
      <w:pPr>
        <w:ind w:left="5760" w:hanging="360"/>
      </w:pPr>
    </w:lvl>
    <w:lvl w:ilvl="8" w:tplc="7F8A6FB6"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UxNTCxNDIyNjQyszBS0lEKTi0uzszPAykwNK8FAC6E46YtAAAA"/>
  </w:docVar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45C4FF4D-4B79-4DD4-8B6F-21103DA7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01">
    <w:name w:val="fontstyle01"/>
    <w:basedOn w:val="DefaultParagraphFont"/>
    <w:rPr>
      <w:rFonts w:ascii="ShannonStd-Book" w:hAnsi="ShannonStd-Book" w:hint="default"/>
      <w:b w:val="0"/>
      <w:bCs w:val="0"/>
      <w:i w:val="0"/>
      <w:iCs w:val="0"/>
      <w:color w:val="231F20"/>
      <w:sz w:val="14"/>
      <w:szCs w:val="1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6218">
      <w:bodyDiv w:val="1"/>
      <w:marLeft w:val="0"/>
      <w:marRight w:val="0"/>
      <w:marTop w:val="0"/>
      <w:marBottom w:val="0"/>
      <w:divBdr>
        <w:top w:val="none" w:sz="0" w:space="0" w:color="auto"/>
        <w:left w:val="none" w:sz="0" w:space="0" w:color="auto"/>
        <w:bottom w:val="none" w:sz="0" w:space="0" w:color="auto"/>
        <w:right w:val="none" w:sz="0" w:space="0" w:color="auto"/>
      </w:divBdr>
    </w:div>
    <w:div w:id="55134356">
      <w:bodyDiv w:val="1"/>
      <w:marLeft w:val="0"/>
      <w:marRight w:val="0"/>
      <w:marTop w:val="0"/>
      <w:marBottom w:val="0"/>
      <w:divBdr>
        <w:top w:val="none" w:sz="0" w:space="0" w:color="auto"/>
        <w:left w:val="none" w:sz="0" w:space="0" w:color="auto"/>
        <w:bottom w:val="none" w:sz="0" w:space="0" w:color="auto"/>
        <w:right w:val="none" w:sz="0" w:space="0" w:color="auto"/>
      </w:divBdr>
    </w:div>
    <w:div w:id="186648274">
      <w:bodyDiv w:val="1"/>
      <w:marLeft w:val="0"/>
      <w:marRight w:val="0"/>
      <w:marTop w:val="0"/>
      <w:marBottom w:val="0"/>
      <w:divBdr>
        <w:top w:val="none" w:sz="0" w:space="0" w:color="auto"/>
        <w:left w:val="none" w:sz="0" w:space="0" w:color="auto"/>
        <w:bottom w:val="none" w:sz="0" w:space="0" w:color="auto"/>
        <w:right w:val="none" w:sz="0" w:space="0" w:color="auto"/>
      </w:divBdr>
    </w:div>
    <w:div w:id="311254873">
      <w:bodyDiv w:val="1"/>
      <w:marLeft w:val="0"/>
      <w:marRight w:val="0"/>
      <w:marTop w:val="0"/>
      <w:marBottom w:val="0"/>
      <w:divBdr>
        <w:top w:val="none" w:sz="0" w:space="0" w:color="auto"/>
        <w:left w:val="none" w:sz="0" w:space="0" w:color="auto"/>
        <w:bottom w:val="none" w:sz="0" w:space="0" w:color="auto"/>
        <w:right w:val="none" w:sz="0" w:space="0" w:color="auto"/>
      </w:divBdr>
    </w:div>
    <w:div w:id="315184089">
      <w:bodyDiv w:val="1"/>
      <w:marLeft w:val="0"/>
      <w:marRight w:val="0"/>
      <w:marTop w:val="0"/>
      <w:marBottom w:val="0"/>
      <w:divBdr>
        <w:top w:val="none" w:sz="0" w:space="0" w:color="auto"/>
        <w:left w:val="none" w:sz="0" w:space="0" w:color="auto"/>
        <w:bottom w:val="none" w:sz="0" w:space="0" w:color="auto"/>
        <w:right w:val="none" w:sz="0" w:space="0" w:color="auto"/>
      </w:divBdr>
    </w:div>
    <w:div w:id="453209342">
      <w:bodyDiv w:val="1"/>
      <w:marLeft w:val="0"/>
      <w:marRight w:val="0"/>
      <w:marTop w:val="0"/>
      <w:marBottom w:val="0"/>
      <w:divBdr>
        <w:top w:val="none" w:sz="0" w:space="0" w:color="auto"/>
        <w:left w:val="none" w:sz="0" w:space="0" w:color="auto"/>
        <w:bottom w:val="none" w:sz="0" w:space="0" w:color="auto"/>
        <w:right w:val="none" w:sz="0" w:space="0" w:color="auto"/>
      </w:divBdr>
    </w:div>
    <w:div w:id="549341431">
      <w:bodyDiv w:val="1"/>
      <w:marLeft w:val="0"/>
      <w:marRight w:val="0"/>
      <w:marTop w:val="0"/>
      <w:marBottom w:val="0"/>
      <w:divBdr>
        <w:top w:val="none" w:sz="0" w:space="0" w:color="auto"/>
        <w:left w:val="none" w:sz="0" w:space="0" w:color="auto"/>
        <w:bottom w:val="none" w:sz="0" w:space="0" w:color="auto"/>
        <w:right w:val="none" w:sz="0" w:space="0" w:color="auto"/>
      </w:divBdr>
    </w:div>
    <w:div w:id="704909853">
      <w:bodyDiv w:val="1"/>
      <w:marLeft w:val="0"/>
      <w:marRight w:val="0"/>
      <w:marTop w:val="0"/>
      <w:marBottom w:val="0"/>
      <w:divBdr>
        <w:top w:val="none" w:sz="0" w:space="0" w:color="auto"/>
        <w:left w:val="none" w:sz="0" w:space="0" w:color="auto"/>
        <w:bottom w:val="none" w:sz="0" w:space="0" w:color="auto"/>
        <w:right w:val="none" w:sz="0" w:space="0" w:color="auto"/>
      </w:divBdr>
    </w:div>
    <w:div w:id="759176412">
      <w:bodyDiv w:val="1"/>
      <w:marLeft w:val="0"/>
      <w:marRight w:val="0"/>
      <w:marTop w:val="0"/>
      <w:marBottom w:val="0"/>
      <w:divBdr>
        <w:top w:val="none" w:sz="0" w:space="0" w:color="auto"/>
        <w:left w:val="none" w:sz="0" w:space="0" w:color="auto"/>
        <w:bottom w:val="none" w:sz="0" w:space="0" w:color="auto"/>
        <w:right w:val="none" w:sz="0" w:space="0" w:color="auto"/>
      </w:divBdr>
    </w:div>
    <w:div w:id="948858527">
      <w:bodyDiv w:val="1"/>
      <w:marLeft w:val="0"/>
      <w:marRight w:val="0"/>
      <w:marTop w:val="0"/>
      <w:marBottom w:val="0"/>
      <w:divBdr>
        <w:top w:val="none" w:sz="0" w:space="0" w:color="auto"/>
        <w:left w:val="none" w:sz="0" w:space="0" w:color="auto"/>
        <w:bottom w:val="none" w:sz="0" w:space="0" w:color="auto"/>
        <w:right w:val="none" w:sz="0" w:space="0" w:color="auto"/>
      </w:divBdr>
    </w:div>
    <w:div w:id="1042947268">
      <w:bodyDiv w:val="1"/>
      <w:marLeft w:val="0"/>
      <w:marRight w:val="0"/>
      <w:marTop w:val="0"/>
      <w:marBottom w:val="0"/>
      <w:divBdr>
        <w:top w:val="none" w:sz="0" w:space="0" w:color="auto"/>
        <w:left w:val="none" w:sz="0" w:space="0" w:color="auto"/>
        <w:bottom w:val="none" w:sz="0" w:space="0" w:color="auto"/>
        <w:right w:val="none" w:sz="0" w:space="0" w:color="auto"/>
      </w:divBdr>
    </w:div>
    <w:div w:id="1101027765">
      <w:bodyDiv w:val="1"/>
      <w:marLeft w:val="0"/>
      <w:marRight w:val="0"/>
      <w:marTop w:val="0"/>
      <w:marBottom w:val="0"/>
      <w:divBdr>
        <w:top w:val="none" w:sz="0" w:space="0" w:color="auto"/>
        <w:left w:val="none" w:sz="0" w:space="0" w:color="auto"/>
        <w:bottom w:val="none" w:sz="0" w:space="0" w:color="auto"/>
        <w:right w:val="none" w:sz="0" w:space="0" w:color="auto"/>
      </w:divBdr>
    </w:div>
    <w:div w:id="1162507206">
      <w:bodyDiv w:val="1"/>
      <w:marLeft w:val="0"/>
      <w:marRight w:val="0"/>
      <w:marTop w:val="0"/>
      <w:marBottom w:val="0"/>
      <w:divBdr>
        <w:top w:val="none" w:sz="0" w:space="0" w:color="auto"/>
        <w:left w:val="none" w:sz="0" w:space="0" w:color="auto"/>
        <w:bottom w:val="none" w:sz="0" w:space="0" w:color="auto"/>
        <w:right w:val="none" w:sz="0" w:space="0" w:color="auto"/>
      </w:divBdr>
    </w:div>
    <w:div w:id="1298103824">
      <w:bodyDiv w:val="1"/>
      <w:marLeft w:val="0"/>
      <w:marRight w:val="0"/>
      <w:marTop w:val="0"/>
      <w:marBottom w:val="0"/>
      <w:divBdr>
        <w:top w:val="none" w:sz="0" w:space="0" w:color="auto"/>
        <w:left w:val="none" w:sz="0" w:space="0" w:color="auto"/>
        <w:bottom w:val="none" w:sz="0" w:space="0" w:color="auto"/>
        <w:right w:val="none" w:sz="0" w:space="0" w:color="auto"/>
      </w:divBdr>
    </w:div>
    <w:div w:id="1939678921">
      <w:bodyDiv w:val="1"/>
      <w:marLeft w:val="0"/>
      <w:marRight w:val="0"/>
      <w:marTop w:val="0"/>
      <w:marBottom w:val="0"/>
      <w:divBdr>
        <w:top w:val="none" w:sz="0" w:space="0" w:color="auto"/>
        <w:left w:val="none" w:sz="0" w:space="0" w:color="auto"/>
        <w:bottom w:val="none" w:sz="0" w:space="0" w:color="auto"/>
        <w:right w:val="none" w:sz="0" w:space="0" w:color="auto"/>
      </w:divBdr>
    </w:div>
    <w:div w:id="21252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zam.arshadipour\Desktop\10%20Jun\9%20July%202020.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1811719609730208"/>
          <c:y val="1.865982566685704E-2"/>
          <c:w val="0.86022920357052302"/>
          <c:h val="0.77818088955096831"/>
        </c:manualLayout>
      </c:layout>
      <c:barChart>
        <c:barDir val="col"/>
        <c:grouping val="clustered"/>
        <c:varyColors val="0"/>
        <c:ser>
          <c:idx val="0"/>
          <c:order val="0"/>
          <c:tx>
            <c:strRef>
              <c:f>'Table 3-single'!$N$2</c:f>
              <c:strCache>
                <c:ptCount val="1"/>
                <c:pt idx="0">
                  <c:v>Total </c:v>
                </c:pt>
              </c:strCache>
            </c:strRef>
          </c:tx>
          <c:spPr>
            <a:solidFill>
              <a:schemeClr val="accent5">
                <a:lumMod val="50000"/>
              </a:schemeClr>
            </a:solidFill>
            <a:ln>
              <a:noFill/>
            </a:ln>
            <a:effectLst/>
          </c:spPr>
          <c:invertIfNegative val="0"/>
          <c:dLbls>
            <c:spPr>
              <a:noFill/>
              <a:ln>
                <a:noFill/>
              </a:ln>
              <a:effectLst/>
            </c:spPr>
            <c:txPr>
              <a:bodyPr rot="5400000" spcFirstLastPara="1" vertOverflow="ellipsis" wrap="square" lIns="38100" tIns="19050" rIns="38100" bIns="19050" anchor="ctr" anchorCtr="0">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3-single'!$M$3:$M$17</c:f>
              <c:strCache>
                <c:ptCount val="15"/>
                <c:pt idx="0">
                  <c:v>Hypertension </c:v>
                </c:pt>
                <c:pt idx="1">
                  <c:v>Multimorbidity</c:v>
                </c:pt>
                <c:pt idx="2">
                  <c:v>Eye </c:v>
                </c:pt>
                <c:pt idx="3">
                  <c:v>Heart </c:v>
                </c:pt>
                <c:pt idx="4">
                  <c:v>Diabetes </c:v>
                </c:pt>
                <c:pt idx="5">
                  <c:v>Joint </c:v>
                </c:pt>
                <c:pt idx="6">
                  <c:v>Lung </c:v>
                </c:pt>
                <c:pt idx="7">
                  <c:v>Gastrointestinal </c:v>
                </c:pt>
                <c:pt idx="8">
                  <c:v>Anxiety </c:v>
                </c:pt>
                <c:pt idx="9">
                  <c:v>Stroke </c:v>
                </c:pt>
                <c:pt idx="10">
                  <c:v>Cancer </c:v>
                </c:pt>
                <c:pt idx="11">
                  <c:v>Kidney </c:v>
                </c:pt>
                <c:pt idx="12">
                  <c:v>Neurological </c:v>
                </c:pt>
                <c:pt idx="13">
                  <c:v>Liver  </c:v>
                </c:pt>
                <c:pt idx="14">
                  <c:v>Depression </c:v>
                </c:pt>
              </c:strCache>
            </c:strRef>
          </c:cat>
          <c:val>
            <c:numRef>
              <c:f>'Table 3-single'!$N$3:$N$17</c:f>
              <c:numCache>
                <c:formatCode>0.0</c:formatCode>
                <c:ptCount val="15"/>
                <c:pt idx="0">
                  <c:v>56.7</c:v>
                </c:pt>
                <c:pt idx="1">
                  <c:v>49.4</c:v>
                </c:pt>
                <c:pt idx="2">
                  <c:v>25.6</c:v>
                </c:pt>
                <c:pt idx="3">
                  <c:v>18.899999999999999</c:v>
                </c:pt>
                <c:pt idx="4">
                  <c:v>14.9</c:v>
                </c:pt>
                <c:pt idx="5">
                  <c:v>10.3</c:v>
                </c:pt>
                <c:pt idx="6">
                  <c:v>10.199999999999999</c:v>
                </c:pt>
                <c:pt idx="7">
                  <c:v>8</c:v>
                </c:pt>
                <c:pt idx="8">
                  <c:v>5.7</c:v>
                </c:pt>
                <c:pt idx="9">
                  <c:v>4.9000000000000004</c:v>
                </c:pt>
                <c:pt idx="10">
                  <c:v>4.3</c:v>
                </c:pt>
                <c:pt idx="11">
                  <c:v>3.5</c:v>
                </c:pt>
                <c:pt idx="12">
                  <c:v>3.1</c:v>
                </c:pt>
                <c:pt idx="13">
                  <c:v>2.4</c:v>
                </c:pt>
                <c:pt idx="14">
                  <c:v>1.3</c:v>
                </c:pt>
              </c:numCache>
            </c:numRef>
          </c:val>
          <c:extLst>
            <c:ext xmlns:c16="http://schemas.microsoft.com/office/drawing/2014/chart" uri="{C3380CC4-5D6E-409C-BE32-E72D297353CC}">
              <c16:uniqueId val="{00000000-135D-414E-BE87-38C139372371}"/>
            </c:ext>
          </c:extLst>
        </c:ser>
        <c:ser>
          <c:idx val="1"/>
          <c:order val="1"/>
          <c:tx>
            <c:strRef>
              <c:f>'Table 3-single'!$O$2</c:f>
              <c:strCache>
                <c:ptCount val="1"/>
                <c:pt idx="0">
                  <c:v>Male</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3-single'!$M$3:$M$17</c:f>
              <c:strCache>
                <c:ptCount val="15"/>
                <c:pt idx="0">
                  <c:v>Hypertension </c:v>
                </c:pt>
                <c:pt idx="1">
                  <c:v>Multimorbidity</c:v>
                </c:pt>
                <c:pt idx="2">
                  <c:v>Eye </c:v>
                </c:pt>
                <c:pt idx="3">
                  <c:v>Heart </c:v>
                </c:pt>
                <c:pt idx="4">
                  <c:v>Diabetes </c:v>
                </c:pt>
                <c:pt idx="5">
                  <c:v>Joint </c:v>
                </c:pt>
                <c:pt idx="6">
                  <c:v>Lung </c:v>
                </c:pt>
                <c:pt idx="7">
                  <c:v>Gastrointestinal </c:v>
                </c:pt>
                <c:pt idx="8">
                  <c:v>Anxiety </c:v>
                </c:pt>
                <c:pt idx="9">
                  <c:v>Stroke </c:v>
                </c:pt>
                <c:pt idx="10">
                  <c:v>Cancer </c:v>
                </c:pt>
                <c:pt idx="11">
                  <c:v>Kidney </c:v>
                </c:pt>
                <c:pt idx="12">
                  <c:v>Neurological </c:v>
                </c:pt>
                <c:pt idx="13">
                  <c:v>Liver  </c:v>
                </c:pt>
                <c:pt idx="14">
                  <c:v>Depression </c:v>
                </c:pt>
              </c:strCache>
            </c:strRef>
          </c:cat>
          <c:val>
            <c:numRef>
              <c:f>'Table 3-single'!$O$3:$O$17</c:f>
              <c:numCache>
                <c:formatCode>0.0</c:formatCode>
                <c:ptCount val="15"/>
                <c:pt idx="0">
                  <c:v>56.3</c:v>
                </c:pt>
                <c:pt idx="1">
                  <c:v>48.8</c:v>
                </c:pt>
                <c:pt idx="2">
                  <c:v>22.5</c:v>
                </c:pt>
                <c:pt idx="3">
                  <c:v>23</c:v>
                </c:pt>
                <c:pt idx="4">
                  <c:v>17.100000000000001</c:v>
                </c:pt>
                <c:pt idx="5">
                  <c:v>7.4</c:v>
                </c:pt>
                <c:pt idx="6">
                  <c:v>9.6999999999999993</c:v>
                </c:pt>
                <c:pt idx="7">
                  <c:v>6.7</c:v>
                </c:pt>
                <c:pt idx="8">
                  <c:v>3.4</c:v>
                </c:pt>
                <c:pt idx="9">
                  <c:v>6.8</c:v>
                </c:pt>
                <c:pt idx="10">
                  <c:v>4.5999999999999996</c:v>
                </c:pt>
                <c:pt idx="11">
                  <c:v>3.8</c:v>
                </c:pt>
                <c:pt idx="12">
                  <c:v>3.2</c:v>
                </c:pt>
                <c:pt idx="13">
                  <c:v>2.7</c:v>
                </c:pt>
                <c:pt idx="14">
                  <c:v>1</c:v>
                </c:pt>
              </c:numCache>
            </c:numRef>
          </c:val>
          <c:extLst>
            <c:ext xmlns:c16="http://schemas.microsoft.com/office/drawing/2014/chart" uri="{C3380CC4-5D6E-409C-BE32-E72D297353CC}">
              <c16:uniqueId val="{00000001-135D-414E-BE87-38C139372371}"/>
            </c:ext>
          </c:extLst>
        </c:ser>
        <c:ser>
          <c:idx val="2"/>
          <c:order val="2"/>
          <c:tx>
            <c:strRef>
              <c:f>'Table 3-single'!$P$2</c:f>
              <c:strCache>
                <c:ptCount val="1"/>
                <c:pt idx="0">
                  <c:v>Female</c:v>
                </c:pt>
              </c:strCache>
            </c:strRef>
          </c:tx>
          <c:spPr>
            <a:solidFill>
              <a:schemeClr val="accent1">
                <a:tint val="65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3-single'!$M$3:$M$17</c:f>
              <c:strCache>
                <c:ptCount val="15"/>
                <c:pt idx="0">
                  <c:v>Hypertension </c:v>
                </c:pt>
                <c:pt idx="1">
                  <c:v>Multimorbidity</c:v>
                </c:pt>
                <c:pt idx="2">
                  <c:v>Eye </c:v>
                </c:pt>
                <c:pt idx="3">
                  <c:v>Heart </c:v>
                </c:pt>
                <c:pt idx="4">
                  <c:v>Diabetes </c:v>
                </c:pt>
                <c:pt idx="5">
                  <c:v>Joint </c:v>
                </c:pt>
                <c:pt idx="6">
                  <c:v>Lung </c:v>
                </c:pt>
                <c:pt idx="7">
                  <c:v>Gastrointestinal </c:v>
                </c:pt>
                <c:pt idx="8">
                  <c:v>Anxiety </c:v>
                </c:pt>
                <c:pt idx="9">
                  <c:v>Stroke </c:v>
                </c:pt>
                <c:pt idx="10">
                  <c:v>Cancer </c:v>
                </c:pt>
                <c:pt idx="11">
                  <c:v>Kidney </c:v>
                </c:pt>
                <c:pt idx="12">
                  <c:v>Neurological </c:v>
                </c:pt>
                <c:pt idx="13">
                  <c:v>Liver  </c:v>
                </c:pt>
                <c:pt idx="14">
                  <c:v>Depression </c:v>
                </c:pt>
              </c:strCache>
            </c:strRef>
          </c:cat>
          <c:val>
            <c:numRef>
              <c:f>'Table 3-single'!$P$3:$P$17</c:f>
              <c:numCache>
                <c:formatCode>0.0</c:formatCode>
                <c:ptCount val="15"/>
                <c:pt idx="0">
                  <c:v>57</c:v>
                </c:pt>
                <c:pt idx="1">
                  <c:v>49.9</c:v>
                </c:pt>
                <c:pt idx="2">
                  <c:v>28.5</c:v>
                </c:pt>
                <c:pt idx="3">
                  <c:v>15.1</c:v>
                </c:pt>
                <c:pt idx="4">
                  <c:v>12.9</c:v>
                </c:pt>
                <c:pt idx="5">
                  <c:v>13.1</c:v>
                </c:pt>
                <c:pt idx="6">
                  <c:v>10.6</c:v>
                </c:pt>
                <c:pt idx="7">
                  <c:v>9.1</c:v>
                </c:pt>
                <c:pt idx="8">
                  <c:v>7.8</c:v>
                </c:pt>
                <c:pt idx="9">
                  <c:v>3.1</c:v>
                </c:pt>
                <c:pt idx="10">
                  <c:v>4</c:v>
                </c:pt>
                <c:pt idx="11">
                  <c:v>3.1</c:v>
                </c:pt>
                <c:pt idx="12">
                  <c:v>3</c:v>
                </c:pt>
                <c:pt idx="13">
                  <c:v>2.2000000000000002</c:v>
                </c:pt>
                <c:pt idx="14">
                  <c:v>1.6</c:v>
                </c:pt>
              </c:numCache>
            </c:numRef>
          </c:val>
          <c:extLst>
            <c:ext xmlns:c16="http://schemas.microsoft.com/office/drawing/2014/chart" uri="{C3380CC4-5D6E-409C-BE32-E72D297353CC}">
              <c16:uniqueId val="{00000002-135D-414E-BE87-38C139372371}"/>
            </c:ext>
          </c:extLst>
        </c:ser>
        <c:dLbls>
          <c:showLegendKey val="0"/>
          <c:showVal val="0"/>
          <c:showCatName val="0"/>
          <c:showSerName val="0"/>
          <c:showPercent val="0"/>
          <c:showBubbleSize val="0"/>
        </c:dLbls>
        <c:gapWidth val="219"/>
        <c:overlap val="-27"/>
        <c:axId val="431441439"/>
        <c:axId val="433837759"/>
      </c:barChart>
      <c:catAx>
        <c:axId val="431441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837759"/>
        <c:crosses val="autoZero"/>
        <c:auto val="1"/>
        <c:lblAlgn val="ctr"/>
        <c:lblOffset val="100"/>
        <c:noMultiLvlLbl val="0"/>
      </c:catAx>
      <c:valAx>
        <c:axId val="433837759"/>
        <c:scaling>
          <c:orientation val="minMax"/>
          <c:max val="65"/>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441439"/>
        <c:crosses val="autoZero"/>
        <c:crossBetween val="between"/>
      </c:valAx>
      <c:spPr>
        <a:noFill/>
        <a:ln>
          <a:noFill/>
        </a:ln>
        <a:effectLst/>
      </c:spPr>
    </c:plotArea>
    <c:legend>
      <c:legendPos val="b"/>
      <c:layout>
        <c:manualLayout>
          <c:xMode val="edge"/>
          <c:yMode val="edge"/>
          <c:x val="0.44397294608497151"/>
          <c:y val="7.2447610715327265E-2"/>
          <c:w val="0.34575890550409888"/>
          <c:h val="8.06882473024205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0.00686</cdr:x>
      <cdr:y>0.21958</cdr:y>
    </cdr:from>
    <cdr:to>
      <cdr:x>0.04407</cdr:x>
      <cdr:y>0.50264</cdr:y>
    </cdr:to>
    <cdr:sp macro="" textlink="">
      <cdr:nvSpPr>
        <cdr:cNvPr id="2" name="TextBox 1">
          <a:extLst xmlns:a="http://schemas.openxmlformats.org/drawingml/2006/main">
            <a:ext uri="{FF2B5EF4-FFF2-40B4-BE49-F238E27FC236}">
              <a16:creationId xmlns:a16="http://schemas.microsoft.com/office/drawing/2014/main" id="{741BB059-450B-441C-88DC-BE590F86C3B2}"/>
            </a:ext>
          </a:extLst>
        </cdr:cNvPr>
        <cdr:cNvSpPr txBox="1"/>
      </cdr:nvSpPr>
      <cdr:spPr>
        <a:xfrm xmlns:a="http://schemas.openxmlformats.org/drawingml/2006/main" rot="16200000">
          <a:off x="-344487" y="1179510"/>
          <a:ext cx="1019175" cy="2412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CH" sz="1100"/>
            <a:t>percent</a:t>
          </a:r>
          <a:endParaRPr lang="en-CH" sz="1100"/>
        </a:p>
      </cdr:txBody>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B309A-C0A2-4317-AC20-3B731074D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11</Pages>
  <Words>1296</Words>
  <Characters>7393</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Helmholtz Zentrum München</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Arshadipour, Azam</dc:creator>
  <cp:keywords/>
  <dc:description/>
  <cp:lastModifiedBy>Arshadipour, Azam</cp:lastModifiedBy>
  <cp:revision>27</cp:revision>
  <dcterms:created xsi:type="dcterms:W3CDTF">2021-12-16T11:24:00Z</dcterms:created>
  <dcterms:modified xsi:type="dcterms:W3CDTF">2021-12-23T11:27:00Z</dcterms:modified>
</cp:coreProperties>
</file>