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7D" w:rsidRPr="008F5B34" w:rsidRDefault="00DE707D" w:rsidP="00DE707D">
      <w:pPr>
        <w:spacing w:line="276" w:lineRule="auto"/>
        <w:rPr>
          <w:rFonts w:asciiTheme="majorBidi" w:hAnsiTheme="majorBidi" w:cstheme="majorBidi"/>
          <w:b/>
          <w:bCs/>
          <w:color w:val="242021"/>
          <w:sz w:val="24"/>
        </w:rPr>
      </w:pPr>
      <w:r w:rsidRPr="00DE707D">
        <w:rPr>
          <w:rFonts w:asciiTheme="majorBidi" w:hAnsiTheme="majorBidi" w:cstheme="majorBidi"/>
          <w:b/>
          <w:bCs/>
          <w:color w:val="242021"/>
          <w:sz w:val="24"/>
        </w:rPr>
        <w:t xml:space="preserve">Supplemental Table </w:t>
      </w:r>
      <w:r w:rsidR="008F5B34">
        <w:rPr>
          <w:rFonts w:asciiTheme="majorBidi" w:hAnsiTheme="majorBidi" w:cstheme="majorBidi"/>
          <w:b/>
          <w:bCs/>
          <w:color w:val="242021"/>
          <w:sz w:val="24"/>
        </w:rPr>
        <w:t>3</w:t>
      </w:r>
      <w:r w:rsidRPr="00DE707D">
        <w:rPr>
          <w:rFonts w:asciiTheme="majorBidi" w:hAnsiTheme="majorBidi" w:cstheme="majorBidi"/>
          <w:b/>
          <w:bCs/>
          <w:color w:val="242021"/>
          <w:sz w:val="24"/>
        </w:rPr>
        <w:t>.</w:t>
      </w:r>
      <w:r w:rsidRPr="00B72FE9">
        <w:rPr>
          <w:rFonts w:asciiTheme="majorBidi" w:hAnsiTheme="majorBidi" w:cstheme="majorBidi"/>
          <w:b/>
          <w:bCs/>
          <w:color w:val="242021"/>
          <w:sz w:val="24"/>
        </w:rPr>
        <w:t xml:space="preserve"> </w:t>
      </w:r>
      <w:r w:rsidRPr="00B72FE9">
        <w:rPr>
          <w:rFonts w:asciiTheme="majorBidi" w:hAnsiTheme="majorBidi" w:cstheme="majorBidi"/>
          <w:color w:val="242021"/>
          <w:sz w:val="24"/>
        </w:rPr>
        <w:t xml:space="preserve">Number of cows </w:t>
      </w:r>
      <w:r w:rsidR="00DB3A41">
        <w:rPr>
          <w:rFonts w:asciiTheme="majorBidi" w:hAnsiTheme="majorBidi" w:cstheme="majorBidi"/>
          <w:color w:val="242021"/>
          <w:sz w:val="24"/>
        </w:rPr>
        <w:t xml:space="preserve"> and number of cases </w:t>
      </w:r>
      <w:bookmarkStart w:id="0" w:name="_GoBack"/>
      <w:bookmarkEnd w:id="0"/>
      <w:r w:rsidRPr="00B72FE9">
        <w:rPr>
          <w:rFonts w:asciiTheme="majorBidi" w:hAnsiTheme="majorBidi" w:cstheme="majorBidi"/>
          <w:color w:val="242021"/>
          <w:sz w:val="24"/>
        </w:rPr>
        <w:t xml:space="preserve">affected by clinical conditions </w:t>
      </w:r>
      <w:r w:rsidRPr="00073AE5">
        <w:rPr>
          <w:rFonts w:asciiTheme="majorBidi" w:hAnsiTheme="majorBidi" w:cstheme="majorBidi"/>
          <w:color w:val="242021"/>
          <w:sz w:val="24"/>
        </w:rPr>
        <w:t xml:space="preserve">occurring from calving to </w:t>
      </w:r>
      <w:r>
        <w:rPr>
          <w:rFonts w:asciiTheme="majorBidi" w:hAnsiTheme="majorBidi" w:cstheme="majorBidi"/>
          <w:color w:val="242021"/>
          <w:sz w:val="24"/>
        </w:rPr>
        <w:t xml:space="preserve">the first </w:t>
      </w:r>
      <w:r w:rsidRPr="00073AE5">
        <w:rPr>
          <w:rFonts w:asciiTheme="majorBidi" w:hAnsiTheme="majorBidi" w:cstheme="majorBidi"/>
          <w:color w:val="242021"/>
          <w:sz w:val="24"/>
        </w:rPr>
        <w:t>6 w</w:t>
      </w:r>
      <w:r>
        <w:rPr>
          <w:rFonts w:asciiTheme="majorBidi" w:hAnsiTheme="majorBidi" w:cstheme="majorBidi"/>
          <w:color w:val="242021"/>
          <w:sz w:val="24"/>
        </w:rPr>
        <w:t>ee</w:t>
      </w:r>
      <w:r w:rsidRPr="00073AE5">
        <w:rPr>
          <w:rFonts w:asciiTheme="majorBidi" w:hAnsiTheme="majorBidi" w:cstheme="majorBidi"/>
          <w:color w:val="242021"/>
          <w:sz w:val="24"/>
        </w:rPr>
        <w:t>k</w:t>
      </w:r>
      <w:r>
        <w:rPr>
          <w:rFonts w:asciiTheme="majorBidi" w:hAnsiTheme="majorBidi" w:cstheme="majorBidi"/>
          <w:color w:val="242021"/>
          <w:sz w:val="24"/>
        </w:rPr>
        <w:t>s after calving in</w:t>
      </w:r>
      <w:r w:rsidRPr="00B72FE9">
        <w:rPr>
          <w:rFonts w:asciiTheme="majorBidi" w:hAnsiTheme="majorBidi" w:cstheme="majorBidi"/>
          <w:color w:val="242021"/>
          <w:sz w:val="24"/>
        </w:rPr>
        <w:t xml:space="preserve"> HBCS and NBCS cows</w:t>
      </w:r>
      <w:r w:rsidR="00C81BCE">
        <w:rPr>
          <w:rFonts w:asciiTheme="majorBidi" w:hAnsiTheme="majorBidi" w:cstheme="majorBidi"/>
          <w:color w:val="242021"/>
          <w:sz w:val="24"/>
        </w:rPr>
        <w:t xml:space="preserve"> (from Webb et al., 2020).</w:t>
      </w:r>
    </w:p>
    <w:tbl>
      <w:tblPr>
        <w:tblpPr w:leftFromText="180" w:rightFromText="180" w:vertAnchor="text" w:horzAnchor="margin" w:tblpY="20"/>
        <w:tblW w:w="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7"/>
        <w:gridCol w:w="1203"/>
        <w:gridCol w:w="1217"/>
        <w:gridCol w:w="1203"/>
        <w:gridCol w:w="1217"/>
      </w:tblGrid>
      <w:tr w:rsidR="00DE707D" w:rsidRPr="00221AF6" w:rsidTr="00044843">
        <w:trPr>
          <w:trHeight w:val="288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Clinical condition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HBCS (n = 19)</w:t>
            </w: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NBCS (n = 19)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No. cows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No. cases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No. cows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No. cases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Mastitis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Ketosis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Milk fever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ind w:firstLine="180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Locomotion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242021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221AF6">
              <w:rPr>
                <w:rFonts w:asciiTheme="majorBidi" w:hAnsiTheme="majorBidi" w:cstheme="majorBidi"/>
                <w:color w:val="242021"/>
                <w:sz w:val="22"/>
                <w:szCs w:val="22"/>
              </w:rPr>
              <w:t>Retained fetal membranes/endometritis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Other conditions</w:t>
            </w: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DE707D" w:rsidRPr="00221AF6" w:rsidTr="00044843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707D" w:rsidRPr="00221AF6" w:rsidRDefault="00DE707D" w:rsidP="00044843">
            <w:pPr>
              <w:spacing w:line="240" w:lineRule="auto"/>
              <w:jc w:val="left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Total clinical conditions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707D" w:rsidRPr="00221AF6" w:rsidRDefault="00DE707D" w:rsidP="0004484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221AF6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26</w:t>
            </w:r>
          </w:p>
        </w:tc>
      </w:tr>
    </w:tbl>
    <w:p w:rsidR="00DE707D" w:rsidRPr="00221AF6" w:rsidRDefault="00DE707D" w:rsidP="00DE707D">
      <w:pPr>
        <w:rPr>
          <w:rFonts w:asciiTheme="majorBidi" w:hAnsiTheme="majorBidi" w:cstheme="majorBidi"/>
          <w:color w:val="000000" w:themeColor="text1"/>
          <w:sz w:val="22"/>
        </w:rPr>
      </w:pPr>
      <w:r w:rsidRPr="00221AF6">
        <w:rPr>
          <w:rFonts w:asciiTheme="majorBidi" w:hAnsiTheme="majorBidi" w:cstheme="majorBidi"/>
          <w:color w:val="000000" w:themeColor="text1"/>
          <w:sz w:val="22"/>
          <w:vertAlign w:val="superscript"/>
        </w:rPr>
        <w:t xml:space="preserve">1 </w:t>
      </w:r>
      <w:r w:rsidRPr="00221AF6">
        <w:rPr>
          <w:rFonts w:asciiTheme="majorBidi" w:hAnsiTheme="majorBidi" w:cstheme="majorBidi"/>
          <w:color w:val="000000" w:themeColor="text1"/>
          <w:sz w:val="22"/>
        </w:rPr>
        <w:t xml:space="preserve">dystocia, inflammation of the conjunctiva of the eye  </w:t>
      </w:r>
    </w:p>
    <w:p w:rsidR="004C3D6D" w:rsidRDefault="004C3D6D"/>
    <w:sectPr w:rsidR="004C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7D"/>
    <w:rsid w:val="004C3D6D"/>
    <w:rsid w:val="00877440"/>
    <w:rsid w:val="008F5B34"/>
    <w:rsid w:val="00C81BCE"/>
    <w:rsid w:val="00DB3A41"/>
    <w:rsid w:val="00DE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1D9"/>
  <w15:chartTrackingRefBased/>
  <w15:docId w15:val="{23DE5F42-75D7-4C26-8536-CF956C18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E707D"/>
    <w:pPr>
      <w:overflowPunct w:val="0"/>
      <w:autoSpaceDE w:val="0"/>
      <w:autoSpaceDN w:val="0"/>
      <w:adjustRightInd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Susanne</cp:lastModifiedBy>
  <cp:revision>5</cp:revision>
  <dcterms:created xsi:type="dcterms:W3CDTF">2021-10-06T18:00:00Z</dcterms:created>
  <dcterms:modified xsi:type="dcterms:W3CDTF">2021-10-14T07:54:00Z</dcterms:modified>
</cp:coreProperties>
</file>