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C225" w14:textId="77777777" w:rsidR="00752F3C" w:rsidRDefault="00752F3C" w:rsidP="009C6B1C">
      <w:pPr>
        <w:pStyle w:val="Corpo"/>
        <w:spacing w:line="480" w:lineRule="auto"/>
        <w:jc w:val="both"/>
        <w:rPr>
          <w:rStyle w:val="Nessuno"/>
          <w:rFonts w:ascii="Arial" w:hAnsi="Arial"/>
          <w:b/>
          <w:bCs/>
        </w:rPr>
      </w:pPr>
      <w:r>
        <w:rPr>
          <w:rStyle w:val="Nessuno"/>
          <w:rFonts w:ascii="Arial" w:hAnsi="Arial"/>
          <w:b/>
          <w:bCs/>
        </w:rPr>
        <w:t>Additional file 1</w:t>
      </w:r>
    </w:p>
    <w:p w14:paraId="239A5CAC" w14:textId="5F32EA46" w:rsidR="009C6B1C" w:rsidRDefault="007722C8" w:rsidP="009C6B1C">
      <w:pPr>
        <w:pStyle w:val="Corpo"/>
        <w:spacing w:line="480" w:lineRule="auto"/>
        <w:jc w:val="both"/>
        <w:rPr>
          <w:rStyle w:val="Nessuno"/>
          <w:rFonts w:ascii="Arial" w:hAnsi="Arial"/>
          <w:b/>
          <w:bCs/>
        </w:rPr>
      </w:pPr>
      <w:r>
        <w:rPr>
          <w:rStyle w:val="Nessuno"/>
          <w:rFonts w:ascii="Arial" w:hAnsi="Arial"/>
          <w:b/>
          <w:bCs/>
        </w:rPr>
        <w:t xml:space="preserve">Supplementary </w:t>
      </w:r>
      <w:r w:rsidR="009C6B1C">
        <w:rPr>
          <w:rStyle w:val="Nessuno"/>
          <w:rFonts w:ascii="Arial" w:hAnsi="Arial"/>
          <w:b/>
          <w:bCs/>
        </w:rPr>
        <w:t>Methods</w:t>
      </w:r>
    </w:p>
    <w:p w14:paraId="5E4A4F8B" w14:textId="77777777" w:rsidR="004B3C6D" w:rsidRDefault="004B3C6D" w:rsidP="009C6B1C">
      <w:pPr>
        <w:pStyle w:val="Corpo"/>
        <w:spacing w:line="480" w:lineRule="auto"/>
        <w:jc w:val="both"/>
        <w:rPr>
          <w:rStyle w:val="Nessuno"/>
          <w:rFonts w:ascii="Arial" w:hAnsi="Arial"/>
          <w:b/>
          <w:bCs/>
        </w:rPr>
      </w:pPr>
    </w:p>
    <w:p w14:paraId="73E1F53E" w14:textId="648F089D" w:rsidR="009C6B1C" w:rsidRDefault="009C6B1C" w:rsidP="009C6B1C">
      <w:pPr>
        <w:pStyle w:val="Corpo"/>
        <w:spacing w:line="480" w:lineRule="auto"/>
        <w:jc w:val="both"/>
        <w:rPr>
          <w:rStyle w:val="Nessuno"/>
          <w:rFonts w:ascii="Arial" w:hAnsi="Arial"/>
          <w:b/>
          <w:bCs/>
        </w:rPr>
      </w:pPr>
      <w:r>
        <w:rPr>
          <w:rStyle w:val="Nessuno"/>
          <w:rFonts w:ascii="Arial" w:hAnsi="Arial"/>
          <w:b/>
          <w:bCs/>
        </w:rPr>
        <w:t>Peptide synthesis</w:t>
      </w:r>
    </w:p>
    <w:p w14:paraId="3E8A45A8" w14:textId="35A187E8" w:rsidR="009C6B1C" w:rsidRPr="009C6B1C" w:rsidRDefault="009C6B1C" w:rsidP="009C6B1C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:lang w:val="en-US" w:eastAsia="it-IT"/>
        </w:rPr>
      </w:pPr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The Fmoc-(9-fluorenylmethoxycarbonyl-) protected amino acids were purchased from either 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Bachem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Bubendorf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, Switzerland) or Iris Biotech GmbH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Marktredwitz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, Germany). 2-Chlorotrityl chloride (2CTC) resin and </w:t>
      </w:r>
      <w:r w:rsidR="00154C68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coupling reagents were </w:t>
      </w:r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also obtained from Iris Biotech GmbH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Marktredwitz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, Germany) or from Sigma-Aldrich (Munich, Germany) or 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Molekula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GmbH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Garching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, Germany). Solvents and reagents for organic synthesis were purchased from either Alfa 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Aesar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(Karlsruhe, Germany), Sigma-Aldrich (Munich, Germany) or VWR (Darmstadt, Germany). The Sulfo-Cy5 carboxylic acid was obtained from 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Lumiprobe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(Hunt Valley, USA).</w:t>
      </w:r>
    </w:p>
    <w:p w14:paraId="599F1ADE" w14:textId="739E7B6C" w:rsidR="009C6B1C" w:rsidRDefault="009C6B1C" w:rsidP="009C6B1C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</w:pPr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Analytical and semi-preparative HPLC was performed using a Shimadzu gradient system from Shimadzu Deutschland GmbH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Neufahrn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, Germany), each equipped with a SPD20A UV/Vis detector (λ = 220 nm, 254 nm). A 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Multokrom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100 C18 (125 × 4.6 mm, 5 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μm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particle size; CS GmbH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Langerwehe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, Germany)) column was used for analytical HPLC at a flow rate of 1 mL/min. Semi-preparative HPLC purification was performed using a 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Multokrom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100 RP 18 (250 × 10 mm, 5 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μm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 xml:space="preserve"> particle size) column (CS GmbH (</w:t>
      </w:r>
      <w:proofErr w:type="spellStart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Langerwehe</w:t>
      </w:r>
      <w:proofErr w:type="spellEnd"/>
      <w:r w:rsidRPr="009C6B1C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:lang w:val="en-US" w:eastAsia="it-IT"/>
        </w:rPr>
        <w:t>, Germany)) at a constant flow rate of 5 mL/min. For all HPLC analyses, gradients of acetonitrile (0.1% TFA, solvent B) in water (0.1% TFA, solvent A) were generally used as mobile phase.</w:t>
      </w:r>
    </w:p>
    <w:p w14:paraId="3C913310" w14:textId="77777777" w:rsidR="00470FFA" w:rsidRPr="0024419D" w:rsidRDefault="00470FFA" w:rsidP="00470FFA">
      <w:pPr>
        <w:pStyle w:val="Testocommento"/>
        <w:spacing w:after="160" w:line="480" w:lineRule="auto"/>
        <w:jc w:val="both"/>
        <w:rPr>
          <w:rStyle w:val="Nessuno"/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24419D">
        <w:rPr>
          <w:rFonts w:ascii="Arial" w:hAnsi="Arial"/>
          <w:i/>
          <w:iCs/>
          <w:sz w:val="24"/>
          <w:szCs w:val="24"/>
        </w:rPr>
        <w:t>Synthesis of the CXCR4-targeted cyclic pentapeptide CPCR4</w:t>
      </w:r>
    </w:p>
    <w:p w14:paraId="2960B08D" w14:textId="739BD571" w:rsidR="00470FFA" w:rsidRPr="005D6E17" w:rsidRDefault="00470FFA" w:rsidP="00470FFA">
      <w:pPr>
        <w:pStyle w:val="Testocommento"/>
        <w:spacing w:after="16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24419D">
        <w:rPr>
          <w:rFonts w:ascii="Arial" w:hAnsi="Arial"/>
          <w:sz w:val="24"/>
          <w:szCs w:val="24"/>
        </w:rPr>
        <w:t>The cyclic pentapeptide CPCR4 (</w:t>
      </w:r>
      <w:proofErr w:type="spellStart"/>
      <w:r w:rsidRPr="0024419D">
        <w:rPr>
          <w:rStyle w:val="Nessuno"/>
          <w:rFonts w:ascii="Arial" w:hAnsi="Arial"/>
          <w:i/>
          <w:iCs/>
          <w:sz w:val="24"/>
          <w:szCs w:val="24"/>
        </w:rPr>
        <w:t>cyclo</w:t>
      </w:r>
      <w:proofErr w:type="spellEnd"/>
      <w:r w:rsidRPr="0024419D">
        <w:rPr>
          <w:rFonts w:ascii="Arial" w:hAnsi="Arial"/>
          <w:sz w:val="24"/>
          <w:szCs w:val="24"/>
        </w:rPr>
        <w:t>(</w:t>
      </w:r>
      <w:r w:rsidRPr="0024419D">
        <w:rPr>
          <w:rStyle w:val="Nessuno"/>
          <w:rFonts w:ascii="Arial" w:hAnsi="Arial"/>
          <w:smallCaps/>
          <w:sz w:val="24"/>
          <w:szCs w:val="24"/>
        </w:rPr>
        <w:t>d</w:t>
      </w:r>
      <w:r w:rsidRPr="0024419D">
        <w:rPr>
          <w:rFonts w:ascii="Arial" w:hAnsi="Arial"/>
          <w:sz w:val="24"/>
          <w:szCs w:val="24"/>
        </w:rPr>
        <w:t>-Tyr</w:t>
      </w:r>
      <w:r w:rsidRPr="0024419D">
        <w:rPr>
          <w:rStyle w:val="Nessuno"/>
          <w:rFonts w:ascii="Arial" w:hAnsi="Arial"/>
          <w:sz w:val="24"/>
          <w:szCs w:val="24"/>
          <w:vertAlign w:val="superscript"/>
        </w:rPr>
        <w:t>1</w:t>
      </w:r>
      <w:r w:rsidRPr="0024419D">
        <w:rPr>
          <w:rFonts w:ascii="Arial" w:hAnsi="Arial"/>
          <w:sz w:val="24"/>
          <w:szCs w:val="24"/>
        </w:rPr>
        <w:t>-</w:t>
      </w:r>
      <w:r w:rsidRPr="0024419D">
        <w:rPr>
          <w:rStyle w:val="Nessuno"/>
          <w:rFonts w:ascii="Arial" w:hAnsi="Arial"/>
          <w:smallCaps/>
          <w:sz w:val="24"/>
          <w:szCs w:val="24"/>
        </w:rPr>
        <w:t>d</w:t>
      </w:r>
      <w:r w:rsidRPr="0024419D">
        <w:rPr>
          <w:rFonts w:ascii="Arial" w:hAnsi="Arial"/>
          <w:sz w:val="24"/>
          <w:szCs w:val="24"/>
        </w:rPr>
        <w:t>-[</w:t>
      </w:r>
      <w:proofErr w:type="spellStart"/>
      <w:r w:rsidRPr="0024419D">
        <w:rPr>
          <w:rFonts w:ascii="Arial" w:hAnsi="Arial"/>
          <w:sz w:val="24"/>
          <w:szCs w:val="24"/>
        </w:rPr>
        <w:t>NMe</w:t>
      </w:r>
      <w:proofErr w:type="spellEnd"/>
      <w:r w:rsidRPr="0024419D">
        <w:rPr>
          <w:rFonts w:ascii="Arial" w:hAnsi="Arial"/>
          <w:sz w:val="24"/>
          <w:szCs w:val="24"/>
        </w:rPr>
        <w:t>]Orn</w:t>
      </w:r>
      <w:r w:rsidRPr="0024419D">
        <w:rPr>
          <w:rStyle w:val="Nessuno"/>
          <w:rFonts w:ascii="Arial" w:hAnsi="Arial"/>
          <w:sz w:val="24"/>
          <w:szCs w:val="24"/>
          <w:vertAlign w:val="superscript"/>
        </w:rPr>
        <w:t>2</w:t>
      </w:r>
      <w:r w:rsidRPr="0024419D">
        <w:rPr>
          <w:rFonts w:ascii="Arial" w:hAnsi="Arial"/>
          <w:sz w:val="24"/>
          <w:szCs w:val="24"/>
        </w:rPr>
        <w:t>-Arg</w:t>
      </w:r>
      <w:r w:rsidRPr="0024419D">
        <w:rPr>
          <w:rStyle w:val="Nessuno"/>
          <w:rFonts w:ascii="Arial" w:hAnsi="Arial"/>
          <w:sz w:val="24"/>
          <w:szCs w:val="24"/>
          <w:vertAlign w:val="superscript"/>
        </w:rPr>
        <w:t>3</w:t>
      </w:r>
      <w:r w:rsidRPr="0024419D">
        <w:rPr>
          <w:rFonts w:ascii="Arial" w:hAnsi="Arial"/>
          <w:sz w:val="24"/>
          <w:szCs w:val="24"/>
        </w:rPr>
        <w:t>-Nal</w:t>
      </w:r>
      <w:r w:rsidRPr="0024419D">
        <w:rPr>
          <w:rStyle w:val="Nessuno"/>
          <w:rFonts w:ascii="Arial" w:hAnsi="Arial"/>
          <w:sz w:val="24"/>
          <w:szCs w:val="24"/>
          <w:vertAlign w:val="superscript"/>
        </w:rPr>
        <w:t>4</w:t>
      </w:r>
      <w:r w:rsidRPr="0024419D">
        <w:rPr>
          <w:rFonts w:ascii="Arial" w:hAnsi="Arial"/>
          <w:sz w:val="24"/>
          <w:szCs w:val="24"/>
        </w:rPr>
        <w:t>-Gly</w:t>
      </w:r>
      <w:r w:rsidRPr="0024419D">
        <w:rPr>
          <w:rStyle w:val="Nessuno"/>
          <w:rFonts w:ascii="Arial" w:hAnsi="Arial"/>
          <w:sz w:val="24"/>
          <w:szCs w:val="24"/>
          <w:vertAlign w:val="superscript"/>
        </w:rPr>
        <w:t>5</w:t>
      </w:r>
      <w:r w:rsidRPr="0024419D">
        <w:rPr>
          <w:rFonts w:ascii="Arial" w:hAnsi="Arial"/>
          <w:sz w:val="24"/>
          <w:szCs w:val="24"/>
        </w:rPr>
        <w:t>) was prepared according to a previously reported manual solid-phase peptide synthesis (SPPS) protocol</w:t>
      </w:r>
      <w:r>
        <w:rPr>
          <w:rFonts w:ascii="Arial" w:hAnsi="Arial"/>
          <w:sz w:val="24"/>
          <w:szCs w:val="24"/>
        </w:rPr>
        <w:t xml:space="preserve"> </w:t>
      </w:r>
      <w:r w:rsidRPr="0024419D">
        <w:rPr>
          <w:rFonts w:ascii="Arial" w:hAnsi="Arial"/>
        </w:rPr>
        <w:fldChar w:fldCharType="begin">
          <w:fldData xml:space="preserve">PEVuZE5vdGU+PENpdGU+PEF1dGhvcj5EZW1tZXI8L0F1dGhvcj48WWVhcj4yMDA4PC9ZZWFyPjxS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</w:fldData>
        </w:fldChar>
      </w:r>
      <w:r w:rsidR="007B3E91">
        <w:rPr>
          <w:rFonts w:ascii="Arial" w:hAnsi="Arial"/>
        </w:rPr>
        <w:instrText xml:space="preserve"> ADDIN EN.CITE </w:instrText>
      </w:r>
      <w:r w:rsidR="007B3E91">
        <w:rPr>
          <w:rFonts w:ascii="Arial" w:hAnsi="Arial"/>
        </w:rPr>
        <w:fldChar w:fldCharType="begin">
          <w:fldData xml:space="preserve">PEVuZE5vdGU+PENpdGU+PEF1dGhvcj5EZW1tZXI8L0F1dGhvcj48WWVhcj4yMDA4PC9ZZWFyPjxS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</w:fldData>
        </w:fldChar>
      </w:r>
      <w:r w:rsidR="007B3E91">
        <w:rPr>
          <w:rFonts w:ascii="Arial" w:hAnsi="Arial"/>
        </w:rPr>
        <w:instrText xml:space="preserve"> ADDIN EN.CITE.DATA </w:instrText>
      </w:r>
      <w:r w:rsidR="007B3E91">
        <w:rPr>
          <w:rFonts w:ascii="Arial" w:hAnsi="Arial"/>
        </w:rPr>
      </w:r>
      <w:r w:rsidR="007B3E91">
        <w:rPr>
          <w:rFonts w:ascii="Arial" w:hAnsi="Arial"/>
        </w:rPr>
        <w:fldChar w:fldCharType="end"/>
      </w:r>
      <w:r w:rsidRPr="0024419D">
        <w:rPr>
          <w:rFonts w:ascii="Arial" w:hAnsi="Arial"/>
        </w:rPr>
      </w:r>
      <w:r w:rsidRPr="0024419D">
        <w:rPr>
          <w:rFonts w:ascii="Arial" w:hAnsi="Arial"/>
        </w:rPr>
        <w:fldChar w:fldCharType="separate"/>
      </w:r>
      <w:r w:rsidR="007B3E91">
        <w:rPr>
          <w:rFonts w:ascii="Arial" w:hAnsi="Arial"/>
          <w:noProof/>
        </w:rPr>
        <w:t>[1, 2]</w:t>
      </w:r>
      <w:r w:rsidRPr="0024419D">
        <w:rPr>
          <w:rFonts w:ascii="Arial" w:hAnsi="Arial"/>
        </w:rPr>
        <w:fldChar w:fldCharType="end"/>
      </w:r>
      <w:r w:rsidRPr="0024419D">
        <w:rPr>
          <w:rFonts w:ascii="Arial" w:hAnsi="Arial"/>
          <w:sz w:val="24"/>
          <w:szCs w:val="24"/>
        </w:rPr>
        <w:t xml:space="preserve">. Upon removal of all acid labile protecting groups using TFA and </w:t>
      </w:r>
      <w:r w:rsidRPr="0024419D">
        <w:rPr>
          <w:rFonts w:ascii="Arial" w:hAnsi="Arial"/>
          <w:sz w:val="24"/>
          <w:szCs w:val="24"/>
        </w:rPr>
        <w:lastRenderedPageBreak/>
        <w:t>precipitation in cold Et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2</w:t>
      </w:r>
      <w:r w:rsidRPr="0024419D">
        <w:rPr>
          <w:rFonts w:ascii="Arial" w:hAnsi="Arial"/>
          <w:sz w:val="24"/>
          <w:szCs w:val="24"/>
        </w:rPr>
        <w:t>O, the crude peptide was purified using semi</w:t>
      </w:r>
      <w:r>
        <w:rPr>
          <w:rFonts w:ascii="Arial" w:hAnsi="Arial"/>
          <w:sz w:val="24"/>
          <w:szCs w:val="24"/>
        </w:rPr>
        <w:t>-</w:t>
      </w:r>
      <w:r w:rsidRPr="0024419D">
        <w:rPr>
          <w:rFonts w:ascii="Arial" w:hAnsi="Arial"/>
          <w:sz w:val="24"/>
          <w:szCs w:val="24"/>
        </w:rPr>
        <w:t>preparative HPLC</w:t>
      </w:r>
      <w:r w:rsidRPr="005D6E17">
        <w:rPr>
          <w:rStyle w:val="Nessuno"/>
          <w:rFonts w:ascii="Arial" w:hAnsi="Arial"/>
          <w:sz w:val="24"/>
          <w:szCs w:val="24"/>
        </w:rPr>
        <w:t xml:space="preserve">: (10 – 95% B in 15 min): </w:t>
      </w:r>
      <w:proofErr w:type="spellStart"/>
      <w:r w:rsidRPr="005D6E17">
        <w:rPr>
          <w:rStyle w:val="Nessuno"/>
          <w:rFonts w:ascii="Arial" w:hAnsi="Arial"/>
          <w:i/>
          <w:iCs/>
          <w:sz w:val="24"/>
          <w:szCs w:val="24"/>
        </w:rPr>
        <w:t>t</w:t>
      </w:r>
      <w:r w:rsidRPr="005D6E17">
        <w:rPr>
          <w:rStyle w:val="Nessuno"/>
          <w:rFonts w:ascii="Arial" w:hAnsi="Arial"/>
          <w:i/>
          <w:iCs/>
          <w:sz w:val="24"/>
          <w:szCs w:val="24"/>
          <w:vertAlign w:val="subscript"/>
        </w:rPr>
        <w:t>R</w:t>
      </w:r>
      <w:proofErr w:type="spellEnd"/>
      <w:r w:rsidRPr="005D6E17">
        <w:rPr>
          <w:rStyle w:val="Nessuno"/>
          <w:rFonts w:ascii="Arial" w:hAnsi="Arial"/>
          <w:sz w:val="24"/>
          <w:szCs w:val="24"/>
        </w:rPr>
        <w:t xml:space="preserve"> = 6.49 min, ĸ´= 4.01. Calculated monoisotopic mass (C</w:t>
      </w:r>
      <w:r w:rsidRPr="005D6E17">
        <w:rPr>
          <w:rStyle w:val="Nessuno"/>
          <w:rFonts w:ascii="Arial" w:hAnsi="Arial"/>
          <w:sz w:val="24"/>
          <w:szCs w:val="24"/>
          <w:vertAlign w:val="subscript"/>
        </w:rPr>
        <w:t>36</w:t>
      </w:r>
      <w:r w:rsidRPr="005D6E17">
        <w:rPr>
          <w:rStyle w:val="Nessuno"/>
          <w:rFonts w:ascii="Arial" w:hAnsi="Arial"/>
          <w:sz w:val="24"/>
          <w:szCs w:val="24"/>
        </w:rPr>
        <w:t>H</w:t>
      </w:r>
      <w:r w:rsidRPr="005D6E17">
        <w:rPr>
          <w:rStyle w:val="Nessuno"/>
          <w:rFonts w:ascii="Arial" w:hAnsi="Arial"/>
          <w:sz w:val="24"/>
          <w:szCs w:val="24"/>
          <w:vertAlign w:val="subscript"/>
        </w:rPr>
        <w:t>47</w:t>
      </w:r>
      <w:r w:rsidRPr="005D6E17">
        <w:rPr>
          <w:rStyle w:val="Nessuno"/>
          <w:rFonts w:ascii="Arial" w:hAnsi="Arial"/>
          <w:sz w:val="24"/>
          <w:szCs w:val="24"/>
        </w:rPr>
        <w:t>N</w:t>
      </w:r>
      <w:r w:rsidRPr="005D6E17">
        <w:rPr>
          <w:rStyle w:val="Nessuno"/>
          <w:rFonts w:ascii="Arial" w:hAnsi="Arial"/>
          <w:sz w:val="24"/>
          <w:szCs w:val="24"/>
          <w:vertAlign w:val="subscript"/>
        </w:rPr>
        <w:t>9</w:t>
      </w:r>
      <w:r w:rsidRPr="005D6E17">
        <w:rPr>
          <w:rStyle w:val="Nessuno"/>
          <w:rFonts w:ascii="Arial" w:hAnsi="Arial"/>
          <w:sz w:val="24"/>
          <w:szCs w:val="24"/>
        </w:rPr>
        <w:t>O</w:t>
      </w:r>
      <w:r w:rsidRPr="005D6E17">
        <w:rPr>
          <w:rStyle w:val="Nessuno"/>
          <w:rFonts w:ascii="Arial" w:hAnsi="Arial"/>
          <w:sz w:val="24"/>
          <w:szCs w:val="24"/>
          <w:vertAlign w:val="subscript"/>
        </w:rPr>
        <w:t>6</w:t>
      </w:r>
      <w:r w:rsidRPr="005D6E17">
        <w:rPr>
          <w:rStyle w:val="Nessuno"/>
          <w:rFonts w:ascii="Arial" w:hAnsi="Arial"/>
          <w:sz w:val="24"/>
          <w:szCs w:val="24"/>
        </w:rPr>
        <w:t>): 701.36, found: 701.8 [M+H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31"/>
                <w:szCs w:val="31"/>
              </w:rPr>
              <m:t>]</m:t>
            </m:r>
          </m:e>
          <m:sup>
            <m:r>
              <w:rPr>
                <w:rFonts w:ascii="Cambria Math" w:hAnsi="Cambria Math"/>
                <w:sz w:val="31"/>
                <w:szCs w:val="31"/>
              </w:rPr>
              <m:t>+</m:t>
            </m:r>
          </m:sup>
        </m:sSup>
      </m:oMath>
      <w:r w:rsidRPr="005D6E17">
        <w:rPr>
          <w:rStyle w:val="Nessuno"/>
          <w:rFonts w:ascii="Arial" w:hAnsi="Arial"/>
          <w:sz w:val="24"/>
          <w:szCs w:val="24"/>
        </w:rPr>
        <w:t>, 351.4 [M+2H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]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2+</m:t>
            </m:r>
          </m:sup>
        </m:sSup>
      </m:oMath>
      <w:r w:rsidRPr="005D6E17">
        <w:rPr>
          <w:rStyle w:val="Nessuno"/>
          <w:rFonts w:ascii="Arial" w:hAnsi="Arial"/>
          <w:sz w:val="24"/>
          <w:szCs w:val="24"/>
        </w:rPr>
        <w:t>.</w:t>
      </w:r>
    </w:p>
    <w:p w14:paraId="7D61CC7D" w14:textId="77777777" w:rsidR="00470FFA" w:rsidRPr="0024419D" w:rsidRDefault="00470FFA" w:rsidP="00470FFA">
      <w:pPr>
        <w:pStyle w:val="Testocommento"/>
        <w:spacing w:after="160" w:line="480" w:lineRule="auto"/>
        <w:jc w:val="both"/>
        <w:rPr>
          <w:rStyle w:val="Nessuno"/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24419D">
        <w:rPr>
          <w:rFonts w:ascii="Arial" w:hAnsi="Arial"/>
          <w:i/>
          <w:iCs/>
          <w:sz w:val="24"/>
          <w:szCs w:val="24"/>
        </w:rPr>
        <w:t>Synthesis of the linker unit</w:t>
      </w:r>
    </w:p>
    <w:p w14:paraId="2BEECB40" w14:textId="4EB0E945" w:rsidR="00470FFA" w:rsidRPr="0024419D" w:rsidRDefault="00470FFA" w:rsidP="00470FFA">
      <w:pPr>
        <w:pStyle w:val="Testocommento"/>
        <w:spacing w:after="16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24419D">
        <w:rPr>
          <w:rFonts w:ascii="Arial" w:hAnsi="Arial"/>
          <w:sz w:val="24"/>
          <w:szCs w:val="24"/>
        </w:rPr>
        <w:t xml:space="preserve">The peptide linker was prepared in analogy to a previously described manual SPPS procedure </w:t>
      </w:r>
      <w:r w:rsidRPr="0024419D">
        <w:rPr>
          <w:rFonts w:ascii="Arial" w:hAnsi="Arial"/>
          <w:sz w:val="24"/>
          <w:szCs w:val="24"/>
        </w:rPr>
        <w:fldChar w:fldCharType="begin"/>
      </w:r>
      <w:r w:rsidR="007B3E91">
        <w:rPr>
          <w:rFonts w:ascii="Arial" w:hAnsi="Arial"/>
          <w:sz w:val="24"/>
          <w:szCs w:val="24"/>
        </w:rPr>
        <w:instrText xml:space="preserve"> ADDIN EN.CITE &lt;EndNote&gt;&lt;Cite&gt;&lt;Author&gt;Osl&lt;/Author&gt;&lt;Year&gt;2020&lt;/Year&gt;&lt;RecNum&gt;33&lt;/RecNum&gt;&lt;DisplayText&gt;[3]&lt;/DisplayText&gt;&lt;record&gt;&lt;rec-number&gt;33&lt;/rec-number&gt;&lt;foreign-keys&gt;&lt;key app="EN" db-id="9t2zswdaxtvrs0et92m55pw8s0f9x2rv99vs" timestamp="1622536628"&gt;33&lt;/key&gt;&lt;/foreign-keys&gt;&lt;ref-type name="Journal Article"&gt;17&lt;/ref-type&gt;&lt;contributors&gt;&lt;authors&gt;&lt;author&gt;Osl, Theresa&lt;/author&gt;&lt;author&gt;Schmidt, Alexander&lt;/author&gt;&lt;author&gt;Schwaiger, Markus&lt;/author&gt;&lt;author&gt;Schottelius, Margret&lt;/author&gt;&lt;author&gt;Wester, Hans-Jürgen&lt;/author&gt;&lt;/authors&gt;&lt;/contributors&gt;&lt;titles&gt;&lt;title&gt;A new class of PentixaFor- and PentixaTher-based theranostic agents with enhanced CXCR4-targeting efficiency&lt;/title&gt;&lt;secondary-title&gt;Theranostics&lt;/secondary-title&gt;&lt;/titles&gt;&lt;periodical&gt;&lt;full-title&gt;Theranostics&lt;/full-title&gt;&lt;/periodical&gt;&lt;pages&gt;8264-8280&lt;/pages&gt;&lt;volume&gt;10&lt;/volume&gt;&lt;number&gt;18&lt;/number&gt;&lt;dates&gt;&lt;year&gt;2020&lt;/year&gt;&lt;/dates&gt;&lt;publisher&gt;Ivyspring International Publisher&lt;/publisher&gt;&lt;isbn&gt;1838-7640&lt;/isbn&gt;&lt;work-type&gt;Research Paper&lt;/work-type&gt;&lt;urls&gt;&lt;related-urls&gt;&lt;url&gt;https://www.thno.org/v10p8264.htm&lt;/url&gt;&lt;/related-urls&gt;&lt;/urls&gt;&lt;electronic-resource-num&gt;10.7150/thno.45537&lt;/electronic-resource-num&gt;&lt;/record&gt;&lt;/Cite&gt;&lt;/EndNote&gt;</w:instrText>
      </w:r>
      <w:r w:rsidRPr="0024419D">
        <w:rPr>
          <w:rFonts w:ascii="Arial" w:hAnsi="Arial"/>
          <w:sz w:val="24"/>
          <w:szCs w:val="24"/>
        </w:rPr>
        <w:fldChar w:fldCharType="separate"/>
      </w:r>
      <w:r w:rsidR="007B3E91">
        <w:rPr>
          <w:rFonts w:ascii="Arial" w:hAnsi="Arial"/>
          <w:noProof/>
          <w:sz w:val="24"/>
          <w:szCs w:val="24"/>
        </w:rPr>
        <w:t>[3]</w:t>
      </w:r>
      <w:r w:rsidRPr="0024419D">
        <w:rPr>
          <w:rFonts w:ascii="Arial" w:hAnsi="Arial"/>
          <w:sz w:val="24"/>
          <w:szCs w:val="24"/>
        </w:rPr>
        <w:fldChar w:fldCharType="end"/>
      </w:r>
      <w:r w:rsidRPr="0024419D">
        <w:rPr>
          <w:rFonts w:ascii="Arial" w:hAnsi="Arial"/>
          <w:sz w:val="24"/>
          <w:szCs w:val="24"/>
        </w:rPr>
        <w:t xml:space="preserve">. The final product was cleaved from the resin support using a mixture of DCM/HFIP (4/1, v/v) for 2x30 min. Upon evaporation of the solvents, the crude peptide linker was purified using semi-preparative HPLC. </w:t>
      </w:r>
    </w:p>
    <w:p w14:paraId="02F82933" w14:textId="77777777" w:rsidR="00470FFA" w:rsidRPr="0024419D" w:rsidRDefault="00470FFA" w:rsidP="00470FFA">
      <w:pPr>
        <w:pStyle w:val="Testocommento"/>
        <w:spacing w:after="160" w:line="480" w:lineRule="auto"/>
        <w:jc w:val="both"/>
        <w:rPr>
          <w:rStyle w:val="Nessuno"/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24419D">
        <w:rPr>
          <w:rFonts w:ascii="Arial" w:hAnsi="Arial"/>
          <w:i/>
          <w:iCs/>
          <w:sz w:val="24"/>
          <w:szCs w:val="24"/>
        </w:rPr>
        <w:t>Conjugation of the linker unit to CPCR4</w:t>
      </w:r>
    </w:p>
    <w:p w14:paraId="05513FEE" w14:textId="4A18D4CB" w:rsidR="00470FFA" w:rsidRPr="0024419D" w:rsidRDefault="00470FFA" w:rsidP="00470FFA">
      <w:pPr>
        <w:pStyle w:val="Testocommento"/>
        <w:spacing w:after="16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24419D">
        <w:rPr>
          <w:rFonts w:ascii="Arial" w:hAnsi="Arial"/>
          <w:sz w:val="24"/>
          <w:szCs w:val="24"/>
        </w:rPr>
        <w:t xml:space="preserve">Conjugation of the peptide linker to CPCR4 was carried out in analogy to a previously described procedure </w:t>
      </w:r>
      <w:r w:rsidRPr="0024419D">
        <w:rPr>
          <w:rFonts w:ascii="Arial" w:hAnsi="Arial"/>
          <w:sz w:val="24"/>
          <w:szCs w:val="24"/>
        </w:rPr>
        <w:fldChar w:fldCharType="begin"/>
      </w:r>
      <w:r w:rsidR="007B3E91">
        <w:rPr>
          <w:rFonts w:ascii="Arial" w:hAnsi="Arial"/>
          <w:sz w:val="24"/>
          <w:szCs w:val="24"/>
        </w:rPr>
        <w:instrText xml:space="preserve"> ADDIN EN.CITE &lt;EndNote&gt;&lt;Cite&gt;&lt;Author&gt;Osl&lt;/Author&gt;&lt;Year&gt;2020&lt;/Year&gt;&lt;RecNum&gt;33&lt;/RecNum&gt;&lt;DisplayText&gt;[3]&lt;/DisplayText&gt;&lt;record&gt;&lt;rec-number&gt;33&lt;/rec-number&gt;&lt;foreign-keys&gt;&lt;key app="EN" db-id="9t2zswdaxtvrs0et92m55pw8s0f9x2rv99vs" timestamp="1622536628"&gt;33&lt;/key&gt;&lt;/foreign-keys&gt;&lt;ref-type name="Journal Article"&gt;17&lt;/ref-type&gt;&lt;contributors&gt;&lt;authors&gt;&lt;author&gt;Osl, Theresa&lt;/author&gt;&lt;author&gt;Schmidt, Alexander&lt;/author&gt;&lt;author&gt;Schwaiger, Markus&lt;/author&gt;&lt;author&gt;Schottelius, Margret&lt;/author&gt;&lt;author&gt;Wester, Hans-Jürgen&lt;/author&gt;&lt;/authors&gt;&lt;/contributors&gt;&lt;titles&gt;&lt;title&gt;A new class of PentixaFor- and PentixaTher-based theranostic agents with enhanced CXCR4-targeting efficiency&lt;/title&gt;&lt;secondary-title&gt;Theranostics&lt;/secondary-title&gt;&lt;/titles&gt;&lt;periodical&gt;&lt;full-title&gt;Theranostics&lt;/full-title&gt;&lt;/periodical&gt;&lt;pages&gt;8264-8280&lt;/pages&gt;&lt;volume&gt;10&lt;/volume&gt;&lt;number&gt;18&lt;/number&gt;&lt;dates&gt;&lt;year&gt;2020&lt;/year&gt;&lt;/dates&gt;&lt;publisher&gt;Ivyspring International Publisher&lt;/publisher&gt;&lt;isbn&gt;1838-7640&lt;/isbn&gt;&lt;work-type&gt;Research Paper&lt;/work-type&gt;&lt;urls&gt;&lt;related-urls&gt;&lt;url&gt;https://www.thno.org/v10p8264.htm&lt;/url&gt;&lt;/related-urls&gt;&lt;/urls&gt;&lt;electronic-resource-num&gt;10.7150/thno.45537&lt;/electronic-resource-num&gt;&lt;/record&gt;&lt;/Cite&gt;&lt;/EndNote&gt;</w:instrText>
      </w:r>
      <w:r w:rsidRPr="0024419D">
        <w:rPr>
          <w:rFonts w:ascii="Arial" w:hAnsi="Arial"/>
          <w:sz w:val="24"/>
          <w:szCs w:val="24"/>
        </w:rPr>
        <w:fldChar w:fldCharType="separate"/>
      </w:r>
      <w:r w:rsidR="007B3E91">
        <w:rPr>
          <w:rFonts w:ascii="Arial" w:hAnsi="Arial"/>
          <w:noProof/>
          <w:sz w:val="24"/>
          <w:szCs w:val="24"/>
        </w:rPr>
        <w:t>[3]</w:t>
      </w:r>
      <w:r w:rsidRPr="0024419D">
        <w:rPr>
          <w:rFonts w:ascii="Arial" w:hAnsi="Arial"/>
          <w:sz w:val="24"/>
          <w:szCs w:val="24"/>
        </w:rPr>
        <w:fldChar w:fldCharType="end"/>
      </w:r>
      <w:r w:rsidRPr="0024419D">
        <w:rPr>
          <w:rFonts w:ascii="Arial" w:hAnsi="Arial"/>
          <w:sz w:val="24"/>
          <w:szCs w:val="24"/>
        </w:rPr>
        <w:t xml:space="preserve">. Upon removal of the </w:t>
      </w:r>
      <w:r w:rsidRPr="00997724">
        <w:rPr>
          <w:rFonts w:ascii="Arial" w:hAnsi="Arial"/>
          <w:i/>
          <w:sz w:val="24"/>
          <w:szCs w:val="24"/>
        </w:rPr>
        <w:t>N</w:t>
      </w:r>
      <w:r w:rsidRPr="0024419D">
        <w:rPr>
          <w:rFonts w:ascii="Arial" w:hAnsi="Arial"/>
          <w:sz w:val="24"/>
          <w:szCs w:val="24"/>
        </w:rPr>
        <w:t xml:space="preserve">-terminal Fmoc protecting group on the linker unit using piperidine in DMF (20/80, v/v), the solvents were evaporated under reduced pressure and the crude peptide-linker-conjugate was purified using semi-preparative HPLC. </w:t>
      </w:r>
    </w:p>
    <w:p w14:paraId="190E3BFF" w14:textId="77777777" w:rsidR="00470FFA" w:rsidRPr="0024419D" w:rsidRDefault="00470FFA" w:rsidP="00470FFA">
      <w:pPr>
        <w:pStyle w:val="Testocommento"/>
        <w:spacing w:after="160" w:line="480" w:lineRule="auto"/>
        <w:jc w:val="both"/>
        <w:rPr>
          <w:rStyle w:val="Nessuno"/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24419D">
        <w:rPr>
          <w:rFonts w:ascii="Arial" w:hAnsi="Arial"/>
          <w:i/>
          <w:iCs/>
          <w:sz w:val="24"/>
          <w:szCs w:val="24"/>
        </w:rPr>
        <w:t>Functionalization with Sulfo-Cy5</w:t>
      </w:r>
    </w:p>
    <w:p w14:paraId="52206863" w14:textId="77777777" w:rsidR="00470FFA" w:rsidRPr="00470FFA" w:rsidRDefault="00470FFA" w:rsidP="00470FFA">
      <w:pPr>
        <w:pStyle w:val="Testocommento"/>
        <w:spacing w:after="16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24419D">
        <w:rPr>
          <w:rFonts w:ascii="Arial" w:hAnsi="Arial"/>
          <w:sz w:val="24"/>
          <w:szCs w:val="24"/>
        </w:rPr>
        <w:t xml:space="preserve">The Sulfo-Cy5-dye (free carboxylic acid, 1.5 eq.) was added to a solution of </w:t>
      </w:r>
      <w:proofErr w:type="spellStart"/>
      <w:r w:rsidRPr="0024419D">
        <w:rPr>
          <w:rFonts w:ascii="Arial" w:hAnsi="Arial"/>
          <w:sz w:val="24"/>
          <w:szCs w:val="24"/>
        </w:rPr>
        <w:t>HOAt</w:t>
      </w:r>
      <w:proofErr w:type="spellEnd"/>
      <w:r w:rsidRPr="0024419D">
        <w:rPr>
          <w:rFonts w:ascii="Arial" w:hAnsi="Arial"/>
          <w:sz w:val="24"/>
          <w:szCs w:val="24"/>
        </w:rPr>
        <w:t xml:space="preserve"> (1.5 eq.), TBTU (1.5 eq.) and DIPEA (3.0 eq.) in DMF and allowed to pre-activate for 15 min before the </w:t>
      </w:r>
      <w:r w:rsidRPr="0024419D">
        <w:rPr>
          <w:rStyle w:val="Nessuno"/>
          <w:rFonts w:ascii="Arial" w:hAnsi="Arial"/>
          <w:i/>
          <w:iCs/>
          <w:sz w:val="24"/>
          <w:szCs w:val="24"/>
        </w:rPr>
        <w:t>N</w:t>
      </w:r>
      <w:r w:rsidRPr="0024419D">
        <w:rPr>
          <w:rFonts w:ascii="Arial" w:hAnsi="Arial"/>
          <w:sz w:val="24"/>
          <w:szCs w:val="24"/>
        </w:rPr>
        <w:t xml:space="preserve">-terminally deprotected CPCR4-linker construct was added. After completion of the coupling reaction (monitored by analytical HPLC), the reaction mixture was maximally concentrated </w:t>
      </w:r>
      <w:r w:rsidRPr="0024419D">
        <w:rPr>
          <w:rStyle w:val="Nessuno"/>
          <w:rFonts w:ascii="Arial" w:hAnsi="Arial"/>
          <w:i/>
          <w:iCs/>
          <w:sz w:val="24"/>
          <w:szCs w:val="24"/>
        </w:rPr>
        <w:t>in vacuo</w:t>
      </w:r>
      <w:r w:rsidRPr="0024419D">
        <w:rPr>
          <w:rFonts w:ascii="Arial" w:hAnsi="Arial"/>
          <w:sz w:val="24"/>
          <w:szCs w:val="24"/>
        </w:rPr>
        <w:t>, and TFA was added. After 1.5h, the TFA was evaporated in N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2</w:t>
      </w:r>
      <w:r w:rsidRPr="0024419D">
        <w:rPr>
          <w:rFonts w:ascii="Arial" w:hAnsi="Arial"/>
          <w:sz w:val="24"/>
          <w:szCs w:val="24"/>
        </w:rPr>
        <w:t xml:space="preserve">-stream and the residual crude product was purified using semi-preparative HPLC. </w:t>
      </w:r>
      <w:r w:rsidRPr="00470FFA">
        <w:rPr>
          <w:rStyle w:val="Nessuno"/>
          <w:rFonts w:ascii="Arial" w:hAnsi="Arial"/>
          <w:sz w:val="24"/>
          <w:szCs w:val="24"/>
        </w:rPr>
        <w:t xml:space="preserve">HPLC: (5 – 55% B in 15 min): </w:t>
      </w:r>
      <w:proofErr w:type="spellStart"/>
      <w:r w:rsidRPr="00470FFA">
        <w:rPr>
          <w:rStyle w:val="Nessuno"/>
          <w:rFonts w:ascii="Arial" w:hAnsi="Arial"/>
          <w:i/>
          <w:iCs/>
          <w:sz w:val="24"/>
          <w:szCs w:val="24"/>
        </w:rPr>
        <w:t>t</w:t>
      </w:r>
      <w:r w:rsidRPr="00470FFA">
        <w:rPr>
          <w:rStyle w:val="Nessuno"/>
          <w:rFonts w:ascii="Arial" w:hAnsi="Arial"/>
          <w:i/>
          <w:iCs/>
          <w:sz w:val="24"/>
          <w:szCs w:val="24"/>
          <w:vertAlign w:val="subscript"/>
        </w:rPr>
        <w:t>R</w:t>
      </w:r>
      <w:proofErr w:type="spellEnd"/>
      <w:r w:rsidRPr="00470FFA">
        <w:rPr>
          <w:rStyle w:val="Nessuno"/>
          <w:rFonts w:ascii="Arial" w:hAnsi="Arial"/>
          <w:sz w:val="24"/>
          <w:szCs w:val="24"/>
        </w:rPr>
        <w:t xml:space="preserve"> = 8.73 min, ĸ´= 2.76. </w:t>
      </w:r>
      <w:r w:rsidRPr="00470FFA">
        <w:rPr>
          <w:rStyle w:val="Nessuno"/>
          <w:rFonts w:ascii="Arial" w:hAnsi="Arial"/>
          <w:sz w:val="24"/>
          <w:szCs w:val="24"/>
        </w:rPr>
        <w:lastRenderedPageBreak/>
        <w:t>Calculated monoisotopic mass (C</w:t>
      </w:r>
      <w:r w:rsidRPr="00470FFA">
        <w:rPr>
          <w:rStyle w:val="Nessuno"/>
          <w:rFonts w:ascii="Arial" w:hAnsi="Arial"/>
          <w:sz w:val="24"/>
          <w:szCs w:val="24"/>
          <w:vertAlign w:val="subscript"/>
        </w:rPr>
        <w:t>87</w:t>
      </w:r>
      <w:r w:rsidRPr="00470FFA">
        <w:rPr>
          <w:rStyle w:val="Nessuno"/>
          <w:rFonts w:ascii="Arial" w:hAnsi="Arial"/>
          <w:sz w:val="24"/>
          <w:szCs w:val="24"/>
        </w:rPr>
        <w:t>H</w:t>
      </w:r>
      <w:r w:rsidRPr="00470FFA">
        <w:rPr>
          <w:rStyle w:val="Nessuno"/>
          <w:rFonts w:ascii="Arial" w:hAnsi="Arial"/>
          <w:sz w:val="24"/>
          <w:szCs w:val="24"/>
          <w:vertAlign w:val="subscript"/>
        </w:rPr>
        <w:t>111</w:t>
      </w:r>
      <w:r w:rsidRPr="00470FFA">
        <w:rPr>
          <w:rStyle w:val="Nessuno"/>
          <w:rFonts w:ascii="Arial" w:hAnsi="Arial"/>
          <w:sz w:val="24"/>
          <w:szCs w:val="24"/>
        </w:rPr>
        <w:t>N</w:t>
      </w:r>
      <w:r w:rsidRPr="00470FFA">
        <w:rPr>
          <w:rStyle w:val="Nessuno"/>
          <w:rFonts w:ascii="Arial" w:hAnsi="Arial"/>
          <w:sz w:val="24"/>
          <w:szCs w:val="24"/>
          <w:vertAlign w:val="subscript"/>
        </w:rPr>
        <w:t>19</w:t>
      </w:r>
      <w:r w:rsidRPr="00470FFA">
        <w:rPr>
          <w:rStyle w:val="Nessuno"/>
          <w:rFonts w:ascii="Arial" w:hAnsi="Arial"/>
          <w:sz w:val="24"/>
          <w:szCs w:val="24"/>
        </w:rPr>
        <w:t>O</w:t>
      </w:r>
      <w:r w:rsidRPr="00470FFA">
        <w:rPr>
          <w:rStyle w:val="Nessuno"/>
          <w:rFonts w:ascii="Arial" w:hAnsi="Arial"/>
          <w:sz w:val="24"/>
          <w:szCs w:val="24"/>
          <w:vertAlign w:val="subscript"/>
        </w:rPr>
        <w:t>17</w:t>
      </w:r>
      <w:r w:rsidRPr="00470FFA">
        <w:rPr>
          <w:rStyle w:val="Nessuno"/>
          <w:rFonts w:ascii="Arial" w:hAnsi="Arial"/>
          <w:sz w:val="24"/>
          <w:szCs w:val="24"/>
        </w:rPr>
        <w:t>S</w:t>
      </w:r>
      <w:r w:rsidRPr="00470FFA">
        <w:rPr>
          <w:rStyle w:val="Nessuno"/>
          <w:rFonts w:ascii="Arial" w:hAnsi="Arial"/>
          <w:sz w:val="24"/>
          <w:szCs w:val="24"/>
          <w:vertAlign w:val="subscript"/>
        </w:rPr>
        <w:t>2</w:t>
      </w:r>
      <w:r w:rsidRPr="00470FFA">
        <w:rPr>
          <w:rStyle w:val="Nessuno"/>
          <w:rFonts w:ascii="Arial" w:hAnsi="Arial"/>
          <w:sz w:val="24"/>
          <w:szCs w:val="24"/>
        </w:rPr>
        <w:t>): 1757.78, found: 880.5 [M+2H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]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2+</m:t>
            </m:r>
          </m:sup>
        </m:sSup>
      </m:oMath>
      <w:r w:rsidRPr="00470FFA">
        <w:rPr>
          <w:rStyle w:val="Nessuno"/>
          <w:rFonts w:ascii="Arial" w:hAnsi="Arial"/>
          <w:sz w:val="24"/>
          <w:szCs w:val="24"/>
        </w:rPr>
        <w:t>, 587.3 [M+3H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]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3+</m:t>
            </m:r>
          </m:sup>
        </m:sSup>
      </m:oMath>
      <w:r w:rsidRPr="00470FFA">
        <w:rPr>
          <w:rStyle w:val="Nessuno"/>
          <w:rFonts w:ascii="Arial" w:hAnsi="Arial"/>
          <w:sz w:val="24"/>
          <w:szCs w:val="24"/>
        </w:rPr>
        <w:t>.</w:t>
      </w:r>
    </w:p>
    <w:p w14:paraId="405188DA" w14:textId="77777777" w:rsidR="00470FFA" w:rsidRPr="0024419D" w:rsidRDefault="00470FFA" w:rsidP="00470FFA">
      <w:pPr>
        <w:pStyle w:val="Testocommento"/>
        <w:spacing w:after="160" w:line="48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24419D">
        <w:rPr>
          <w:rFonts w:ascii="Arial" w:hAnsi="Arial"/>
          <w:i/>
          <w:iCs/>
          <w:sz w:val="24"/>
          <w:szCs w:val="24"/>
        </w:rPr>
        <w:t xml:space="preserve">Solution-phase iodination of </w:t>
      </w:r>
      <w:r w:rsidRPr="0024419D">
        <w:rPr>
          <w:rStyle w:val="Nessuno"/>
          <w:rFonts w:ascii="Arial" w:hAnsi="Arial"/>
          <w:i/>
          <w:iCs/>
          <w:smallCaps/>
          <w:sz w:val="24"/>
          <w:szCs w:val="24"/>
        </w:rPr>
        <w:t>d</w:t>
      </w:r>
      <w:r w:rsidRPr="0024419D">
        <w:rPr>
          <w:rFonts w:ascii="Arial" w:hAnsi="Arial"/>
          <w:i/>
          <w:iCs/>
          <w:sz w:val="24"/>
          <w:szCs w:val="24"/>
        </w:rPr>
        <w:t>-Tyr</w:t>
      </w:r>
      <w:r w:rsidRPr="0024419D">
        <w:rPr>
          <w:rStyle w:val="Nessuno"/>
          <w:rFonts w:ascii="Arial" w:hAnsi="Arial"/>
          <w:i/>
          <w:iCs/>
          <w:sz w:val="24"/>
          <w:szCs w:val="24"/>
          <w:vertAlign w:val="superscript"/>
        </w:rPr>
        <w:t>1</w:t>
      </w:r>
      <w:r w:rsidRPr="0024419D">
        <w:rPr>
          <w:rFonts w:ascii="Arial" w:hAnsi="Arial"/>
          <w:i/>
          <w:iCs/>
          <w:sz w:val="24"/>
          <w:szCs w:val="24"/>
        </w:rPr>
        <w:t>, leading to the final product (MK007)</w:t>
      </w:r>
    </w:p>
    <w:p w14:paraId="12FBDE20" w14:textId="3E6FE070" w:rsidR="00470FFA" w:rsidRPr="0024419D" w:rsidRDefault="00470FFA" w:rsidP="00470FFA">
      <w:pPr>
        <w:pStyle w:val="Testocommento"/>
        <w:spacing w:after="16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24419D">
        <w:rPr>
          <w:rFonts w:ascii="Arial" w:hAnsi="Arial"/>
          <w:sz w:val="24"/>
          <w:szCs w:val="24"/>
        </w:rPr>
        <w:t xml:space="preserve">Iodination of the de-protected and purified Cy5-bearing peptide was performed in analogy to a previously described procedure </w:t>
      </w:r>
      <w:r w:rsidRPr="0024419D">
        <w:rPr>
          <w:rFonts w:ascii="Arial" w:hAnsi="Arial"/>
          <w:sz w:val="24"/>
          <w:szCs w:val="24"/>
        </w:rPr>
        <w:fldChar w:fldCharType="begin"/>
      </w:r>
      <w:r w:rsidR="007B3E91">
        <w:rPr>
          <w:rFonts w:ascii="Arial" w:hAnsi="Arial"/>
          <w:sz w:val="24"/>
          <w:szCs w:val="24"/>
        </w:rPr>
        <w:instrText xml:space="preserve"> ADDIN EN.CITE &lt;EndNote&gt;&lt;Cite&gt;&lt;Author&gt;Schottelius&lt;/Author&gt;&lt;Year&gt;2015&lt;/Year&gt;&lt;RecNum&gt;35&lt;/RecNum&gt;&lt;DisplayText&gt;[4]&lt;/DisplayText&gt;&lt;record&gt;&lt;rec-number&gt;35&lt;/rec-number&gt;&lt;foreign-keys&gt;&lt;key app="EN" db-id="9t2zswdaxtvrs0et92m55pw8s0f9x2rv99vs" timestamp="1622536811"&gt;35&lt;/key&gt;&lt;/foreign-keys&gt;&lt;ref-type name="Journal Article"&gt;17&lt;/ref-type&gt;&lt;contributors&gt;&lt;authors&gt;&lt;author&gt;Schottelius, Margret&lt;/author&gt;&lt;author&gt;Konrad, Matthias&lt;/author&gt;&lt;author&gt;Osl, Theresa&lt;/author&gt;&lt;author&gt;Poschenrieder, Andreas&lt;/author&gt;&lt;author&gt;Wester, Hans-Jürgen&lt;/author&gt;&lt;/authors&gt;&lt;/contributors&gt;&lt;titles&gt;&lt;title&gt;An optimized strategy for the mild and efficient solution phase iodination of tyrosine residues in bioactive peptides&lt;/title&gt;&lt;secondary-title&gt;Tetrahedron Letters&lt;/secondary-title&gt;&lt;/titles&gt;&lt;periodical&gt;&lt;full-title&gt;Tetrahedron Letters&lt;/full-title&gt;&lt;/periodical&gt;&lt;pages&gt;6602-6605&lt;/pages&gt;&lt;volume&gt;56&lt;/volume&gt;&lt;number&gt;47&lt;/number&gt;&lt;keywords&gt;&lt;keyword&gt;Bioactive peptide&lt;/keyword&gt;&lt;keyword&gt;Tyrosine&lt;/keyword&gt;&lt;keyword&gt;Iodination&lt;/keyword&gt;&lt;keyword&gt;Mono-iodinated&lt;/keyword&gt;&lt;keyword&gt;Di-iodinated&lt;/keyword&gt;&lt;/keywords&gt;&lt;dates&gt;&lt;year&gt;2015&lt;/year&gt;&lt;pub-dates&gt;&lt;date&gt;2015/11/25/&lt;/date&gt;&lt;/pub-dates&gt;&lt;/dates&gt;&lt;isbn&gt;0040-4039&lt;/isbn&gt;&lt;urls&gt;&lt;related-urls&gt;&lt;url&gt;https://www.sciencedirect.com/science/article/pii/S004040391530229X&lt;/url&gt;&lt;/related-urls&gt;&lt;/urls&gt;&lt;electronic-resource-num&gt;https://doi.org/10.1016/j.tetlet.2015.10.032&lt;/electronic-resource-num&gt;&lt;/record&gt;&lt;/Cite&gt;&lt;/EndNote&gt;</w:instrText>
      </w:r>
      <w:r w:rsidRPr="0024419D">
        <w:rPr>
          <w:rFonts w:ascii="Arial" w:hAnsi="Arial"/>
          <w:sz w:val="24"/>
          <w:szCs w:val="24"/>
        </w:rPr>
        <w:fldChar w:fldCharType="separate"/>
      </w:r>
      <w:r w:rsidR="007B3E91">
        <w:rPr>
          <w:rFonts w:ascii="Arial" w:hAnsi="Arial"/>
          <w:noProof/>
          <w:sz w:val="24"/>
          <w:szCs w:val="24"/>
        </w:rPr>
        <w:t>[4]</w:t>
      </w:r>
      <w:r w:rsidRPr="0024419D">
        <w:rPr>
          <w:rFonts w:ascii="Arial" w:hAnsi="Arial"/>
          <w:sz w:val="24"/>
          <w:szCs w:val="24"/>
        </w:rPr>
        <w:fldChar w:fldCharType="end"/>
      </w:r>
      <w:r w:rsidRPr="0024419D">
        <w:rPr>
          <w:rFonts w:ascii="Arial" w:hAnsi="Arial"/>
          <w:sz w:val="24"/>
          <w:szCs w:val="24"/>
        </w:rPr>
        <w:t>. The desired mono-iodinated product was directly isolated from the reaction mixture via semi-preparative HPLC.</w:t>
      </w:r>
      <w:r w:rsidRPr="0024419D">
        <w:rPr>
          <w:rStyle w:val="Nessuno"/>
          <w:rFonts w:ascii="Arial" w:hAnsi="Arial"/>
          <w:sz w:val="24"/>
          <w:szCs w:val="24"/>
        </w:rPr>
        <w:t xml:space="preserve"> </w:t>
      </w:r>
      <w:r w:rsidRPr="005D6E17">
        <w:rPr>
          <w:rStyle w:val="Nessuno"/>
          <w:rFonts w:ascii="Arial" w:hAnsi="Arial"/>
          <w:sz w:val="24"/>
          <w:szCs w:val="24"/>
        </w:rPr>
        <w:t xml:space="preserve">HPLC (5 – 55% B in 15 min): </w:t>
      </w:r>
      <w:proofErr w:type="spellStart"/>
      <w:r w:rsidRPr="005D6E17">
        <w:rPr>
          <w:rStyle w:val="Nessuno"/>
          <w:rFonts w:ascii="Arial" w:hAnsi="Arial"/>
          <w:i/>
          <w:iCs/>
          <w:sz w:val="24"/>
          <w:szCs w:val="24"/>
        </w:rPr>
        <w:t>t</w:t>
      </w:r>
      <w:r w:rsidRPr="005D6E17">
        <w:rPr>
          <w:rStyle w:val="Nessuno"/>
          <w:rFonts w:ascii="Arial" w:hAnsi="Arial"/>
          <w:i/>
          <w:iCs/>
          <w:sz w:val="24"/>
          <w:szCs w:val="24"/>
          <w:vertAlign w:val="subscript"/>
        </w:rPr>
        <w:t>R</w:t>
      </w:r>
      <w:proofErr w:type="spellEnd"/>
      <w:r w:rsidRPr="005D6E17">
        <w:rPr>
          <w:rStyle w:val="Nessuno"/>
          <w:rFonts w:ascii="Arial" w:hAnsi="Arial"/>
          <w:sz w:val="24"/>
          <w:szCs w:val="24"/>
        </w:rPr>
        <w:t xml:space="preserve"> = 11.00 min, ĸ´= 3.93. </w:t>
      </w:r>
      <w:r w:rsidRPr="0024419D">
        <w:rPr>
          <w:rStyle w:val="Nessuno"/>
          <w:rFonts w:ascii="Arial" w:hAnsi="Arial"/>
          <w:sz w:val="24"/>
          <w:szCs w:val="24"/>
        </w:rPr>
        <w:t>Calculated monoisotopic mass (C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87</w:t>
      </w:r>
      <w:r w:rsidRPr="0024419D">
        <w:rPr>
          <w:rStyle w:val="Nessuno"/>
          <w:rFonts w:ascii="Arial" w:hAnsi="Arial"/>
          <w:sz w:val="24"/>
          <w:szCs w:val="24"/>
        </w:rPr>
        <w:t>H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110</w:t>
      </w:r>
      <w:r w:rsidRPr="0024419D">
        <w:rPr>
          <w:rStyle w:val="Nessuno"/>
          <w:rFonts w:ascii="Arial" w:hAnsi="Arial"/>
          <w:sz w:val="24"/>
          <w:szCs w:val="24"/>
        </w:rPr>
        <w:t>IN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19</w:t>
      </w:r>
      <w:r w:rsidRPr="0024419D">
        <w:rPr>
          <w:rStyle w:val="Nessuno"/>
          <w:rFonts w:ascii="Arial" w:hAnsi="Arial"/>
          <w:sz w:val="24"/>
          <w:szCs w:val="24"/>
        </w:rPr>
        <w:t>O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17</w:t>
      </w:r>
      <w:r w:rsidRPr="0024419D">
        <w:rPr>
          <w:rStyle w:val="Nessuno"/>
          <w:rFonts w:ascii="Arial" w:hAnsi="Arial"/>
          <w:sz w:val="24"/>
          <w:szCs w:val="24"/>
        </w:rPr>
        <w:t>S</w:t>
      </w:r>
      <w:r w:rsidRPr="0024419D">
        <w:rPr>
          <w:rStyle w:val="Nessuno"/>
          <w:rFonts w:ascii="Arial" w:hAnsi="Arial"/>
          <w:sz w:val="24"/>
          <w:szCs w:val="24"/>
          <w:vertAlign w:val="subscript"/>
        </w:rPr>
        <w:t>2</w:t>
      </w:r>
      <w:r w:rsidRPr="0024419D">
        <w:rPr>
          <w:rStyle w:val="Nessuno"/>
          <w:rFonts w:ascii="Arial" w:hAnsi="Arial"/>
          <w:sz w:val="24"/>
          <w:szCs w:val="24"/>
        </w:rPr>
        <w:t>): 1883.68, found: 942.7 [M+2H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]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2+</m:t>
            </m:r>
          </m:sup>
        </m:sSup>
      </m:oMath>
      <w:r w:rsidRPr="0024419D">
        <w:rPr>
          <w:rStyle w:val="Nessuno"/>
          <w:rFonts w:ascii="Arial" w:hAnsi="Arial"/>
          <w:sz w:val="24"/>
          <w:szCs w:val="24"/>
        </w:rPr>
        <w:t>, 630.4 [M+3H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]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3+</m:t>
            </m:r>
          </m:sup>
        </m:sSup>
      </m:oMath>
      <w:r w:rsidRPr="0024419D">
        <w:rPr>
          <w:rStyle w:val="Nessuno"/>
          <w:rFonts w:ascii="Arial" w:hAnsi="Arial"/>
          <w:sz w:val="24"/>
          <w:szCs w:val="24"/>
        </w:rPr>
        <w:t>.</w:t>
      </w:r>
    </w:p>
    <w:p w14:paraId="7A409A57" w14:textId="77777777" w:rsidR="00D32BB6" w:rsidRDefault="00D32BB6" w:rsidP="001442C2">
      <w:pPr>
        <w:pStyle w:val="Testocommento"/>
        <w:spacing w:after="160" w:line="480" w:lineRule="auto"/>
        <w:jc w:val="both"/>
        <w:rPr>
          <w:rStyle w:val="Nessuno"/>
          <w:rFonts w:ascii="Arial" w:hAnsi="Arial"/>
          <w:b/>
          <w:bCs/>
          <w:sz w:val="24"/>
          <w:szCs w:val="24"/>
        </w:rPr>
      </w:pPr>
    </w:p>
    <w:p w14:paraId="3D4960AE" w14:textId="28204D42" w:rsidR="001442C2" w:rsidRPr="00D32BB6" w:rsidRDefault="001442C2" w:rsidP="001442C2">
      <w:pPr>
        <w:pStyle w:val="Testocommento"/>
        <w:spacing w:after="160" w:line="480" w:lineRule="auto"/>
        <w:jc w:val="both"/>
        <w:rPr>
          <w:rStyle w:val="Nessuno"/>
          <w:rFonts w:ascii="Arial" w:hAnsi="Arial"/>
          <w:b/>
          <w:bCs/>
          <w:sz w:val="24"/>
          <w:szCs w:val="24"/>
        </w:rPr>
      </w:pPr>
      <w:r w:rsidRPr="00D32BB6">
        <w:rPr>
          <w:rStyle w:val="Nessuno"/>
          <w:rFonts w:ascii="Arial" w:hAnsi="Arial"/>
          <w:b/>
          <w:bCs/>
          <w:sz w:val="24"/>
          <w:szCs w:val="24"/>
        </w:rPr>
        <w:t>Determination of lipophilicity (log P)</w:t>
      </w:r>
    </w:p>
    <w:p w14:paraId="430EC6FB" w14:textId="3FD7A880" w:rsidR="001442C2" w:rsidRPr="0024419D" w:rsidRDefault="001442C2" w:rsidP="001442C2">
      <w:pPr>
        <w:pStyle w:val="Testocommento"/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24419D">
        <w:rPr>
          <w:rStyle w:val="Nessuno"/>
          <w:rFonts w:ascii="Arial" w:hAnsi="Arial"/>
          <w:sz w:val="24"/>
          <w:szCs w:val="24"/>
        </w:rPr>
        <w:t xml:space="preserve">To determine the log P of MK007, the corresponding non-iodinated precursor was </w:t>
      </w:r>
      <w:proofErr w:type="spellStart"/>
      <w:r w:rsidR="003227E1" w:rsidRPr="0024419D">
        <w:rPr>
          <w:rStyle w:val="Nessuno"/>
          <w:rFonts w:ascii="Arial" w:hAnsi="Arial"/>
          <w:sz w:val="24"/>
          <w:szCs w:val="24"/>
        </w:rPr>
        <w:t>radioiodinated</w:t>
      </w:r>
      <w:proofErr w:type="spellEnd"/>
      <w:r w:rsidRPr="0024419D">
        <w:rPr>
          <w:rStyle w:val="Nessuno"/>
          <w:rFonts w:ascii="Arial" w:hAnsi="Arial"/>
          <w:sz w:val="24"/>
          <w:szCs w:val="24"/>
        </w:rPr>
        <w:t xml:space="preserve"> using the </w:t>
      </w:r>
      <w:proofErr w:type="spellStart"/>
      <w:r w:rsidRPr="0024419D">
        <w:rPr>
          <w:rStyle w:val="Nessuno"/>
          <w:rFonts w:ascii="Arial" w:hAnsi="Arial"/>
          <w:sz w:val="24"/>
          <w:szCs w:val="24"/>
        </w:rPr>
        <w:t>Iodogen</w:t>
      </w:r>
      <w:proofErr w:type="spellEnd"/>
      <w:r w:rsidRPr="0024419D">
        <w:rPr>
          <w:rStyle w:val="Nessuno"/>
          <w:rFonts w:ascii="Arial" w:hAnsi="Arial"/>
          <w:sz w:val="24"/>
          <w:szCs w:val="24"/>
        </w:rPr>
        <w:t xml:space="preserve"> method, and the octanol/PBS partition coefficient of [</w:t>
      </w:r>
      <w:r w:rsidRPr="0024419D">
        <w:rPr>
          <w:rStyle w:val="Nessuno"/>
          <w:rFonts w:ascii="Arial" w:hAnsi="Arial"/>
          <w:sz w:val="24"/>
          <w:szCs w:val="24"/>
          <w:vertAlign w:val="superscript"/>
        </w:rPr>
        <w:t>125</w:t>
      </w:r>
      <w:r w:rsidRPr="0024419D">
        <w:rPr>
          <w:rStyle w:val="Nessuno"/>
          <w:rFonts w:ascii="Arial" w:hAnsi="Arial"/>
          <w:sz w:val="24"/>
          <w:szCs w:val="24"/>
        </w:rPr>
        <w:t xml:space="preserve">I]MK007 was determined using a modified shake-flask-method </w:t>
      </w:r>
      <w:r w:rsidRPr="0024419D">
        <w:rPr>
          <w:rStyle w:val="Nessuno"/>
          <w:rFonts w:ascii="Arial" w:hAnsi="Arial"/>
          <w:sz w:val="24"/>
          <w:szCs w:val="24"/>
          <w:lang w:val="pt-PT"/>
        </w:rPr>
        <w:fldChar w:fldCharType="begin"/>
      </w:r>
      <w:r w:rsidR="007B3E91" w:rsidRPr="007B3E91">
        <w:rPr>
          <w:rStyle w:val="Nessuno"/>
          <w:rFonts w:ascii="Arial" w:hAnsi="Arial"/>
          <w:sz w:val="24"/>
          <w:szCs w:val="24"/>
        </w:rPr>
        <w:instrText xml:space="preserve"> ADDIN EN.CITE &lt;EndNote&gt;&lt;Cite&gt;&lt;Author&gt;Schottelius&lt;/Author&gt;&lt;Year&gt;2002&lt;/Year&gt;&lt;RecNum&gt;36&lt;/RecNum&gt;&lt;DisplayText&gt;[5]&lt;/DisplayText&gt;&lt;record&gt;&lt;rec-number&gt;36&lt;/rec-number&gt;&lt;foreign-keys&gt;&lt;key app="EN" db-id="9t2zswdaxtvrs0et92m55pw8s0f9x2rv99vs" timestamp="1622536982"&gt;36&lt;/key&gt;&lt;/foreign-keys&gt;&lt;ref-type name="Journal Article"&gt;17&lt;/ref-type&gt;&lt;contributors&gt;&lt;authors&gt;&lt;author&gt;Schottelius, Margret&lt;/author&gt;&lt;author&gt;Wester, Hans-Jürgen&lt;/author&gt;&lt;author&gt;Reubi, Jean Claude&lt;/author&gt;&lt;author&gt;Senekowitsch-Schmidtke, Reingard&lt;/author&gt;&lt;author&gt;Schwaiger, Markus&lt;/author&gt;&lt;/authors&gt;&lt;/contributors&gt;&lt;titles&gt;&lt;title&gt;Improvement of Pharmacokinetics of Radioiodinated Tyr3-Octreotide by Conjugation with Carbohydrates&lt;/title&gt;&lt;secondary-title&gt;Bioconjugate Chemistry&lt;/secondary-title&gt;&lt;/titles&gt;&lt;periodical&gt;&lt;full-title&gt;Bioconjugate Chemistry&lt;/full-title&gt;&lt;/periodical&gt;&lt;pages&gt;1021-1030&lt;/pages&gt;&lt;volume&gt;13&lt;/volume&gt;&lt;number&gt;5&lt;/number&gt;&lt;dates&gt;&lt;year&gt;2002&lt;/year&gt;&lt;pub-dates&gt;&lt;date&gt;2002/09/01&lt;/date&gt;&lt;/pub-dates&gt;&lt;/dates&gt;&lt;publisher&gt;American Chemical Society&lt;/publisher&gt;&lt;isbn&gt;1043-1802&lt;/isbn&gt;&lt;urls&gt;&lt;related-urls&gt;&lt;url&gt;https://doi.org/10.1021/bc0200069&lt;/url&gt;&lt;/related-urls&gt;&lt;/urls&gt;&lt;electronic-resource-num&gt;10.1021/bc0200069&lt;/electronic-resource-num&gt;&lt;/record&gt;&lt;/Cite&gt;&lt;/EndNote&gt;</w:instrText>
      </w:r>
      <w:r w:rsidRPr="0024419D">
        <w:rPr>
          <w:rStyle w:val="Nessuno"/>
          <w:rFonts w:ascii="Arial" w:hAnsi="Arial"/>
          <w:sz w:val="24"/>
          <w:szCs w:val="24"/>
          <w:lang w:val="pt-PT"/>
        </w:rPr>
        <w:fldChar w:fldCharType="separate"/>
      </w:r>
      <w:r w:rsidR="007B3E91" w:rsidRPr="007B3E91">
        <w:rPr>
          <w:rStyle w:val="Nessuno"/>
          <w:rFonts w:ascii="Arial" w:hAnsi="Arial"/>
          <w:noProof/>
          <w:sz w:val="24"/>
          <w:szCs w:val="24"/>
        </w:rPr>
        <w:t>[5]</w:t>
      </w:r>
      <w:r w:rsidRPr="0024419D">
        <w:rPr>
          <w:rStyle w:val="Nessuno"/>
          <w:rFonts w:ascii="Arial" w:hAnsi="Arial"/>
          <w:sz w:val="24"/>
          <w:szCs w:val="24"/>
          <w:lang w:val="pt-PT"/>
        </w:rPr>
        <w:fldChar w:fldCharType="end"/>
      </w:r>
      <w:r w:rsidRPr="0024419D">
        <w:rPr>
          <w:rStyle w:val="Nessuno"/>
          <w:rFonts w:ascii="Arial" w:hAnsi="Arial"/>
          <w:sz w:val="24"/>
          <w:szCs w:val="24"/>
        </w:rPr>
        <w:t>.</w:t>
      </w:r>
    </w:p>
    <w:p w14:paraId="5516C7CC" w14:textId="77777777" w:rsidR="00B4001D" w:rsidRDefault="00B4001D" w:rsidP="00B4001D">
      <w:pPr>
        <w:pStyle w:val="Testocommento"/>
        <w:spacing w:line="480" w:lineRule="auto"/>
        <w:jc w:val="both"/>
        <w:rPr>
          <w:rStyle w:val="Nessuno"/>
          <w:rFonts w:ascii="Arial" w:hAnsi="Arial"/>
          <w:i/>
          <w:iCs/>
          <w:sz w:val="24"/>
          <w:szCs w:val="24"/>
        </w:rPr>
      </w:pPr>
    </w:p>
    <w:p w14:paraId="39D0C265" w14:textId="1088399C" w:rsidR="00B4001D" w:rsidRPr="00D32BB6" w:rsidRDefault="00B4001D" w:rsidP="00B4001D">
      <w:pPr>
        <w:pStyle w:val="Testocommento"/>
        <w:spacing w:line="480" w:lineRule="auto"/>
        <w:jc w:val="both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D32BB6">
        <w:rPr>
          <w:rStyle w:val="Nessuno"/>
          <w:rFonts w:ascii="Arial" w:hAnsi="Arial"/>
          <w:b/>
          <w:bCs/>
          <w:sz w:val="24"/>
          <w:szCs w:val="24"/>
        </w:rPr>
        <w:t>Determination of CXCR4 affinity</w:t>
      </w:r>
    </w:p>
    <w:p w14:paraId="18BE66CC" w14:textId="77777777" w:rsidR="00B4001D" w:rsidRPr="0024419D" w:rsidRDefault="00B4001D" w:rsidP="00B4001D">
      <w:pPr>
        <w:pStyle w:val="Testocommento"/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1C3346">
        <w:rPr>
          <w:rFonts w:ascii="Arial" w:hAnsi="Arial"/>
          <w:sz w:val="24"/>
          <w:szCs w:val="24"/>
        </w:rPr>
        <w:t xml:space="preserve">Competition binding studies (IC50) were performed as described </w:t>
      </w:r>
      <w:r w:rsidRPr="001C3346">
        <w:rPr>
          <w:rFonts w:ascii="Arial" w:hAnsi="Arial"/>
          <w:sz w:val="24"/>
          <w:szCs w:val="24"/>
          <w:lang w:val="pt-PT"/>
        </w:rPr>
        <w:fldChar w:fldCharType="begin">
          <w:fldData xml:space="preserve">PEVuZE5vdGU+PENpdGU+PEF1dGhvcj5Hb3Vybmk8L0F1dGhvcj48WWVhcj4yMDExPC9ZZWFyPjxS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</w:fldData>
        </w:fldChar>
      </w:r>
      <w:r w:rsidRPr="001C3346">
        <w:rPr>
          <w:rFonts w:ascii="Arial" w:hAnsi="Arial"/>
          <w:sz w:val="24"/>
          <w:szCs w:val="24"/>
        </w:rPr>
        <w:instrText xml:space="preserve"> ADDIN EN.CITE </w:instrText>
      </w:r>
      <w:r w:rsidRPr="001C3346">
        <w:rPr>
          <w:rFonts w:ascii="Arial" w:hAnsi="Arial"/>
          <w:sz w:val="24"/>
          <w:szCs w:val="24"/>
          <w:lang w:val="pt-PT"/>
        </w:rPr>
        <w:fldChar w:fldCharType="begin">
          <w:fldData xml:space="preserve">PEVuZE5vdGU+PENpdGU+PEF1dGhvcj5Hb3Vybmk8L0F1dGhvcj48WWVhcj4yMDExPC9ZZWFyPjxS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</w:fldData>
        </w:fldChar>
      </w:r>
      <w:r w:rsidRPr="001C3346">
        <w:rPr>
          <w:rFonts w:ascii="Arial" w:hAnsi="Arial"/>
          <w:sz w:val="24"/>
          <w:szCs w:val="24"/>
        </w:rPr>
        <w:instrText xml:space="preserve"> ADDIN EN.CITE.DATA </w:instrText>
      </w:r>
      <w:r w:rsidRPr="001C3346">
        <w:rPr>
          <w:rFonts w:ascii="Arial" w:hAnsi="Arial"/>
          <w:sz w:val="24"/>
          <w:szCs w:val="24"/>
          <w:lang w:val="pt-PT"/>
        </w:rPr>
      </w:r>
      <w:r w:rsidRPr="001C3346">
        <w:rPr>
          <w:rFonts w:ascii="Arial" w:hAnsi="Arial"/>
          <w:sz w:val="24"/>
          <w:szCs w:val="24"/>
          <w:lang w:val="pt-PT"/>
        </w:rPr>
        <w:fldChar w:fldCharType="end"/>
      </w:r>
      <w:r w:rsidRPr="001C3346">
        <w:rPr>
          <w:rFonts w:ascii="Arial" w:hAnsi="Arial"/>
          <w:sz w:val="24"/>
          <w:szCs w:val="24"/>
          <w:lang w:val="pt-PT"/>
        </w:rPr>
      </w:r>
      <w:r w:rsidRPr="001C3346">
        <w:rPr>
          <w:rFonts w:ascii="Arial" w:hAnsi="Arial"/>
          <w:sz w:val="24"/>
          <w:szCs w:val="24"/>
          <w:lang w:val="pt-PT"/>
        </w:rPr>
        <w:fldChar w:fldCharType="separate"/>
      </w:r>
      <w:r w:rsidRPr="001C3346">
        <w:rPr>
          <w:rFonts w:ascii="Arial" w:hAnsi="Arial"/>
          <w:noProof/>
          <w:sz w:val="24"/>
          <w:szCs w:val="24"/>
        </w:rPr>
        <w:t>[6]</w:t>
      </w:r>
      <w:r w:rsidRPr="001C3346">
        <w:rPr>
          <w:rFonts w:ascii="Arial" w:hAnsi="Arial"/>
          <w:sz w:val="24"/>
          <w:szCs w:val="24"/>
          <w:lang w:val="pt-PT"/>
        </w:rPr>
        <w:fldChar w:fldCharType="end"/>
      </w:r>
      <w:r w:rsidRPr="001C3346">
        <w:rPr>
          <w:rFonts w:ascii="Arial" w:hAnsi="Arial"/>
          <w:sz w:val="24"/>
          <w:szCs w:val="24"/>
        </w:rPr>
        <w:t xml:space="preserve">, using </w:t>
      </w:r>
      <w:proofErr w:type="spellStart"/>
      <w:r w:rsidRPr="001C3346">
        <w:rPr>
          <w:rFonts w:ascii="Arial" w:hAnsi="Arial"/>
          <w:sz w:val="24"/>
          <w:szCs w:val="24"/>
        </w:rPr>
        <w:t>Jurkat</w:t>
      </w:r>
      <w:proofErr w:type="spellEnd"/>
      <w:r w:rsidRPr="001C3346">
        <w:rPr>
          <w:rFonts w:ascii="Arial" w:hAnsi="Arial"/>
          <w:sz w:val="24"/>
          <w:szCs w:val="24"/>
        </w:rPr>
        <w:t xml:space="preserve"> cells (4×10</w:t>
      </w:r>
      <w:r w:rsidRPr="001C3346">
        <w:rPr>
          <w:rStyle w:val="Nessuno"/>
          <w:rFonts w:ascii="Arial" w:hAnsi="Arial"/>
          <w:sz w:val="24"/>
          <w:szCs w:val="24"/>
          <w:vertAlign w:val="superscript"/>
        </w:rPr>
        <w:t>5</w:t>
      </w:r>
      <w:r w:rsidRPr="001C3346">
        <w:rPr>
          <w:rFonts w:ascii="Arial" w:hAnsi="Arial"/>
          <w:sz w:val="24"/>
          <w:szCs w:val="24"/>
        </w:rPr>
        <w:t xml:space="preserve"> cells/sample) and [</w:t>
      </w:r>
      <w:r w:rsidRPr="001C3346">
        <w:rPr>
          <w:rStyle w:val="Nessuno"/>
          <w:rFonts w:ascii="Arial" w:hAnsi="Arial"/>
          <w:sz w:val="24"/>
          <w:szCs w:val="24"/>
          <w:vertAlign w:val="superscript"/>
        </w:rPr>
        <w:t>125</w:t>
      </w:r>
      <w:r w:rsidRPr="001C3346">
        <w:rPr>
          <w:rFonts w:ascii="Arial" w:hAnsi="Arial"/>
          <w:sz w:val="24"/>
          <w:szCs w:val="24"/>
        </w:rPr>
        <w:t>I]FC-131 as radioligand. Experiments were performed in triplicate with n=3 per concentration in each experiment. IC</w:t>
      </w:r>
      <w:r w:rsidRPr="001C3346">
        <w:rPr>
          <w:rStyle w:val="Nessuno"/>
          <w:rFonts w:ascii="Arial" w:hAnsi="Arial"/>
          <w:sz w:val="24"/>
          <w:szCs w:val="24"/>
          <w:vertAlign w:val="subscript"/>
        </w:rPr>
        <w:t>50</w:t>
      </w:r>
      <w:r w:rsidRPr="001C3346">
        <w:rPr>
          <w:rFonts w:ascii="Arial" w:hAnsi="Arial"/>
          <w:sz w:val="24"/>
          <w:szCs w:val="24"/>
        </w:rPr>
        <w:t xml:space="preserve"> values were calculated using GraphPad Prism 6.01 (Graph Pad Software, San Diego, USA).</w:t>
      </w:r>
    </w:p>
    <w:p w14:paraId="2E4F8AEB" w14:textId="77777777" w:rsidR="00470FFA" w:rsidRPr="009C6B1C" w:rsidRDefault="00470FFA" w:rsidP="009C6B1C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:lang w:val="en-US" w:eastAsia="it-IT"/>
        </w:rPr>
      </w:pPr>
    </w:p>
    <w:p w14:paraId="3E555A72" w14:textId="77777777" w:rsidR="009D11F9" w:rsidRPr="009D11F9" w:rsidRDefault="009D11F9" w:rsidP="009D11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684269">
        <w:rPr>
          <w:rFonts w:ascii="Arial" w:eastAsia="Calibri" w:hAnsi="Arial" w:cs="Arial"/>
          <w:b/>
          <w:bCs/>
          <w:color w:val="000000"/>
          <w:sz w:val="24"/>
          <w:szCs w:val="24"/>
          <w:u w:color="000000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List of abbreviations</w:t>
      </w:r>
    </w:p>
    <w:p w14:paraId="6B7BA17A" w14:textId="53B1D649" w:rsidR="009D11F9" w:rsidRPr="009D11F9" w:rsidRDefault="009D11F9" w:rsidP="009D11F9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</w:pPr>
      <w:r w:rsidRPr="009D11F9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t xml:space="preserve">DMF: Dimethylformamide; TFA: Trifluoroacetic acid; HPLC: High-performance liquid chromatography; DIPEA: </w:t>
      </w:r>
      <w:proofErr w:type="gramStart"/>
      <w:r w:rsidRPr="009D11F9">
        <w:rPr>
          <w:rFonts w:ascii="Arial" w:eastAsia="Arial Unicode MS" w:hAnsi="Arial" w:cs="Arial"/>
          <w:i/>
          <w:iCs/>
          <w:color w:val="000000"/>
          <w:sz w:val="24"/>
          <w:szCs w:val="24"/>
          <w:u w:color="000000"/>
          <w:bdr w:val="nil"/>
          <w:lang w:val="en-US" w:eastAsia="it-IT"/>
        </w:rPr>
        <w:t>N</w:t>
      </w:r>
      <w:r w:rsidRPr="009D11F9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t>,</w:t>
      </w:r>
      <w:r w:rsidRPr="009D11F9">
        <w:rPr>
          <w:rFonts w:ascii="Arial" w:eastAsia="Arial Unicode MS" w:hAnsi="Arial" w:cs="Arial"/>
          <w:i/>
          <w:iCs/>
          <w:color w:val="000000"/>
          <w:sz w:val="24"/>
          <w:szCs w:val="24"/>
          <w:u w:color="000000"/>
          <w:bdr w:val="nil"/>
          <w:lang w:val="en-US" w:eastAsia="it-IT"/>
        </w:rPr>
        <w:t>N</w:t>
      </w:r>
      <w:proofErr w:type="gramEnd"/>
      <w:r w:rsidRPr="009D11F9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t xml:space="preserve">-Diisopropylethylamine; </w:t>
      </w:r>
      <w:proofErr w:type="spellStart"/>
      <w:r w:rsidRPr="009D11F9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t>HOAt</w:t>
      </w:r>
      <w:proofErr w:type="spellEnd"/>
      <w:r w:rsidRPr="009D11F9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t>: 1-Hydroxy-7-</w:t>
      </w:r>
      <w:r w:rsidRPr="009D11F9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lastRenderedPageBreak/>
        <w:t>azabenzotriazole; TBTU: 2-(1H-Benzotriazole-1-yl)-1,1,3,3-tetramethylaminium tetrafluoroborate; DCM: Dichloromethane; HFIP: Hexafluoro-2-propanol</w:t>
      </w:r>
      <w:r w:rsidR="00E124E0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 w:eastAsia="it-IT"/>
        </w:rPr>
        <w:t>.</w:t>
      </w:r>
    </w:p>
    <w:p w14:paraId="331AEBD7" w14:textId="77777777" w:rsidR="00470FFA" w:rsidRPr="00470FFA" w:rsidRDefault="00470FFA" w:rsidP="009C6B1C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45890493" w14:textId="77777777" w:rsidR="001B28FE" w:rsidRDefault="001B28FE" w:rsidP="009C6B1C">
      <w:pPr>
        <w:pStyle w:val="Testocommento"/>
        <w:spacing w:after="160" w:line="480" w:lineRule="auto"/>
        <w:jc w:val="both"/>
        <w:rPr>
          <w:rFonts w:asciiTheme="minorBidi" w:hAnsiTheme="minorBidi" w:cstheme="minorBidi"/>
          <w:b/>
          <w:bCs/>
          <w:sz w:val="24"/>
          <w:szCs w:val="24"/>
        </w:rPr>
      </w:pPr>
    </w:p>
    <w:p w14:paraId="7B67F73E" w14:textId="4D515DD1" w:rsidR="00470FFA" w:rsidRPr="00470FFA" w:rsidRDefault="00470FFA" w:rsidP="009C6B1C">
      <w:pPr>
        <w:pStyle w:val="Testocommento"/>
        <w:spacing w:after="160" w:line="480" w:lineRule="auto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 w:rsidRPr="00470FFA">
        <w:rPr>
          <w:rFonts w:asciiTheme="minorBidi" w:hAnsiTheme="minorBidi" w:cstheme="minorBidi"/>
          <w:b/>
          <w:bCs/>
          <w:sz w:val="24"/>
          <w:szCs w:val="24"/>
        </w:rPr>
        <w:t>Supplementary References</w:t>
      </w:r>
    </w:p>
    <w:p w14:paraId="601CB35B" w14:textId="77777777" w:rsidR="001B28FE" w:rsidRPr="001B28FE" w:rsidRDefault="00470FFA" w:rsidP="001B28FE">
      <w:pPr>
        <w:pStyle w:val="EndNoteBibliography"/>
        <w:spacing w:after="0"/>
        <w:ind w:left="720" w:hanging="720"/>
        <w:rPr>
          <w:noProof/>
          <w:sz w:val="24"/>
          <w:szCs w:val="24"/>
        </w:rPr>
      </w:pPr>
      <w:r w:rsidRPr="00470FFA">
        <w:rPr>
          <w:rFonts w:asciiTheme="minorBidi" w:hAnsiTheme="minorBidi" w:cstheme="minorBidi"/>
          <w:sz w:val="24"/>
          <w:szCs w:val="24"/>
        </w:rPr>
        <w:fldChar w:fldCharType="begin"/>
      </w:r>
      <w:r w:rsidRPr="00470FFA">
        <w:rPr>
          <w:rFonts w:asciiTheme="minorBidi" w:hAnsiTheme="minorBidi" w:cstheme="minorBidi"/>
          <w:sz w:val="24"/>
          <w:szCs w:val="24"/>
        </w:rPr>
        <w:instrText xml:space="preserve"> ADDIN EN.REFLIST </w:instrText>
      </w:r>
      <w:r w:rsidRPr="00470FFA">
        <w:rPr>
          <w:rFonts w:asciiTheme="minorBidi" w:hAnsiTheme="minorBidi" w:cstheme="minorBidi"/>
          <w:sz w:val="24"/>
          <w:szCs w:val="24"/>
        </w:rPr>
        <w:fldChar w:fldCharType="separate"/>
      </w:r>
      <w:r w:rsidR="001B28FE" w:rsidRPr="001B28FE">
        <w:rPr>
          <w:noProof/>
        </w:rPr>
        <w:t>1.</w:t>
      </w:r>
      <w:r w:rsidR="001B28FE" w:rsidRPr="001B28FE">
        <w:rPr>
          <w:noProof/>
        </w:rPr>
        <w:tab/>
      </w:r>
      <w:r w:rsidR="001B28FE" w:rsidRPr="001B28FE">
        <w:rPr>
          <w:noProof/>
          <w:sz w:val="24"/>
          <w:szCs w:val="24"/>
        </w:rPr>
        <w:t xml:space="preserve">Demmer, O., et al., </w:t>
      </w:r>
      <w:r w:rsidR="001B28FE" w:rsidRPr="001B28FE">
        <w:rPr>
          <w:i/>
          <w:noProof/>
          <w:sz w:val="24"/>
          <w:szCs w:val="24"/>
        </w:rPr>
        <w:t>Introduction of functional groups into peptides via N-alkylation.</w:t>
      </w:r>
      <w:r w:rsidR="001B28FE" w:rsidRPr="001B28FE">
        <w:rPr>
          <w:noProof/>
          <w:sz w:val="24"/>
          <w:szCs w:val="24"/>
        </w:rPr>
        <w:t xml:space="preserve"> Org Lett, 2008. </w:t>
      </w:r>
      <w:r w:rsidR="001B28FE" w:rsidRPr="001B28FE">
        <w:rPr>
          <w:b/>
          <w:noProof/>
          <w:sz w:val="24"/>
          <w:szCs w:val="24"/>
        </w:rPr>
        <w:t>10</w:t>
      </w:r>
      <w:r w:rsidR="001B28FE" w:rsidRPr="001B28FE">
        <w:rPr>
          <w:noProof/>
          <w:sz w:val="24"/>
          <w:szCs w:val="24"/>
        </w:rPr>
        <w:t>(10): p. 2015-8.</w:t>
      </w:r>
    </w:p>
    <w:p w14:paraId="156A45CA" w14:textId="77777777" w:rsidR="001B28FE" w:rsidRPr="001B28FE" w:rsidRDefault="001B28FE" w:rsidP="001B28FE">
      <w:pPr>
        <w:pStyle w:val="EndNoteBibliography"/>
        <w:spacing w:after="0"/>
        <w:ind w:left="720" w:hanging="720"/>
        <w:rPr>
          <w:noProof/>
          <w:sz w:val="24"/>
          <w:szCs w:val="24"/>
        </w:rPr>
      </w:pPr>
      <w:r w:rsidRPr="001B28FE">
        <w:rPr>
          <w:noProof/>
          <w:sz w:val="24"/>
          <w:szCs w:val="24"/>
        </w:rPr>
        <w:t>2.</w:t>
      </w:r>
      <w:r w:rsidRPr="001B28FE">
        <w:rPr>
          <w:noProof/>
          <w:sz w:val="24"/>
          <w:szCs w:val="24"/>
        </w:rPr>
        <w:tab/>
        <w:t xml:space="preserve">Demmer, O., et al., </w:t>
      </w:r>
      <w:r w:rsidRPr="001B28FE">
        <w:rPr>
          <w:i/>
          <w:noProof/>
          <w:sz w:val="24"/>
          <w:szCs w:val="24"/>
        </w:rPr>
        <w:t>PET imaging of CXCR4 receptors in cancer by a new optimized ligand.</w:t>
      </w:r>
      <w:r w:rsidRPr="001B28FE">
        <w:rPr>
          <w:noProof/>
          <w:sz w:val="24"/>
          <w:szCs w:val="24"/>
        </w:rPr>
        <w:t xml:space="preserve"> ChemMedChem, 2011. </w:t>
      </w:r>
      <w:r w:rsidRPr="001B28FE">
        <w:rPr>
          <w:b/>
          <w:noProof/>
          <w:sz w:val="24"/>
          <w:szCs w:val="24"/>
        </w:rPr>
        <w:t>6</w:t>
      </w:r>
      <w:r w:rsidRPr="001B28FE">
        <w:rPr>
          <w:noProof/>
          <w:sz w:val="24"/>
          <w:szCs w:val="24"/>
        </w:rPr>
        <w:t>(10): p. 1789-91.</w:t>
      </w:r>
    </w:p>
    <w:p w14:paraId="23F65A9B" w14:textId="77777777" w:rsidR="001B28FE" w:rsidRPr="001B28FE" w:rsidRDefault="001B28FE" w:rsidP="001B28FE">
      <w:pPr>
        <w:pStyle w:val="EndNoteBibliography"/>
        <w:spacing w:after="0"/>
        <w:ind w:left="720" w:hanging="720"/>
        <w:rPr>
          <w:noProof/>
          <w:sz w:val="24"/>
          <w:szCs w:val="24"/>
        </w:rPr>
      </w:pPr>
      <w:r w:rsidRPr="001B28FE">
        <w:rPr>
          <w:noProof/>
          <w:sz w:val="24"/>
          <w:szCs w:val="24"/>
        </w:rPr>
        <w:t>3.</w:t>
      </w:r>
      <w:r w:rsidRPr="001B28FE">
        <w:rPr>
          <w:noProof/>
          <w:sz w:val="24"/>
          <w:szCs w:val="24"/>
        </w:rPr>
        <w:tab/>
        <w:t xml:space="preserve">Osl, T., et al., </w:t>
      </w:r>
      <w:r w:rsidRPr="001B28FE">
        <w:rPr>
          <w:i/>
          <w:noProof/>
          <w:sz w:val="24"/>
          <w:szCs w:val="24"/>
        </w:rPr>
        <w:t>A new class of PentixaFor- and PentixaTher-based theranostic agents with enhanced CXCR4-targeting efficiency.</w:t>
      </w:r>
      <w:r w:rsidRPr="001B28FE">
        <w:rPr>
          <w:noProof/>
          <w:sz w:val="24"/>
          <w:szCs w:val="24"/>
        </w:rPr>
        <w:t xml:space="preserve"> Theranostics, 2020. </w:t>
      </w:r>
      <w:r w:rsidRPr="001B28FE">
        <w:rPr>
          <w:b/>
          <w:noProof/>
          <w:sz w:val="24"/>
          <w:szCs w:val="24"/>
        </w:rPr>
        <w:t>10</w:t>
      </w:r>
      <w:r w:rsidRPr="001B28FE">
        <w:rPr>
          <w:noProof/>
          <w:sz w:val="24"/>
          <w:szCs w:val="24"/>
        </w:rPr>
        <w:t>(18): p. 8264-8280.</w:t>
      </w:r>
    </w:p>
    <w:p w14:paraId="5119ED94" w14:textId="77777777" w:rsidR="001B28FE" w:rsidRPr="001B28FE" w:rsidRDefault="001B28FE" w:rsidP="001B28FE">
      <w:pPr>
        <w:pStyle w:val="EndNoteBibliography"/>
        <w:spacing w:after="0"/>
        <w:ind w:left="720" w:hanging="720"/>
        <w:rPr>
          <w:noProof/>
          <w:sz w:val="24"/>
          <w:szCs w:val="24"/>
        </w:rPr>
      </w:pPr>
      <w:r w:rsidRPr="001B28FE">
        <w:rPr>
          <w:noProof/>
          <w:sz w:val="24"/>
          <w:szCs w:val="24"/>
        </w:rPr>
        <w:t>4.</w:t>
      </w:r>
      <w:r w:rsidRPr="001B28FE">
        <w:rPr>
          <w:noProof/>
          <w:sz w:val="24"/>
          <w:szCs w:val="24"/>
        </w:rPr>
        <w:tab/>
        <w:t xml:space="preserve">Schottelius, M., et al., </w:t>
      </w:r>
      <w:r w:rsidRPr="001B28FE">
        <w:rPr>
          <w:i/>
          <w:noProof/>
          <w:sz w:val="24"/>
          <w:szCs w:val="24"/>
        </w:rPr>
        <w:t>An optimized strategy for the mild and efficient solution phase iodination of tyrosine residues in bioactive peptides.</w:t>
      </w:r>
      <w:r w:rsidRPr="001B28FE">
        <w:rPr>
          <w:noProof/>
          <w:sz w:val="24"/>
          <w:szCs w:val="24"/>
        </w:rPr>
        <w:t xml:space="preserve"> Tetrahedron Letters, 2015. </w:t>
      </w:r>
      <w:r w:rsidRPr="001B28FE">
        <w:rPr>
          <w:b/>
          <w:noProof/>
          <w:sz w:val="24"/>
          <w:szCs w:val="24"/>
        </w:rPr>
        <w:t>56</w:t>
      </w:r>
      <w:r w:rsidRPr="001B28FE">
        <w:rPr>
          <w:noProof/>
          <w:sz w:val="24"/>
          <w:szCs w:val="24"/>
        </w:rPr>
        <w:t>(47): p. 6602-6605.</w:t>
      </w:r>
    </w:p>
    <w:p w14:paraId="4C3DC2E8" w14:textId="77777777" w:rsidR="001B28FE" w:rsidRPr="001B28FE" w:rsidRDefault="001B28FE" w:rsidP="001B28FE">
      <w:pPr>
        <w:pStyle w:val="EndNoteBibliography"/>
        <w:spacing w:after="0"/>
        <w:ind w:left="720" w:hanging="720"/>
        <w:rPr>
          <w:noProof/>
          <w:sz w:val="24"/>
          <w:szCs w:val="24"/>
        </w:rPr>
      </w:pPr>
      <w:r w:rsidRPr="001B28FE">
        <w:rPr>
          <w:noProof/>
          <w:sz w:val="24"/>
          <w:szCs w:val="24"/>
        </w:rPr>
        <w:t>5.</w:t>
      </w:r>
      <w:r w:rsidRPr="001B28FE">
        <w:rPr>
          <w:noProof/>
          <w:sz w:val="24"/>
          <w:szCs w:val="24"/>
        </w:rPr>
        <w:tab/>
        <w:t xml:space="preserve">Schottelius, M., et al., </w:t>
      </w:r>
      <w:r w:rsidRPr="001B28FE">
        <w:rPr>
          <w:i/>
          <w:noProof/>
          <w:sz w:val="24"/>
          <w:szCs w:val="24"/>
        </w:rPr>
        <w:t>Improvement of Pharmacokinetics of Radioiodinated Tyr3-Octreotide by Conjugation with Carbohydrates.</w:t>
      </w:r>
      <w:r w:rsidRPr="001B28FE">
        <w:rPr>
          <w:noProof/>
          <w:sz w:val="24"/>
          <w:szCs w:val="24"/>
        </w:rPr>
        <w:t xml:space="preserve"> Bioconjugate Chemistry, 2002. </w:t>
      </w:r>
      <w:r w:rsidRPr="001B28FE">
        <w:rPr>
          <w:b/>
          <w:noProof/>
          <w:sz w:val="24"/>
          <w:szCs w:val="24"/>
        </w:rPr>
        <w:t>13</w:t>
      </w:r>
      <w:r w:rsidRPr="001B28FE">
        <w:rPr>
          <w:noProof/>
          <w:sz w:val="24"/>
          <w:szCs w:val="24"/>
        </w:rPr>
        <w:t>(5): p. 1021-1030.</w:t>
      </w:r>
    </w:p>
    <w:p w14:paraId="42A84AFB" w14:textId="77777777" w:rsidR="001B28FE" w:rsidRPr="001B28FE" w:rsidRDefault="001B28FE" w:rsidP="001B28FE">
      <w:pPr>
        <w:pStyle w:val="EndNoteBibliography"/>
        <w:ind w:left="720" w:hanging="720"/>
        <w:rPr>
          <w:noProof/>
        </w:rPr>
      </w:pPr>
      <w:r w:rsidRPr="001B28FE">
        <w:rPr>
          <w:noProof/>
          <w:sz w:val="24"/>
          <w:szCs w:val="24"/>
        </w:rPr>
        <w:t>6.</w:t>
      </w:r>
      <w:r w:rsidRPr="001B28FE">
        <w:rPr>
          <w:noProof/>
          <w:sz w:val="24"/>
          <w:szCs w:val="24"/>
        </w:rPr>
        <w:tab/>
        <w:t xml:space="preserve">Gourni, E., et al., </w:t>
      </w:r>
      <w:r w:rsidRPr="001B28FE">
        <w:rPr>
          <w:i/>
          <w:noProof/>
          <w:sz w:val="24"/>
          <w:szCs w:val="24"/>
        </w:rPr>
        <w:t>PET of CXCR4 expression by a (68)Ga-labeled highly specific targeted contrast agent.</w:t>
      </w:r>
      <w:r w:rsidRPr="001B28FE">
        <w:rPr>
          <w:noProof/>
          <w:sz w:val="24"/>
          <w:szCs w:val="24"/>
        </w:rPr>
        <w:t xml:space="preserve"> J Nucl Med, 2011. </w:t>
      </w:r>
      <w:r w:rsidRPr="001B28FE">
        <w:rPr>
          <w:b/>
          <w:noProof/>
          <w:sz w:val="24"/>
          <w:szCs w:val="24"/>
        </w:rPr>
        <w:t>52</w:t>
      </w:r>
      <w:r w:rsidRPr="001B28FE">
        <w:rPr>
          <w:noProof/>
          <w:sz w:val="24"/>
          <w:szCs w:val="24"/>
        </w:rPr>
        <w:t>(11): p. 1803-10</w:t>
      </w:r>
      <w:r w:rsidRPr="001B28FE">
        <w:rPr>
          <w:noProof/>
        </w:rPr>
        <w:t>.</w:t>
      </w:r>
    </w:p>
    <w:p w14:paraId="3A85C653" w14:textId="786B2CF2" w:rsidR="009C6B1C" w:rsidRDefault="00470FFA" w:rsidP="001B28FE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470FFA">
        <w:rPr>
          <w:rFonts w:asciiTheme="minorBidi" w:hAnsiTheme="minorBidi" w:cstheme="minorBidi"/>
          <w:sz w:val="24"/>
          <w:szCs w:val="24"/>
        </w:rPr>
        <w:fldChar w:fldCharType="end"/>
      </w:r>
    </w:p>
    <w:p w14:paraId="43EA44F2" w14:textId="0913487B" w:rsidR="007B3E91" w:rsidRDefault="007B3E91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43D051E1" w14:textId="29E1EB3F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5B0AA6CD" w14:textId="42ADFB49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278E002E" w14:textId="0DA9A454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4011E629" w14:textId="09B77CDA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5F3D7562" w14:textId="53CD27A9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0077704A" w14:textId="011B7DF6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16BBE6E4" w14:textId="4195715C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407D53D0" w14:textId="1C3DC763" w:rsidR="007722C8" w:rsidRDefault="007722C8" w:rsidP="007722C8">
      <w:pPr>
        <w:pStyle w:val="Corpo"/>
        <w:spacing w:line="480" w:lineRule="auto"/>
        <w:jc w:val="both"/>
        <w:rPr>
          <w:rStyle w:val="Nessuno"/>
          <w:rFonts w:ascii="Arial" w:hAnsi="Arial"/>
          <w:b/>
          <w:bCs/>
        </w:rPr>
      </w:pPr>
      <w:r>
        <w:rPr>
          <w:rStyle w:val="Nessuno"/>
          <w:rFonts w:ascii="Arial" w:hAnsi="Arial"/>
          <w:b/>
          <w:bCs/>
        </w:rPr>
        <w:lastRenderedPageBreak/>
        <w:t xml:space="preserve">Supplementary </w:t>
      </w:r>
      <w:r>
        <w:rPr>
          <w:rStyle w:val="Nessuno"/>
          <w:rFonts w:ascii="Arial" w:hAnsi="Arial"/>
          <w:b/>
          <w:bCs/>
        </w:rPr>
        <w:t>Figures</w:t>
      </w:r>
    </w:p>
    <w:p w14:paraId="1D2AAE47" w14:textId="096C9F7B" w:rsidR="000A144F" w:rsidRDefault="000A144F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0ED13362" w14:textId="75D91025" w:rsidR="000A144F" w:rsidRDefault="00FF3504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  <w:lang w:val="en-IN" w:eastAsia="en-IN"/>
        </w:rPr>
        <w:drawing>
          <wp:inline distT="0" distB="0" distL="0" distR="0" wp14:anchorId="234D5A4C" wp14:editId="79DD32E3">
            <wp:extent cx="5760720" cy="4320832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34676" w14:textId="0FCD186D" w:rsidR="007B3E91" w:rsidRDefault="007B3E91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1283A589" w14:textId="5DD542DF" w:rsidR="00D22281" w:rsidRDefault="008F1550" w:rsidP="002A711C">
      <w:pPr>
        <w:pStyle w:val="Testocommento"/>
        <w:spacing w:after="160" w:line="480" w:lineRule="auto"/>
        <w:jc w:val="both"/>
        <w:rPr>
          <w:rStyle w:val="Nessuno"/>
          <w:rFonts w:ascii="Arial" w:hAnsi="Arial"/>
          <w:b/>
          <w:bCs/>
          <w:i/>
          <w:iCs/>
          <w:sz w:val="24"/>
          <w:szCs w:val="24"/>
        </w:rPr>
      </w:pPr>
      <w:r w:rsidRPr="00D2541D">
        <w:rPr>
          <w:rStyle w:val="Nessuno"/>
          <w:rFonts w:ascii="Arial" w:hAnsi="Arial"/>
          <w:b/>
          <w:bCs/>
          <w:sz w:val="24"/>
          <w:szCs w:val="24"/>
        </w:rPr>
        <w:t>F</w:t>
      </w:r>
      <w:r w:rsidR="00AE16F9">
        <w:rPr>
          <w:rStyle w:val="Nessuno"/>
          <w:rFonts w:ascii="Arial" w:hAnsi="Arial"/>
          <w:b/>
          <w:bCs/>
          <w:sz w:val="24"/>
          <w:szCs w:val="24"/>
        </w:rPr>
        <w:t>ig.</w:t>
      </w:r>
      <w:r w:rsidRPr="00D2541D">
        <w:rPr>
          <w:rStyle w:val="Nessuno"/>
          <w:rFonts w:ascii="Arial" w:hAnsi="Arial"/>
          <w:b/>
          <w:bCs/>
          <w:sz w:val="24"/>
          <w:szCs w:val="24"/>
        </w:rPr>
        <w:t xml:space="preserve"> </w:t>
      </w:r>
      <w:r w:rsidR="00AE16F9">
        <w:rPr>
          <w:rStyle w:val="Nessuno"/>
          <w:rFonts w:ascii="Arial" w:hAnsi="Arial"/>
          <w:b/>
          <w:bCs/>
          <w:sz w:val="24"/>
          <w:szCs w:val="24"/>
        </w:rPr>
        <w:t>S</w:t>
      </w:r>
      <w:r w:rsidR="00753C46" w:rsidRPr="00D2541D">
        <w:rPr>
          <w:rStyle w:val="Nessuno"/>
          <w:rFonts w:ascii="Arial" w:hAnsi="Arial"/>
          <w:b/>
          <w:bCs/>
          <w:sz w:val="24"/>
          <w:szCs w:val="24"/>
        </w:rPr>
        <w:t>1</w:t>
      </w:r>
      <w:r w:rsidR="002A711C" w:rsidRPr="00D2541D">
        <w:rPr>
          <w:rStyle w:val="Nessuno"/>
          <w:rFonts w:ascii="Arial" w:hAnsi="Arial"/>
          <w:b/>
          <w:bCs/>
          <w:i/>
          <w:iCs/>
          <w:sz w:val="24"/>
          <w:szCs w:val="24"/>
        </w:rPr>
        <w:t xml:space="preserve"> </w:t>
      </w:r>
    </w:p>
    <w:p w14:paraId="670D8A56" w14:textId="136B32AC" w:rsidR="002A711C" w:rsidRPr="00D22281" w:rsidRDefault="002A711C" w:rsidP="002A711C">
      <w:pPr>
        <w:pStyle w:val="Testocommento"/>
        <w:spacing w:after="160" w:line="480" w:lineRule="auto"/>
        <w:jc w:val="both"/>
        <w:rPr>
          <w:rFonts w:ascii="Arial" w:hAnsi="Arial"/>
          <w:sz w:val="24"/>
          <w:szCs w:val="24"/>
        </w:rPr>
      </w:pPr>
      <w:r w:rsidRPr="00D22281">
        <w:rPr>
          <w:rStyle w:val="Nessuno"/>
          <w:rFonts w:ascii="Arial" w:hAnsi="Arial"/>
          <w:sz w:val="24"/>
          <w:szCs w:val="24"/>
        </w:rPr>
        <w:t>Evaluation of MK007 6 hours post-injection and MK007 fluorescence signal</w:t>
      </w:r>
      <w:r w:rsidR="008F1550" w:rsidRPr="00D22281">
        <w:rPr>
          <w:rStyle w:val="Nessuno"/>
          <w:rFonts w:ascii="Arial" w:hAnsi="Arial"/>
          <w:b/>
          <w:bCs/>
          <w:sz w:val="24"/>
          <w:szCs w:val="24"/>
        </w:rPr>
        <w:t xml:space="preserve">. </w:t>
      </w:r>
      <w:r w:rsidRPr="00D22281">
        <w:rPr>
          <w:rFonts w:ascii="Arial" w:hAnsi="Arial"/>
          <w:sz w:val="24"/>
          <w:szCs w:val="24"/>
        </w:rPr>
        <w:t>A) Representative confocal images of the stomach of a IL1B mouse injected with 15 nmol of MK007 and sacrificed 6 hours post-injection: despite more Sulfo-Cy5 signal was detected in the squamocolumnar junction (SCJ) than in squamous epithelium (sq. epithelium) and stomach, only a few cells at the SCJ presented Sulfo-Cy5 signal. B) Representative confocal images of the spleen and liver: a low Sulfo-Cy5 signal was observed in both organs. C) Measurement of fluorescence signal of high</w:t>
      </w:r>
      <w:r w:rsidR="00863F83" w:rsidRPr="00D22281">
        <w:rPr>
          <w:rFonts w:ascii="Arial" w:hAnsi="Arial"/>
          <w:sz w:val="24"/>
          <w:szCs w:val="24"/>
        </w:rPr>
        <w:t>-</w:t>
      </w:r>
      <w:r w:rsidRPr="00D22281">
        <w:rPr>
          <w:rFonts w:ascii="Arial" w:hAnsi="Arial"/>
          <w:sz w:val="24"/>
          <w:szCs w:val="24"/>
        </w:rPr>
        <w:t xml:space="preserve">dose MK007 </w:t>
      </w:r>
      <w:r w:rsidRPr="00D22281">
        <w:rPr>
          <w:rFonts w:ascii="Arial" w:hAnsi="Arial"/>
          <w:bCs/>
          <w:sz w:val="24"/>
          <w:szCs w:val="24"/>
        </w:rPr>
        <w:lastRenderedPageBreak/>
        <w:t xml:space="preserve">by using a 670 nm laser diode and a highly sensitive CCD camera: NaCl showed no signal. </w:t>
      </w:r>
    </w:p>
    <w:p w14:paraId="1BD9E32C" w14:textId="2020BB60" w:rsidR="007B3E91" w:rsidRDefault="008F1550" w:rsidP="00D2541D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24419D">
        <w:rPr>
          <w:rStyle w:val="Nessuno"/>
          <w:rFonts w:ascii="Arial" w:hAnsi="Arial"/>
        </w:rPr>
        <w:t>.</w:t>
      </w:r>
    </w:p>
    <w:p w14:paraId="6773E8F3" w14:textId="1B876EE3" w:rsidR="007B3E91" w:rsidRDefault="008C6715" w:rsidP="007B3E91">
      <w:pPr>
        <w:pStyle w:val="Testocommento"/>
        <w:spacing w:after="160" w:line="480" w:lineRule="auto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="Arial" w:hAnsi="Arial"/>
          <w:noProof/>
          <w:color w:val="FF0000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35B5B6B5" wp14:editId="172F1918">
            <wp:simplePos x="0" y="0"/>
            <wp:positionH relativeFrom="column">
              <wp:posOffset>0</wp:posOffset>
            </wp:positionH>
            <wp:positionV relativeFrom="paragraph">
              <wp:posOffset>427990</wp:posOffset>
            </wp:positionV>
            <wp:extent cx="5760720" cy="8641080"/>
            <wp:effectExtent l="0" t="0" r="508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A603F" w14:textId="43242CBE" w:rsidR="00D22281" w:rsidRDefault="009045C4" w:rsidP="00DC29B7">
      <w:pPr>
        <w:pStyle w:val="Corpo"/>
        <w:spacing w:line="480" w:lineRule="auto"/>
        <w:jc w:val="both"/>
        <w:rPr>
          <w:rStyle w:val="Nessuno"/>
          <w:rFonts w:ascii="Arial" w:hAnsi="Arial"/>
          <w:b/>
          <w:bCs/>
        </w:rPr>
      </w:pPr>
      <w:r w:rsidRPr="0024419D">
        <w:rPr>
          <w:rStyle w:val="Nessuno"/>
          <w:rFonts w:ascii="Arial" w:hAnsi="Arial"/>
          <w:b/>
          <w:bCs/>
        </w:rPr>
        <w:lastRenderedPageBreak/>
        <w:t>Fig</w:t>
      </w:r>
      <w:r w:rsidR="00AE16F9">
        <w:rPr>
          <w:rStyle w:val="Nessuno"/>
          <w:rFonts w:ascii="Arial" w:hAnsi="Arial"/>
          <w:b/>
          <w:bCs/>
        </w:rPr>
        <w:t>.</w:t>
      </w:r>
      <w:r w:rsidRPr="0024419D">
        <w:rPr>
          <w:rStyle w:val="Nessuno"/>
          <w:rFonts w:ascii="Arial" w:hAnsi="Arial"/>
          <w:b/>
          <w:bCs/>
        </w:rPr>
        <w:t xml:space="preserve"> </w:t>
      </w:r>
      <w:r w:rsidR="00AE16F9">
        <w:rPr>
          <w:rStyle w:val="Nessuno"/>
          <w:rFonts w:ascii="Arial" w:hAnsi="Arial"/>
          <w:b/>
          <w:bCs/>
        </w:rPr>
        <w:t xml:space="preserve"> S</w:t>
      </w:r>
      <w:r w:rsidR="00684269">
        <w:rPr>
          <w:rStyle w:val="Nessuno"/>
          <w:rFonts w:ascii="Arial" w:hAnsi="Arial"/>
          <w:b/>
          <w:bCs/>
        </w:rPr>
        <w:t>2</w:t>
      </w:r>
      <w:r w:rsidRPr="0024419D">
        <w:rPr>
          <w:rStyle w:val="Nessuno"/>
          <w:rFonts w:ascii="Arial" w:hAnsi="Arial"/>
          <w:b/>
          <w:bCs/>
        </w:rPr>
        <w:t xml:space="preserve"> </w:t>
      </w:r>
    </w:p>
    <w:p w14:paraId="6FA33397" w14:textId="651AC23C" w:rsidR="009045C4" w:rsidRPr="0024419D" w:rsidRDefault="009045C4" w:rsidP="00DC29B7">
      <w:pPr>
        <w:pStyle w:val="Corpo"/>
        <w:spacing w:line="480" w:lineRule="auto"/>
        <w:jc w:val="both"/>
        <w:rPr>
          <w:rFonts w:ascii="Arial" w:eastAsia="Arial" w:hAnsi="Arial" w:cs="Arial"/>
          <w:lang w:val="en-US"/>
        </w:rPr>
      </w:pPr>
      <w:r w:rsidRPr="00D22281">
        <w:rPr>
          <w:rStyle w:val="Nessuno"/>
          <w:rFonts w:ascii="Arial" w:hAnsi="Arial"/>
        </w:rPr>
        <w:t xml:space="preserve">Ex vivo imaging and confocal microscopy of main mouse organs after injection of MK007. A) Representative ex vivo fluorescence imaging of IL1B mice organs </w:t>
      </w:r>
      <w:r w:rsidR="000F0A2B" w:rsidRPr="00D22281">
        <w:rPr>
          <w:rStyle w:val="Nessuno"/>
          <w:rFonts w:ascii="Arial" w:hAnsi="Arial"/>
        </w:rPr>
        <w:t xml:space="preserve">4 hours </w:t>
      </w:r>
      <w:r w:rsidRPr="00D22281">
        <w:rPr>
          <w:rStyle w:val="Nessuno"/>
          <w:rFonts w:ascii="Arial" w:hAnsi="Arial"/>
        </w:rPr>
        <w:t>after</w:t>
      </w:r>
      <w:r w:rsidR="000F0A2B" w:rsidRPr="00D22281">
        <w:rPr>
          <w:rStyle w:val="Nessuno"/>
          <w:rFonts w:ascii="Arial" w:hAnsi="Arial"/>
        </w:rPr>
        <w:t xml:space="preserve"> the</w:t>
      </w:r>
      <w:r w:rsidRPr="00D22281">
        <w:rPr>
          <w:rStyle w:val="Nessuno"/>
          <w:rFonts w:ascii="Arial" w:hAnsi="Arial"/>
        </w:rPr>
        <w:t xml:space="preserve"> injection of 60 nmol of MK007</w:t>
      </w:r>
      <w:r w:rsidR="000F0A2B" w:rsidRPr="00D22281">
        <w:rPr>
          <w:rStyle w:val="Nessuno"/>
          <w:rFonts w:ascii="Arial" w:hAnsi="Arial"/>
        </w:rPr>
        <w:t xml:space="preserve"> diluted in 0.9</w:t>
      </w:r>
      <w:r w:rsidR="00284F0C" w:rsidRPr="00D22281">
        <w:rPr>
          <w:rStyle w:val="Nessuno"/>
          <w:rFonts w:ascii="Arial" w:hAnsi="Arial"/>
        </w:rPr>
        <w:t>%</w:t>
      </w:r>
      <w:r w:rsidR="000F0A2B" w:rsidRPr="00D22281">
        <w:rPr>
          <w:rStyle w:val="Nessuno"/>
          <w:rFonts w:ascii="Arial" w:hAnsi="Arial"/>
        </w:rPr>
        <w:t xml:space="preserve"> NaCl</w:t>
      </w:r>
      <w:r w:rsidRPr="00D22281">
        <w:rPr>
          <w:rStyle w:val="Nessuno"/>
          <w:rFonts w:ascii="Arial" w:hAnsi="Arial"/>
        </w:rPr>
        <w:t xml:space="preserve"> and the negative control. High Sulfo-Cy5 signal</w:t>
      </w:r>
      <w:r>
        <w:rPr>
          <w:rStyle w:val="Nessuno"/>
          <w:rFonts w:ascii="Arial" w:hAnsi="Arial"/>
        </w:rPr>
        <w:t xml:space="preserve"> was </w:t>
      </w:r>
      <w:r w:rsidRPr="0024419D">
        <w:rPr>
          <w:rStyle w:val="Nessuno"/>
          <w:rFonts w:ascii="Arial" w:hAnsi="Arial"/>
        </w:rPr>
        <w:t xml:space="preserve">observed in liver and kidneys of injected mice. The imaging of the stomach from these mice is reported in Figure </w:t>
      </w:r>
      <w:r>
        <w:rPr>
          <w:rStyle w:val="Nessuno"/>
          <w:rFonts w:ascii="Arial" w:hAnsi="Arial"/>
        </w:rPr>
        <w:t>2</w:t>
      </w:r>
      <w:r w:rsidRPr="0024419D">
        <w:rPr>
          <w:rStyle w:val="Nessuno"/>
          <w:rFonts w:ascii="Arial" w:hAnsi="Arial"/>
        </w:rPr>
        <w:t>A</w:t>
      </w:r>
      <w:r>
        <w:rPr>
          <w:rStyle w:val="Nessuno"/>
          <w:rFonts w:ascii="Arial" w:hAnsi="Arial"/>
        </w:rPr>
        <w:t>.</w:t>
      </w:r>
      <w:r w:rsidRPr="0024419D">
        <w:rPr>
          <w:rStyle w:val="Nessuno"/>
          <w:rFonts w:ascii="Arial" w:hAnsi="Arial"/>
        </w:rPr>
        <w:t xml:space="preserve"> Confocal microscopy of main organs from one representative injected mouse (same as Figure </w:t>
      </w:r>
      <w:r>
        <w:rPr>
          <w:rStyle w:val="Nessuno"/>
          <w:rFonts w:ascii="Arial" w:hAnsi="Arial"/>
        </w:rPr>
        <w:t>2</w:t>
      </w:r>
      <w:r w:rsidRPr="0024419D">
        <w:rPr>
          <w:rStyle w:val="Nessuno"/>
          <w:rFonts w:ascii="Arial" w:hAnsi="Arial"/>
        </w:rPr>
        <w:t xml:space="preserve">B) confirmed the </w:t>
      </w:r>
      <w:r w:rsidRPr="0024419D">
        <w:rPr>
          <w:rStyle w:val="Nessuno"/>
          <w:rFonts w:ascii="Arial" w:hAnsi="Arial"/>
          <w:i/>
          <w:iCs/>
        </w:rPr>
        <w:t>ex vivo</w:t>
      </w:r>
      <w:r w:rsidRPr="0024419D">
        <w:rPr>
          <w:rStyle w:val="Nessuno"/>
          <w:rFonts w:ascii="Arial" w:hAnsi="Arial"/>
        </w:rPr>
        <w:t xml:space="preserve"> imaging results</w:t>
      </w:r>
      <w:r w:rsidRPr="001B28FE">
        <w:rPr>
          <w:rStyle w:val="Nessuno"/>
          <w:rFonts w:ascii="Arial" w:hAnsi="Arial"/>
          <w:color w:val="000000" w:themeColor="text1"/>
        </w:rPr>
        <w:t>.</w:t>
      </w:r>
      <w:r w:rsidR="00DC29B7" w:rsidRPr="001B28FE">
        <w:rPr>
          <w:rStyle w:val="Nessuno"/>
          <w:rFonts w:ascii="Arial" w:hAnsi="Arial"/>
          <w:color w:val="000000" w:themeColor="text1"/>
        </w:rPr>
        <w:t xml:space="preserve"> </w:t>
      </w:r>
      <w:r w:rsidR="00DC29B7" w:rsidRPr="001B28FE">
        <w:rPr>
          <w:rFonts w:ascii="Arial" w:hAnsi="Arial"/>
          <w:color w:val="000000" w:themeColor="text1"/>
          <w:lang w:val="en-US"/>
        </w:rPr>
        <w:t>Compared with the SCJ of IL1B mice, co-localization of Sulfo-Cy5 with CXCR4 was observed in few cells (arrows),</w:t>
      </w:r>
      <w:r w:rsidR="008C6715" w:rsidRPr="001B28FE">
        <w:rPr>
          <w:rFonts w:ascii="Arial" w:hAnsi="Arial"/>
          <w:noProof/>
          <w:color w:val="000000" w:themeColor="text1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C29B7" w:rsidRPr="001B28FE">
        <w:rPr>
          <w:rFonts w:ascii="Arial" w:hAnsi="Arial"/>
          <w:color w:val="000000" w:themeColor="text1"/>
          <w:lang w:val="en-US"/>
        </w:rPr>
        <w:t xml:space="preserve">suggesting a higher non-specific uptake of MK007 by those organs 4 hours post-injection. In contrast, the spleen presented a higher expression of CXCR4 and co-localization with MK007 signal was observed in more cells. </w:t>
      </w:r>
      <w:r w:rsidRPr="001B28FE">
        <w:rPr>
          <w:rStyle w:val="Nessuno"/>
          <w:rFonts w:ascii="Arial" w:hAnsi="Arial"/>
          <w:color w:val="000000" w:themeColor="text1"/>
        </w:rPr>
        <w:t xml:space="preserve">Scale bars represent </w:t>
      </w:r>
      <w:r w:rsidRPr="0024419D">
        <w:rPr>
          <w:rStyle w:val="Nessuno"/>
          <w:rFonts w:ascii="Arial" w:hAnsi="Arial"/>
        </w:rPr>
        <w:t xml:space="preserve">50 </w:t>
      </w:r>
      <w:proofErr w:type="spellStart"/>
      <w:r w:rsidRPr="0024419D">
        <w:rPr>
          <w:rStyle w:val="Nessuno"/>
          <w:rFonts w:ascii="Arial" w:hAnsi="Arial"/>
        </w:rPr>
        <w:t>μm</w:t>
      </w:r>
      <w:proofErr w:type="spellEnd"/>
      <w:r w:rsidRPr="0024419D">
        <w:rPr>
          <w:rStyle w:val="Nessuno"/>
          <w:rFonts w:ascii="Arial" w:hAnsi="Arial"/>
        </w:rPr>
        <w:t xml:space="preserve">.  </w:t>
      </w:r>
    </w:p>
    <w:p w14:paraId="1644FCCE" w14:textId="4A81224D" w:rsidR="009045C4" w:rsidRPr="009C6B1C" w:rsidRDefault="009045C4" w:rsidP="007B3E91">
      <w:pPr>
        <w:pStyle w:val="Testocommento"/>
        <w:spacing w:after="160" w:line="480" w:lineRule="auto"/>
        <w:jc w:val="both"/>
      </w:pPr>
    </w:p>
    <w:sectPr w:rsidR="009045C4" w:rsidRPr="009C6B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4A413" w14:textId="77777777" w:rsidR="009B2D0B" w:rsidRDefault="009B2D0B" w:rsidP="009C6B1C">
      <w:pPr>
        <w:spacing w:after="0" w:line="240" w:lineRule="auto"/>
      </w:pPr>
      <w:r>
        <w:separator/>
      </w:r>
    </w:p>
  </w:endnote>
  <w:endnote w:type="continuationSeparator" w:id="0">
    <w:p w14:paraId="73DA3919" w14:textId="77777777" w:rsidR="009B2D0B" w:rsidRDefault="009B2D0B" w:rsidP="009C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303D" w14:textId="77777777" w:rsidR="009B2D0B" w:rsidRDefault="009B2D0B" w:rsidP="009C6B1C">
      <w:pPr>
        <w:spacing w:after="0" w:line="240" w:lineRule="auto"/>
      </w:pPr>
      <w:r>
        <w:separator/>
      </w:r>
    </w:p>
  </w:footnote>
  <w:footnote w:type="continuationSeparator" w:id="0">
    <w:p w14:paraId="065971B1" w14:textId="77777777" w:rsidR="009B2D0B" w:rsidRDefault="009B2D0B" w:rsidP="009C6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C6B1C"/>
    <w:rsid w:val="00051E97"/>
    <w:rsid w:val="0005379E"/>
    <w:rsid w:val="000609D6"/>
    <w:rsid w:val="000A144F"/>
    <w:rsid w:val="000E3F90"/>
    <w:rsid w:val="000F0A2B"/>
    <w:rsid w:val="001442C2"/>
    <w:rsid w:val="00154C68"/>
    <w:rsid w:val="001552A3"/>
    <w:rsid w:val="001B28FE"/>
    <w:rsid w:val="001C3346"/>
    <w:rsid w:val="0020285B"/>
    <w:rsid w:val="00264C7E"/>
    <w:rsid w:val="002834DD"/>
    <w:rsid w:val="00284F0C"/>
    <w:rsid w:val="002A711C"/>
    <w:rsid w:val="00304FC5"/>
    <w:rsid w:val="003227E1"/>
    <w:rsid w:val="003E1AF4"/>
    <w:rsid w:val="004357FA"/>
    <w:rsid w:val="004568CE"/>
    <w:rsid w:val="00470FFA"/>
    <w:rsid w:val="00477246"/>
    <w:rsid w:val="004B3C6D"/>
    <w:rsid w:val="004F4781"/>
    <w:rsid w:val="00504FBF"/>
    <w:rsid w:val="0051418F"/>
    <w:rsid w:val="005D4A80"/>
    <w:rsid w:val="00680B04"/>
    <w:rsid w:val="00684269"/>
    <w:rsid w:val="00702082"/>
    <w:rsid w:val="00752F3C"/>
    <w:rsid w:val="00753C46"/>
    <w:rsid w:val="007722C8"/>
    <w:rsid w:val="007B3E91"/>
    <w:rsid w:val="007E7D72"/>
    <w:rsid w:val="007F6770"/>
    <w:rsid w:val="00863F83"/>
    <w:rsid w:val="008C6715"/>
    <w:rsid w:val="008E5234"/>
    <w:rsid w:val="008F1550"/>
    <w:rsid w:val="009045C4"/>
    <w:rsid w:val="00932CB3"/>
    <w:rsid w:val="00943AF0"/>
    <w:rsid w:val="00950FFE"/>
    <w:rsid w:val="009B2D0B"/>
    <w:rsid w:val="009C6B1C"/>
    <w:rsid w:val="009D11F9"/>
    <w:rsid w:val="00A30BD1"/>
    <w:rsid w:val="00A45C6B"/>
    <w:rsid w:val="00A462C8"/>
    <w:rsid w:val="00A9100C"/>
    <w:rsid w:val="00AC5EA9"/>
    <w:rsid w:val="00AE16F9"/>
    <w:rsid w:val="00B014EE"/>
    <w:rsid w:val="00B4001D"/>
    <w:rsid w:val="00D22281"/>
    <w:rsid w:val="00D24FF0"/>
    <w:rsid w:val="00D2541D"/>
    <w:rsid w:val="00D32BB6"/>
    <w:rsid w:val="00DB5116"/>
    <w:rsid w:val="00DC29B7"/>
    <w:rsid w:val="00E124E0"/>
    <w:rsid w:val="00E17343"/>
    <w:rsid w:val="00E22861"/>
    <w:rsid w:val="00E51AD5"/>
    <w:rsid w:val="00ED6B8F"/>
    <w:rsid w:val="00F210E8"/>
    <w:rsid w:val="00F76519"/>
    <w:rsid w:val="00F92FCC"/>
    <w:rsid w:val="00FF3504"/>
    <w:rsid w:val="00F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7B604D"/>
  <w15:chartTrackingRefBased/>
  <w15:docId w15:val="{7BFDCFDD-240B-4707-94EE-925444C0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9C6B1C"/>
    <w:rPr>
      <w:lang w:val="en-US"/>
    </w:rPr>
  </w:style>
  <w:style w:type="paragraph" w:customStyle="1" w:styleId="Corpo">
    <w:name w:val="Corpo"/>
    <w:link w:val="CorpoChar"/>
    <w:rsid w:val="009C6B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CorpoChar">
    <w:name w:val="Corpo Char"/>
    <w:basedOn w:val="Carpredefinitoparagrafo"/>
    <w:link w:val="Corpo"/>
    <w:rsid w:val="009C6B1C"/>
    <w:rPr>
      <w:rFonts w:ascii="Calibri" w:eastAsia="Calibri" w:hAnsi="Calibri" w:cs="Calibri"/>
      <w:color w:val="000000"/>
      <w:sz w:val="24"/>
      <w:szCs w:val="24"/>
      <w:u w:color="000000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paragraph" w:styleId="Testocommento">
    <w:name w:val="annotation text"/>
    <w:link w:val="TestocommentoCarattere"/>
    <w:rsid w:val="009C6B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val="en-US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9C6B1C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C6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B1C"/>
  </w:style>
  <w:style w:type="paragraph" w:styleId="Pidipagina">
    <w:name w:val="footer"/>
    <w:basedOn w:val="Normale"/>
    <w:link w:val="PidipaginaCarattere"/>
    <w:uiPriority w:val="99"/>
    <w:unhideWhenUsed/>
    <w:rsid w:val="009C6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B1C"/>
  </w:style>
  <w:style w:type="paragraph" w:customStyle="1" w:styleId="EndNoteBibliographyTitle">
    <w:name w:val="EndNote Bibliography Title"/>
    <w:basedOn w:val="Normale"/>
    <w:link w:val="EndNoteBibliographyTitleCarattere"/>
    <w:rsid w:val="00470FFA"/>
    <w:pPr>
      <w:spacing w:after="0"/>
      <w:jc w:val="center"/>
    </w:pPr>
    <w:rPr>
      <w:rFonts w:ascii="Calibri" w:hAnsi="Calibri" w:cs="Calibri"/>
      <w:sz w:val="20"/>
      <w:lang w:val="en-US"/>
    </w:rPr>
  </w:style>
  <w:style w:type="character" w:customStyle="1" w:styleId="EndNoteBibliographyTitleCarattere">
    <w:name w:val="EndNote Bibliography Title Carattere"/>
    <w:basedOn w:val="TestocommentoCarattere"/>
    <w:link w:val="EndNoteBibliographyTitle"/>
    <w:rsid w:val="00470FFA"/>
    <w:rPr>
      <w:rFonts w:ascii="Calibri" w:eastAsia="Arial Unicode MS" w:hAnsi="Calibri" w:cs="Calibri"/>
      <w:color w:val="000000"/>
      <w:sz w:val="20"/>
      <w:szCs w:val="20"/>
      <w:u w:color="000000"/>
      <w:bdr w:val="nil"/>
      <w:lang w:val="en-US" w:eastAsia="it-IT"/>
    </w:rPr>
  </w:style>
  <w:style w:type="paragraph" w:customStyle="1" w:styleId="EndNoteBibliography">
    <w:name w:val="EndNote Bibliography"/>
    <w:basedOn w:val="Normale"/>
    <w:link w:val="EndNoteBibliographyCarattere"/>
    <w:rsid w:val="00470FFA"/>
    <w:pPr>
      <w:spacing w:line="240" w:lineRule="auto"/>
      <w:jc w:val="both"/>
    </w:pPr>
    <w:rPr>
      <w:rFonts w:ascii="Calibri" w:hAnsi="Calibri" w:cs="Calibri"/>
      <w:sz w:val="20"/>
      <w:lang w:val="en-US"/>
    </w:rPr>
  </w:style>
  <w:style w:type="character" w:customStyle="1" w:styleId="EndNoteBibliographyCarattere">
    <w:name w:val="EndNote Bibliography Carattere"/>
    <w:basedOn w:val="TestocommentoCarattere"/>
    <w:link w:val="EndNoteBibliography"/>
    <w:rsid w:val="00470FFA"/>
    <w:rPr>
      <w:rFonts w:ascii="Calibri" w:eastAsia="Arial Unicode MS" w:hAnsi="Calibri" w:cs="Calibri"/>
      <w:color w:val="000000"/>
      <w:sz w:val="20"/>
      <w:szCs w:val="20"/>
      <w:u w:color="000000"/>
      <w:bdr w:val="nil"/>
      <w:lang w:val="en-US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04FBF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4F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de-DE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4FBF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EB98CA-DCB2-411D-82C0-E72B0538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1848</Words>
  <Characters>10539</Characters>
  <Application>Microsoft Office Word</Application>
  <DocSecurity>0</DocSecurity>
  <Lines>87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MUI</Company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Marcazzan Sabrina</dc:creator>
  <cp:keywords/>
  <dc:description/>
  <cp:lastModifiedBy>Sabrina Marcazzan</cp:lastModifiedBy>
  <cp:revision>34</cp:revision>
  <dcterms:created xsi:type="dcterms:W3CDTF">2021-09-23T09:17:00Z</dcterms:created>
  <dcterms:modified xsi:type="dcterms:W3CDTF">2022-01-05T22:10:00Z</dcterms:modified>
</cp:coreProperties>
</file>