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5E676" w14:textId="322F360D" w:rsidR="00164072" w:rsidRDefault="00164072" w:rsidP="00164072">
      <w:pPr>
        <w:rPr>
          <w:rFonts w:cs="Arial"/>
          <w:sz w:val="24"/>
          <w:szCs w:val="24"/>
          <w:lang w:val="en-GB"/>
        </w:rPr>
      </w:pPr>
      <w:r>
        <w:rPr>
          <w:rFonts w:cs="Arial"/>
          <w:sz w:val="24"/>
          <w:szCs w:val="24"/>
          <w:lang w:val="en-GB"/>
        </w:rPr>
        <w:t>SUPPLEMENTARY MATERIALS 2</w:t>
      </w:r>
    </w:p>
    <w:p w14:paraId="7F3723E4" w14:textId="77777777" w:rsidR="00164072" w:rsidRDefault="00164072" w:rsidP="00164072">
      <w:pPr>
        <w:pStyle w:val="Title"/>
        <w:spacing w:before="240"/>
        <w:rPr>
          <w:rFonts w:ascii="Arial" w:hAnsi="Arial" w:cs="Arial"/>
          <w:sz w:val="48"/>
          <w:szCs w:val="48"/>
          <w:lang w:val="en-GB"/>
        </w:rPr>
      </w:pPr>
      <w:r>
        <w:rPr>
          <w:rFonts w:ascii="Arial" w:hAnsi="Arial" w:cs="Arial"/>
          <w:sz w:val="48"/>
          <w:szCs w:val="48"/>
          <w:lang w:val="en-GB"/>
        </w:rPr>
        <w:t>Genotypic and Phenotypic Characterisation of Hydrogenotrophic Denitrifiers</w:t>
      </w:r>
    </w:p>
    <w:p w14:paraId="0168D8AB" w14:textId="4BCEE01F" w:rsidR="00164072" w:rsidRDefault="00164072" w:rsidP="00164072">
      <w:pPr>
        <w:spacing w:before="240" w:line="240" w:lineRule="auto"/>
        <w:rPr>
          <w:rFonts w:cs="Arial"/>
          <w:lang w:val="de-DE"/>
        </w:rPr>
      </w:pPr>
      <w:r>
        <w:rPr>
          <w:rFonts w:cs="Arial"/>
          <w:lang w:val="de-DE"/>
        </w:rPr>
        <w:t>Clara Duffner</w:t>
      </w:r>
      <w:r>
        <w:rPr>
          <w:rFonts w:cs="Arial"/>
          <w:vertAlign w:val="superscript"/>
          <w:lang w:val="de-DE"/>
        </w:rPr>
        <w:t>1,2</w:t>
      </w:r>
      <w:r>
        <w:rPr>
          <w:rFonts w:cs="Arial"/>
          <w:lang w:val="de-DE"/>
        </w:rPr>
        <w:t>, Susanne Kublik</w:t>
      </w:r>
      <w:r>
        <w:rPr>
          <w:rFonts w:cs="Arial"/>
          <w:vertAlign w:val="superscript"/>
          <w:lang w:val="de-DE"/>
        </w:rPr>
        <w:t>2</w:t>
      </w:r>
      <w:r>
        <w:rPr>
          <w:rFonts w:cs="Arial"/>
          <w:lang w:val="de-DE"/>
        </w:rPr>
        <w:t>, Bärbel Fösel</w:t>
      </w:r>
      <w:r>
        <w:rPr>
          <w:rFonts w:cs="Arial"/>
          <w:vertAlign w:val="superscript"/>
          <w:lang w:val="de-DE"/>
        </w:rPr>
        <w:t>2</w:t>
      </w:r>
      <w:r>
        <w:rPr>
          <w:rFonts w:cs="Arial"/>
          <w:lang w:val="de-DE"/>
        </w:rPr>
        <w:t>, Åsa Frosteg</w:t>
      </w:r>
      <w:r>
        <w:rPr>
          <w:rFonts w:cstheme="minorHAnsi"/>
          <w:lang w:val="de-DE"/>
        </w:rPr>
        <w:t>å</w:t>
      </w:r>
      <w:r>
        <w:rPr>
          <w:rFonts w:cs="Arial"/>
          <w:lang w:val="de-DE"/>
        </w:rPr>
        <w:t>rd</w:t>
      </w:r>
      <w:r>
        <w:rPr>
          <w:rFonts w:cs="Arial"/>
          <w:vertAlign w:val="superscript"/>
          <w:lang w:val="de-DE"/>
        </w:rPr>
        <w:t>3</w:t>
      </w:r>
      <w:r>
        <w:rPr>
          <w:rFonts w:cs="Arial"/>
          <w:lang w:val="de-DE"/>
        </w:rPr>
        <w:t>, Michael Schloter</w:t>
      </w:r>
      <w:r>
        <w:rPr>
          <w:rFonts w:cs="Arial"/>
          <w:vertAlign w:val="superscript"/>
          <w:lang w:val="de-DE"/>
        </w:rPr>
        <w:t>1,2</w:t>
      </w:r>
      <w:r>
        <w:rPr>
          <w:rFonts w:cs="Arial"/>
          <w:lang w:val="de-DE"/>
        </w:rPr>
        <w:t>, Lars Bakken</w:t>
      </w:r>
      <w:r>
        <w:rPr>
          <w:rFonts w:cs="Arial"/>
          <w:vertAlign w:val="superscript"/>
          <w:lang w:val="de-DE"/>
        </w:rPr>
        <w:t>3</w:t>
      </w:r>
      <w:r>
        <w:rPr>
          <w:rFonts w:cs="Arial"/>
          <w:lang w:val="de-DE"/>
        </w:rPr>
        <w:t>, Stefanie Schulz</w:t>
      </w:r>
      <w:r>
        <w:rPr>
          <w:rFonts w:cs="Arial"/>
          <w:vertAlign w:val="superscript"/>
          <w:lang w:val="de-DE"/>
        </w:rPr>
        <w:t>2</w:t>
      </w:r>
    </w:p>
    <w:p w14:paraId="2E4CCEE5" w14:textId="77777777" w:rsidR="00164072" w:rsidRDefault="00164072" w:rsidP="00164072">
      <w:pPr>
        <w:rPr>
          <w:rFonts w:cs="Arial"/>
          <w:i/>
          <w:iCs/>
          <w:sz w:val="18"/>
          <w:szCs w:val="18"/>
          <w:lang w:val="en-GB"/>
        </w:rPr>
      </w:pPr>
      <w:r>
        <w:rPr>
          <w:rFonts w:cs="Arial"/>
          <w:i/>
          <w:iCs/>
          <w:sz w:val="18"/>
          <w:szCs w:val="18"/>
          <w:vertAlign w:val="superscript"/>
          <w:lang w:val="en-GB"/>
        </w:rPr>
        <w:t xml:space="preserve">1 </w:t>
      </w:r>
      <w:r>
        <w:rPr>
          <w:rFonts w:cs="Arial"/>
          <w:i/>
          <w:iCs/>
          <w:sz w:val="18"/>
          <w:szCs w:val="18"/>
          <w:lang w:val="en-GB"/>
        </w:rPr>
        <w:t xml:space="preserve">Chair of Soil Science, TUM School of Life Sciences </w:t>
      </w:r>
      <w:proofErr w:type="spellStart"/>
      <w:r>
        <w:rPr>
          <w:rFonts w:cs="Arial"/>
          <w:i/>
          <w:iCs/>
          <w:sz w:val="18"/>
          <w:szCs w:val="18"/>
          <w:lang w:val="en-GB"/>
        </w:rPr>
        <w:t>Weihenstephan</w:t>
      </w:r>
      <w:proofErr w:type="spellEnd"/>
      <w:r>
        <w:rPr>
          <w:rFonts w:cs="Arial"/>
          <w:i/>
          <w:iCs/>
          <w:sz w:val="18"/>
          <w:szCs w:val="18"/>
          <w:lang w:val="en-GB"/>
        </w:rPr>
        <w:t xml:space="preserve">, Technical University of Munich, </w:t>
      </w:r>
      <w:proofErr w:type="spellStart"/>
      <w:r>
        <w:rPr>
          <w:rFonts w:cs="Arial"/>
          <w:i/>
          <w:iCs/>
          <w:sz w:val="18"/>
          <w:szCs w:val="18"/>
          <w:lang w:val="en-GB"/>
        </w:rPr>
        <w:t>Freising</w:t>
      </w:r>
      <w:proofErr w:type="spellEnd"/>
      <w:r>
        <w:rPr>
          <w:rFonts w:cs="Arial"/>
          <w:i/>
          <w:iCs/>
          <w:sz w:val="18"/>
          <w:szCs w:val="18"/>
          <w:lang w:val="en-GB"/>
        </w:rPr>
        <w:t xml:space="preserve">, Germany, </w:t>
      </w:r>
      <w:r>
        <w:rPr>
          <w:rFonts w:cs="Arial"/>
          <w:i/>
          <w:iCs/>
          <w:sz w:val="18"/>
          <w:szCs w:val="18"/>
          <w:vertAlign w:val="superscript"/>
          <w:lang w:val="en-GB"/>
        </w:rPr>
        <w:t xml:space="preserve">2 </w:t>
      </w:r>
      <w:r>
        <w:rPr>
          <w:rFonts w:cs="Arial"/>
          <w:i/>
          <w:iCs/>
          <w:sz w:val="18"/>
          <w:szCs w:val="18"/>
          <w:lang w:val="en-GB"/>
        </w:rPr>
        <w:t xml:space="preserve">Research Unit Comparative Microbiome Analysis, Helmholtz Centre Munich, </w:t>
      </w:r>
      <w:proofErr w:type="spellStart"/>
      <w:r>
        <w:rPr>
          <w:rFonts w:cs="Arial"/>
          <w:i/>
          <w:iCs/>
          <w:sz w:val="18"/>
          <w:szCs w:val="18"/>
          <w:lang w:val="en-GB"/>
        </w:rPr>
        <w:t>Neuherberg</w:t>
      </w:r>
      <w:proofErr w:type="spellEnd"/>
      <w:r>
        <w:rPr>
          <w:rFonts w:cs="Arial"/>
          <w:i/>
          <w:iCs/>
          <w:sz w:val="18"/>
          <w:szCs w:val="18"/>
          <w:lang w:val="en-GB"/>
        </w:rPr>
        <w:t xml:space="preserve">, Germany, </w:t>
      </w:r>
      <w:r>
        <w:rPr>
          <w:rFonts w:cs="Arial"/>
          <w:i/>
          <w:iCs/>
          <w:sz w:val="18"/>
          <w:szCs w:val="18"/>
          <w:vertAlign w:val="superscript"/>
          <w:lang w:val="en-GB"/>
        </w:rPr>
        <w:t xml:space="preserve">3 </w:t>
      </w:r>
      <w:r>
        <w:rPr>
          <w:rFonts w:cs="Arial"/>
          <w:i/>
          <w:iCs/>
          <w:sz w:val="18"/>
          <w:szCs w:val="18"/>
        </w:rPr>
        <w:t xml:space="preserve">Department of Chemistry, Biotechnology and Food Sciences, Norwegian University of Life Sciences, </w:t>
      </w:r>
      <w:proofErr w:type="spellStart"/>
      <w:r>
        <w:rPr>
          <w:rFonts w:cs="Arial"/>
          <w:i/>
          <w:iCs/>
          <w:sz w:val="18"/>
          <w:szCs w:val="18"/>
        </w:rPr>
        <w:t>Ås</w:t>
      </w:r>
      <w:proofErr w:type="spellEnd"/>
      <w:r>
        <w:rPr>
          <w:rFonts w:cs="Arial"/>
          <w:i/>
          <w:iCs/>
          <w:sz w:val="18"/>
          <w:szCs w:val="18"/>
        </w:rPr>
        <w:t>,</w:t>
      </w:r>
      <w:r>
        <w:rPr>
          <w:rFonts w:cs="Arial"/>
          <w:i/>
          <w:iCs/>
          <w:sz w:val="18"/>
          <w:szCs w:val="18"/>
          <w:lang w:val="en-GB"/>
        </w:rPr>
        <w:t xml:space="preserve"> </w:t>
      </w:r>
      <w:r>
        <w:rPr>
          <w:rFonts w:cs="Arial"/>
          <w:i/>
          <w:iCs/>
          <w:sz w:val="18"/>
          <w:szCs w:val="18"/>
        </w:rPr>
        <w:t>Norway</w:t>
      </w:r>
      <w:r>
        <w:rPr>
          <w:rFonts w:cs="Arial"/>
          <w:i/>
          <w:iCs/>
          <w:sz w:val="18"/>
          <w:szCs w:val="18"/>
          <w:lang w:val="en-GB"/>
        </w:rPr>
        <w:t>.</w:t>
      </w:r>
    </w:p>
    <w:p w14:paraId="53A9F890" w14:textId="77777777" w:rsidR="00164072" w:rsidRDefault="00164072" w:rsidP="00164072">
      <w:pPr>
        <w:pBdr>
          <w:bottom w:val="single" w:sz="4" w:space="0" w:color="auto"/>
        </w:pBdr>
        <w:spacing w:line="240" w:lineRule="auto"/>
        <w:rPr>
          <w:rFonts w:cs="Arial"/>
          <w:sz w:val="18"/>
          <w:szCs w:val="18"/>
          <w:lang w:val="en-GB"/>
        </w:rPr>
      </w:pPr>
      <w:r>
        <w:rPr>
          <w:rFonts w:cs="Arial"/>
          <w:sz w:val="18"/>
          <w:szCs w:val="16"/>
          <w:lang w:val="en-GB"/>
        </w:rPr>
        <w:t>*</w:t>
      </w:r>
      <w:r>
        <w:rPr>
          <w:rFonts w:cs="Arial"/>
          <w:b/>
          <w:bCs/>
          <w:sz w:val="18"/>
          <w:szCs w:val="16"/>
          <w:lang w:val="en-GB"/>
        </w:rPr>
        <w:t xml:space="preserve">Corresponding </w:t>
      </w:r>
      <w:r>
        <w:rPr>
          <w:rFonts w:cs="Arial"/>
          <w:b/>
          <w:bCs/>
          <w:sz w:val="18"/>
          <w:szCs w:val="18"/>
          <w:lang w:val="en-GB"/>
        </w:rPr>
        <w:t>author:</w:t>
      </w:r>
      <w:r>
        <w:rPr>
          <w:rFonts w:cs="Arial"/>
          <w:sz w:val="18"/>
          <w:szCs w:val="18"/>
          <w:lang w:val="en-GB"/>
        </w:rPr>
        <w:t xml:space="preserve"> Phone: +49 89 3187 3054; E-Mail: stefanie.schulz@helmholtz</w:t>
      </w:r>
      <w:r>
        <w:rPr>
          <w:rFonts w:cs="Arial"/>
          <w:sz w:val="18"/>
          <w:szCs w:val="18"/>
          <w:lang w:val="en-GB"/>
        </w:rPr>
        <w:noBreakHyphen/>
        <w:t>muenchen.de</w:t>
      </w:r>
    </w:p>
    <w:p w14:paraId="3AB19BB2" w14:textId="77777777" w:rsidR="00164072" w:rsidRDefault="00164072" w:rsidP="00164072">
      <w:pPr>
        <w:pBdr>
          <w:bottom w:val="single" w:sz="4" w:space="0" w:color="auto"/>
        </w:pBdr>
        <w:spacing w:line="240" w:lineRule="auto"/>
        <w:rPr>
          <w:rFonts w:cs="Arial"/>
          <w:szCs w:val="20"/>
          <w:lang w:val="en-GB"/>
        </w:rPr>
      </w:pPr>
      <w:r>
        <w:rPr>
          <w:rFonts w:cs="Arial"/>
          <w:b/>
          <w:bCs/>
          <w:szCs w:val="20"/>
          <w:lang w:val="en-GB"/>
        </w:rPr>
        <w:t xml:space="preserve">One sentence summary:  </w:t>
      </w:r>
      <w:r>
        <w:rPr>
          <w:rFonts w:cs="Arial"/>
          <w:szCs w:val="20"/>
          <w:lang w:val="en-GB"/>
        </w:rPr>
        <w:t xml:space="preserve">Isolation and characterisation, with a focus on intermediate accumulation during denitrification, of the complete hydrogenotrophic denitrifiers </w:t>
      </w:r>
      <w:r>
        <w:rPr>
          <w:rFonts w:cs="Arial"/>
          <w:i/>
          <w:iCs/>
          <w:szCs w:val="20"/>
          <w:lang w:val="en-GB"/>
        </w:rPr>
        <w:t>Ferribacterium limneticum</w:t>
      </w:r>
      <w:r>
        <w:rPr>
          <w:rFonts w:cs="Arial"/>
          <w:szCs w:val="20"/>
          <w:lang w:val="en-GB"/>
        </w:rPr>
        <w:t xml:space="preserve">, </w:t>
      </w:r>
      <w:r>
        <w:rPr>
          <w:rFonts w:cs="Arial"/>
          <w:i/>
          <w:iCs/>
          <w:szCs w:val="20"/>
          <w:lang w:val="en-GB"/>
        </w:rPr>
        <w:t>Dechloromonas denitrificans</w:t>
      </w:r>
      <w:r>
        <w:rPr>
          <w:rFonts w:cs="Arial"/>
          <w:szCs w:val="20"/>
          <w:lang w:val="en-GB"/>
        </w:rPr>
        <w:t xml:space="preserve">, and </w:t>
      </w:r>
      <w:r>
        <w:rPr>
          <w:rFonts w:cs="Arial"/>
          <w:i/>
          <w:iCs/>
          <w:szCs w:val="20"/>
          <w:lang w:val="en-GB"/>
        </w:rPr>
        <w:t>Hydrogenophaga taeniospiralis</w:t>
      </w:r>
      <w:r>
        <w:rPr>
          <w:rFonts w:cs="Arial"/>
          <w:szCs w:val="20"/>
          <w:lang w:val="en-GB"/>
        </w:rPr>
        <w:t>.</w:t>
      </w:r>
    </w:p>
    <w:p w14:paraId="4AAEC2B2" w14:textId="77777777" w:rsidR="00164072" w:rsidRDefault="00164072" w:rsidP="00164072">
      <w:pPr>
        <w:pBdr>
          <w:bottom w:val="single" w:sz="4" w:space="0" w:color="auto"/>
        </w:pBdr>
        <w:spacing w:line="240" w:lineRule="auto"/>
        <w:rPr>
          <w:rFonts w:cs="Arial"/>
          <w:szCs w:val="20"/>
          <w:lang w:val="en-GB"/>
        </w:rPr>
      </w:pPr>
      <w:r>
        <w:rPr>
          <w:rFonts w:cs="Arial"/>
          <w:b/>
          <w:bCs/>
          <w:szCs w:val="20"/>
          <w:lang w:val="en-GB"/>
        </w:rPr>
        <w:t>Keywords</w:t>
      </w:r>
      <w:r>
        <w:rPr>
          <w:rFonts w:cs="Arial"/>
          <w:szCs w:val="20"/>
          <w:lang w:val="en-GB"/>
        </w:rPr>
        <w:t>: genome sequencing, denitrification phenotype, denitrification reductases, Rubisco, hydrogenases</w:t>
      </w:r>
    </w:p>
    <w:p w14:paraId="01F833AE" w14:textId="77777777" w:rsidR="00164072" w:rsidRDefault="00164072">
      <w:pPr>
        <w:rPr>
          <w:lang w:val="en-GB"/>
        </w:rPr>
      </w:pPr>
    </w:p>
    <w:p w14:paraId="2D7007FF" w14:textId="09D252E3" w:rsidR="002B2912" w:rsidRDefault="0085462F" w:rsidP="0085462F">
      <w:pPr>
        <w:pStyle w:val="Heading2"/>
        <w:rPr>
          <w:lang w:val="en-GB"/>
        </w:rPr>
      </w:pPr>
      <w:r>
        <w:rPr>
          <w:lang w:val="en-GB"/>
        </w:rPr>
        <w:t>Detection</w:t>
      </w:r>
      <w:r w:rsidR="00164072">
        <w:rPr>
          <w:lang w:val="en-GB"/>
        </w:rPr>
        <w:t xml:space="preserve"> and classification of denitrification reductase, hydrogenase, and Rubisco genes:</w:t>
      </w:r>
    </w:p>
    <w:p w14:paraId="64C28024" w14:textId="77777777" w:rsidR="0085462F" w:rsidRPr="0085462F" w:rsidRDefault="0085462F" w:rsidP="0085462F">
      <w:pPr>
        <w:rPr>
          <w:lang w:val="en-GB"/>
        </w:rPr>
      </w:pPr>
    </w:p>
    <w:p w14:paraId="380FEE5E" w14:textId="3E3CCB86" w:rsidR="00164072" w:rsidRDefault="00164072" w:rsidP="0085462F">
      <w:pPr>
        <w:spacing w:line="480" w:lineRule="auto"/>
        <w:jc w:val="both"/>
        <w:rPr>
          <w:lang w:val="en-GB"/>
        </w:rPr>
      </w:pPr>
      <w:r>
        <w:rPr>
          <w:lang w:val="en-GB"/>
        </w:rPr>
        <w:t>Denitrification reductase genes including the respective gene-specific domain listed in table S</w:t>
      </w:r>
      <w:r w:rsidR="00796948">
        <w:rPr>
          <w:lang w:val="en-GB"/>
        </w:rPr>
        <w:t>2-1</w:t>
      </w:r>
      <w:r>
        <w:rPr>
          <w:lang w:val="en-GB"/>
        </w:rPr>
        <w:t xml:space="preserve">, verified by a search against the conserved domain database </w:t>
      </w:r>
      <w:r>
        <w:rPr>
          <w:lang w:val="en-GB"/>
        </w:rPr>
        <w:fldChar w:fldCharType="begin"/>
      </w:r>
      <w:r>
        <w:rPr>
          <w:lang w:val="en-GB"/>
        </w:rPr>
        <w:instrText xml:space="preserve"> ADDIN EN.CITE &lt;EndNote&gt;&lt;Cite&gt;&lt;Author&gt;Lu&lt;/Author&gt;&lt;Year&gt;2020&lt;/Year&gt;&lt;RecNum&gt;223&lt;/RecNum&gt;&lt;DisplayText&gt;(Lu&lt;style face="italic"&gt; et al.&lt;/style&gt;, 2020)&lt;/DisplayText&gt;&lt;record&gt;&lt;rec-number&gt;223&lt;/rec-number&gt;&lt;foreign-keys&gt;&lt;key app="EN" db-id="w2sps055ka5a58ezszn5tdfpezef5r9wfr20" timestamp="1616689883"&gt;223&lt;/key&gt;&lt;/foreign-keys&gt;&lt;ref-type name="Journal Article"&gt;17&lt;/ref-type&gt;&lt;contributors&gt;&lt;authors&gt;&lt;author&gt;Lu, Shennan&lt;/author&gt;&lt;author&gt;Wang, Jiyao&lt;/author&gt;&lt;author&gt;Chitsaz, Farideh&lt;/author&gt;&lt;author&gt;Derbyshire, Myra K.&lt;/author&gt;&lt;author&gt;Geer, Renata C.&lt;/author&gt;&lt;author&gt;Gonzales, Noreen R.&lt;/author&gt;&lt;author&gt;Gwadz, Marc&lt;/author&gt;&lt;author&gt;Hurwitz, David I.&lt;/author&gt;&lt;author&gt;Marchler, Gabriele H.&lt;/author&gt;&lt;author&gt;Song, James S.&lt;/author&gt;&lt;author&gt;Thanki, Narmada&lt;/author&gt;&lt;author&gt;Yamashita, Roxanne A.&lt;/author&gt;&lt;author&gt;Yang, Mingzhang&lt;/author&gt;&lt;author&gt;Zhang, Dachuan&lt;/author&gt;&lt;author&gt;Zheng, Chanjuan&lt;/author&gt;&lt;author&gt;Lanczycki, Christopher J.&lt;/author&gt;&lt;author&gt;Marchler-Bauer, Aron&lt;/author&gt;&lt;/authors&gt;&lt;/contributors&gt;&lt;titles&gt;&lt;title&gt;CDD/SPARCLE: the conserved domain database in 2020&lt;/title&gt;&lt;secondary-title&gt;Nucleic acids research&lt;/secondary-title&gt;&lt;alt-title&gt;Nucleic Acids Res&lt;/alt-title&gt;&lt;/titles&gt;&lt;periodical&gt;&lt;full-title&gt;Nucleic Acids Research&lt;/full-title&gt;&lt;/periodical&gt;&lt;pages&gt;D265-D268&lt;/pages&gt;&lt;volume&gt;48&lt;/volume&gt;&lt;number&gt;D1&lt;/number&gt;&lt;keywords&gt;&lt;keyword&gt;Amino Acid Sequence&lt;/keyword&gt;&lt;keyword&gt;Conserved Sequence&lt;/keyword&gt;&lt;keyword&gt;*Databases, Protein&lt;/keyword&gt;&lt;keyword&gt;*Protein Domains&lt;/keyword&gt;&lt;/keywords&gt;&lt;dates&gt;&lt;year&gt;2020&lt;/year&gt;&lt;/dates&gt;&lt;publisher&gt;Oxford University Press&lt;/publisher&gt;&lt;isbn&gt;1362-4962&amp;#xD;0305-1048&lt;/isbn&gt;&lt;accession-num&gt;31777944&lt;/accession-num&gt;&lt;urls&gt;&lt;related-urls&gt;&lt;url&gt;https://pubmed.ncbi.nlm.nih.gov/31777944&lt;/url&gt;&lt;url&gt;https://www.ncbi.nlm.nih.gov/pmc/articles/PMC6943070/&lt;/url&gt;&lt;/related-urls&gt;&lt;/urls&gt;&lt;electronic-resource-num&gt;10.1093/nar/gkz991&lt;/electronic-resource-num&gt;&lt;remote-database-name&gt;PubMed&lt;/remote-database-name&gt;&lt;language&gt;eng&lt;/language&gt;&lt;/record&gt;&lt;/Cite&gt;&lt;/EndNote&gt;</w:instrText>
      </w:r>
      <w:r>
        <w:rPr>
          <w:lang w:val="en-GB"/>
        </w:rPr>
        <w:fldChar w:fldCharType="separate"/>
      </w:r>
      <w:r>
        <w:rPr>
          <w:noProof/>
          <w:lang w:val="en-GB"/>
        </w:rPr>
        <w:t>(Lu</w:t>
      </w:r>
      <w:r>
        <w:rPr>
          <w:i/>
          <w:noProof/>
          <w:lang w:val="en-GB"/>
        </w:rPr>
        <w:t xml:space="preserve"> et al.</w:t>
      </w:r>
      <w:r>
        <w:rPr>
          <w:noProof/>
          <w:lang w:val="en-GB"/>
        </w:rPr>
        <w:t>, 2020)</w:t>
      </w:r>
      <w:r>
        <w:rPr>
          <w:lang w:val="en-GB"/>
        </w:rPr>
        <w:fldChar w:fldCharType="end"/>
      </w:r>
      <w:r>
        <w:rPr>
          <w:lang w:val="en-GB"/>
        </w:rPr>
        <w:t xml:space="preserve">, were further considered. Also, clade I </w:t>
      </w:r>
      <w:proofErr w:type="spellStart"/>
      <w:r>
        <w:rPr>
          <w:i/>
          <w:iCs/>
          <w:lang w:val="en-GB"/>
        </w:rPr>
        <w:t>nosZ</w:t>
      </w:r>
      <w:proofErr w:type="spellEnd"/>
      <w:r>
        <w:rPr>
          <w:lang w:val="en-GB"/>
        </w:rPr>
        <w:t xml:space="preserve"> (</w:t>
      </w:r>
      <w:proofErr w:type="gramStart"/>
      <w:r>
        <w:rPr>
          <w:lang w:val="en-GB"/>
        </w:rPr>
        <w:t>domain</w:t>
      </w:r>
      <w:proofErr w:type="gramEnd"/>
      <w:r>
        <w:rPr>
          <w:lang w:val="en-GB"/>
        </w:rPr>
        <w:t xml:space="preserve"> accession PRK02888) could thereby be differentiated from clade II </w:t>
      </w:r>
      <w:proofErr w:type="spellStart"/>
      <w:r>
        <w:rPr>
          <w:i/>
          <w:iCs/>
          <w:lang w:val="en-GB"/>
        </w:rPr>
        <w:t>nosZ</w:t>
      </w:r>
      <w:proofErr w:type="spellEnd"/>
      <w:r>
        <w:rPr>
          <w:lang w:val="en-GB"/>
        </w:rPr>
        <w:t xml:space="preserve"> (domain accession TIGR04246).</w:t>
      </w:r>
      <w:r>
        <w:rPr>
          <w:rFonts w:eastAsia="Times New Roman" w:cs="Arial"/>
          <w:sz w:val="18"/>
          <w:szCs w:val="18"/>
          <w:lang w:val="en-GB"/>
        </w:rPr>
        <w:t xml:space="preserve"> </w:t>
      </w:r>
      <w:r>
        <w:rPr>
          <w:lang w:val="en-GB"/>
        </w:rPr>
        <w:t xml:space="preserve">The </w:t>
      </w:r>
      <w:proofErr w:type="spellStart"/>
      <w:r>
        <w:rPr>
          <w:i/>
          <w:iCs/>
          <w:lang w:val="en-GB"/>
        </w:rPr>
        <w:t>norB</w:t>
      </w:r>
      <w:proofErr w:type="spellEnd"/>
      <w:r>
        <w:rPr>
          <w:lang w:val="en-GB"/>
        </w:rPr>
        <w:t xml:space="preserve"> annotated genes were differentiated by incorporating the annotated sequences in a maximum-likelihood phylogenetic tree (MEGA-X, </w:t>
      </w:r>
      <w:r>
        <w:rPr>
          <w:lang w:val="en-GB"/>
        </w:rPr>
        <w:fldChar w:fldCharType="begin"/>
      </w:r>
      <w:r>
        <w:rPr>
          <w:lang w:val="en-GB"/>
        </w:rPr>
        <w:instrText xml:space="preserve"> ADDIN EN.CITE &lt;EndNote&gt;&lt;Cite AuthorYear="1"&gt;&lt;Author&gt;Kumar&lt;/Author&gt;&lt;Year&gt;2018&lt;/Year&gt;&lt;RecNum&gt;138&lt;/RecNum&gt;&lt;DisplayText&gt;Kumar&lt;style face="italic"&gt; et al.&lt;/style&gt; (2018)&lt;/DisplayText&gt;&lt;record&gt;&lt;rec-number&gt;138&lt;/rec-number&gt;&lt;foreign-keys&gt;&lt;key app="EN" db-id="w2sps055ka5a58ezszn5tdfpezef5r9wfr20" timestamp="1585557445"&gt;138&lt;/key&gt;&lt;/foreign-keys&gt;&lt;ref-type name="Journal Article"&gt;17&lt;/ref-type&gt;&lt;contributors&gt;&lt;authors&gt;&lt;author&gt;Kumar, Sudhir&lt;/author&gt;&lt;author&gt;Stecher, Glen&lt;/author&gt;&lt;author&gt;Li, Michael&lt;/author&gt;&lt;author&gt;Knyaz, Christina&lt;/author&gt;&lt;author&gt;Tamura, Koichiro&lt;/author&gt;&lt;/authors&gt;&lt;/contributors&gt;&lt;titles&gt;&lt;title&gt;MEGA X: Molecular Evolutionary Genetics Analysis across Computing Platforms&lt;/title&gt;&lt;secondary-title&gt;Molecular biology and evolution&lt;/secondary-title&gt;&lt;alt-title&gt;Mol Biol Evol&lt;/alt-title&gt;&lt;/titles&gt;&lt;periodical&gt;&lt;full-title&gt;Molecular biology and evolution&lt;/full-title&gt;&lt;abbr-1&gt;Mol Biol Evol&lt;/abbr-1&gt;&lt;/periodical&gt;&lt;alt-periodical&gt;&lt;full-title&gt;Molecular biology and evolution&lt;/full-title&gt;&lt;abbr-1&gt;Mol Biol Evol&lt;/abbr-1&gt;&lt;/alt-periodical&gt;&lt;pages&gt;1547-1549&lt;/pages&gt;&lt;volume&gt;35&lt;/volume&gt;&lt;number&gt;6&lt;/number&gt;&lt;keywords&gt;&lt;keyword&gt;*Evolution, Molecular&lt;/keyword&gt;&lt;keyword&gt;*Genetic Techniques&lt;/keyword&gt;&lt;keyword&gt;Phylogeny&lt;/keyword&gt;&lt;keyword&gt;*Software&lt;/keyword&gt;&lt;/keywords&gt;&lt;dates&gt;&lt;year&gt;2018&lt;/year&gt;&lt;/dates&gt;&lt;publisher&gt;Oxford University Press&lt;/publisher&gt;&lt;isbn&gt;1537-1719&amp;#xD;0737-4038&lt;/isbn&gt;&lt;accession-num&gt;29722887&lt;/accession-num&gt;&lt;urls&gt;&lt;related-urls&gt;&lt;url&gt;https://pubmed.ncbi.nlm.nih.gov/29722887&lt;/url&gt;&lt;url&gt;https://www.ncbi.nlm.nih.gov/pmc/articles/PMC5967553/&lt;/url&gt;&lt;/related-urls&gt;&lt;/urls&gt;&lt;electronic-resource-num&gt;10.1093/molbev/msy096&lt;/electronic-resource-num&gt;&lt;remote-database-name&gt;PubMed&lt;/remote-database-name&gt;&lt;language&gt;eng&lt;/language&gt;&lt;/record&gt;&lt;/Cite&gt;&lt;/EndNote&gt;</w:instrText>
      </w:r>
      <w:r>
        <w:rPr>
          <w:lang w:val="en-GB"/>
        </w:rPr>
        <w:fldChar w:fldCharType="separate"/>
      </w:r>
      <w:r>
        <w:rPr>
          <w:noProof/>
          <w:lang w:val="en-GB"/>
        </w:rPr>
        <w:t>Kumar</w:t>
      </w:r>
      <w:r>
        <w:rPr>
          <w:i/>
          <w:noProof/>
          <w:lang w:val="en-GB"/>
        </w:rPr>
        <w:t xml:space="preserve"> et al.</w:t>
      </w:r>
      <w:r>
        <w:rPr>
          <w:noProof/>
          <w:lang w:val="en-GB"/>
        </w:rPr>
        <w:t xml:space="preserve"> (2018)</w:t>
      </w:r>
      <w:r>
        <w:rPr>
          <w:lang w:val="en-GB"/>
        </w:rPr>
        <w:fldChar w:fldCharType="end"/>
      </w:r>
      <w:r>
        <w:rPr>
          <w:lang w:val="en-GB"/>
        </w:rPr>
        <w:t xml:space="preserve">) with classified </w:t>
      </w:r>
      <w:proofErr w:type="spellStart"/>
      <w:r>
        <w:rPr>
          <w:i/>
          <w:iCs/>
          <w:lang w:val="en-GB"/>
        </w:rPr>
        <w:t>cnorB</w:t>
      </w:r>
      <w:proofErr w:type="spellEnd"/>
      <w:r>
        <w:rPr>
          <w:lang w:val="en-GB"/>
        </w:rPr>
        <w:t xml:space="preserve"> and </w:t>
      </w:r>
      <w:proofErr w:type="spellStart"/>
      <w:r>
        <w:rPr>
          <w:i/>
          <w:iCs/>
          <w:lang w:val="en-GB"/>
        </w:rPr>
        <w:t>qnorB</w:t>
      </w:r>
      <w:proofErr w:type="spellEnd"/>
      <w:r>
        <w:rPr>
          <w:lang w:val="en-GB"/>
        </w:rPr>
        <w:t xml:space="preserve"> sequences (</w:t>
      </w:r>
      <w:proofErr w:type="spellStart"/>
      <w:r>
        <w:rPr>
          <w:lang w:val="en-GB"/>
        </w:rPr>
        <w:t>Genbank</w:t>
      </w:r>
      <w:proofErr w:type="spellEnd"/>
      <w:r>
        <w:rPr>
          <w:lang w:val="en-GB"/>
        </w:rPr>
        <w:t xml:space="preserve"> AJ507329-AJ507380) from </w:t>
      </w:r>
      <w:r>
        <w:rPr>
          <w:lang w:val="en-GB"/>
        </w:rPr>
        <w:fldChar w:fldCharType="begin">
          <w:fldData xml:space="preserve">PEVuZE5vdGU+PENpdGUgQXV0aG9yWWVhcj0iMSI+PEF1dGhvcj5CcmFrZXI8L0F1dGhvcj48WWVh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</w:fldData>
        </w:fldChar>
      </w:r>
      <w:r>
        <w:rPr>
          <w:lang w:val="en-GB"/>
        </w:rPr>
        <w:instrText xml:space="preserve"> ADDIN EN.CITE </w:instrText>
      </w:r>
      <w:r>
        <w:rPr>
          <w:lang w:val="en-GB"/>
        </w:rPr>
        <w:fldChar w:fldCharType="begin">
          <w:fldData xml:space="preserve">PEVuZE5vdGU+PENpdGUgQXV0aG9yWWVhcj0iMSI+PEF1dGhvcj5CcmFrZXI8L0F1dGhvcj48WWVh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</w:fldData>
        </w:fldChar>
      </w:r>
      <w:r>
        <w:rPr>
          <w:lang w:val="en-GB"/>
        </w:rPr>
        <w:instrText xml:space="preserve"> ADDIN EN.CITE.DATA </w:instrText>
      </w:r>
      <w:r>
        <w:rPr>
          <w:lang w:val="en-GB"/>
        </w:rPr>
      </w:r>
      <w:r>
        <w:rPr>
          <w:lang w:val="en-GB"/>
        </w:rPr>
        <w:fldChar w:fldCharType="end"/>
      </w:r>
      <w:r>
        <w:rPr>
          <w:lang w:val="en-GB"/>
        </w:rPr>
      </w:r>
      <w:r>
        <w:rPr>
          <w:lang w:val="en-GB"/>
        </w:rPr>
        <w:fldChar w:fldCharType="separate"/>
      </w:r>
      <w:r>
        <w:rPr>
          <w:noProof/>
          <w:lang w:val="en-GB"/>
        </w:rPr>
        <w:t>Braker &amp;  Tiedje (2003)</w:t>
      </w:r>
      <w:r>
        <w:rPr>
          <w:lang w:val="en-GB"/>
        </w:rPr>
        <w:fldChar w:fldCharType="end"/>
      </w:r>
      <w:r>
        <w:rPr>
          <w:lang w:val="en-GB"/>
        </w:rPr>
        <w:t>.</w:t>
      </w:r>
      <w:r>
        <w:rPr>
          <w:rFonts w:eastAsia="Times New Roman" w:cs="Arial"/>
          <w:sz w:val="18"/>
          <w:szCs w:val="18"/>
          <w:lang w:val="en-GB"/>
        </w:rPr>
        <w:t xml:space="preserve"> </w:t>
      </w:r>
      <w:r>
        <w:rPr>
          <w:lang w:val="en-GB"/>
        </w:rPr>
        <w:t xml:space="preserve">The Rubisco genes were identified by Hidden Markov Model (HMM) search (HMMER 3.3, </w:t>
      </w:r>
      <w:hyperlink r:id="rId4" w:history="1">
        <w:r>
          <w:rPr>
            <w:rStyle w:val="Hyperlink"/>
            <w:lang w:val="en-GB"/>
          </w:rPr>
          <w:t>http://hmmer.org/</w:t>
        </w:r>
      </w:hyperlink>
      <w:r>
        <w:rPr>
          <w:lang w:val="en-GB"/>
        </w:rPr>
        <w:t xml:space="preserve">) with the </w:t>
      </w:r>
      <w:proofErr w:type="spellStart"/>
      <w:r>
        <w:rPr>
          <w:lang w:val="en-GB"/>
        </w:rPr>
        <w:t>Pfam</w:t>
      </w:r>
      <w:proofErr w:type="spellEnd"/>
      <w:r>
        <w:rPr>
          <w:lang w:val="en-GB"/>
        </w:rPr>
        <w:t xml:space="preserve"> HMMs PF00016 (</w:t>
      </w:r>
      <w:r>
        <w:rPr>
          <w:iCs/>
          <w:lang w:val="en-GB"/>
        </w:rPr>
        <w:t>large subunit</w:t>
      </w:r>
      <w:r>
        <w:rPr>
          <w:lang w:val="en-GB"/>
        </w:rPr>
        <w:t>) and PF00101 (</w:t>
      </w:r>
      <w:r>
        <w:rPr>
          <w:iCs/>
          <w:lang w:val="en-GB"/>
        </w:rPr>
        <w:t>small subunit</w:t>
      </w:r>
      <w:r>
        <w:rPr>
          <w:lang w:val="en-GB"/>
        </w:rPr>
        <w:t xml:space="preserve">). The hits were verified and classified (form IA, IC, II) by determining their position within a maximum-likelihood tree (MEGA-X, </w:t>
      </w:r>
      <w:r>
        <w:rPr>
          <w:lang w:val="en-GB"/>
        </w:rPr>
        <w:fldChar w:fldCharType="begin"/>
      </w:r>
      <w:r>
        <w:rPr>
          <w:lang w:val="en-GB"/>
        </w:rPr>
        <w:instrText xml:space="preserve"> ADDIN EN.CITE &lt;EndNote&gt;&lt;Cite AuthorYear="1"&gt;&lt;Author&gt;Kumar&lt;/Author&gt;&lt;Year&gt;2018&lt;/Year&gt;&lt;RecNum&gt;138&lt;/RecNum&gt;&lt;DisplayText&gt;Kumar&lt;style face="italic"&gt; et al.&lt;/style&gt; (2018)&lt;/DisplayText&gt;&lt;record&gt;&lt;rec-number&gt;138&lt;/rec-number&gt;&lt;foreign-keys&gt;&lt;key app="EN" db-id="w2sps055ka5a58ezszn5tdfpezef5r9wfr20" timestamp="1585557445"&gt;138&lt;/key&gt;&lt;/foreign-keys&gt;&lt;ref-type name="Journal Article"&gt;17&lt;/ref-type&gt;&lt;contributors&gt;&lt;authors&gt;&lt;author&gt;Kumar, Sudhir&lt;/author&gt;&lt;author&gt;Stecher, Glen&lt;/author&gt;&lt;author&gt;Li, Michael&lt;/author&gt;&lt;author&gt;Knyaz, Christina&lt;/author&gt;&lt;author&gt;Tamura, Koichiro&lt;/author&gt;&lt;/authors&gt;&lt;/contributors&gt;&lt;titles&gt;&lt;title&gt;MEGA X: Molecular Evolutionary Genetics Analysis across Computing Platforms&lt;/title&gt;&lt;secondary-title&gt;Molecular biology and evolution&lt;/secondary-title&gt;&lt;alt-title&gt;Mol Biol Evol&lt;/alt-title&gt;&lt;/titles&gt;&lt;periodical&gt;&lt;full-title&gt;Molecular biology and evolution&lt;/full-title&gt;&lt;abbr-1&gt;Mol Biol Evol&lt;/abbr-1&gt;&lt;/periodical&gt;&lt;alt-periodical&gt;&lt;full-title&gt;Molecular biology and evolution&lt;/full-title&gt;&lt;abbr-1&gt;Mol Biol Evol&lt;/abbr-1&gt;&lt;/alt-periodical&gt;&lt;pages&gt;1547-1549&lt;/pages&gt;&lt;volume&gt;35&lt;/volume&gt;&lt;number&gt;6&lt;/number&gt;&lt;keywords&gt;&lt;keyword&gt;*Evolution, Molecular&lt;/keyword&gt;&lt;keyword&gt;*Genetic Techniques&lt;/keyword&gt;&lt;keyword&gt;Phylogeny&lt;/keyword&gt;&lt;keyword&gt;*Software&lt;/keyword&gt;&lt;/keywords&gt;&lt;dates&gt;&lt;year&gt;2018&lt;/year&gt;&lt;/dates&gt;&lt;publisher&gt;Oxford University Press&lt;/publisher&gt;&lt;isbn&gt;1537-1719&amp;#xD;0737-4038&lt;/isbn&gt;&lt;accession-num&gt;29722887&lt;/accession-num&gt;&lt;urls&gt;&lt;related-urls&gt;&lt;url&gt;https://pubmed.ncbi.nlm.nih.gov/29722887&lt;/url&gt;&lt;url&gt;https://www.ncbi.nlm.nih.gov/pmc/articles/PMC5967553/&lt;/url&gt;&lt;/related-urls&gt;&lt;/urls&gt;&lt;electronic-resource-num&gt;10.1093/molbev/msy096&lt;/electronic-resource-num&gt;&lt;remote-database-name&gt;PubMed&lt;/remote-database-name&gt;&lt;language&gt;eng&lt;/language&gt;&lt;/record&gt;&lt;/Cite&gt;&lt;/EndNote&gt;</w:instrText>
      </w:r>
      <w:r>
        <w:rPr>
          <w:lang w:val="en-GB"/>
        </w:rPr>
        <w:fldChar w:fldCharType="separate"/>
      </w:r>
      <w:r>
        <w:rPr>
          <w:noProof/>
          <w:lang w:val="en-GB"/>
        </w:rPr>
        <w:t>Kumar</w:t>
      </w:r>
      <w:r>
        <w:rPr>
          <w:i/>
          <w:noProof/>
          <w:lang w:val="en-GB"/>
        </w:rPr>
        <w:t xml:space="preserve"> et al.</w:t>
      </w:r>
      <w:r>
        <w:rPr>
          <w:noProof/>
          <w:lang w:val="en-GB"/>
        </w:rPr>
        <w:t xml:space="preserve"> (2018)</w:t>
      </w:r>
      <w:r>
        <w:rPr>
          <w:lang w:val="en-GB"/>
        </w:rPr>
        <w:fldChar w:fldCharType="end"/>
      </w:r>
      <w:r>
        <w:rPr>
          <w:lang w:val="en-GB"/>
        </w:rPr>
        <w:t xml:space="preserve">) generated with the amino acid sequences of the HMM hits and the Rubisco partial sequences from </w:t>
      </w:r>
      <w:r>
        <w:rPr>
          <w:lang w:val="en-GB"/>
        </w:rPr>
        <w:fldChar w:fldCharType="begin"/>
      </w:r>
      <w:r>
        <w:rPr>
          <w:lang w:val="en-GB"/>
        </w:rPr>
        <w:instrText xml:space="preserve"> ADDIN EN.CITE &lt;EndNote&gt;&lt;Cite AuthorYear="1"&gt;&lt;Author&gt;Alfreider&lt;/Author&gt;&lt;Year&gt;2012&lt;/Year&gt;&lt;RecNum&gt;224&lt;/RecNum&gt;&lt;DisplayText&gt;Alfreider&lt;style face="italic"&gt; et al.&lt;/style&gt; (2012)&lt;/DisplayText&gt;&lt;record&gt;&lt;rec-number&gt;224&lt;/rec-number&gt;&lt;foreign-keys&gt;&lt;key app="EN" db-id="w2sps055ka5a58ezszn5tdfpezef5r9wfr20" timestamp="1616690922"&gt;224&lt;/key&gt;&lt;/foreign-keys&gt;&lt;ref-type name="Journal Article"&gt;17&lt;/ref-type&gt;&lt;contributors&gt;&lt;authors&gt;&lt;author&gt;Alfreider, Albin&lt;/author&gt;&lt;author&gt;Schirmer, Mario&lt;/author&gt;&lt;author&gt;Vogt, Carsten&lt;/author&gt;&lt;/authors&gt;&lt;/contributors&gt;&lt;titles&gt;&lt;title&gt;Diversity and expression of different forms of RubisCO genes in polluted groundwater under different redox conditions&lt;/title&gt;&lt;secondary-title&gt;FEMS Microbiology Ecology&lt;/secondary-title&gt;&lt;/titles&gt;&lt;periodical&gt;&lt;full-title&gt;FEMS Microbiology Ecology&lt;/full-title&gt;&lt;/periodical&gt;&lt;pages&gt;649-660&lt;/pages&gt;&lt;volume&gt;79&lt;/volume&gt;&lt;number&gt;3&lt;/number&gt;&lt;dates&gt;&lt;year&gt;2012&lt;/year&gt;&lt;/dates&gt;&lt;isbn&gt;0168-6496&lt;/isbn&gt;&lt;urls&gt;&lt;related-urls&gt;&lt;url&gt;https://doi.org/10.1111/j.1574-6941.2011.01246.x&lt;/url&gt;&lt;/related-urls&gt;&lt;/urls&gt;&lt;electronic-resource-num&gt;10.1111/j.1574-6941.2011.01246.x&lt;/electronic-resource-num&gt;&lt;access-date&gt;3/25/2021&lt;/access-date&gt;&lt;/record&gt;&lt;/Cite&gt;&lt;/EndNote&gt;</w:instrText>
      </w:r>
      <w:r>
        <w:rPr>
          <w:lang w:val="en-GB"/>
        </w:rPr>
        <w:fldChar w:fldCharType="separate"/>
      </w:r>
      <w:r>
        <w:rPr>
          <w:noProof/>
          <w:lang w:val="en-GB"/>
        </w:rPr>
        <w:t>Alfreider</w:t>
      </w:r>
      <w:r>
        <w:rPr>
          <w:i/>
          <w:noProof/>
          <w:lang w:val="en-GB"/>
        </w:rPr>
        <w:t xml:space="preserve"> et al.</w:t>
      </w:r>
      <w:r>
        <w:rPr>
          <w:noProof/>
          <w:lang w:val="en-GB"/>
        </w:rPr>
        <w:t xml:space="preserve"> (2012)</w:t>
      </w:r>
      <w:r>
        <w:rPr>
          <w:lang w:val="en-GB"/>
        </w:rPr>
        <w:fldChar w:fldCharType="end"/>
      </w:r>
      <w:r>
        <w:rPr>
          <w:lang w:val="en-GB"/>
        </w:rPr>
        <w:t xml:space="preserve"> (GenBank JF414941–JF415078). For the detection and classification of hydrogenase genes, the [</w:t>
      </w:r>
      <w:proofErr w:type="spellStart"/>
      <w:r>
        <w:rPr>
          <w:lang w:val="en-GB"/>
        </w:rPr>
        <w:t>NiFe</w:t>
      </w:r>
      <w:proofErr w:type="spellEnd"/>
      <w:r>
        <w:rPr>
          <w:lang w:val="en-GB"/>
        </w:rPr>
        <w:t>]-, [</w:t>
      </w:r>
      <w:proofErr w:type="spellStart"/>
      <w:r>
        <w:rPr>
          <w:lang w:val="en-GB"/>
        </w:rPr>
        <w:t>FeFe</w:t>
      </w:r>
      <w:proofErr w:type="spellEnd"/>
      <w:r>
        <w:rPr>
          <w:lang w:val="en-GB"/>
        </w:rPr>
        <w:t xml:space="preserve">]-, and [Fe]-hydrogenase sequences, including information on the hydrogenase group and subgroup, utilized by </w:t>
      </w:r>
      <w:r>
        <w:rPr>
          <w:lang w:val="en-GB"/>
        </w:rPr>
        <w:fldChar w:fldCharType="begin"/>
      </w:r>
      <w:r>
        <w:rPr>
          <w:lang w:val="en-GB"/>
        </w:rPr>
        <w:instrText xml:space="preserve"> ADDIN EN.CITE &lt;EndNote&gt;&lt;Cite AuthorYear="1"&gt;&lt;Author&gt;Greening&lt;/Author&gt;&lt;Year&gt;2015&lt;/Year&gt;&lt;RecNum&gt;31&lt;/RecNum&gt;&lt;DisplayText&gt;Greening&lt;style face="italic"&gt; et al.&lt;/style&gt; (2015)&lt;/DisplayText&gt;&lt;record&gt;&lt;rec-number&gt;31&lt;/rec-number&gt;&lt;foreign-keys&gt;&lt;key app="EN" db-id="w2sps055ka5a58ezszn5tdfpezef5r9wfr20" timestamp="0"&gt;31&lt;/key&gt;&lt;/foreign-keys&gt;&lt;ref-type name="Journal Article"&gt;17&lt;/ref-type&gt;&lt;contributors&gt;&lt;authors&gt;&lt;author&gt;Greening, Chris&lt;/author&gt;&lt;author&gt;Biswas, Ambarish&lt;/author&gt;&lt;author&gt;Carere, Carlo R.&lt;/author&gt;&lt;author&gt;Jackson, Colin J.&lt;/author&gt;&lt;author&gt;Taylor, Matthew C.&lt;/author&gt;&lt;author&gt;Stott, Matthew B.&lt;/author&gt;&lt;author&gt;Cook, Gregory M.&lt;/author&gt;&lt;author&gt;Morales, Sergio E.&lt;/author&gt;&lt;/authors&gt;&lt;/contributors&gt;&lt;titles&gt;&lt;title&gt;Genomic and metagenomic surveys of hydrogenase distribution indicate H2 is a widely utilised energy source for microbial growth and survival&lt;/title&gt;&lt;secondary-title&gt;The Isme Journal&lt;/secondary-title&gt;&lt;/titles&gt;&lt;periodical&gt;&lt;full-title&gt;The ISME Journal&lt;/full-title&gt;&lt;/periodical&gt;&lt;pages&gt;761&lt;/pages&gt;&lt;volume&gt;10&lt;/volume&gt;&lt;dates&gt;&lt;year&gt;2015&lt;/year&gt;&lt;pub-dates&gt;&lt;date&gt;September&lt;/date&gt;&lt;/pub-dates&gt;&lt;/dates&gt;&lt;label&gt;Greening2015&lt;/label&gt;&lt;urls&gt;&lt;related-urls&gt;&lt;url&gt;https://doi.org/10.1038/ismej.2015.153&lt;/url&gt;&lt;/related-urls&gt;&lt;/urls&gt;&lt;/record&gt;&lt;/Cite&gt;&lt;/EndNote&gt;</w:instrText>
      </w:r>
      <w:r>
        <w:rPr>
          <w:lang w:val="en-GB"/>
        </w:rPr>
        <w:fldChar w:fldCharType="separate"/>
      </w:r>
      <w:r>
        <w:rPr>
          <w:noProof/>
          <w:lang w:val="en-GB"/>
        </w:rPr>
        <w:t>Greening</w:t>
      </w:r>
      <w:r>
        <w:rPr>
          <w:i/>
          <w:noProof/>
          <w:lang w:val="en-GB"/>
        </w:rPr>
        <w:t xml:space="preserve"> et al.</w:t>
      </w:r>
      <w:r>
        <w:rPr>
          <w:noProof/>
          <w:lang w:val="en-GB"/>
        </w:rPr>
        <w:t xml:space="preserve"> (2015)</w:t>
      </w:r>
      <w:r>
        <w:rPr>
          <w:lang w:val="en-GB"/>
        </w:rPr>
        <w:fldChar w:fldCharType="end"/>
      </w:r>
      <w:r>
        <w:rPr>
          <w:lang w:val="en-GB"/>
        </w:rPr>
        <w:t xml:space="preserve">, were downloaded from NCBI. An HMM for each metal-centre type hydrogenase was built with HMMER 3.3 and used to search hydrogenase genes in the genomes of the isolates. Furthermore, the downloaded hydrogenase </w:t>
      </w:r>
      <w:r>
        <w:rPr>
          <w:lang w:val="en-GB"/>
        </w:rPr>
        <w:lastRenderedPageBreak/>
        <w:t xml:space="preserve">sequences were reduced in quantity to generate maximum-likelihood trees (MEGA-X, </w:t>
      </w:r>
      <w:r>
        <w:rPr>
          <w:lang w:val="en-GB"/>
        </w:rPr>
        <w:fldChar w:fldCharType="begin"/>
      </w:r>
      <w:r>
        <w:rPr>
          <w:lang w:val="en-GB"/>
        </w:rPr>
        <w:instrText xml:space="preserve"> ADDIN EN.CITE &lt;EndNote&gt;&lt;Cite AuthorYear="1"&gt;&lt;Author&gt;Kumar&lt;/Author&gt;&lt;Year&gt;2018&lt;/Year&gt;&lt;RecNum&gt;138&lt;/RecNum&gt;&lt;DisplayText&gt;Kumar&lt;style face="italic"&gt; et al.&lt;/style&gt; (2018)&lt;/DisplayText&gt;&lt;record&gt;&lt;rec-number&gt;138&lt;/rec-number&gt;&lt;foreign-keys&gt;&lt;key app="EN" db-id="w2sps055ka5a58ezszn5tdfpezef5r9wfr20" timestamp="1585557445"&gt;138&lt;/key&gt;&lt;/foreign-keys&gt;&lt;ref-type name="Journal Article"&gt;17&lt;/ref-type&gt;&lt;contributors&gt;&lt;authors&gt;&lt;author&gt;Kumar, Sudhir&lt;/author&gt;&lt;author&gt;Stecher, Glen&lt;/author&gt;&lt;author&gt;Li, Michael&lt;/author&gt;&lt;author&gt;Knyaz, Christina&lt;/author&gt;&lt;author&gt;Tamura, Koichiro&lt;/author&gt;&lt;/authors&gt;&lt;/contributors&gt;&lt;titles&gt;&lt;title&gt;MEGA X: Molecular Evolutionary Genetics Analysis across Computing Platforms&lt;/title&gt;&lt;secondary-title&gt;Molecular biology and evolution&lt;/secondary-title&gt;&lt;alt-title&gt;Mol Biol Evol&lt;/alt-title&gt;&lt;/titles&gt;&lt;periodical&gt;&lt;full-title&gt;Molecular biology and evolution&lt;/full-title&gt;&lt;abbr-1&gt;Mol Biol Evol&lt;/abbr-1&gt;&lt;/periodical&gt;&lt;alt-periodical&gt;&lt;full-title&gt;Molecular biology and evolution&lt;/full-title&gt;&lt;abbr-1&gt;Mol Biol Evol&lt;/abbr-1&gt;&lt;/alt-periodical&gt;&lt;pages&gt;1547-1549&lt;/pages&gt;&lt;volume&gt;35&lt;/volume&gt;&lt;number&gt;6&lt;/number&gt;&lt;keywords&gt;&lt;keyword&gt;*Evolution, Molecular&lt;/keyword&gt;&lt;keyword&gt;*Genetic Techniques&lt;/keyword&gt;&lt;keyword&gt;Phylogeny&lt;/keyword&gt;&lt;keyword&gt;*Software&lt;/keyword&gt;&lt;/keywords&gt;&lt;dates&gt;&lt;year&gt;2018&lt;/year&gt;&lt;/dates&gt;&lt;publisher&gt;Oxford University Press&lt;/publisher&gt;&lt;isbn&gt;1537-1719&amp;#xD;0737-4038&lt;/isbn&gt;&lt;accession-num&gt;29722887&lt;/accession-num&gt;&lt;urls&gt;&lt;related-urls&gt;&lt;url&gt;https://pubmed.ncbi.nlm.nih.gov/29722887&lt;/url&gt;&lt;url&gt;https://www.ncbi.nlm.nih.gov/pmc/articles/PMC5967553/&lt;/url&gt;&lt;/related-urls&gt;&lt;/urls&gt;&lt;electronic-resource-num&gt;10.1093/molbev/msy096&lt;/electronic-resource-num&gt;&lt;remote-database-name&gt;PubMed&lt;/remote-database-name&gt;&lt;language&gt;eng&lt;/language&gt;&lt;/record&gt;&lt;/Cite&gt;&lt;/EndNote&gt;</w:instrText>
      </w:r>
      <w:r>
        <w:rPr>
          <w:lang w:val="en-GB"/>
        </w:rPr>
        <w:fldChar w:fldCharType="separate"/>
      </w:r>
      <w:r>
        <w:rPr>
          <w:noProof/>
          <w:lang w:val="en-GB"/>
        </w:rPr>
        <w:t>Kumar</w:t>
      </w:r>
      <w:r>
        <w:rPr>
          <w:i/>
          <w:noProof/>
          <w:lang w:val="en-GB"/>
        </w:rPr>
        <w:t xml:space="preserve"> et al.</w:t>
      </w:r>
      <w:r>
        <w:rPr>
          <w:noProof/>
          <w:lang w:val="en-GB"/>
        </w:rPr>
        <w:t xml:space="preserve"> (2018)</w:t>
      </w:r>
      <w:r>
        <w:rPr>
          <w:lang w:val="en-GB"/>
        </w:rPr>
        <w:fldChar w:fldCharType="end"/>
      </w:r>
      <w:r>
        <w:rPr>
          <w:lang w:val="en-GB"/>
        </w:rPr>
        <w:t xml:space="preserve">) including the HMM search hits from the isolates genomes. The  gene sequences of the isolates which clustered with the known hydrogenase genes were seen as potential hydrogenases, and their position also indicated the group and subgroup they belong to. These results were verified by manual revision of the L1/L2 metal centre motifs specific to the respective hydrogenase group/subgroup shown in Table 2 of </w:t>
      </w:r>
      <w:r>
        <w:rPr>
          <w:lang w:val="en-GB"/>
        </w:rPr>
        <w:fldChar w:fldCharType="begin"/>
      </w:r>
      <w:r>
        <w:rPr>
          <w:lang w:val="en-GB"/>
        </w:rPr>
        <w:instrText xml:space="preserve"> ADDIN EN.CITE &lt;EndNote&gt;&lt;Cite AuthorYear="1"&gt;&lt;Author&gt;Greening&lt;/Author&gt;&lt;Year&gt;2015&lt;/Year&gt;&lt;RecNum&gt;31&lt;/RecNum&gt;&lt;DisplayText&gt;Greening&lt;style face="italic"&gt; et al.&lt;/style&gt; (2015)&lt;/DisplayText&gt;&lt;record&gt;&lt;rec-number&gt;31&lt;/rec-number&gt;&lt;foreign-keys&gt;&lt;key app="EN" db-id="w2sps055ka5a58ezszn5tdfpezef5r9wfr20" timestamp="0"&gt;31&lt;/key&gt;&lt;/foreign-keys&gt;&lt;ref-type name="Journal Article"&gt;17&lt;/ref-type&gt;&lt;contributors&gt;&lt;authors&gt;&lt;author&gt;Greening, Chris&lt;/author&gt;&lt;author&gt;Biswas, Ambarish&lt;/author&gt;&lt;author&gt;Carere, Carlo R.&lt;/author&gt;&lt;author&gt;Jackson, Colin J.&lt;/author&gt;&lt;author&gt;Taylor, Matthew C.&lt;/author&gt;&lt;author&gt;Stott, Matthew B.&lt;/author&gt;&lt;author&gt;Cook, Gregory M.&lt;/author&gt;&lt;author&gt;Morales, Sergio E.&lt;/author&gt;&lt;/authors&gt;&lt;/contributors&gt;&lt;titles&gt;&lt;title&gt;Genomic and metagenomic surveys of hydrogenase distribution indicate H2 is a widely utilised energy source for microbial growth and survival&lt;/title&gt;&lt;secondary-title&gt;The Isme Journal&lt;/secondary-title&gt;&lt;/titles&gt;&lt;periodical&gt;&lt;full-title&gt;The ISME Journal&lt;/full-title&gt;&lt;/periodical&gt;&lt;pages&gt;761&lt;/pages&gt;&lt;volume&gt;10&lt;/volume&gt;&lt;dates&gt;&lt;year&gt;2015&lt;/year&gt;&lt;pub-dates&gt;&lt;date&gt;September&lt;/date&gt;&lt;/pub-dates&gt;&lt;/dates&gt;&lt;label&gt;Greening2015&lt;/label&gt;&lt;urls&gt;&lt;related-urls&gt;&lt;url&gt;https://doi.org/10.1038/ismej.2015.153&lt;/url&gt;&lt;/related-urls&gt;&lt;/urls&gt;&lt;/record&gt;&lt;/Cite&gt;&lt;/EndNote&gt;</w:instrText>
      </w:r>
      <w:r>
        <w:rPr>
          <w:lang w:val="en-GB"/>
        </w:rPr>
        <w:fldChar w:fldCharType="separate"/>
      </w:r>
      <w:r>
        <w:rPr>
          <w:noProof/>
          <w:lang w:val="en-GB"/>
        </w:rPr>
        <w:t>Greening</w:t>
      </w:r>
      <w:r>
        <w:rPr>
          <w:i/>
          <w:noProof/>
          <w:lang w:val="en-GB"/>
        </w:rPr>
        <w:t xml:space="preserve"> et al.</w:t>
      </w:r>
      <w:r>
        <w:rPr>
          <w:noProof/>
          <w:lang w:val="en-GB"/>
        </w:rPr>
        <w:t xml:space="preserve"> (2015)</w:t>
      </w:r>
      <w:r>
        <w:rPr>
          <w:lang w:val="en-GB"/>
        </w:rPr>
        <w:fldChar w:fldCharType="end"/>
      </w:r>
      <w:r>
        <w:rPr>
          <w:lang w:val="en-GB"/>
        </w:rPr>
        <w:t>.</w:t>
      </w:r>
    </w:p>
    <w:p w14:paraId="3FE68A1C" w14:textId="78558607" w:rsidR="00796948" w:rsidRPr="00796948" w:rsidRDefault="00796948" w:rsidP="00796948">
      <w:pPr>
        <w:pStyle w:val="Caption"/>
        <w:keepNext/>
        <w:rPr>
          <w:i w:val="0"/>
          <w:iCs w:val="0"/>
          <w:lang w:val="en-US"/>
        </w:rPr>
      </w:pPr>
      <w:r w:rsidRPr="00796948">
        <w:rPr>
          <w:i w:val="0"/>
          <w:iCs w:val="0"/>
        </w:rPr>
        <w:t xml:space="preserve">Table </w:t>
      </w:r>
      <w:r w:rsidRPr="00796948">
        <w:rPr>
          <w:i w:val="0"/>
          <w:iCs w:val="0"/>
          <w:lang w:val="en-US"/>
        </w:rPr>
        <w:t>S2-</w:t>
      </w:r>
      <w:r w:rsidRPr="00796948">
        <w:rPr>
          <w:i w:val="0"/>
          <w:iCs w:val="0"/>
        </w:rPr>
        <w:fldChar w:fldCharType="begin"/>
      </w:r>
      <w:r w:rsidRPr="00796948">
        <w:rPr>
          <w:i w:val="0"/>
          <w:iCs w:val="0"/>
        </w:rPr>
        <w:instrText xml:space="preserve"> SEQ Table \* ARABIC </w:instrText>
      </w:r>
      <w:r w:rsidRPr="00796948">
        <w:rPr>
          <w:i w:val="0"/>
          <w:iCs w:val="0"/>
        </w:rPr>
        <w:fldChar w:fldCharType="separate"/>
      </w:r>
      <w:r w:rsidRPr="00796948">
        <w:rPr>
          <w:i w:val="0"/>
          <w:iCs w:val="0"/>
          <w:noProof/>
        </w:rPr>
        <w:t>1</w:t>
      </w:r>
      <w:r w:rsidRPr="00796948">
        <w:rPr>
          <w:i w:val="0"/>
          <w:iCs w:val="0"/>
        </w:rPr>
        <w:fldChar w:fldCharType="end"/>
      </w:r>
      <w:r w:rsidRPr="00796948">
        <w:rPr>
          <w:i w:val="0"/>
          <w:iCs w:val="0"/>
          <w:lang w:val="en-US"/>
        </w:rPr>
        <w:t xml:space="preserve">: </w:t>
      </w:r>
      <w:r w:rsidRPr="00796948">
        <w:rPr>
          <w:rFonts w:cstheme="minorHAnsi"/>
          <w:i w:val="0"/>
          <w:iCs w:val="0"/>
          <w:lang w:val="en-GB"/>
        </w:rPr>
        <w:t>KEGG numbers and domain accessions of the denitrification reductase genes.</w:t>
      </w:r>
    </w:p>
    <w:tbl>
      <w:tblPr>
        <w:tblpPr w:leftFromText="180" w:rightFromText="180" w:bottomFromText="160" w:vertAnchor="text" w:horzAnchor="margin" w:tblpY="-51"/>
        <w:tblW w:w="0" w:type="auto"/>
        <w:tblLook w:val="04A0" w:firstRow="1" w:lastRow="0" w:firstColumn="1" w:lastColumn="0" w:noHBand="0" w:noVBand="1"/>
      </w:tblPr>
      <w:tblGrid>
        <w:gridCol w:w="1802"/>
        <w:gridCol w:w="1398"/>
        <w:gridCol w:w="5826"/>
      </w:tblGrid>
      <w:tr w:rsidR="00796948" w14:paraId="253445E4" w14:textId="77777777" w:rsidTr="00796948">
        <w:trPr>
          <w:trHeight w:val="300"/>
        </w:trPr>
        <w:tc>
          <w:tcPr>
            <w:tcW w:w="1802" w:type="dxa"/>
            <w:tcBorders>
              <w:top w:val="single" w:sz="4" w:space="0" w:color="auto"/>
              <w:left w:val="nil"/>
              <w:bottom w:val="single" w:sz="4" w:space="0" w:color="auto"/>
              <w:right w:val="nil"/>
            </w:tcBorders>
            <w:noWrap/>
            <w:vAlign w:val="center"/>
            <w:hideMark/>
          </w:tcPr>
          <w:p w14:paraId="099D8FF7" w14:textId="77777777" w:rsidR="00796948" w:rsidRDefault="00796948">
            <w:pPr>
              <w:spacing w:after="0" w:line="240" w:lineRule="auto"/>
              <w:rPr>
                <w:rFonts w:eastAsia="Times New Roman" w:cstheme="minorHAnsi"/>
                <w:b/>
                <w:bCs/>
                <w:color w:val="000000"/>
                <w:sz w:val="18"/>
                <w:szCs w:val="18"/>
              </w:rPr>
            </w:pPr>
            <w:r>
              <w:rPr>
                <w:rFonts w:eastAsia="Times New Roman" w:cstheme="minorHAnsi"/>
                <w:b/>
                <w:bCs/>
                <w:color w:val="000000"/>
                <w:sz w:val="18"/>
                <w:szCs w:val="18"/>
              </w:rPr>
              <w:t>gene</w:t>
            </w:r>
          </w:p>
        </w:tc>
        <w:tc>
          <w:tcPr>
            <w:tcW w:w="1398" w:type="dxa"/>
            <w:tcBorders>
              <w:top w:val="single" w:sz="4" w:space="0" w:color="auto"/>
              <w:left w:val="nil"/>
              <w:bottom w:val="single" w:sz="4" w:space="0" w:color="auto"/>
              <w:right w:val="nil"/>
            </w:tcBorders>
            <w:noWrap/>
            <w:vAlign w:val="center"/>
            <w:hideMark/>
          </w:tcPr>
          <w:p w14:paraId="7CA89EF7" w14:textId="77777777" w:rsidR="00796948" w:rsidRDefault="00796948">
            <w:pPr>
              <w:spacing w:after="0" w:line="240" w:lineRule="auto"/>
              <w:rPr>
                <w:rFonts w:eastAsia="Times New Roman" w:cstheme="minorHAnsi"/>
                <w:b/>
                <w:bCs/>
                <w:color w:val="000000"/>
                <w:sz w:val="18"/>
                <w:szCs w:val="18"/>
              </w:rPr>
            </w:pPr>
            <w:r>
              <w:rPr>
                <w:rFonts w:eastAsia="Times New Roman" w:cstheme="minorHAnsi"/>
                <w:b/>
                <w:bCs/>
                <w:color w:val="000000"/>
                <w:sz w:val="18"/>
                <w:szCs w:val="18"/>
              </w:rPr>
              <w:t>KEGG</w:t>
            </w:r>
          </w:p>
        </w:tc>
        <w:tc>
          <w:tcPr>
            <w:tcW w:w="5826" w:type="dxa"/>
            <w:tcBorders>
              <w:top w:val="single" w:sz="4" w:space="0" w:color="auto"/>
              <w:left w:val="nil"/>
              <w:bottom w:val="single" w:sz="4" w:space="0" w:color="auto"/>
              <w:right w:val="nil"/>
            </w:tcBorders>
            <w:noWrap/>
            <w:vAlign w:val="center"/>
            <w:hideMark/>
          </w:tcPr>
          <w:p w14:paraId="6BE75853" w14:textId="77777777" w:rsidR="00796948" w:rsidRDefault="00796948">
            <w:pPr>
              <w:spacing w:after="0" w:line="240" w:lineRule="auto"/>
              <w:rPr>
                <w:rFonts w:eastAsia="Times New Roman" w:cstheme="minorHAnsi"/>
                <w:b/>
                <w:bCs/>
                <w:color w:val="000000"/>
                <w:sz w:val="18"/>
                <w:szCs w:val="18"/>
              </w:rPr>
            </w:pPr>
            <w:r>
              <w:rPr>
                <w:rFonts w:eastAsia="Times New Roman" w:cstheme="minorHAnsi"/>
                <w:b/>
                <w:bCs/>
                <w:color w:val="000000"/>
                <w:sz w:val="18"/>
                <w:szCs w:val="18"/>
              </w:rPr>
              <w:t>domain accession (CDD)</w:t>
            </w:r>
          </w:p>
        </w:tc>
      </w:tr>
      <w:tr w:rsidR="00796948" w14:paraId="71437074" w14:textId="77777777" w:rsidTr="00796948">
        <w:trPr>
          <w:trHeight w:val="300"/>
        </w:trPr>
        <w:tc>
          <w:tcPr>
            <w:tcW w:w="1802" w:type="dxa"/>
            <w:tcBorders>
              <w:top w:val="single" w:sz="4" w:space="0" w:color="auto"/>
              <w:left w:val="nil"/>
              <w:bottom w:val="nil"/>
              <w:right w:val="nil"/>
            </w:tcBorders>
            <w:noWrap/>
            <w:vAlign w:val="center"/>
            <w:hideMark/>
          </w:tcPr>
          <w:p w14:paraId="6169F84B" w14:textId="77777777" w:rsidR="00796948" w:rsidRDefault="00796948">
            <w:pPr>
              <w:spacing w:after="0" w:line="276" w:lineRule="auto"/>
              <w:rPr>
                <w:rFonts w:eastAsia="Times New Roman" w:cstheme="minorHAnsi"/>
                <w:i/>
                <w:iCs/>
                <w:color w:val="000000"/>
                <w:sz w:val="18"/>
                <w:szCs w:val="18"/>
              </w:rPr>
            </w:pPr>
            <w:proofErr w:type="spellStart"/>
            <w:r>
              <w:rPr>
                <w:rFonts w:eastAsia="Times New Roman" w:cstheme="minorHAnsi"/>
                <w:i/>
                <w:iCs/>
                <w:color w:val="000000"/>
                <w:sz w:val="18"/>
                <w:szCs w:val="18"/>
              </w:rPr>
              <w:t>napA</w:t>
            </w:r>
            <w:proofErr w:type="spellEnd"/>
          </w:p>
        </w:tc>
        <w:tc>
          <w:tcPr>
            <w:tcW w:w="1398" w:type="dxa"/>
            <w:tcBorders>
              <w:top w:val="single" w:sz="4" w:space="0" w:color="auto"/>
              <w:left w:val="nil"/>
              <w:bottom w:val="nil"/>
              <w:right w:val="nil"/>
            </w:tcBorders>
            <w:noWrap/>
            <w:vAlign w:val="center"/>
            <w:hideMark/>
          </w:tcPr>
          <w:p w14:paraId="3967457D" w14:textId="77777777" w:rsidR="00796948" w:rsidRDefault="00796948">
            <w:pPr>
              <w:spacing w:after="0" w:line="276" w:lineRule="auto"/>
              <w:rPr>
                <w:rFonts w:eastAsia="Times New Roman" w:cstheme="minorHAnsi"/>
                <w:color w:val="000000"/>
                <w:sz w:val="18"/>
                <w:szCs w:val="18"/>
              </w:rPr>
            </w:pPr>
            <w:r>
              <w:rPr>
                <w:rFonts w:eastAsia="Times New Roman" w:cstheme="minorHAnsi"/>
                <w:color w:val="000000"/>
                <w:sz w:val="18"/>
                <w:szCs w:val="18"/>
              </w:rPr>
              <w:t>K02567</w:t>
            </w:r>
          </w:p>
        </w:tc>
        <w:tc>
          <w:tcPr>
            <w:tcW w:w="5826" w:type="dxa"/>
            <w:tcBorders>
              <w:top w:val="single" w:sz="4" w:space="0" w:color="auto"/>
              <w:left w:val="nil"/>
              <w:bottom w:val="nil"/>
              <w:right w:val="nil"/>
            </w:tcBorders>
            <w:noWrap/>
            <w:vAlign w:val="center"/>
            <w:hideMark/>
          </w:tcPr>
          <w:p w14:paraId="49E1A9FF" w14:textId="77777777" w:rsidR="00796948" w:rsidRDefault="00796948">
            <w:pPr>
              <w:spacing w:after="0" w:line="276" w:lineRule="auto"/>
              <w:rPr>
                <w:rFonts w:eastAsia="Times New Roman" w:cstheme="minorHAnsi"/>
                <w:color w:val="000000"/>
                <w:sz w:val="18"/>
                <w:szCs w:val="18"/>
              </w:rPr>
            </w:pPr>
            <w:r>
              <w:rPr>
                <w:rFonts w:eastAsia="Times New Roman" w:cstheme="minorHAnsi"/>
                <w:color w:val="000000"/>
                <w:sz w:val="18"/>
                <w:szCs w:val="18"/>
              </w:rPr>
              <w:t>PRK13532</w:t>
            </w:r>
          </w:p>
        </w:tc>
      </w:tr>
      <w:tr w:rsidR="00796948" w14:paraId="4B195978" w14:textId="77777777" w:rsidTr="00796948">
        <w:trPr>
          <w:trHeight w:val="300"/>
        </w:trPr>
        <w:tc>
          <w:tcPr>
            <w:tcW w:w="1802" w:type="dxa"/>
            <w:noWrap/>
            <w:vAlign w:val="center"/>
            <w:hideMark/>
          </w:tcPr>
          <w:p w14:paraId="433E03A8" w14:textId="77777777" w:rsidR="00796948" w:rsidRDefault="00796948">
            <w:pPr>
              <w:spacing w:after="0" w:line="276" w:lineRule="auto"/>
              <w:rPr>
                <w:rFonts w:eastAsia="Times New Roman" w:cstheme="minorHAnsi"/>
                <w:i/>
                <w:iCs/>
                <w:color w:val="000000"/>
                <w:sz w:val="18"/>
                <w:szCs w:val="18"/>
              </w:rPr>
            </w:pPr>
            <w:proofErr w:type="spellStart"/>
            <w:r>
              <w:rPr>
                <w:rFonts w:eastAsia="Times New Roman" w:cstheme="minorHAnsi"/>
                <w:i/>
                <w:iCs/>
                <w:color w:val="000000"/>
                <w:sz w:val="18"/>
                <w:szCs w:val="18"/>
              </w:rPr>
              <w:t>narG</w:t>
            </w:r>
            <w:proofErr w:type="spellEnd"/>
          </w:p>
        </w:tc>
        <w:tc>
          <w:tcPr>
            <w:tcW w:w="1398" w:type="dxa"/>
            <w:noWrap/>
            <w:vAlign w:val="center"/>
            <w:hideMark/>
          </w:tcPr>
          <w:p w14:paraId="3D1F2510" w14:textId="77777777" w:rsidR="00796948" w:rsidRDefault="00796948">
            <w:pPr>
              <w:spacing w:after="0" w:line="276" w:lineRule="auto"/>
              <w:rPr>
                <w:rFonts w:eastAsia="Times New Roman" w:cstheme="minorHAnsi"/>
                <w:color w:val="000000"/>
                <w:sz w:val="18"/>
                <w:szCs w:val="18"/>
              </w:rPr>
            </w:pPr>
            <w:r>
              <w:rPr>
                <w:rFonts w:eastAsia="Times New Roman" w:cstheme="minorHAnsi"/>
                <w:color w:val="000000"/>
                <w:sz w:val="18"/>
                <w:szCs w:val="18"/>
              </w:rPr>
              <w:t>K00370</w:t>
            </w:r>
          </w:p>
        </w:tc>
        <w:tc>
          <w:tcPr>
            <w:tcW w:w="5826" w:type="dxa"/>
            <w:noWrap/>
            <w:vAlign w:val="center"/>
            <w:hideMark/>
          </w:tcPr>
          <w:p w14:paraId="6EDDB944" w14:textId="77777777" w:rsidR="00796948" w:rsidRDefault="00796948">
            <w:pPr>
              <w:spacing w:after="0" w:line="276" w:lineRule="auto"/>
              <w:rPr>
                <w:rFonts w:eastAsia="Times New Roman" w:cstheme="minorHAnsi"/>
                <w:color w:val="000000"/>
                <w:sz w:val="18"/>
                <w:szCs w:val="18"/>
              </w:rPr>
            </w:pPr>
            <w:r>
              <w:rPr>
                <w:rFonts w:eastAsia="Times New Roman" w:cstheme="minorHAnsi"/>
                <w:color w:val="000000"/>
                <w:sz w:val="18"/>
                <w:szCs w:val="18"/>
              </w:rPr>
              <w:t>TIGR01580 or COG5013</w:t>
            </w:r>
          </w:p>
        </w:tc>
      </w:tr>
      <w:tr w:rsidR="00796948" w14:paraId="5011820E" w14:textId="77777777" w:rsidTr="00796948">
        <w:trPr>
          <w:trHeight w:val="300"/>
        </w:trPr>
        <w:tc>
          <w:tcPr>
            <w:tcW w:w="1802" w:type="dxa"/>
            <w:noWrap/>
            <w:vAlign w:val="center"/>
            <w:hideMark/>
          </w:tcPr>
          <w:p w14:paraId="268A1C7F" w14:textId="77777777" w:rsidR="00796948" w:rsidRDefault="00796948">
            <w:pPr>
              <w:spacing w:after="0" w:line="276" w:lineRule="auto"/>
              <w:rPr>
                <w:rFonts w:eastAsia="Times New Roman" w:cstheme="minorHAnsi"/>
                <w:i/>
                <w:iCs/>
                <w:color w:val="000000"/>
                <w:sz w:val="18"/>
                <w:szCs w:val="18"/>
              </w:rPr>
            </w:pPr>
            <w:proofErr w:type="spellStart"/>
            <w:r>
              <w:rPr>
                <w:rFonts w:eastAsia="Times New Roman" w:cstheme="minorHAnsi"/>
                <w:i/>
                <w:iCs/>
                <w:color w:val="000000"/>
                <w:sz w:val="18"/>
                <w:szCs w:val="18"/>
              </w:rPr>
              <w:t>nirS</w:t>
            </w:r>
            <w:proofErr w:type="spellEnd"/>
          </w:p>
        </w:tc>
        <w:tc>
          <w:tcPr>
            <w:tcW w:w="1398" w:type="dxa"/>
            <w:noWrap/>
            <w:vAlign w:val="center"/>
            <w:hideMark/>
          </w:tcPr>
          <w:p w14:paraId="1B740E0E" w14:textId="77777777" w:rsidR="00796948" w:rsidRDefault="00796948">
            <w:pPr>
              <w:spacing w:after="0" w:line="276" w:lineRule="auto"/>
              <w:rPr>
                <w:rFonts w:eastAsia="Times New Roman" w:cstheme="minorHAnsi"/>
                <w:color w:val="000000"/>
                <w:sz w:val="18"/>
                <w:szCs w:val="18"/>
              </w:rPr>
            </w:pPr>
            <w:r>
              <w:rPr>
                <w:rFonts w:eastAsia="Times New Roman" w:cstheme="minorHAnsi"/>
                <w:color w:val="000000"/>
                <w:sz w:val="18"/>
                <w:szCs w:val="18"/>
              </w:rPr>
              <w:t>K15864</w:t>
            </w:r>
          </w:p>
        </w:tc>
        <w:tc>
          <w:tcPr>
            <w:tcW w:w="5826" w:type="dxa"/>
            <w:noWrap/>
            <w:vAlign w:val="center"/>
            <w:hideMark/>
          </w:tcPr>
          <w:p w14:paraId="4E4BE15D" w14:textId="77777777" w:rsidR="00796948" w:rsidRDefault="00796948">
            <w:pPr>
              <w:spacing w:after="0" w:line="276" w:lineRule="auto"/>
              <w:rPr>
                <w:rFonts w:eastAsia="Times New Roman" w:cstheme="minorHAnsi"/>
                <w:color w:val="000000"/>
                <w:sz w:val="18"/>
                <w:szCs w:val="18"/>
              </w:rPr>
            </w:pPr>
            <w:r>
              <w:rPr>
                <w:rFonts w:eastAsia="Times New Roman" w:cstheme="minorHAnsi"/>
                <w:color w:val="000000"/>
                <w:sz w:val="18"/>
                <w:szCs w:val="18"/>
              </w:rPr>
              <w:t>pfam02239 or cl26549 &amp; pfam13442 or COG2010</w:t>
            </w:r>
          </w:p>
        </w:tc>
      </w:tr>
      <w:tr w:rsidR="00796948" w14:paraId="1B7A45E4" w14:textId="77777777" w:rsidTr="00796948">
        <w:trPr>
          <w:trHeight w:val="300"/>
        </w:trPr>
        <w:tc>
          <w:tcPr>
            <w:tcW w:w="1802" w:type="dxa"/>
            <w:noWrap/>
            <w:vAlign w:val="center"/>
            <w:hideMark/>
          </w:tcPr>
          <w:p w14:paraId="4AB721AF" w14:textId="77777777" w:rsidR="00796948" w:rsidRDefault="00796948">
            <w:pPr>
              <w:spacing w:after="0" w:line="276" w:lineRule="auto"/>
              <w:rPr>
                <w:rFonts w:eastAsia="Times New Roman" w:cstheme="minorHAnsi"/>
                <w:i/>
                <w:iCs/>
                <w:color w:val="000000"/>
                <w:sz w:val="18"/>
                <w:szCs w:val="18"/>
              </w:rPr>
            </w:pPr>
            <w:proofErr w:type="spellStart"/>
            <w:r>
              <w:rPr>
                <w:rFonts w:eastAsia="Times New Roman" w:cstheme="minorHAnsi"/>
                <w:i/>
                <w:iCs/>
                <w:color w:val="000000"/>
                <w:sz w:val="18"/>
                <w:szCs w:val="18"/>
              </w:rPr>
              <w:t>nirK</w:t>
            </w:r>
            <w:proofErr w:type="spellEnd"/>
          </w:p>
        </w:tc>
        <w:tc>
          <w:tcPr>
            <w:tcW w:w="1398" w:type="dxa"/>
            <w:noWrap/>
            <w:vAlign w:val="center"/>
            <w:hideMark/>
          </w:tcPr>
          <w:p w14:paraId="6E94252A" w14:textId="77777777" w:rsidR="00796948" w:rsidRDefault="00796948">
            <w:pPr>
              <w:spacing w:after="0" w:line="276" w:lineRule="auto"/>
              <w:rPr>
                <w:rFonts w:eastAsia="Times New Roman" w:cstheme="minorHAnsi"/>
                <w:color w:val="000000"/>
                <w:sz w:val="18"/>
                <w:szCs w:val="18"/>
              </w:rPr>
            </w:pPr>
            <w:r>
              <w:rPr>
                <w:rFonts w:eastAsia="Times New Roman" w:cstheme="minorHAnsi"/>
                <w:color w:val="000000"/>
                <w:sz w:val="18"/>
                <w:szCs w:val="18"/>
              </w:rPr>
              <w:t>K00368</w:t>
            </w:r>
          </w:p>
        </w:tc>
        <w:tc>
          <w:tcPr>
            <w:tcW w:w="5826" w:type="dxa"/>
            <w:noWrap/>
            <w:vAlign w:val="center"/>
            <w:hideMark/>
          </w:tcPr>
          <w:p w14:paraId="4462C05B" w14:textId="77777777" w:rsidR="00796948" w:rsidRDefault="00796948">
            <w:pPr>
              <w:spacing w:after="0" w:line="276" w:lineRule="auto"/>
              <w:rPr>
                <w:rFonts w:eastAsia="Times New Roman" w:cstheme="minorHAnsi"/>
                <w:color w:val="000000"/>
                <w:sz w:val="18"/>
                <w:szCs w:val="18"/>
              </w:rPr>
            </w:pPr>
            <w:r>
              <w:rPr>
                <w:rFonts w:eastAsia="Times New Roman" w:cstheme="minorHAnsi"/>
                <w:color w:val="000000"/>
                <w:sz w:val="18"/>
                <w:szCs w:val="18"/>
              </w:rPr>
              <w:t>TIGR02376 (superfamily cl31204)</w:t>
            </w:r>
          </w:p>
        </w:tc>
      </w:tr>
      <w:tr w:rsidR="00796948" w14:paraId="78C584BF" w14:textId="77777777" w:rsidTr="00796948">
        <w:trPr>
          <w:trHeight w:val="300"/>
        </w:trPr>
        <w:tc>
          <w:tcPr>
            <w:tcW w:w="1802" w:type="dxa"/>
            <w:noWrap/>
            <w:vAlign w:val="center"/>
            <w:hideMark/>
          </w:tcPr>
          <w:p w14:paraId="3CD805B5" w14:textId="77777777" w:rsidR="00796948" w:rsidRDefault="00796948">
            <w:pPr>
              <w:spacing w:after="0" w:line="276" w:lineRule="auto"/>
              <w:rPr>
                <w:rFonts w:eastAsia="Times New Roman" w:cstheme="minorHAnsi"/>
                <w:i/>
                <w:iCs/>
                <w:color w:val="000000"/>
                <w:sz w:val="18"/>
                <w:szCs w:val="18"/>
              </w:rPr>
            </w:pPr>
            <w:proofErr w:type="spellStart"/>
            <w:r>
              <w:rPr>
                <w:rFonts w:eastAsia="Times New Roman" w:cstheme="minorHAnsi"/>
                <w:i/>
                <w:iCs/>
                <w:color w:val="000000"/>
                <w:sz w:val="18"/>
                <w:szCs w:val="18"/>
              </w:rPr>
              <w:t>qnorB</w:t>
            </w:r>
            <w:proofErr w:type="spellEnd"/>
          </w:p>
        </w:tc>
        <w:tc>
          <w:tcPr>
            <w:tcW w:w="1398" w:type="dxa"/>
            <w:vMerge w:val="restart"/>
            <w:noWrap/>
            <w:vAlign w:val="center"/>
            <w:hideMark/>
          </w:tcPr>
          <w:p w14:paraId="465FCE57" w14:textId="77777777" w:rsidR="00796948" w:rsidRDefault="00796948">
            <w:pPr>
              <w:spacing w:after="0" w:line="276" w:lineRule="auto"/>
              <w:rPr>
                <w:rFonts w:eastAsia="Times New Roman" w:cstheme="minorHAnsi"/>
                <w:color w:val="000000"/>
                <w:sz w:val="18"/>
                <w:szCs w:val="18"/>
              </w:rPr>
            </w:pPr>
            <w:r>
              <w:rPr>
                <w:rFonts w:eastAsia="Times New Roman" w:cstheme="minorHAnsi"/>
                <w:color w:val="000000"/>
                <w:sz w:val="18"/>
                <w:szCs w:val="18"/>
              </w:rPr>
              <w:t>K04561</w:t>
            </w:r>
          </w:p>
        </w:tc>
        <w:tc>
          <w:tcPr>
            <w:tcW w:w="5826" w:type="dxa"/>
            <w:vMerge w:val="restart"/>
            <w:noWrap/>
            <w:vAlign w:val="center"/>
            <w:hideMark/>
          </w:tcPr>
          <w:p w14:paraId="647BB46C" w14:textId="77777777" w:rsidR="00796948" w:rsidRDefault="00796948">
            <w:pPr>
              <w:spacing w:after="0" w:line="276" w:lineRule="auto"/>
              <w:rPr>
                <w:rFonts w:eastAsia="Times New Roman" w:cstheme="minorHAnsi"/>
                <w:color w:val="000000"/>
                <w:sz w:val="18"/>
                <w:szCs w:val="18"/>
              </w:rPr>
            </w:pPr>
            <w:r>
              <w:rPr>
                <w:rFonts w:eastAsia="Times New Roman" w:cstheme="minorHAnsi"/>
                <w:color w:val="000000"/>
                <w:sz w:val="18"/>
                <w:szCs w:val="18"/>
              </w:rPr>
              <w:t>cl00275</w:t>
            </w:r>
          </w:p>
        </w:tc>
      </w:tr>
      <w:tr w:rsidR="00796948" w14:paraId="275BAC98" w14:textId="77777777" w:rsidTr="00796948">
        <w:trPr>
          <w:trHeight w:val="300"/>
        </w:trPr>
        <w:tc>
          <w:tcPr>
            <w:tcW w:w="1802" w:type="dxa"/>
            <w:noWrap/>
            <w:vAlign w:val="center"/>
            <w:hideMark/>
          </w:tcPr>
          <w:p w14:paraId="4C829AB5" w14:textId="77777777" w:rsidR="00796948" w:rsidRDefault="00796948">
            <w:pPr>
              <w:spacing w:after="0" w:line="276" w:lineRule="auto"/>
              <w:rPr>
                <w:rFonts w:eastAsia="Times New Roman" w:cstheme="minorHAnsi"/>
                <w:i/>
                <w:iCs/>
                <w:color w:val="000000"/>
                <w:sz w:val="18"/>
                <w:szCs w:val="18"/>
              </w:rPr>
            </w:pPr>
            <w:proofErr w:type="spellStart"/>
            <w:r>
              <w:rPr>
                <w:rFonts w:eastAsia="Times New Roman" w:cstheme="minorHAnsi"/>
                <w:i/>
                <w:iCs/>
                <w:color w:val="000000"/>
                <w:sz w:val="18"/>
                <w:szCs w:val="18"/>
              </w:rPr>
              <w:t>cnorB</w:t>
            </w:r>
            <w:proofErr w:type="spellEnd"/>
          </w:p>
        </w:tc>
        <w:tc>
          <w:tcPr>
            <w:tcW w:w="0" w:type="auto"/>
            <w:vMerge/>
            <w:vAlign w:val="center"/>
            <w:hideMark/>
          </w:tcPr>
          <w:p w14:paraId="4975ED64" w14:textId="77777777" w:rsidR="00796948" w:rsidRDefault="00796948">
            <w:pPr>
              <w:spacing w:after="0" w:line="256" w:lineRule="auto"/>
              <w:rPr>
                <w:rFonts w:eastAsia="Times New Roman" w:cstheme="minorHAnsi"/>
                <w:color w:val="000000"/>
                <w:sz w:val="18"/>
                <w:szCs w:val="18"/>
              </w:rPr>
            </w:pPr>
          </w:p>
        </w:tc>
        <w:tc>
          <w:tcPr>
            <w:tcW w:w="0" w:type="auto"/>
            <w:vMerge/>
            <w:vAlign w:val="center"/>
            <w:hideMark/>
          </w:tcPr>
          <w:p w14:paraId="4C20F4C9" w14:textId="77777777" w:rsidR="00796948" w:rsidRDefault="00796948">
            <w:pPr>
              <w:spacing w:after="0" w:line="256" w:lineRule="auto"/>
              <w:rPr>
                <w:rFonts w:eastAsia="Times New Roman" w:cstheme="minorHAnsi"/>
                <w:color w:val="000000"/>
                <w:sz w:val="18"/>
                <w:szCs w:val="18"/>
              </w:rPr>
            </w:pPr>
          </w:p>
        </w:tc>
      </w:tr>
      <w:tr w:rsidR="00796948" w14:paraId="37ACA4CD" w14:textId="77777777" w:rsidTr="00796948">
        <w:trPr>
          <w:trHeight w:val="300"/>
        </w:trPr>
        <w:tc>
          <w:tcPr>
            <w:tcW w:w="1802" w:type="dxa"/>
            <w:noWrap/>
            <w:vAlign w:val="center"/>
            <w:hideMark/>
          </w:tcPr>
          <w:p w14:paraId="02F91A70" w14:textId="77777777" w:rsidR="00796948" w:rsidRDefault="00796948">
            <w:pPr>
              <w:spacing w:after="0" w:line="276" w:lineRule="auto"/>
              <w:rPr>
                <w:rFonts w:eastAsia="Times New Roman" w:cstheme="minorHAnsi"/>
                <w:color w:val="000000"/>
                <w:sz w:val="18"/>
                <w:szCs w:val="18"/>
              </w:rPr>
            </w:pPr>
            <w:r>
              <w:rPr>
                <w:rFonts w:eastAsia="Times New Roman" w:cstheme="minorHAnsi"/>
                <w:color w:val="000000"/>
                <w:sz w:val="18"/>
                <w:szCs w:val="18"/>
              </w:rPr>
              <w:t xml:space="preserve">clade I </w:t>
            </w:r>
            <w:proofErr w:type="spellStart"/>
            <w:r>
              <w:rPr>
                <w:rFonts w:eastAsia="Times New Roman" w:cstheme="minorHAnsi"/>
                <w:i/>
                <w:iCs/>
                <w:color w:val="000000"/>
                <w:sz w:val="18"/>
                <w:szCs w:val="18"/>
              </w:rPr>
              <w:t>nosZ</w:t>
            </w:r>
            <w:proofErr w:type="spellEnd"/>
            <w:r>
              <w:rPr>
                <w:rFonts w:eastAsia="Times New Roman" w:cstheme="minorHAnsi"/>
                <w:color w:val="000000"/>
                <w:sz w:val="18"/>
                <w:szCs w:val="18"/>
              </w:rPr>
              <w:t xml:space="preserve"> </w:t>
            </w:r>
          </w:p>
        </w:tc>
        <w:tc>
          <w:tcPr>
            <w:tcW w:w="1398" w:type="dxa"/>
            <w:vMerge w:val="restart"/>
            <w:tcBorders>
              <w:top w:val="nil"/>
              <w:left w:val="nil"/>
              <w:bottom w:val="single" w:sz="4" w:space="0" w:color="auto"/>
              <w:right w:val="nil"/>
            </w:tcBorders>
            <w:noWrap/>
            <w:vAlign w:val="center"/>
            <w:hideMark/>
          </w:tcPr>
          <w:p w14:paraId="2977FEA6" w14:textId="77777777" w:rsidR="00796948" w:rsidRDefault="00796948">
            <w:pPr>
              <w:spacing w:after="0" w:line="276" w:lineRule="auto"/>
              <w:rPr>
                <w:rFonts w:eastAsia="Times New Roman" w:cstheme="minorHAnsi"/>
                <w:color w:val="000000"/>
                <w:sz w:val="18"/>
                <w:szCs w:val="18"/>
              </w:rPr>
            </w:pPr>
            <w:r>
              <w:rPr>
                <w:rFonts w:eastAsia="Times New Roman" w:cstheme="minorHAnsi"/>
                <w:color w:val="000000"/>
                <w:sz w:val="18"/>
                <w:szCs w:val="18"/>
              </w:rPr>
              <w:t>K00367</w:t>
            </w:r>
          </w:p>
        </w:tc>
        <w:tc>
          <w:tcPr>
            <w:tcW w:w="5826" w:type="dxa"/>
            <w:noWrap/>
            <w:vAlign w:val="center"/>
            <w:hideMark/>
          </w:tcPr>
          <w:p w14:paraId="7B70F67A" w14:textId="77777777" w:rsidR="00796948" w:rsidRDefault="00796948">
            <w:pPr>
              <w:spacing w:after="0" w:line="276" w:lineRule="auto"/>
              <w:rPr>
                <w:rFonts w:eastAsia="Times New Roman" w:cstheme="minorHAnsi"/>
                <w:color w:val="000000"/>
                <w:sz w:val="18"/>
                <w:szCs w:val="18"/>
              </w:rPr>
            </w:pPr>
            <w:r>
              <w:rPr>
                <w:rFonts w:eastAsia="Times New Roman" w:cstheme="minorHAnsi"/>
                <w:color w:val="000000"/>
                <w:sz w:val="18"/>
                <w:szCs w:val="18"/>
              </w:rPr>
              <w:t>PRK02888</w:t>
            </w:r>
          </w:p>
        </w:tc>
      </w:tr>
      <w:tr w:rsidR="00796948" w14:paraId="169A926E" w14:textId="77777777" w:rsidTr="00796948">
        <w:trPr>
          <w:trHeight w:val="300"/>
        </w:trPr>
        <w:tc>
          <w:tcPr>
            <w:tcW w:w="1802" w:type="dxa"/>
            <w:tcBorders>
              <w:top w:val="nil"/>
              <w:left w:val="nil"/>
              <w:bottom w:val="single" w:sz="4" w:space="0" w:color="auto"/>
              <w:right w:val="nil"/>
            </w:tcBorders>
            <w:noWrap/>
            <w:vAlign w:val="center"/>
            <w:hideMark/>
          </w:tcPr>
          <w:p w14:paraId="753B1753" w14:textId="77777777" w:rsidR="00796948" w:rsidRDefault="00796948">
            <w:pPr>
              <w:spacing w:after="0" w:line="276" w:lineRule="auto"/>
              <w:rPr>
                <w:rFonts w:eastAsia="Times New Roman" w:cstheme="minorHAnsi"/>
                <w:i/>
                <w:iCs/>
                <w:color w:val="000000"/>
                <w:sz w:val="18"/>
                <w:szCs w:val="18"/>
              </w:rPr>
            </w:pPr>
            <w:r>
              <w:rPr>
                <w:rFonts w:eastAsia="Times New Roman" w:cstheme="minorHAnsi"/>
                <w:color w:val="000000"/>
                <w:sz w:val="18"/>
                <w:szCs w:val="18"/>
              </w:rPr>
              <w:t>c</w:t>
            </w:r>
            <w:r>
              <w:rPr>
                <w:rFonts w:eastAsia="Times New Roman" w:cstheme="minorHAnsi"/>
                <w:color w:val="000000"/>
                <w:sz w:val="18"/>
                <w:szCs w:val="18"/>
                <w:lang w:val="en-GB"/>
              </w:rPr>
              <w:t>la</w:t>
            </w:r>
            <w:r>
              <w:rPr>
                <w:rFonts w:eastAsia="Times New Roman" w:cstheme="minorHAnsi"/>
                <w:color w:val="000000"/>
                <w:sz w:val="18"/>
                <w:szCs w:val="18"/>
              </w:rPr>
              <w:t>de II</w:t>
            </w:r>
            <w:r>
              <w:rPr>
                <w:rFonts w:eastAsia="Times New Roman" w:cstheme="minorHAnsi"/>
                <w:i/>
                <w:iCs/>
                <w:color w:val="000000"/>
                <w:sz w:val="18"/>
                <w:szCs w:val="18"/>
              </w:rPr>
              <w:t xml:space="preserve"> </w:t>
            </w:r>
            <w:proofErr w:type="spellStart"/>
            <w:r>
              <w:rPr>
                <w:rFonts w:eastAsia="Times New Roman" w:cstheme="minorHAnsi"/>
                <w:i/>
                <w:iCs/>
                <w:color w:val="000000"/>
                <w:sz w:val="18"/>
                <w:szCs w:val="18"/>
              </w:rPr>
              <w:t>nosZ</w:t>
            </w:r>
            <w:proofErr w:type="spellEnd"/>
            <w:r>
              <w:rPr>
                <w:rFonts w:eastAsia="Times New Roman" w:cstheme="minorHAnsi"/>
                <w:color w:val="000000"/>
                <w:sz w:val="18"/>
                <w:szCs w:val="18"/>
              </w:rPr>
              <w:t xml:space="preserve"> </w:t>
            </w:r>
          </w:p>
        </w:tc>
        <w:tc>
          <w:tcPr>
            <w:tcW w:w="0" w:type="auto"/>
            <w:vMerge/>
            <w:tcBorders>
              <w:top w:val="nil"/>
              <w:left w:val="nil"/>
              <w:bottom w:val="single" w:sz="4" w:space="0" w:color="auto"/>
              <w:right w:val="nil"/>
            </w:tcBorders>
            <w:vAlign w:val="center"/>
            <w:hideMark/>
          </w:tcPr>
          <w:p w14:paraId="76FAB699" w14:textId="77777777" w:rsidR="00796948" w:rsidRDefault="00796948">
            <w:pPr>
              <w:spacing w:after="0" w:line="256" w:lineRule="auto"/>
              <w:rPr>
                <w:rFonts w:eastAsia="Times New Roman" w:cstheme="minorHAnsi"/>
                <w:color w:val="000000"/>
                <w:sz w:val="18"/>
                <w:szCs w:val="18"/>
              </w:rPr>
            </w:pPr>
          </w:p>
        </w:tc>
        <w:tc>
          <w:tcPr>
            <w:tcW w:w="5826" w:type="dxa"/>
            <w:tcBorders>
              <w:top w:val="nil"/>
              <w:left w:val="nil"/>
              <w:bottom w:val="single" w:sz="4" w:space="0" w:color="auto"/>
              <w:right w:val="nil"/>
            </w:tcBorders>
            <w:noWrap/>
            <w:vAlign w:val="center"/>
            <w:hideMark/>
          </w:tcPr>
          <w:p w14:paraId="0B3BF7B5" w14:textId="77777777" w:rsidR="00796948" w:rsidRDefault="00796948">
            <w:pPr>
              <w:spacing w:after="0" w:line="276" w:lineRule="auto"/>
              <w:rPr>
                <w:rFonts w:eastAsia="Times New Roman" w:cstheme="minorHAnsi"/>
                <w:color w:val="000000"/>
                <w:sz w:val="18"/>
                <w:szCs w:val="18"/>
              </w:rPr>
            </w:pPr>
            <w:r>
              <w:rPr>
                <w:rFonts w:eastAsia="Times New Roman" w:cstheme="minorHAnsi"/>
                <w:color w:val="000000"/>
                <w:sz w:val="18"/>
                <w:szCs w:val="18"/>
              </w:rPr>
              <w:t>TIGR04246</w:t>
            </w:r>
          </w:p>
        </w:tc>
      </w:tr>
    </w:tbl>
    <w:p w14:paraId="4D5CC4B1" w14:textId="77777777" w:rsidR="00164072" w:rsidRDefault="00164072">
      <w:pPr>
        <w:rPr>
          <w:lang w:val="en-GB"/>
        </w:rPr>
      </w:pPr>
    </w:p>
    <w:p w14:paraId="2331A30A" w14:textId="77777777" w:rsidR="00164072" w:rsidRPr="00164072" w:rsidRDefault="00164072" w:rsidP="00164072">
      <w:pPr>
        <w:pStyle w:val="EndNoteBibliography"/>
        <w:spacing w:after="0"/>
      </w:pPr>
      <w:r>
        <w:rPr>
          <w:lang w:val="en-GB"/>
        </w:rPr>
        <w:fldChar w:fldCharType="begin"/>
      </w:r>
      <w:r>
        <w:rPr>
          <w:lang w:val="en-GB"/>
        </w:rPr>
        <w:instrText xml:space="preserve"> ADDIN EN.REFLIST </w:instrText>
      </w:r>
      <w:r>
        <w:rPr>
          <w:lang w:val="en-GB"/>
        </w:rPr>
        <w:fldChar w:fldCharType="separate"/>
      </w:r>
      <w:r w:rsidRPr="00164072">
        <w:t xml:space="preserve">Alfreider A, Schirmer M &amp; Vogt C (2012) Diversity and expression of different forms of RubisCO genes in polluted groundwater under different redox conditions. </w:t>
      </w:r>
      <w:r w:rsidRPr="00164072">
        <w:rPr>
          <w:i/>
        </w:rPr>
        <w:t>FEMS Microbiology Ecology</w:t>
      </w:r>
      <w:r w:rsidRPr="00164072">
        <w:t xml:space="preserve"> </w:t>
      </w:r>
      <w:r w:rsidRPr="00164072">
        <w:rPr>
          <w:b/>
        </w:rPr>
        <w:t>79</w:t>
      </w:r>
      <w:r w:rsidRPr="00164072">
        <w:t>: 649-660.</w:t>
      </w:r>
    </w:p>
    <w:p w14:paraId="23910434" w14:textId="77777777" w:rsidR="00164072" w:rsidRPr="00164072" w:rsidRDefault="00164072" w:rsidP="00164072">
      <w:pPr>
        <w:pStyle w:val="EndNoteBibliography"/>
        <w:spacing w:after="0"/>
      </w:pPr>
      <w:r w:rsidRPr="00164072">
        <w:t xml:space="preserve">Braker G &amp; Tiedje JM (2003) Nitric oxide reductase (norB) genes from pure cultures and environmental samples. </w:t>
      </w:r>
      <w:r w:rsidRPr="00164072">
        <w:rPr>
          <w:i/>
        </w:rPr>
        <w:t>Appl Environ Microbiol</w:t>
      </w:r>
      <w:r w:rsidRPr="00164072">
        <w:t xml:space="preserve"> </w:t>
      </w:r>
      <w:r w:rsidRPr="00164072">
        <w:rPr>
          <w:b/>
        </w:rPr>
        <w:t>69</w:t>
      </w:r>
      <w:r w:rsidRPr="00164072">
        <w:t>: 3476-3483.</w:t>
      </w:r>
    </w:p>
    <w:p w14:paraId="4406BC42" w14:textId="77777777" w:rsidR="00164072" w:rsidRPr="00164072" w:rsidRDefault="00164072" w:rsidP="00164072">
      <w:pPr>
        <w:pStyle w:val="EndNoteBibliography"/>
        <w:spacing w:after="0"/>
      </w:pPr>
      <w:r w:rsidRPr="00164072">
        <w:t xml:space="preserve">Greening C, Biswas A, Carere CR, Jackson CJ, Taylor MC, Stott MB, Cook GM &amp; Morales SE (2015) Genomic and metagenomic surveys of hydrogenase distribution indicate H2 is a widely utilised energy source for microbial growth and survival. </w:t>
      </w:r>
      <w:r w:rsidRPr="00164072">
        <w:rPr>
          <w:i/>
        </w:rPr>
        <w:t>The Isme Journal</w:t>
      </w:r>
      <w:r w:rsidRPr="00164072">
        <w:t xml:space="preserve"> </w:t>
      </w:r>
      <w:r w:rsidRPr="00164072">
        <w:rPr>
          <w:b/>
        </w:rPr>
        <w:t>10</w:t>
      </w:r>
      <w:r w:rsidRPr="00164072">
        <w:t>: 761.</w:t>
      </w:r>
    </w:p>
    <w:p w14:paraId="47B32F9E" w14:textId="77777777" w:rsidR="00164072" w:rsidRPr="00164072" w:rsidRDefault="00164072" w:rsidP="00164072">
      <w:pPr>
        <w:pStyle w:val="EndNoteBibliography"/>
        <w:spacing w:after="0"/>
      </w:pPr>
      <w:r w:rsidRPr="00164072">
        <w:t xml:space="preserve">Kumar S, Stecher G, Li M, Knyaz C &amp; Tamura K (2018) MEGA X: Molecular Evolutionary Genetics Analysis across Computing Platforms. </w:t>
      </w:r>
      <w:r w:rsidRPr="00164072">
        <w:rPr>
          <w:i/>
        </w:rPr>
        <w:t>Mol Biol Evol</w:t>
      </w:r>
      <w:r w:rsidRPr="00164072">
        <w:t xml:space="preserve"> </w:t>
      </w:r>
      <w:r w:rsidRPr="00164072">
        <w:rPr>
          <w:b/>
        </w:rPr>
        <w:t>35</w:t>
      </w:r>
      <w:r w:rsidRPr="00164072">
        <w:t>: 1547-1549.</w:t>
      </w:r>
    </w:p>
    <w:p w14:paraId="0A96DE86" w14:textId="77777777" w:rsidR="00164072" w:rsidRPr="00164072" w:rsidRDefault="00164072" w:rsidP="00164072">
      <w:pPr>
        <w:pStyle w:val="EndNoteBibliography"/>
      </w:pPr>
      <w:r w:rsidRPr="00164072">
        <w:t>Lu S, Wang J, Chitsaz F</w:t>
      </w:r>
      <w:r w:rsidRPr="00164072">
        <w:rPr>
          <w:i/>
        </w:rPr>
        <w:t>, et al.</w:t>
      </w:r>
      <w:r w:rsidRPr="00164072">
        <w:t xml:space="preserve"> (2020) CDD/SPARCLE: the conserved domain database in 2020. </w:t>
      </w:r>
      <w:r w:rsidRPr="00164072">
        <w:rPr>
          <w:i/>
        </w:rPr>
        <w:t>Nucleic acids research</w:t>
      </w:r>
      <w:r w:rsidRPr="00164072">
        <w:t xml:space="preserve"> </w:t>
      </w:r>
      <w:r w:rsidRPr="00164072">
        <w:rPr>
          <w:b/>
        </w:rPr>
        <w:t>48</w:t>
      </w:r>
      <w:r w:rsidRPr="00164072">
        <w:t>: D265-D268.</w:t>
      </w:r>
    </w:p>
    <w:p w14:paraId="16A91F2C" w14:textId="40369FA2" w:rsidR="00164072" w:rsidRPr="00164072" w:rsidRDefault="00164072">
      <w:pPr>
        <w:rPr>
          <w:lang w:val="en-GB"/>
        </w:rPr>
      </w:pPr>
      <w:r>
        <w:rPr>
          <w:lang w:val="en-GB"/>
        </w:rPr>
        <w:fldChar w:fldCharType="end"/>
      </w:r>
    </w:p>
    <w:sectPr w:rsidR="00164072" w:rsidRPr="0016407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Layout" w:val="&lt;ENLayout&gt;&lt;Style&gt;FEMS Journals&lt;/Style&gt;&lt;LeftDelim&gt;{&lt;/LeftDelim&gt;&lt;RightDelim&gt;}&lt;/RightDelim&gt;&lt;FontName&gt;Calibri&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w2sps055ka5a58ezszn5tdfpezef5r9wfr20&quot;&gt;batch_exp-Converted&lt;record-ids&gt;&lt;item&gt;31&lt;/item&gt;&lt;item&gt;91&lt;/item&gt;&lt;item&gt;138&lt;/item&gt;&lt;item&gt;223&lt;/item&gt;&lt;item&gt;224&lt;/item&gt;&lt;/record-ids&gt;&lt;/item&gt;&lt;/Libraries&gt;"/>
  </w:docVars>
  <w:rsids>
    <w:rsidRoot w:val="00164072"/>
    <w:rsid w:val="00164072"/>
    <w:rsid w:val="00531820"/>
    <w:rsid w:val="00796948"/>
    <w:rsid w:val="0085462F"/>
    <w:rsid w:val="00F61387"/>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AFA44"/>
  <w15:chartTrackingRefBased/>
  <w15:docId w15:val="{F7E5A219-8FBD-4C5E-AC17-D5A66606F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4072"/>
    <w:pPr>
      <w:spacing w:line="360" w:lineRule="auto"/>
    </w:pPr>
    <w:rPr>
      <w:sz w:val="20"/>
    </w:rPr>
  </w:style>
  <w:style w:type="paragraph" w:styleId="Heading2">
    <w:name w:val="heading 2"/>
    <w:basedOn w:val="Normal"/>
    <w:next w:val="Normal"/>
    <w:link w:val="Heading2Char"/>
    <w:uiPriority w:val="9"/>
    <w:unhideWhenUsed/>
    <w:qFormat/>
    <w:rsid w:val="0085462F"/>
    <w:pPr>
      <w:keepNext/>
      <w:keepLines/>
      <w:spacing w:before="40" w:after="0"/>
      <w:outlineLvl w:val="1"/>
    </w:pPr>
    <w:rPr>
      <w:rFonts w:asciiTheme="majorHAnsi" w:eastAsiaTheme="majorEastAsia" w:hAnsiTheme="majorHAnsi" w:cstheme="majorBidi"/>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6407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64072"/>
    <w:rPr>
      <w:rFonts w:asciiTheme="majorHAnsi" w:eastAsiaTheme="majorEastAsia" w:hAnsiTheme="majorHAnsi" w:cstheme="majorBidi"/>
      <w:spacing w:val="-10"/>
      <w:kern w:val="28"/>
      <w:sz w:val="56"/>
      <w:szCs w:val="56"/>
    </w:rPr>
  </w:style>
  <w:style w:type="character" w:styleId="CommentReference">
    <w:name w:val="annotation reference"/>
    <w:basedOn w:val="DefaultParagraphFont"/>
    <w:uiPriority w:val="99"/>
    <w:semiHidden/>
    <w:unhideWhenUsed/>
    <w:rsid w:val="00164072"/>
    <w:rPr>
      <w:sz w:val="16"/>
      <w:szCs w:val="16"/>
    </w:rPr>
  </w:style>
  <w:style w:type="paragraph" w:styleId="CommentText">
    <w:name w:val="annotation text"/>
    <w:basedOn w:val="Normal"/>
    <w:link w:val="CommentTextChar"/>
    <w:uiPriority w:val="99"/>
    <w:unhideWhenUsed/>
    <w:rsid w:val="00164072"/>
    <w:pPr>
      <w:spacing w:line="240" w:lineRule="auto"/>
      <w:jc w:val="both"/>
    </w:pPr>
    <w:rPr>
      <w:szCs w:val="20"/>
      <w:lang w:val="en-US"/>
    </w:rPr>
  </w:style>
  <w:style w:type="character" w:customStyle="1" w:styleId="CommentTextChar">
    <w:name w:val="Comment Text Char"/>
    <w:basedOn w:val="DefaultParagraphFont"/>
    <w:link w:val="CommentText"/>
    <w:uiPriority w:val="99"/>
    <w:rsid w:val="00164072"/>
    <w:rPr>
      <w:sz w:val="20"/>
      <w:szCs w:val="20"/>
      <w:lang w:val="en-US"/>
    </w:rPr>
  </w:style>
  <w:style w:type="character" w:styleId="Hyperlink">
    <w:name w:val="Hyperlink"/>
    <w:basedOn w:val="DefaultParagraphFont"/>
    <w:uiPriority w:val="99"/>
    <w:unhideWhenUsed/>
    <w:rsid w:val="00164072"/>
    <w:rPr>
      <w:color w:val="0563C1" w:themeColor="hyperlink"/>
      <w:u w:val="single"/>
    </w:rPr>
  </w:style>
  <w:style w:type="paragraph" w:customStyle="1" w:styleId="EndNoteBibliographyTitle">
    <w:name w:val="EndNote Bibliography Title"/>
    <w:basedOn w:val="Normal"/>
    <w:link w:val="EndNoteBibliographyTitleChar"/>
    <w:rsid w:val="00164072"/>
    <w:pPr>
      <w:spacing w:after="0"/>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164072"/>
    <w:rPr>
      <w:rFonts w:ascii="Calibri" w:hAnsi="Calibri" w:cs="Calibri"/>
      <w:noProof/>
      <w:sz w:val="20"/>
      <w:lang w:val="en-US"/>
    </w:rPr>
  </w:style>
  <w:style w:type="paragraph" w:customStyle="1" w:styleId="EndNoteBibliography">
    <w:name w:val="EndNote Bibliography"/>
    <w:basedOn w:val="Normal"/>
    <w:link w:val="EndNoteBibliographyChar"/>
    <w:rsid w:val="00164072"/>
    <w:pPr>
      <w:spacing w:line="240" w:lineRule="auto"/>
    </w:pPr>
    <w:rPr>
      <w:rFonts w:ascii="Calibri" w:hAnsi="Calibri" w:cs="Calibri"/>
      <w:noProof/>
      <w:lang w:val="en-US"/>
    </w:rPr>
  </w:style>
  <w:style w:type="character" w:customStyle="1" w:styleId="EndNoteBibliographyChar">
    <w:name w:val="EndNote Bibliography Char"/>
    <w:basedOn w:val="DefaultParagraphFont"/>
    <w:link w:val="EndNoteBibliography"/>
    <w:rsid w:val="00164072"/>
    <w:rPr>
      <w:rFonts w:ascii="Calibri" w:hAnsi="Calibri" w:cs="Calibri"/>
      <w:noProof/>
      <w:sz w:val="20"/>
      <w:lang w:val="en-US"/>
    </w:rPr>
  </w:style>
  <w:style w:type="character" w:customStyle="1" w:styleId="Heading2Char">
    <w:name w:val="Heading 2 Char"/>
    <w:basedOn w:val="DefaultParagraphFont"/>
    <w:link w:val="Heading2"/>
    <w:uiPriority w:val="9"/>
    <w:rsid w:val="0085462F"/>
    <w:rPr>
      <w:rFonts w:asciiTheme="majorHAnsi" w:eastAsiaTheme="majorEastAsia" w:hAnsiTheme="majorHAnsi" w:cstheme="majorBidi"/>
      <w:sz w:val="24"/>
      <w:szCs w:val="26"/>
    </w:rPr>
  </w:style>
  <w:style w:type="paragraph" w:styleId="Caption">
    <w:name w:val="caption"/>
    <w:basedOn w:val="Normal"/>
    <w:next w:val="Normal"/>
    <w:uiPriority w:val="35"/>
    <w:unhideWhenUsed/>
    <w:qFormat/>
    <w:rsid w:val="00796948"/>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5298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hmmer.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2278</Words>
  <Characters>12988</Characters>
  <Application>Microsoft Office Word</Application>
  <DocSecurity>0</DocSecurity>
  <Lines>108</Lines>
  <Paragraphs>30</Paragraphs>
  <ScaleCrop>false</ScaleCrop>
  <Company/>
  <LinksUpToDate>false</LinksUpToDate>
  <CharactersWithSpaces>15236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ga63cob</dc:creator>
  <cp:keywords/>
  <dc:description/>
  <cp:lastModifiedBy>ga63cob</cp:lastModifiedBy>
  <cp:revision>2</cp:revision>
  <dcterms:created xsi:type="dcterms:W3CDTF">2021-09-29T08:25:00Z</dcterms:created>
  <dcterms:modified xsi:type="dcterms:W3CDTF">2021-09-29T08:25:00Z</dcterms:modified>
</cp:coreProperties>
</file>