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F2B" w:rsidRDefault="009E0F3A">
      <w:pPr>
        <w:pStyle w:val="BATitle"/>
      </w:pPr>
      <w:r>
        <w:t>Dihydrogen Phosphate anion boosts the detection of sugars in ESI-MS: A combined experimental and computational investigation</w:t>
      </w:r>
    </w:p>
    <w:p w:rsidR="00D45F2B" w:rsidRDefault="009E0F3A">
      <w:pPr>
        <w:pStyle w:val="BBAuthorName"/>
      </w:pPr>
      <w:r>
        <w:t>Alexander Ruf*</w:t>
      </w:r>
      <w:r>
        <w:rPr>
          <w:vertAlign w:val="superscript"/>
        </w:rPr>
        <w:t>a,b,c</w:t>
      </w:r>
      <w:r>
        <w:t>, Basem Kanawati*</w:t>
      </w:r>
      <w:r>
        <w:rPr>
          <w:vertAlign w:val="superscript"/>
        </w:rPr>
        <w:t>a</w:t>
      </w:r>
      <w:r>
        <w:t>, Philippe Schmitt-Kopplin</w:t>
      </w:r>
      <w:r>
        <w:rPr>
          <w:vertAlign w:val="superscript"/>
        </w:rPr>
        <w:t>a,b</w:t>
      </w:r>
    </w:p>
    <w:p w:rsidR="00D45F2B" w:rsidRDefault="009E0F3A">
      <w:pPr>
        <w:pStyle w:val="BCAuthorAddress"/>
      </w:pPr>
      <w:r>
        <w:t>AUTHOR ADDRESS: a.</w:t>
      </w:r>
      <w:r>
        <w:tab/>
        <w:t>Analytical BioGeoChemistry, Helmholtz Zentrum München, Munich, Germany.</w:t>
      </w:r>
    </w:p>
    <w:p w:rsidR="00D45F2B" w:rsidRDefault="009E0F3A">
      <w:pPr>
        <w:pStyle w:val="BIEmailAddress"/>
      </w:pPr>
      <w:r>
        <w:t>b. Analytical Food Chemistry, Technische Universität München, Munich, Germany.</w:t>
      </w:r>
    </w:p>
    <w:p w:rsidR="00D45F2B" w:rsidRDefault="009E0F3A">
      <w:pPr>
        <w:pStyle w:val="AIReceivedDate"/>
      </w:pPr>
      <w:r>
        <w:t>c. Université Aix-Marseille, Laboratoire de Physique des Interactions Ioniques et Moléculaires (PIIM), Marseille, France.</w:t>
      </w:r>
    </w:p>
    <w:p w:rsidR="00D45F2B" w:rsidRDefault="009E0F3A">
      <w:pPr>
        <w:pStyle w:val="AIReceivedDate"/>
      </w:pPr>
      <w:r>
        <w:t>* Correspondence Authors: rufalexan@gmail.com ; basem.kanawati@helmholtz-muenchen.de   Tel:+49 89 3187 2412.</w:t>
      </w:r>
    </w:p>
    <w:p w:rsidR="00D45F2B" w:rsidRDefault="00D45F2B">
      <w:pPr>
        <w:pStyle w:val="TAMainText"/>
        <w:sectPr w:rsidR="00D45F2B">
          <w:footerReference w:type="even" r:id="rId8"/>
          <w:footerReference w:type="default" r:id="rId9"/>
          <w:type w:val="continuous"/>
          <w:pgSz w:w="12240" w:h="15840"/>
          <w:pgMar w:top="720" w:right="1094" w:bottom="720" w:left="1094" w:header="720" w:footer="720" w:gutter="0"/>
          <w:cols w:space="461"/>
        </w:sectPr>
      </w:pPr>
    </w:p>
    <w:p w:rsidR="00D45F2B" w:rsidRDefault="00D45F2B">
      <w:pPr>
        <w:pStyle w:val="TAMainText"/>
      </w:pPr>
    </w:p>
    <w:p w:rsidR="00D45F2B" w:rsidRDefault="00D45F2B">
      <w:pPr>
        <w:pStyle w:val="TAMainText"/>
      </w:pPr>
    </w:p>
    <w:p w:rsidR="00D45F2B" w:rsidRDefault="009E0F3A">
      <w:pPr>
        <w:pStyle w:val="TAMainText"/>
      </w:pPr>
      <w:r>
        <w:rPr>
          <w:b/>
        </w:rPr>
        <w:t>Rationale:</w:t>
      </w:r>
      <w:r>
        <w:t xml:space="preserve"> Sugars are key molecules of life but challenging to detect via Electrospray ionization mass spectrometry (ESI-MS). Unfortunately, sugars are challenging analytes for mass spectrometric methods due to their high gas-phase deprotonation energies and low gas-phase proton affinities which make them difficult to be ionized in high abundance for MS detection.</w:t>
      </w:r>
    </w:p>
    <w:p w:rsidR="00D45F2B" w:rsidRDefault="00D45F2B">
      <w:pPr>
        <w:pStyle w:val="TAMainText"/>
      </w:pPr>
    </w:p>
    <w:p w:rsidR="00D45F2B" w:rsidRDefault="009E0F3A">
      <w:pPr>
        <w:pStyle w:val="TAMainText"/>
      </w:pPr>
      <w:r>
        <w:rPr>
          <w:b/>
        </w:rPr>
        <w:t>Methods:</w:t>
      </w:r>
      <w:r>
        <w:t xml:space="preserve"> Hydrogen bond interactions in H</w:t>
      </w:r>
      <w:r>
        <w:rPr>
          <w:vertAlign w:val="subscript"/>
        </w:rPr>
        <w:t>2</w:t>
      </w:r>
      <w:r>
        <w:t>PO</w:t>
      </w:r>
      <w:r>
        <w:rPr>
          <w:vertAlign w:val="subscript"/>
        </w:rPr>
        <w:t>4</w:t>
      </w:r>
      <w:r>
        <w:rPr>
          <w:rFonts w:ascii="Times New Roman" w:hAnsi="Times New Roman"/>
        </w:rPr>
        <w:t xml:space="preserve"> ̅ </w:t>
      </w:r>
      <w:r>
        <w:t>- Saccharide anionic systems both experimentally (via Electrospray Fourier transform ion cyclotron resonance mass spectrometry, ESI-FT-ICR-MS) and computationally by several sophisticated density-functional theoretical (DFT and DFT-D3) methods.</w:t>
      </w:r>
    </w:p>
    <w:p w:rsidR="00D45F2B" w:rsidRDefault="00D45F2B">
      <w:pPr>
        <w:pStyle w:val="TAMainText"/>
      </w:pPr>
    </w:p>
    <w:p w:rsidR="00D45F2B" w:rsidRDefault="009E0F3A">
      <w:pPr>
        <w:pStyle w:val="TAMainText"/>
      </w:pPr>
      <w:r>
        <w:rPr>
          <w:b/>
        </w:rPr>
        <w:t>Results:</w:t>
      </w:r>
      <w:r>
        <w:t xml:space="preserve"> H</w:t>
      </w:r>
      <w:r>
        <w:rPr>
          <w:vertAlign w:val="subscript"/>
        </w:rPr>
        <w:t>2</w:t>
      </w:r>
      <w:r>
        <w:t>PO</w:t>
      </w:r>
      <w:r>
        <w:rPr>
          <w:vertAlign w:val="subscript"/>
        </w:rPr>
        <w:t>4</w:t>
      </w:r>
      <w:r>
        <w:t xml:space="preserve"> ̅  dopant boosts the detection of sugars up to 51-times in case of sucrose and up to 263-times for glucose (at 0.1 ppm concentration level). H</w:t>
      </w:r>
      <w:r>
        <w:rPr>
          <w:vertAlign w:val="subscript"/>
        </w:rPr>
        <w:t>2</w:t>
      </w:r>
      <w:r>
        <w:t>PO</w:t>
      </w:r>
      <w:r>
        <w:rPr>
          <w:vertAlign w:val="subscript"/>
        </w:rPr>
        <w:t>4</w:t>
      </w:r>
      <w:r>
        <w:t xml:space="preserve"> ̅  binds toward sugar molecules with noticeably more hydrogen bonds  than the established dopant chloride Cl  ̅ does, with increasing binding energies in the order:  Monosaccharides &lt; Trisaccharides &lt; Disaccharides. Analysis of a complex oak plant sample revealed that NH</w:t>
      </w:r>
      <w:r>
        <w:rPr>
          <w:vertAlign w:val="subscript"/>
        </w:rPr>
        <w:t>4</w:t>
      </w:r>
      <w:r>
        <w:t>H</w:t>
      </w:r>
      <w:r>
        <w:rPr>
          <w:vertAlign w:val="subscript"/>
        </w:rPr>
        <w:t>2</w:t>
      </w:r>
      <w:r>
        <w:t>PO</w:t>
      </w:r>
      <w:r>
        <w:rPr>
          <w:vertAlign w:val="subscript"/>
        </w:rPr>
        <w:t>4</w:t>
      </w:r>
      <w:r>
        <w:t xml:space="preserve"> specifically labeled a diverse set of sugar-type plant metabolites in form of [M+H</w:t>
      </w:r>
      <w:r>
        <w:rPr>
          <w:vertAlign w:val="subscript"/>
        </w:rPr>
        <w:t>2</w:t>
      </w:r>
      <w:r>
        <w:t>PO</w:t>
      </w:r>
      <w:r>
        <w:rPr>
          <w:vertAlign w:val="subscript"/>
        </w:rPr>
        <w:t>4</w:t>
      </w:r>
      <w:r>
        <w:t>]  ̅ complexes.</w:t>
      </w:r>
    </w:p>
    <w:p w:rsidR="00D45F2B" w:rsidRDefault="00D45F2B">
      <w:pPr>
        <w:pStyle w:val="TAMainText"/>
      </w:pPr>
    </w:p>
    <w:p w:rsidR="00D45F2B" w:rsidRDefault="009E0F3A">
      <w:pPr>
        <w:pStyle w:val="TAMainText"/>
      </w:pPr>
      <w:r>
        <w:rPr>
          <w:b/>
        </w:rPr>
        <w:t>Conclusions:</w:t>
      </w:r>
      <w:r>
        <w:t xml:space="preserve"> We reveal the mechanism of interaction of H</w:t>
      </w:r>
      <w:r>
        <w:rPr>
          <w:vertAlign w:val="subscript"/>
        </w:rPr>
        <w:t>2</w:t>
      </w:r>
      <w:r>
        <w:t>PO</w:t>
      </w:r>
      <w:r>
        <w:rPr>
          <w:vertAlign w:val="subscript"/>
        </w:rPr>
        <w:t>4</w:t>
      </w:r>
      <w:r>
        <w:t xml:space="preserve"> ̅  with different sugars and glycosylated organic compounds, which significantly enhances their ionization in mass spectrometry. A computational and experimental investigation is presented. A strong correlation between MS signal intensities of detected [M+H</w:t>
      </w:r>
      <w:r>
        <w:rPr>
          <w:vertAlign w:val="subscript"/>
        </w:rPr>
        <w:t>2</w:t>
      </w:r>
      <w:r>
        <w:t>PO</w:t>
      </w:r>
      <w:r>
        <w:rPr>
          <w:vertAlign w:val="subscript"/>
        </w:rPr>
        <w:t>4</w:t>
      </w:r>
      <w:r>
        <w:t>] ̅ anions of different saccharides and their calculated dissociation enthalpies was revealed. Thus, the variation of MS signal intensities can be very well described to a large extent by variation of calculated saccharides affinities toward H</w:t>
      </w:r>
      <w:r>
        <w:rPr>
          <w:vertAlign w:val="subscript"/>
        </w:rPr>
        <w:t>2</w:t>
      </w:r>
      <w:r>
        <w:t>PO</w:t>
      </w:r>
      <w:r>
        <w:rPr>
          <w:vertAlign w:val="subscript"/>
        </w:rPr>
        <w:t>4</w:t>
      </w:r>
      <w:r>
        <w:t xml:space="preserve"> ̅ dopant anion, showing that DFT-D3 can very well describe experimental FT-ICR-MS observations.</w:t>
      </w:r>
    </w:p>
    <w:p w:rsidR="00D45F2B" w:rsidRDefault="00D45F2B">
      <w:pPr>
        <w:pStyle w:val="TAMainText"/>
      </w:pPr>
    </w:p>
    <w:p w:rsidR="00D45F2B" w:rsidRDefault="00D45F2B">
      <w:pPr>
        <w:pStyle w:val="TAMainText"/>
      </w:pPr>
    </w:p>
    <w:p w:rsidR="00D45F2B" w:rsidRDefault="00D45F2B">
      <w:pPr>
        <w:pStyle w:val="TAMainText"/>
        <w:sectPr w:rsidR="00D45F2B">
          <w:endnotePr>
            <w:numFmt w:val="decimal"/>
          </w:endnotePr>
          <w:type w:val="continuous"/>
          <w:pgSz w:w="12240" w:h="15840"/>
          <w:pgMar w:top="720" w:right="1094" w:bottom="720" w:left="1094" w:header="720" w:footer="720" w:gutter="0"/>
          <w:cols w:space="461"/>
        </w:sectPr>
      </w:pPr>
    </w:p>
    <w:p w:rsidR="00D45F2B" w:rsidRDefault="009E0F3A">
      <w:pPr>
        <w:pStyle w:val="TAMainText"/>
        <w:rPr>
          <w:b/>
        </w:rPr>
      </w:pPr>
      <w:r>
        <w:rPr>
          <w:b/>
        </w:rPr>
        <w:lastRenderedPageBreak/>
        <w:t>Introduction:</w:t>
      </w:r>
    </w:p>
    <w:p w:rsidR="00D45F2B" w:rsidRDefault="009E0F3A">
      <w:pPr>
        <w:pStyle w:val="TAMainText"/>
      </w:pPr>
      <w:r>
        <w:t>Sugars represent a key class of organic compounds among all living systems, as they are a building block of nucleic acids DNA and RNA [</w:t>
      </w:r>
      <w:r>
        <w:rPr>
          <w:rStyle w:val="Endnotenzeichen"/>
          <w:vertAlign w:val="baseline"/>
        </w:rPr>
        <w:endnoteReference w:id="1"/>
      </w:r>
      <w:r>
        <w:t>]. This makes them one of the most attractive analytical targets, for instance in prebiotic chemistry and origins of life research [</w:t>
      </w:r>
      <w:r>
        <w:rPr>
          <w:rStyle w:val="Endnotenzeichen"/>
          <w:vertAlign w:val="baseline"/>
        </w:rPr>
        <w:endnoteReference w:id="2"/>
      </w:r>
      <w:r>
        <w:t>,</w:t>
      </w:r>
      <w:r>
        <w:rPr>
          <w:rStyle w:val="Endnotenzeichen"/>
          <w:vertAlign w:val="baseline"/>
        </w:rPr>
        <w:endnoteReference w:id="3"/>
      </w:r>
      <w:r>
        <w:t>]. Unfortunately, sugars are challenging analytes for mass spectrometric methods but also in general due to their high structural complexity [</w:t>
      </w:r>
      <w:r>
        <w:rPr>
          <w:rStyle w:val="Endnotenzeichen"/>
          <w:vertAlign w:val="baseline"/>
        </w:rPr>
        <w:endnoteReference w:id="4"/>
      </w:r>
      <w:r>
        <w:t>]. From a thermodynamic point of view, sugars possess high gas-phase deprotonation energies and low gas-phase proton affinities which makes them difficult to ionize and thus to observe via ESI-MS [</w:t>
      </w:r>
      <w:r>
        <w:rPr>
          <w:rStyle w:val="Endnotenzeichen"/>
          <w:vertAlign w:val="baseline"/>
        </w:rPr>
        <w:endnoteReference w:id="5"/>
      </w:r>
      <w:r>
        <w:t xml:space="preserve">]. As a result, sugars are characterized by low ion efficiencies and thus by low ion signal intensities in mass spectrometry. </w:t>
      </w:r>
      <w:r>
        <w:t xml:space="preserve">Sugars </w:t>
      </w:r>
      <w:r>
        <w:t>(mono-, di- and trisaccharides) have been widely used as model analytes for screening anionic dopants in negative mode electrospray ionization</w:t>
      </w:r>
      <w:r w:rsidR="00DB2F60">
        <w:t xml:space="preserve"> </w:t>
      </w:r>
      <w:r>
        <w:t>(-)ESI-MS [</w:t>
      </w:r>
      <w:bookmarkStart w:id="0" w:name="_Ref86395157"/>
      <w:r>
        <w:rPr>
          <w:rStyle w:val="Endnotenzeichen"/>
          <w:vertAlign w:val="baseline"/>
        </w:rPr>
        <w:endnoteReference w:id="6"/>
      </w:r>
      <w:bookmarkEnd w:id="0"/>
      <w:r>
        <w:t>,</w:t>
      </w:r>
      <w:bookmarkStart w:id="1" w:name="_Ref86395168"/>
      <w:r>
        <w:rPr>
          <w:rStyle w:val="Endnotenzeichen"/>
          <w:vertAlign w:val="baseline"/>
        </w:rPr>
        <w:endnoteReference w:id="7"/>
      </w:r>
      <w:bookmarkEnd w:id="1"/>
      <w:r>
        <w:t>].</w:t>
      </w:r>
    </w:p>
    <w:p w:rsidR="00D45F2B" w:rsidRDefault="00D45F2B">
      <w:pPr>
        <w:pStyle w:val="TAMainText"/>
      </w:pPr>
    </w:p>
    <w:p w:rsidR="00D45F2B" w:rsidRDefault="009E0F3A">
      <w:pPr>
        <w:pStyle w:val="TAMainText"/>
      </w:pPr>
      <w:r>
        <w:t>Dopants represent powerful agents in Electrospray mass spectrometry (ESI-MS) for enabling the detection of organic molecules which cannot be easily ionized [</w:t>
      </w:r>
      <w:bookmarkStart w:id="2" w:name="_Ref86395174"/>
      <w:r>
        <w:rPr>
          <w:rStyle w:val="Endnotenzeichen"/>
          <w:vertAlign w:val="baseline"/>
        </w:rPr>
        <w:endnoteReference w:id="8"/>
      </w:r>
      <w:bookmarkEnd w:id="2"/>
      <w:r>
        <w:t>,</w:t>
      </w:r>
      <w:bookmarkStart w:id="3" w:name="_Ref86395180"/>
      <w:r>
        <w:rPr>
          <w:rStyle w:val="Endnotenzeichen"/>
          <w:vertAlign w:val="baseline"/>
        </w:rPr>
        <w:endnoteReference w:id="9"/>
      </w:r>
      <w:bookmarkEnd w:id="3"/>
      <w:r>
        <w:t>,</w:t>
      </w:r>
      <w:bookmarkStart w:id="4" w:name="_Ref86394990"/>
      <w:r>
        <w:rPr>
          <w:rStyle w:val="Endnotenzeichen"/>
          <w:vertAlign w:val="baseline"/>
        </w:rPr>
        <w:endnoteReference w:id="10"/>
      </w:r>
      <w:bookmarkEnd w:id="4"/>
      <w:r>
        <w:t>,</w:t>
      </w:r>
      <w:bookmarkStart w:id="5" w:name="_Ref86395187"/>
      <w:r>
        <w:rPr>
          <w:rStyle w:val="Endnotenzeichen"/>
          <w:vertAlign w:val="baseline"/>
        </w:rPr>
        <w:endnoteReference w:id="11"/>
      </w:r>
      <w:bookmarkEnd w:id="5"/>
      <w:r>
        <w:t>]. As a result of noncovalent interactions between charged dopant additives and neutral substrate molecules, analytes can be ionized. This strategy could be successfully discerned by several research groups in the past, elucidating the interaction of neutral substrates with both positive [</w:t>
      </w:r>
      <w:r>
        <w:fldChar w:fldCharType="begin"/>
      </w:r>
      <w:r>
        <w:instrText xml:space="preserve"> NOTEREF _Ref86394990 \h </w:instrText>
      </w:r>
      <w:r>
        <w:fldChar w:fldCharType="separate"/>
      </w:r>
      <w:r>
        <w:t>10</w:t>
      </w:r>
      <w:r>
        <w:fldChar w:fldCharType="end"/>
      </w:r>
      <w:r>
        <w:t>,</w:t>
      </w:r>
      <w:r>
        <w:rPr>
          <w:rStyle w:val="Endnotenzeichen"/>
          <w:vertAlign w:val="baseline"/>
        </w:rPr>
        <w:endnoteReference w:id="12"/>
      </w:r>
      <w:r>
        <w:t>,</w:t>
      </w:r>
      <w:r>
        <w:rPr>
          <w:rStyle w:val="Endnotenzeichen"/>
          <w:vertAlign w:val="baseline"/>
        </w:rPr>
        <w:endnoteReference w:id="13"/>
      </w:r>
      <w:r>
        <w:t>,</w:t>
      </w:r>
      <w:r>
        <w:rPr>
          <w:rStyle w:val="Endnotenzeichen"/>
          <w:vertAlign w:val="baseline"/>
        </w:rPr>
        <w:endnoteReference w:id="14"/>
      </w:r>
      <w:r>
        <w:t>] and negative ions in ESI-MS [</w:t>
      </w:r>
      <w:r>
        <w:fldChar w:fldCharType="begin"/>
      </w:r>
      <w:r>
        <w:instrText xml:space="preserve"> NOTEREF _Ref86395157 \h </w:instrText>
      </w:r>
      <w:r>
        <w:fldChar w:fldCharType="separate"/>
      </w:r>
      <w:r>
        <w:t>6</w:t>
      </w:r>
      <w:r>
        <w:fldChar w:fldCharType="end"/>
      </w:r>
      <w:r>
        <w:t>,</w:t>
      </w:r>
      <w:r>
        <w:fldChar w:fldCharType="begin"/>
      </w:r>
      <w:r>
        <w:instrText xml:space="preserve"> NOTEREF _Ref86395168 \h </w:instrText>
      </w:r>
      <w:r>
        <w:fldChar w:fldCharType="separate"/>
      </w:r>
      <w:r>
        <w:t>7</w:t>
      </w:r>
      <w:r>
        <w:fldChar w:fldCharType="end"/>
      </w:r>
      <w:r>
        <w:t>,</w:t>
      </w:r>
      <w:r>
        <w:fldChar w:fldCharType="begin"/>
      </w:r>
      <w:r>
        <w:instrText xml:space="preserve"> NOTEREF _Ref86395174 \h </w:instrText>
      </w:r>
      <w:r>
        <w:fldChar w:fldCharType="separate"/>
      </w:r>
      <w:r>
        <w:t>8</w:t>
      </w:r>
      <w:r>
        <w:fldChar w:fldCharType="end"/>
      </w:r>
      <w:r>
        <w:t>,</w:t>
      </w:r>
      <w:r>
        <w:fldChar w:fldCharType="begin"/>
      </w:r>
      <w:r>
        <w:instrText xml:space="preserve"> NOTEREF _Ref86395180 \h </w:instrText>
      </w:r>
      <w:r>
        <w:fldChar w:fldCharType="separate"/>
      </w:r>
      <w:r>
        <w:t>9</w:t>
      </w:r>
      <w:r>
        <w:fldChar w:fldCharType="end"/>
      </w:r>
      <w:r>
        <w:t>,</w:t>
      </w:r>
      <w:r>
        <w:fldChar w:fldCharType="begin"/>
      </w:r>
      <w:r>
        <w:instrText xml:space="preserve"> NOTEREF _Ref86395187 \h </w:instrText>
      </w:r>
      <w:r>
        <w:fldChar w:fldCharType="separate"/>
      </w:r>
      <w:r>
        <w:t>11</w:t>
      </w:r>
      <w:r>
        <w:fldChar w:fldCharType="end"/>
      </w:r>
      <w:r>
        <w:t xml:space="preserve">]. Previous work from MALDI-MS experiments, done on various biological proteins, revealed that </w:t>
      </w:r>
      <w:r>
        <w:br/>
        <w:t>endogenous phosphate salts give rise to high signal intensities of phosphate-adduct ions of large molecular weight N-linked glycans, derived from several biological sources [</w:t>
      </w:r>
      <w:r>
        <w:rPr>
          <w:rStyle w:val="Endnotenzeichen"/>
          <w:vertAlign w:val="baseline"/>
        </w:rPr>
        <w:endnoteReference w:id="15"/>
      </w:r>
      <w:r>
        <w:t xml:space="preserve">, </w:t>
      </w:r>
      <w:r>
        <w:rPr>
          <w:rStyle w:val="Endnotenzeichen"/>
          <w:vertAlign w:val="baseline"/>
        </w:rPr>
        <w:endnoteReference w:id="16"/>
      </w:r>
      <w:r>
        <w:t xml:space="preserve">, </w:t>
      </w:r>
      <w:r>
        <w:rPr>
          <w:rStyle w:val="Endnotenzeichen"/>
          <w:vertAlign w:val="baseline"/>
        </w:rPr>
        <w:endnoteReference w:id="17"/>
      </w:r>
      <w:r>
        <w:t>]. However, our current study presents the first investigation, performed on very low molecular metabolic scale, which examines mono-, di-, and trisaccharides as low level molecular backbones for low-mass molecules for metabolomic studies. Moreover, we show for the first time that the H</w:t>
      </w:r>
      <w:r>
        <w:rPr>
          <w:vertAlign w:val="subscript"/>
        </w:rPr>
        <w:t>2</w:t>
      </w:r>
      <w:r>
        <w:t>PO</w:t>
      </w:r>
      <w:r>
        <w:rPr>
          <w:vertAlign w:val="subscript"/>
        </w:rPr>
        <w:t>4</w:t>
      </w:r>
      <w:r>
        <w:t xml:space="preserve"> ̅    dopant ion efficiency can even be thoroughly examined by high level theoretical DFT-D3 calculations, delivering excellent agreement between the experimental and theoretical findings.   </w:t>
      </w:r>
    </w:p>
    <w:p w:rsidR="00D45F2B" w:rsidRDefault="00D45F2B">
      <w:pPr>
        <w:pStyle w:val="TAMainText"/>
      </w:pPr>
    </w:p>
    <w:p w:rsidR="00D45F2B" w:rsidRDefault="009E0F3A">
      <w:pPr>
        <w:pStyle w:val="TAMainText"/>
      </w:pPr>
      <w:r>
        <w:t xml:space="preserve">Chloride (Cl ̅ ) represents a popular dopant which is often used to solve the ionization problem of sugars in ESI-MS [7,9]. Cl ̅ dopants are good candidates for the formation of stable sugar-Cl  ̅ complexes with saccharide molecules. It efficiently forms hydrogen bonds toward neutral OH-bearing molecules due to its relatively high electronegativity of the dopant’s center. Understanding of the mechanism of chloride's interaction with a neutral sugar molecule is of high importance because it enables estimating the analyte’s binding affinity toward the charged dopant. Boutegrabet et al. could achieve excellent agreement between computed and experimentally deduced binding affinities between chloride anions and several sugar molecules [7]. The coordination number has been found to be a major parameter in influencing sugar-chloride binding affinities. Sucrose was shown to bind stronger toward chloride, than glucose or melezitose does [7]. New ideas for the research of anionic dopants have been steadily ongoing to enhance ionization efficiencies and thus, decreasing the limit of detection. As a second aim is specificity of detection by [M+dopant] ̅ complexes, enhancing selectivity in comprehensive analyses of complex mixtures. The aim of this work is to further improve the ionization efficiency for sugars, compared to established </w:t>
      </w:r>
      <w:r>
        <w:lastRenderedPageBreak/>
        <w:t>chloride dopants. Second, excellent agreement between experimental and theoretical findings was obtained. Third, the novel dopant should be applied onto real samples bearing sugar-type plant metabolites (glycosides). Thus, this study's strategy is driven by both targeted and non-targeted analysis.</w:t>
      </w:r>
    </w:p>
    <w:p w:rsidR="00D45F2B" w:rsidRDefault="00D45F2B">
      <w:pPr>
        <w:pStyle w:val="TAMainText"/>
      </w:pPr>
    </w:p>
    <w:p w:rsidR="00D45F2B" w:rsidRDefault="009E0F3A">
      <w:pPr>
        <w:pStyle w:val="TAMainText"/>
      </w:pPr>
      <w:r>
        <w:t>H</w:t>
      </w:r>
      <w:r>
        <w:rPr>
          <w:vertAlign w:val="subscript"/>
        </w:rPr>
        <w:t>2</w:t>
      </w:r>
      <w:r>
        <w:t>PO</w:t>
      </w:r>
      <w:r>
        <w:rPr>
          <w:vertAlign w:val="subscript"/>
        </w:rPr>
        <w:t>4</w:t>
      </w:r>
      <w:r>
        <w:t xml:space="preserve"> ̅ represents an electron-delocalized tetrahedral which possesses multiple interaction sites to form more than one non-covalent bond (e.g. via hydrogen bonds) toward neutral target molecules [15]. Furthermore, there is evidence that H</w:t>
      </w:r>
      <w:r>
        <w:rPr>
          <w:vertAlign w:val="subscript"/>
        </w:rPr>
        <w:t>2</w:t>
      </w:r>
      <w:r>
        <w:t>PO</w:t>
      </w:r>
      <w:r>
        <w:rPr>
          <w:vertAlign w:val="subscript"/>
        </w:rPr>
        <w:t>4</w:t>
      </w:r>
      <w:r>
        <w:t xml:space="preserve"> ̅ forms strong hydrogen bonds [16,17]. Electron delocalization between one double-bonded oxygen atom, two hydroxy groups and a negatively charged oxygen atom result in twelve canonical forms to be written for the dihydrogen phosphate anion and arguing for its high stability. These mesomeric effect leads to an overall homogeneous electron density distribution between different functional groups. Cl  ̅ is a spherical one atomic system and has a limited effective surface when compared to multi-atomic dopants, motivating for the potential of H</w:t>
      </w:r>
      <w:r>
        <w:rPr>
          <w:vertAlign w:val="subscript"/>
        </w:rPr>
        <w:t>2</w:t>
      </w:r>
      <w:r>
        <w:t>PO</w:t>
      </w:r>
      <w:r>
        <w:rPr>
          <w:vertAlign w:val="subscript"/>
        </w:rPr>
        <w:t>4</w:t>
      </w:r>
      <w:r>
        <w:t xml:space="preserve"> ̅ as a powerful dopant.</w:t>
      </w:r>
    </w:p>
    <w:p w:rsidR="00D45F2B" w:rsidRDefault="00D45F2B">
      <w:pPr>
        <w:pStyle w:val="TAMainText"/>
        <w:rPr>
          <w:b/>
        </w:rPr>
      </w:pPr>
    </w:p>
    <w:p w:rsidR="00D45F2B" w:rsidRDefault="009E0F3A">
      <w:pPr>
        <w:pStyle w:val="TAMainText"/>
        <w:rPr>
          <w:b/>
        </w:rPr>
      </w:pPr>
      <w:r>
        <w:rPr>
          <w:b/>
        </w:rPr>
        <w:t>Experimental:</w:t>
      </w:r>
    </w:p>
    <w:p w:rsidR="00D45F2B" w:rsidRDefault="009E0F3A">
      <w:pPr>
        <w:pStyle w:val="TAMainText"/>
      </w:pPr>
      <w:r>
        <w:t>Sample preparation:</w:t>
      </w:r>
    </w:p>
    <w:p w:rsidR="00D45F2B" w:rsidRDefault="009E0F3A">
      <w:pPr>
        <w:pStyle w:val="TAMainText"/>
      </w:pPr>
      <w:r>
        <w:t xml:space="preserve">Sugars (glucose, galactose, sucrose, gentiobiose, melezitose), ammonium dihydrogenphosphate and ammonium chloride, were of analytical grade (purity &gt;98%) and purchased from Sigma-Aldrich (Steinheim, Germany). Raffinose was used from Fluka in the same grade of quality. For the plant metabolites, quercetin and kaempferol were purchased from Roth (Karlsruhe, Germany) and their monoglucolysated organic compounds from Extrasynthese (Genay Cedex, France). Salicyl alcohol and salicin were purchased from Sigma-Aldrich, in analytical grade as well. All solvents used (methanol, water, acetonitrile) were of chromatography grade. </w:t>
      </w:r>
    </w:p>
    <w:p w:rsidR="00D45F2B" w:rsidRDefault="00D45F2B">
      <w:pPr>
        <w:pStyle w:val="TAMainText"/>
      </w:pPr>
    </w:p>
    <w:p w:rsidR="00D45F2B" w:rsidRDefault="009E0F3A">
      <w:pPr>
        <w:pStyle w:val="TAMainText"/>
      </w:pPr>
      <w:r>
        <w:t>Stock solutions of the sugar, aglycone and glycoside analytes were prepared by dissolving each substance in water at a concentration of 1000 mg/mL. Two sugar mixtures containing a mono- (glucose and galactose), di- (sucrose and gentiobiose), and trisaccharide (melezitose and raffinose) were prepared. The concentrations of those two mixture solutions were 1 ppm, accordingly, except of those experiments declared by a sugar concentration of 0.1 ppm.</w:t>
      </w:r>
    </w:p>
    <w:p w:rsidR="00D45F2B" w:rsidRDefault="00D45F2B">
      <w:pPr>
        <w:pStyle w:val="TAMainText"/>
      </w:pPr>
    </w:p>
    <w:p w:rsidR="00D45F2B" w:rsidRDefault="009E0F3A">
      <w:pPr>
        <w:pStyle w:val="TAMainText"/>
      </w:pPr>
      <w:r>
        <w:t>The solutions of the studied dopants were prepared, starting from a stock solution containing 10 mM of the dopant. Experiments with a sugar concentration of 0.1 ppm were performed with a dopant starting concentration of 1 mM of the dopant. The dilutions were done in water. From anionic stock solutions, volumes of 5 µL up to 50 µL in 5 µL steps were added to 1000 µL of the sugar mixture.</w:t>
      </w:r>
    </w:p>
    <w:p w:rsidR="00D45F2B" w:rsidRDefault="00D45F2B">
      <w:pPr>
        <w:pStyle w:val="TAMainText"/>
      </w:pPr>
    </w:p>
    <w:p w:rsidR="00D45F2B" w:rsidRDefault="009E0F3A">
      <w:pPr>
        <w:pStyle w:val="TAMainText"/>
      </w:pPr>
      <w:r>
        <w:t>Plant extracts for the non-targeted analysis of the complex oak plant sample were prepared by the following procedure. All steps were performed below 5 °C to avoid metabolic activity, due to the presence of proteins. In a first step, the plant sample (oak Quercus robur from North-Rhine-Westphalia [</w:t>
      </w:r>
      <w:bookmarkStart w:id="6" w:name="_Ref86417786"/>
      <w:r>
        <w:rPr>
          <w:rStyle w:val="Endnotenzeichen"/>
        </w:rPr>
        <w:endnoteReference w:id="18"/>
      </w:r>
      <w:bookmarkEnd w:id="6"/>
      <w:r>
        <w:t>]) was pestled and homogenized. Subsequently, the weight of the sample was determined (≈ 40 mg) in liquid nitrogen and 2000 µL of a methanol/H</w:t>
      </w:r>
      <w:r>
        <w:rPr>
          <w:vertAlign w:val="subscript"/>
        </w:rPr>
        <w:t>2</w:t>
      </w:r>
      <w:r>
        <w:t xml:space="preserve">O mixture (7/3, v/v) was added to the </w:t>
      </w:r>
      <w:r>
        <w:lastRenderedPageBreak/>
        <w:t>sample. Next, metabolites were extracted for 15 minutes in ice-cold ultrasonic bath and centrifuged afterwards for 10 minutes at 14000 rounds per minute (rpm). 800 µL supernatant was mixed with 2000 µL of methanol/H</w:t>
      </w:r>
      <w:r>
        <w:rPr>
          <w:vertAlign w:val="subscript"/>
        </w:rPr>
        <w:t>2</w:t>
      </w:r>
      <w:r>
        <w:t>O (7/3, v/v) to form the plant stock solution. Five solutions with different dopant concentrations were measured (dopant concentration of 0 μM, 25 μM, 50 μM, 100 μM, 200 μM -&gt; solution 00, solution 01, solution 02, solution 03, solution 04), using triplicates for each concentration, added to the plant stock solution. Each sample analyzed by FT-ICR-MS was diluted 1/20 in µL of acetonitrile/H</w:t>
      </w:r>
      <w:r>
        <w:rPr>
          <w:vertAlign w:val="subscript"/>
        </w:rPr>
        <w:t>2</w:t>
      </w:r>
      <w:r>
        <w:t>O (1/1, v/v).</w:t>
      </w:r>
    </w:p>
    <w:p w:rsidR="00D45F2B" w:rsidRDefault="00D45F2B">
      <w:pPr>
        <w:pStyle w:val="TAMainText"/>
      </w:pPr>
    </w:p>
    <w:p w:rsidR="00D45F2B" w:rsidRDefault="009E0F3A">
      <w:pPr>
        <w:pStyle w:val="TAMainText"/>
        <w:rPr>
          <w:b/>
        </w:rPr>
      </w:pPr>
      <w:r>
        <w:rPr>
          <w:b/>
        </w:rPr>
        <w:t>FT-ICR Experiments:</w:t>
      </w:r>
    </w:p>
    <w:p w:rsidR="00D45F2B" w:rsidRDefault="009E0F3A">
      <w:pPr>
        <w:pStyle w:val="TAMainText"/>
      </w:pPr>
      <w:r>
        <w:t>The experimental study was elucidated on a FT-ICR mass spectrometer of Bruker Daltonics, Bremen (Germany) with a 12 T magnet of Magnex, UK. The spectra for the non-targeted plant extract analysis were acquired with a time-domain transient of 4 MWords. The frequency domain is afterwards converted by the Apex Control program of Bruker Daltonics, Bremen (Germany) to a mass spectrum. Ion excitation was generated in broadband mode (frequency sweep radial ion excitation) and 300 scans were accumulated for each mass spectrum in a mass range of 122-1000 amu (atomic mass unit). Ions were accumulated in the hexapole for 300 ms prior to ICR ion detection. The pressure in the ICR vacuum chamber was 6x10</w:t>
      </w:r>
      <w:r>
        <w:rPr>
          <w:vertAlign w:val="superscript"/>
        </w:rPr>
        <w:t>10</w:t>
      </w:r>
      <w:r>
        <w:t xml:space="preserve"> mbar and that in the quadrupole and hexapole regions 3x10</w:t>
      </w:r>
      <w:r>
        <w:rPr>
          <w:vertAlign w:val="superscript"/>
        </w:rPr>
        <w:t>6</w:t>
      </w:r>
      <w:r>
        <w:t xml:space="preserve"> mbar.</w:t>
      </w:r>
    </w:p>
    <w:p w:rsidR="00D45F2B" w:rsidRDefault="00D45F2B">
      <w:pPr>
        <w:pStyle w:val="TAMainText"/>
      </w:pPr>
    </w:p>
    <w:p w:rsidR="00D45F2B" w:rsidRDefault="009E0F3A">
      <w:pPr>
        <w:pStyle w:val="TAMainText"/>
      </w:pPr>
      <w:r>
        <w:t>The Electrospray ionization source (Apollo II, Bruker Daltonics, Bremen, Germany) was used in negative ionization mode to ionize the studied analytes in acetonitrile/water (v/v) solution. The sample solutions were injected directly into the ionization source by means of a µL pump at a flow rate of 120 µL/h and were measured as technical triplicates. Due to the fluctuating ionization behavior within the Electrospray ionization source, the triplicates were treated within an error handling to state the standard deviation, additionally. A source heater temperature of 200 °C was maintained and no nozzle–skimmer fragmentation was performed in the ionization source. The instrument was previously calibrated by using arginine negative cluster ions starting from an arginine solution in methanol of 5 mg/L.</w:t>
      </w:r>
    </w:p>
    <w:p w:rsidR="00D45F2B" w:rsidRDefault="009E0F3A">
      <w:pPr>
        <w:pStyle w:val="TAMainText"/>
      </w:pPr>
      <w:r>
        <w:t>(-)ESI-FT-ICR-MS experiments were systematically performed for two sugar mixtures, each containing a mono-, di- and trisaccharide (mixture 1 = {glucose, sucrose, melezitose}, mixture 2 = {galactose, gentiobiose, raffinose}). Each investigated sugar represents a mixture of both α- and β- stereoisomers. While sugar concentrations were kept constant (1 ppm for each sugar), we varied NH</w:t>
      </w:r>
      <w:r>
        <w:rPr>
          <w:vertAlign w:val="subscript"/>
        </w:rPr>
        <w:t>4</w:t>
      </w:r>
      <w:r>
        <w:t>H</w:t>
      </w:r>
      <w:r>
        <w:rPr>
          <w:vertAlign w:val="subscript"/>
        </w:rPr>
        <w:t>2</w:t>
      </w:r>
      <w:r>
        <w:t>PO</w:t>
      </w:r>
      <w:r>
        <w:rPr>
          <w:vertAlign w:val="subscript"/>
        </w:rPr>
        <w:t>4</w:t>
      </w:r>
      <w:r>
        <w:t xml:space="preserve"> dopant  </w:t>
      </w:r>
      <w:r w:rsidR="00B33CE3">
        <w:t>c</w:t>
      </w:r>
      <w:r>
        <w:t>oncentrations from 0 to 500 µM to experimentally test [M+H</w:t>
      </w:r>
      <w:r>
        <w:rPr>
          <w:vertAlign w:val="subscript"/>
        </w:rPr>
        <w:t>2</w:t>
      </w:r>
      <w:r>
        <w:t>PO</w:t>
      </w:r>
      <w:r>
        <w:rPr>
          <w:vertAlign w:val="subscript"/>
        </w:rPr>
        <w:t>4</w:t>
      </w:r>
      <w:r>
        <w:t>] ̅ reaction characteristics. NH</w:t>
      </w:r>
      <w:r>
        <w:rPr>
          <w:vertAlign w:val="subscript"/>
        </w:rPr>
        <w:t>4</w:t>
      </w:r>
      <w:r>
        <w:t>Cl was used as a reference dopant in all experiments.</w:t>
      </w:r>
    </w:p>
    <w:p w:rsidR="00D45F2B" w:rsidRDefault="00D45F2B">
      <w:pPr>
        <w:pStyle w:val="TAMainText"/>
      </w:pPr>
    </w:p>
    <w:p w:rsidR="00D45F2B" w:rsidRDefault="009E0F3A">
      <w:pPr>
        <w:pStyle w:val="TAMainText"/>
        <w:rPr>
          <w:b/>
        </w:rPr>
      </w:pPr>
      <w:r>
        <w:rPr>
          <w:b/>
        </w:rPr>
        <w:t>DFT computations:</w:t>
      </w:r>
    </w:p>
    <w:p w:rsidR="00D45F2B" w:rsidRDefault="009E0F3A">
      <w:pPr>
        <w:pStyle w:val="TAMainText"/>
      </w:pPr>
      <w:r>
        <w:t>The electronic structure calculations were performed on a stand-alone computer by DFT as implemented in Gaussian 09 [</w:t>
      </w:r>
      <w:r>
        <w:rPr>
          <w:rStyle w:val="Endnotenzeichen"/>
        </w:rPr>
        <w:endnoteReference w:id="19"/>
      </w:r>
      <w:r>
        <w:t>]. The hybrid DFT functional B3LYP was implemented with a 1d polarization functions for each heavy atom and 1p for each hydrogen atom B3LYP/6-31+G(d,p) in all geometry optimizations and frequency calculations of the optimized geometries. For single point energy calculations, 2d polariza</w:t>
      </w:r>
      <w:r>
        <w:lastRenderedPageBreak/>
        <w:t>tion functions for each heavy atom and 1p for each hydrogen atom were used B3LYP/6-311+G(2d,p). The use of diffuse functions also in the geometry optimization runs was very important to correctly describe the structures and energies of the investigated anions.</w:t>
      </w:r>
    </w:p>
    <w:p w:rsidR="00D45F2B" w:rsidRDefault="00D45F2B">
      <w:pPr>
        <w:pStyle w:val="TAMainText"/>
      </w:pPr>
    </w:p>
    <w:p w:rsidR="00D45F2B" w:rsidRDefault="00D45F2B">
      <w:pPr>
        <w:pStyle w:val="TAMainText"/>
      </w:pPr>
    </w:p>
    <w:p w:rsidR="00D45F2B" w:rsidRDefault="009E0F3A">
      <w:pPr>
        <w:pStyle w:val="TAMainText"/>
      </w:pPr>
      <w:r>
        <w:t>For geometry optimization, the Berny analytical gradient optimization routines [</w:t>
      </w:r>
      <w:r>
        <w:rPr>
          <w:rStyle w:val="Endnotenzeichen"/>
          <w:vertAlign w:val="baseline"/>
        </w:rPr>
        <w:endnoteReference w:id="20"/>
      </w:r>
      <w:r>
        <w:t>,</w:t>
      </w:r>
      <w:r>
        <w:rPr>
          <w:rStyle w:val="Endnotenzeichen"/>
          <w:vertAlign w:val="baseline"/>
        </w:rPr>
        <w:endnoteReference w:id="21"/>
      </w:r>
      <w:r>
        <w:t>] were used. The requested convergence in the RMS density matrix was 1x10</w:t>
      </w:r>
      <w:r>
        <w:rPr>
          <w:vertAlign w:val="superscript"/>
        </w:rPr>
        <w:t>-8</w:t>
      </w:r>
      <w:r>
        <w:t xml:space="preserve">, the threshold value for maximum displacement was 0.0018 and that for the maximum force was 0.00045 Hartree/Bohr. Stationary points were identified by calculating and diagonalizing the Hessian matrix (force constant matrix). All geometries of electronic structures calculated were </w:t>
      </w:r>
      <w:r>
        <w:t xml:space="preserve">visualized </w:t>
      </w:r>
      <w:r>
        <w:t>with the GaussView program [</w:t>
      </w:r>
      <w:r>
        <w:rPr>
          <w:rStyle w:val="Endnotenzeichen"/>
          <w:vertAlign w:val="baseline"/>
        </w:rPr>
        <w:endnoteReference w:id="22"/>
      </w:r>
      <w:r>
        <w:t>].</w:t>
      </w:r>
    </w:p>
    <w:p w:rsidR="00D45F2B" w:rsidRDefault="009E0F3A">
      <w:pPr>
        <w:pStyle w:val="TAMainText"/>
      </w:pPr>
      <w:r>
        <w:t>Frequency calculations were also done for each optimized geometry with the same 6-31+G(d,p) basis set to obtain the zero-point vibrational energy (ZPVE). This value was multiplied by a scaling factor of 0.9804 to correct for vibrational anharmonicities</w:t>
      </w:r>
      <w:r>
        <w:t>, because the DFT methods originally assume harmonic vibrational oscillator, when calculating the vibrational frequencies of oscillating atoms in molecules</w:t>
      </w:r>
      <w:r>
        <w:t xml:space="preserve"> [</w:t>
      </w:r>
      <w:r>
        <w:rPr>
          <w:rStyle w:val="Endnotenzeichen"/>
          <w:vertAlign w:val="baseline"/>
        </w:rPr>
        <w:endnoteReference w:id="23"/>
      </w:r>
      <w:r>
        <w:t xml:space="preserve">]. Another intention for performing the frequency analysis is to check that the obtained optimized geometry does not represent a </w:t>
      </w:r>
      <w:r w:rsidR="000C7B6F">
        <w:t>transition</w:t>
      </w:r>
      <w:r>
        <w:t xml:space="preserve"> state or any other higher order saddle point. Single-point energy (SPE) calculations were done at the 6-311+G(2d,p) level of theory. </w:t>
      </w:r>
    </w:p>
    <w:p w:rsidR="00D45F2B" w:rsidRDefault="00D45F2B">
      <w:pPr>
        <w:pStyle w:val="TAMainText"/>
      </w:pPr>
    </w:p>
    <w:p w:rsidR="00D45F2B" w:rsidRDefault="009E0F3A">
      <w:pPr>
        <w:pStyle w:val="TAMainText"/>
      </w:pPr>
      <w:r>
        <w:t xml:space="preserve">Dispersion-corrected DFT-D3 geometry optimization calculations were performed by the use of the M06-2X functional and Def2TZVP basis set, starting from the optimized geometries, obtained previously on the B3LYP/6-31+(d,p) level of theory. After the new DFT-D3 optimized geometries of the [M+D] ̅ complex anions were obtained, single point energy calculations were performed on them based on the M06-2X/Def2TZVP level of theory. Stability tests were also performed on all optimized geometries to ensure that the used wave function represents the lowest energy solution of the self-consistent field (SCF) equations. All molecular systems were treated as restricted shell </w:t>
      </w:r>
      <w:r w:rsidR="00AC00C1">
        <w:t xml:space="preserve">electronic </w:t>
      </w:r>
      <w:r>
        <w:t>systems.</w:t>
      </w:r>
    </w:p>
    <w:p w:rsidR="00D45F2B" w:rsidRDefault="00D45F2B">
      <w:pPr>
        <w:pStyle w:val="TAMainText"/>
      </w:pPr>
    </w:p>
    <w:p w:rsidR="00D45F2B" w:rsidRDefault="009E0F3A">
      <w:pPr>
        <w:pStyle w:val="TAMainText"/>
      </w:pPr>
      <w:r>
        <w:t>Total energy of each molecular system were computed as sum of thermal (enthalpy H at 298 K) and electronic free energies, corrected by a scaled zero-point vibrational energy, ZPVE, expressed as zero point corrections (ZPC) of respective substrate and dopant species.</w:t>
      </w:r>
    </w:p>
    <w:p w:rsidR="00D45F2B" w:rsidRDefault="009E0F3A">
      <w:pPr>
        <w:pStyle w:val="TAMainText"/>
      </w:pPr>
      <w:r>
        <w:t>E = H(298K) - ZPC + ZPC * f(anharmonicities) + SPE</w:t>
      </w:r>
    </w:p>
    <w:p w:rsidR="00D45F2B" w:rsidRDefault="009E0F3A">
      <w:pPr>
        <w:pStyle w:val="TAMainText"/>
      </w:pPr>
      <w:r>
        <w:t>The binding energy BE between each studied neutral substrate molecule and the anionic dopant in the gas phase was calculated by the following equation:</w:t>
      </w:r>
    </w:p>
    <w:p w:rsidR="00D45F2B" w:rsidRDefault="009E0F3A">
      <w:pPr>
        <w:pStyle w:val="TAMainText"/>
      </w:pPr>
      <w:r>
        <w:t xml:space="preserve">BE = E(Complex) - [ E(Substrate) + E(Dopant) ] </w:t>
      </w:r>
    </w:p>
    <w:p w:rsidR="00D45F2B" w:rsidRDefault="00D45F2B">
      <w:pPr>
        <w:pStyle w:val="TAMainText"/>
      </w:pPr>
    </w:p>
    <w:p w:rsidR="00D45F2B" w:rsidRDefault="009E0F3A">
      <w:pPr>
        <w:pStyle w:val="TAMainText"/>
      </w:pPr>
      <w:r>
        <w:t>Affinity of a substrate toward a dopant = - BE.</w:t>
      </w:r>
    </w:p>
    <w:p w:rsidR="00D45F2B" w:rsidRDefault="009E0F3A">
      <w:pPr>
        <w:pStyle w:val="TAMainText"/>
      </w:pPr>
      <w:r>
        <w:t>The dissociation energy (DE) for the complex [M+D] ̅ represent the energy required to decompose the complex to M + D  ̅ and is given by:</w:t>
      </w:r>
    </w:p>
    <w:p w:rsidR="00D45F2B" w:rsidRDefault="009E0F3A">
      <w:pPr>
        <w:pStyle w:val="TAMainText"/>
        <w:rPr>
          <w:lang w:val="de-DE"/>
        </w:rPr>
      </w:pPr>
      <w:r>
        <w:rPr>
          <w:lang w:val="de-DE"/>
        </w:rPr>
        <w:t>DE = [ E(Substrate) + E(Dopant) ]  -  E(Complex)</w:t>
      </w:r>
    </w:p>
    <w:p w:rsidR="00D45F2B" w:rsidRDefault="009E0F3A">
      <w:pPr>
        <w:pStyle w:val="TAMainText"/>
      </w:pPr>
      <w:r>
        <w:lastRenderedPageBreak/>
        <w:t>DFT computations were applied to the gas-phase. Boutegrabet et al. [</w:t>
      </w:r>
      <w:r>
        <w:fldChar w:fldCharType="begin"/>
      </w:r>
      <w:r>
        <w:instrText xml:space="preserve"> NOTEREF _Ref86395168 \h </w:instrText>
      </w:r>
      <w:r>
        <w:fldChar w:fldCharType="separate"/>
      </w:r>
      <w:r>
        <w:t>7</w:t>
      </w:r>
      <w:r>
        <w:fldChar w:fldCharType="end"/>
      </w:r>
      <w:r>
        <w:t>] could show that non-covalent interactions of anionic-dopant-substrate systems do not heavily depend on the medium of the reaction (whether in liquid or in gas phase). The absolute affinities are different for different media (liquid or gaseous state) but the relative affinities are similar within the range of errors. Thus, all computations were performed in the gas phase.</w:t>
      </w:r>
    </w:p>
    <w:p w:rsidR="00D45F2B" w:rsidRDefault="00D45F2B">
      <w:pPr>
        <w:pStyle w:val="TAMainText"/>
      </w:pPr>
    </w:p>
    <w:p w:rsidR="00D45F2B" w:rsidRDefault="009E0F3A">
      <w:pPr>
        <w:pStyle w:val="TAMainText"/>
      </w:pPr>
      <w:r>
        <w:t>Raw data handling (DataAnalysis, Bruker Daltonics):</w:t>
      </w:r>
    </w:p>
    <w:p w:rsidR="00D45F2B" w:rsidRDefault="009C1AFF">
      <w:pPr>
        <w:pStyle w:val="TAMainText"/>
      </w:pPr>
      <w:r>
        <w:rPr>
          <w:noProof/>
          <w:lang w:val="de-DE" w:eastAsia="de-DE"/>
        </w:rPr>
        <w:drawing>
          <wp:anchor distT="0" distB="0" distL="114300" distR="114300" simplePos="0" relativeHeight="251657728" behindDoc="0" locked="0" layoutInCell="1" allowOverlap="1" wp14:anchorId="3759F929" wp14:editId="11B8643A">
            <wp:simplePos x="0" y="0"/>
            <wp:positionH relativeFrom="column">
              <wp:posOffset>-138430</wp:posOffset>
            </wp:positionH>
            <wp:positionV relativeFrom="paragraph">
              <wp:posOffset>1576070</wp:posOffset>
            </wp:positionV>
            <wp:extent cx="6894195" cy="2981960"/>
            <wp:effectExtent l="0" t="0" r="1905" b="8890"/>
            <wp:wrapSquare wrapText="bothSides"/>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894195" cy="2981960"/>
                    </a:xfrm>
                    <a:prstGeom prst="rect">
                      <a:avLst/>
                    </a:prstGeom>
                  </pic:spPr>
                </pic:pic>
              </a:graphicData>
            </a:graphic>
            <wp14:sizeRelH relativeFrom="margin">
              <wp14:pctWidth>0</wp14:pctWidth>
            </wp14:sizeRelH>
            <wp14:sizeRelV relativeFrom="margin">
              <wp14:pctHeight>0</wp14:pctHeight>
            </wp14:sizeRelV>
          </wp:anchor>
        </w:drawing>
      </w:r>
      <w:r w:rsidR="009E0F3A">
        <w:t>In the first step, using the program “DataAnalysis”, raw data have been exported with a signal-to-noise ratio (S/N) = 5. FT-MS artifacts have been removed via a power-function resolution filter (signal wiggles) using an in-house software [</w:t>
      </w:r>
      <w:bookmarkStart w:id="7" w:name="_Ref86405639"/>
      <w:r w:rsidR="009E0F3A">
        <w:rPr>
          <w:rStyle w:val="Endnotenzeichen"/>
          <w:vertAlign w:val="baseline"/>
        </w:rPr>
        <w:endnoteReference w:id="24"/>
      </w:r>
      <w:bookmarkEnd w:id="7"/>
      <w:r w:rsidR="009E0F3A">
        <w:t>]. Inorganic features got removed by a mass defect filter. FT-ICR mass spectra (raw data) were internally recalibrated linearly using fatty acids (standard deviation was approximately 0.2 ppm using 16 m/z ratios, each having an error of &lt; 1 ppm). From here on, separate analyses were done for each dopant ion, H</w:t>
      </w:r>
      <w:r w:rsidR="009E0F3A">
        <w:rPr>
          <w:vertAlign w:val="subscript"/>
        </w:rPr>
        <w:t>2</w:t>
      </w:r>
      <w:r w:rsidR="009E0F3A">
        <w:t>PO</w:t>
      </w:r>
      <w:r w:rsidR="009E0F3A">
        <w:rPr>
          <w:vertAlign w:val="subscript"/>
        </w:rPr>
        <w:t>4</w:t>
      </w:r>
      <w:r w:rsidR="009E0F3A">
        <w:t xml:space="preserve"> ̅ and Cl ̅ respectively. For simplification, we generally name it “Dopant” as following.</w:t>
      </w:r>
    </w:p>
    <w:p w:rsidR="009C1AFF" w:rsidRDefault="009C1AFF" w:rsidP="009C1AFF">
      <w:pPr>
        <w:pStyle w:val="TAMainText"/>
      </w:pPr>
      <w:r>
        <w:t xml:space="preserve">Scheme </w:t>
      </w:r>
      <w:r w:rsidR="00966DC9">
        <w:fldChar w:fldCharType="begin"/>
      </w:r>
      <w:r w:rsidR="00966DC9">
        <w:instrText xml:space="preserve"> SEQ Scheme \* ARABIC </w:instrText>
      </w:r>
      <w:r w:rsidR="00966DC9">
        <w:fldChar w:fldCharType="separate"/>
      </w:r>
      <w:r>
        <w:rPr>
          <w:noProof/>
        </w:rPr>
        <w:t>1</w:t>
      </w:r>
      <w:r w:rsidR="00966DC9">
        <w:rPr>
          <w:noProof/>
        </w:rPr>
        <w:fldChar w:fldCharType="end"/>
      </w:r>
      <w:r>
        <w:t>: workflow for the non-targeted analysis of oak plant samples</w:t>
      </w:r>
    </w:p>
    <w:p w:rsidR="00D45F2B" w:rsidRDefault="00D45F2B">
      <w:pPr>
        <w:pStyle w:val="TAMainText"/>
      </w:pPr>
    </w:p>
    <w:p w:rsidR="00D45F2B" w:rsidRDefault="009E0F3A">
      <w:pPr>
        <w:pStyle w:val="TAMainText"/>
      </w:pPr>
      <w:r>
        <w:t xml:space="preserve">In-silico dopant search (Matlab): </w:t>
      </w:r>
    </w:p>
    <w:p w:rsidR="00D45F2B" w:rsidRDefault="009E0F3A">
      <w:pPr>
        <w:pStyle w:val="TAMainText"/>
      </w:pPr>
      <w:r>
        <w:t>In a second step, a Matlab program has been developed by B. Kanawati. Using the developed Matlab code, it was assumed that in the lowest concentration (0 mM anionic dopant concentration := solution 00) all found intensities correspond to [M-H]  ̅ ions while in the highest concentration (200 mM dopant concentration := solution 04) the intensities are related to [M+dopant] ̅ adducts. Thus, m/z values of in-silico [M+Dopant] ̅  ions have been calculated, via</w:t>
      </w:r>
    </w:p>
    <w:p w:rsidR="00D45F2B" w:rsidRDefault="009E0F3A">
      <w:pPr>
        <w:pStyle w:val="TAMainText"/>
      </w:pPr>
      <w:r>
        <w:t>m/z(theoretical) = m/z (experimental) + M(H+) + M(Dopant anion)</w:t>
      </w:r>
    </w:p>
    <w:p w:rsidR="00D45F2B" w:rsidRDefault="009E0F3A">
      <w:pPr>
        <w:pStyle w:val="TAMainText"/>
      </w:pPr>
      <w:r>
        <w:t xml:space="preserve">with M = molar mass. Within the first Matlab program the m/z ratios, relating to [M+Dopant] ̅ ions (experimental out of solution 04 and theoretical ones out of solution 00), were compared within an error window of 1 ppm. </w:t>
      </w:r>
    </w:p>
    <w:p w:rsidR="00D45F2B" w:rsidRDefault="00D45F2B">
      <w:pPr>
        <w:pStyle w:val="TAMainText"/>
      </w:pPr>
    </w:p>
    <w:p w:rsidR="00D45F2B" w:rsidRDefault="009E0F3A">
      <w:pPr>
        <w:pStyle w:val="TAMainText"/>
      </w:pPr>
      <w:r>
        <w:t>Calculation of enrichment factor R (LibreOffice):</w:t>
      </w:r>
    </w:p>
    <w:p w:rsidR="00D45F2B" w:rsidRDefault="009E0F3A">
      <w:pPr>
        <w:pStyle w:val="TAMainText"/>
      </w:pPr>
      <w:r>
        <w:t>The two corresponding intensities, out of solution 00 and 04, of each merged m/z ratio were used to calculate the ratio R as following:</w:t>
      </w:r>
    </w:p>
    <w:p w:rsidR="00D45F2B" w:rsidRDefault="00D45F2B">
      <w:pPr>
        <w:pStyle w:val="TAMainText"/>
      </w:pPr>
    </w:p>
    <w:p w:rsidR="00D45F2B" w:rsidRDefault="009E0F3A">
      <w:pPr>
        <w:pStyle w:val="TAMainText"/>
      </w:pPr>
      <m:oMathPara>
        <m:oMath>
          <m:r>
            <w:rPr>
              <w:rFonts w:ascii="Cambria Math" w:hAnsi="Cambria Math"/>
            </w:rPr>
            <m:t xml:space="preserve">R= </m:t>
          </m:r>
          <m:f>
            <m:fPr>
              <m:ctrlPr>
                <w:rPr>
                  <w:rFonts w:ascii="Cambria Math" w:hAnsi="Cambria Math"/>
                  <w:i/>
                </w:rPr>
              </m:ctrlPr>
            </m:fPr>
            <m:num>
              <m:r>
                <w:rPr>
                  <w:rFonts w:ascii="Cambria Math" w:hAnsi="Cambria Math"/>
                </w:rPr>
                <m:t xml:space="preserve">Intensity of </m:t>
              </m:r>
              <m:d>
                <m:dPr>
                  <m:begChr m:val="["/>
                  <m:endChr m:val="]"/>
                  <m:ctrlPr>
                    <w:rPr>
                      <w:rFonts w:ascii="Cambria Math" w:hAnsi="Cambria Math"/>
                      <w:i/>
                    </w:rPr>
                  </m:ctrlPr>
                </m:dPr>
                <m:e>
                  <m:r>
                    <w:rPr>
                      <w:rFonts w:ascii="Cambria Math" w:hAnsi="Cambria Math"/>
                    </w:rPr>
                    <m:t>M-D</m:t>
                  </m:r>
                </m:e>
              </m:d>
              <m:r>
                <w:rPr>
                  <w:rFonts w:ascii="Cambria Math" w:hAnsi="Cambria Math"/>
                </w:rPr>
                <m:t xml:space="preserve">  ̅   (solution 04)</m:t>
              </m:r>
            </m:num>
            <m:den>
              <m:r>
                <w:rPr>
                  <w:rFonts w:ascii="Cambria Math" w:hAnsi="Cambria Math"/>
                </w:rPr>
                <m:t xml:space="preserve">Intensity of </m:t>
              </m:r>
              <m:d>
                <m:dPr>
                  <m:begChr m:val="["/>
                  <m:endChr m:val="]"/>
                  <m:ctrlPr>
                    <w:rPr>
                      <w:rFonts w:ascii="Cambria Math" w:hAnsi="Cambria Math"/>
                      <w:i/>
                    </w:rPr>
                  </m:ctrlPr>
                </m:dPr>
                <m:e>
                  <m:r>
                    <w:rPr>
                      <w:rFonts w:ascii="Cambria Math" w:hAnsi="Cambria Math"/>
                    </w:rPr>
                    <m:t>M-H+H+D</m:t>
                  </m:r>
                </m:e>
              </m:d>
              <m:r>
                <w:rPr>
                  <w:rFonts w:ascii="Cambria Math" w:hAnsi="Cambria Math"/>
                </w:rPr>
                <m:t xml:space="preserve">  ̅   (solution 00)</m:t>
              </m:r>
            </m:den>
          </m:f>
        </m:oMath>
      </m:oMathPara>
    </w:p>
    <w:p w:rsidR="00D45F2B" w:rsidRDefault="009E0F3A">
      <w:pPr>
        <w:pStyle w:val="TAMainText"/>
      </w:pPr>
      <w:r>
        <w:t xml:space="preserve"> </w:t>
      </w:r>
    </w:p>
    <w:p w:rsidR="00D45F2B" w:rsidRDefault="009E0F3A">
      <w:pPr>
        <w:pStyle w:val="TAMainText"/>
      </w:pPr>
      <w:r>
        <w:t>where D is the H</w:t>
      </w:r>
      <w:r>
        <w:rPr>
          <w:vertAlign w:val="subscript"/>
        </w:rPr>
        <w:t>2</w:t>
      </w:r>
      <w:r>
        <w:t>PO</w:t>
      </w:r>
      <w:r>
        <w:rPr>
          <w:vertAlign w:val="subscript"/>
        </w:rPr>
        <w:t>4</w:t>
      </w:r>
      <w:r>
        <w:t xml:space="preserve">  dopant ion.</w:t>
      </w:r>
      <w:r>
        <w:t xml:space="preserve"> [M-H+H+D] illustrates the way to calculate the m/z of [M+D]- ions.</w:t>
      </w:r>
    </w:p>
    <w:p w:rsidR="009C1AFF" w:rsidRDefault="009C1AFF">
      <w:pPr>
        <w:pStyle w:val="TAMainText"/>
      </w:pPr>
    </w:p>
    <w:p w:rsidR="00D45F2B" w:rsidRDefault="009E0F3A">
      <w:pPr>
        <w:pStyle w:val="TAMainText"/>
      </w:pPr>
      <w:r>
        <w:t>Afterwards, all m/z values with R &gt; 2 were used for further elucidation, representing significantly defined intensity differences in absence or presence of anionic dopants. For clarification, intensities corresponding to [M-H]  ̅ ions from solution 00 were greater than 1x10</w:t>
      </w:r>
      <w:r>
        <w:rPr>
          <w:vertAlign w:val="superscript"/>
        </w:rPr>
        <w:t>6</w:t>
      </w:r>
      <w:r>
        <w:t xml:space="preserve"> (average noise intensity) ensuring that all used m/z ratios represent analytes and not noise signals.</w:t>
      </w:r>
    </w:p>
    <w:p w:rsidR="009C1AFF" w:rsidRDefault="009C1AFF">
      <w:pPr>
        <w:pStyle w:val="TAMainText"/>
      </w:pPr>
    </w:p>
    <w:p w:rsidR="009C1AFF" w:rsidRDefault="009C1AFF">
      <w:pPr>
        <w:pStyle w:val="TAMainText"/>
      </w:pPr>
    </w:p>
    <w:p w:rsidR="00D45F2B" w:rsidRDefault="00D45F2B">
      <w:pPr>
        <w:pStyle w:val="TAMainText"/>
      </w:pPr>
    </w:p>
    <w:p w:rsidR="00D45F2B" w:rsidRDefault="009E0F3A">
      <w:pPr>
        <w:pStyle w:val="TAMainText"/>
      </w:pPr>
      <w:r>
        <w:t>m/z -&gt; molecular formula calculator (in-house software):</w:t>
      </w:r>
    </w:p>
    <w:p w:rsidR="00D45F2B" w:rsidRDefault="009E0F3A">
      <w:pPr>
        <w:pStyle w:val="TAMainText"/>
      </w:pPr>
      <w:r>
        <w:t>Molecular formulas were combinatorially calculated within a mass accuracy window of ±0.2 ppm for each peak in batch mode by an in-house software tool. The maximum number of hetero-atoms allowed was C</w:t>
      </w:r>
      <w:r>
        <w:rPr>
          <w:vertAlign w:val="subscript"/>
        </w:rPr>
        <w:t>100</w:t>
      </w:r>
      <w:r>
        <w:t>,O</w:t>
      </w:r>
      <w:r>
        <w:rPr>
          <w:vertAlign w:val="subscript"/>
        </w:rPr>
        <w:t>80</w:t>
      </w:r>
      <w:r>
        <w:t>, N</w:t>
      </w:r>
      <w:r>
        <w:rPr>
          <w:vertAlign w:val="subscript"/>
        </w:rPr>
        <w:t>5</w:t>
      </w:r>
      <w:r>
        <w:t>, S</w:t>
      </w:r>
      <w:r>
        <w:rPr>
          <w:vertAlign w:val="subscript"/>
        </w:rPr>
        <w:t>3</w:t>
      </w:r>
      <w:r>
        <w:t>, Cl</w:t>
      </w:r>
      <w:r>
        <w:rPr>
          <w:vertAlign w:val="subscript"/>
        </w:rPr>
        <w:t>1</w:t>
      </w:r>
      <w:r>
        <w:t>/P</w:t>
      </w:r>
      <w:r>
        <w:rPr>
          <w:vertAlign w:val="subscript"/>
        </w:rPr>
        <w:t>1</w:t>
      </w:r>
      <w:r>
        <w:t>.</w:t>
      </w:r>
    </w:p>
    <w:p w:rsidR="00D45F2B" w:rsidRDefault="00D45F2B">
      <w:pPr>
        <w:pStyle w:val="TAMainText"/>
      </w:pPr>
    </w:p>
    <w:p w:rsidR="00D45F2B" w:rsidRDefault="009E0F3A">
      <w:pPr>
        <w:pStyle w:val="TAMainText"/>
      </w:pPr>
      <w:r>
        <w:t>Formula validation (Python):</w:t>
      </w:r>
    </w:p>
    <w:p w:rsidR="00D45F2B" w:rsidRDefault="009E0F3A">
      <w:pPr>
        <w:pStyle w:val="TAMainText"/>
      </w:pPr>
      <w:r>
        <w:t>Molecular formulas were validated via the senior-rule approach/cyclomatic number [</w:t>
      </w:r>
      <w:r>
        <w:rPr>
          <w:rStyle w:val="Endnotenzeichen"/>
          <w:vertAlign w:val="baseline"/>
        </w:rPr>
        <w:endnoteReference w:id="25"/>
      </w:r>
      <w:r>
        <w:t>] by considering the "seven golden rules" of Kind et al. [</w:t>
      </w:r>
      <w:r>
        <w:rPr>
          <w:rStyle w:val="Endnotenzeichen"/>
          <w:vertAlign w:val="baseline"/>
        </w:rPr>
        <w:endnoteReference w:id="26"/>
      </w:r>
      <w:r>
        <w:t>].</w:t>
      </w:r>
    </w:p>
    <w:p w:rsidR="00D45F2B" w:rsidRDefault="00D45F2B">
      <w:pPr>
        <w:pStyle w:val="TAMainText"/>
      </w:pPr>
    </w:p>
    <w:p w:rsidR="00D45F2B" w:rsidRDefault="009E0F3A">
      <w:pPr>
        <w:pStyle w:val="TAMainText"/>
      </w:pPr>
      <w:r>
        <w:t>Data-analytical workflow for the non-targeted analysis of oak plant samples</w:t>
      </w:r>
    </w:p>
    <w:p w:rsidR="00D45F2B" w:rsidRDefault="009E0F3A">
      <w:pPr>
        <w:pStyle w:val="TAMainText"/>
      </w:pPr>
      <w:r>
        <w:lastRenderedPageBreak/>
        <w:t>Five solutions with different dopant concentrations were measured (dopant concentration of 0 μM, 25 μM, 50 μM, 100 μM, 200 μM -&gt; solution 00, solution 01, solution 02, solution 03, solution 04), using triplicates for each concentration, added to the plant stock solution. The dat</w:t>
      </w:r>
      <w:r w:rsidR="004F018F">
        <w:t>a-analytical workflow</w:t>
      </w:r>
      <w:r>
        <w:t xml:space="preserve"> for the non-targeted analysis of oak plant samples is represented</w:t>
      </w:r>
      <w:r w:rsidR="004F018F">
        <w:t xml:space="preserve"> in Scheme 1.</w:t>
      </w:r>
    </w:p>
    <w:p w:rsidR="00D45F2B" w:rsidRDefault="00D45F2B">
      <w:pPr>
        <w:pStyle w:val="TAMainText"/>
      </w:pPr>
    </w:p>
    <w:p w:rsidR="00D45F2B" w:rsidRDefault="009E0F3A">
      <w:pPr>
        <w:pStyle w:val="TAMainText"/>
        <w:rPr>
          <w:b/>
        </w:rPr>
      </w:pPr>
      <w:r>
        <w:rPr>
          <w:b/>
        </w:rPr>
        <w:t>Results and discussion:</w:t>
      </w:r>
    </w:p>
    <w:p w:rsidR="00D45F2B" w:rsidRDefault="009E0F3A">
      <w:pPr>
        <w:pStyle w:val="TAMainText"/>
      </w:pPr>
      <w:r>
        <w:t>Sugars can be deprotonated in electrospray (ESI) source to produce [M-H] ̅ ions but their MS signal intensities are very low due to high deprotonation energies [</w:t>
      </w:r>
      <w:r>
        <w:rPr>
          <w:rStyle w:val="Endnotenzeichen"/>
          <w:vertAlign w:val="baseline"/>
        </w:rPr>
        <w:endnoteReference w:id="27"/>
      </w:r>
      <w:r>
        <w:t>,</w:t>
      </w:r>
      <w:r>
        <w:fldChar w:fldCharType="begin"/>
      </w:r>
      <w:r>
        <w:instrText xml:space="preserve"> NOTEREF _Ref86395168 \h </w:instrText>
      </w:r>
      <w:r>
        <w:fldChar w:fldCharType="separate"/>
      </w:r>
      <w:r>
        <w:t>7</w:t>
      </w:r>
      <w:r>
        <w:fldChar w:fldCharType="end"/>
      </w:r>
      <w:r>
        <w:t>]. Dopants represent powerful agents in Electrospray mass spectrometry (ESI-MS) for enabling the detection of organic molecules which cannot be easily ionized [</w:t>
      </w:r>
      <w:r>
        <w:fldChar w:fldCharType="begin"/>
      </w:r>
      <w:r>
        <w:instrText xml:space="preserve"> NOTEREF _Ref86395174 \h </w:instrText>
      </w:r>
      <w:r>
        <w:fldChar w:fldCharType="separate"/>
      </w:r>
      <w:r>
        <w:t>8</w:t>
      </w:r>
      <w:r>
        <w:fldChar w:fldCharType="end"/>
      </w:r>
      <w:r>
        <w:t>,</w:t>
      </w:r>
      <w:r>
        <w:fldChar w:fldCharType="begin"/>
      </w:r>
      <w:r>
        <w:instrText xml:space="preserve"> NOTEREF _Ref86395187 \h </w:instrText>
      </w:r>
      <w:r>
        <w:fldChar w:fldCharType="separate"/>
      </w:r>
      <w:r>
        <w:t>11</w:t>
      </w:r>
      <w:r>
        <w:fldChar w:fldCharType="end"/>
      </w:r>
      <w:r>
        <w:t>,</w:t>
      </w:r>
      <w:r>
        <w:rPr>
          <w:rStyle w:val="Endnotenzeichen"/>
          <w:vertAlign w:val="baseline"/>
        </w:rPr>
        <w:endnoteReference w:id="28"/>
      </w:r>
      <w:r>
        <w:t>,</w:t>
      </w:r>
      <w:r>
        <w:rPr>
          <w:rStyle w:val="Endnotenzeichen"/>
          <w:vertAlign w:val="baseline"/>
        </w:rPr>
        <w:endnoteReference w:id="29"/>
      </w:r>
      <w:r>
        <w:t>]. NH</w:t>
      </w:r>
      <w:r>
        <w:rPr>
          <w:vertAlign w:val="subscript"/>
        </w:rPr>
        <w:t>4</w:t>
      </w:r>
      <w:r>
        <w:t>H</w:t>
      </w:r>
      <w:r>
        <w:rPr>
          <w:vertAlign w:val="subscript"/>
        </w:rPr>
        <w:t>2</w:t>
      </w:r>
      <w:r>
        <w:t>PO</w:t>
      </w:r>
      <w:r>
        <w:rPr>
          <w:vertAlign w:val="subscript"/>
        </w:rPr>
        <w:t>4</w:t>
      </w:r>
      <w:r>
        <w:t xml:space="preserve"> as a dopant can enable </w:t>
      </w:r>
      <w:r>
        <w:t xml:space="preserve">an </w:t>
      </w:r>
      <w:r>
        <w:t>effective way for saccharides ionization due to attachment of the H</w:t>
      </w:r>
      <w:r>
        <w:rPr>
          <w:vertAlign w:val="subscript"/>
        </w:rPr>
        <w:t>2</w:t>
      </w:r>
      <w:r>
        <w:t>PO</w:t>
      </w:r>
      <w:r>
        <w:rPr>
          <w:vertAlign w:val="subscript"/>
        </w:rPr>
        <w:t>4</w:t>
      </w:r>
      <w:r>
        <w:t xml:space="preserve"> ̅ dopant anion into the sugar molecule, giving rise to very high signal intensities, when compared to those of [M-H] ̅  ions (Figure S1).  </w:t>
      </w:r>
    </w:p>
    <w:p w:rsidR="00D45F2B" w:rsidRDefault="00D45F2B">
      <w:pPr>
        <w:pStyle w:val="TAMainText"/>
      </w:pPr>
    </w:p>
    <w:p w:rsidR="00D45F2B" w:rsidRDefault="009E0F3A">
      <w:pPr>
        <w:pStyle w:val="TAMainText"/>
      </w:pPr>
      <w:r>
        <w:t>Figure 1 shows MS signal intensity profiles for two sugar mixtures A: Glucose (monosaccharide), sucrose (disaccharide) and melezitose (trisaccharide) as well as B: Galactose (monosaccharide), gentiobiose (disaccharide) and raffinose (trisaccharide) as a function of the concentration of the spiked dopants. As can be experimentally discerned from Figure 1 and computationally concluded (through examining sugars affinities toward the dopant ion) from Figure 2, ion production of [M+D] ̅  increase in the direction: Monosaccharides &lt; Trisaccharides &lt; Disaccharides. The main interaction is non-covalent due to formation of multiple hydrogen bonds between the saccharides several OH groups and the dopant anion.</w:t>
      </w:r>
    </w:p>
    <w:p w:rsidR="00D45F2B" w:rsidRDefault="00D45F2B">
      <w:pPr>
        <w:pStyle w:val="TAMainText"/>
      </w:pPr>
    </w:p>
    <w:p w:rsidR="00D45F2B" w:rsidRDefault="009E0F3A">
      <w:pPr>
        <w:pStyle w:val="TAMainText"/>
      </w:pPr>
      <w:r>
        <w:t>However, H</w:t>
      </w:r>
      <w:r>
        <w:rPr>
          <w:sz w:val="24"/>
          <w:vertAlign w:val="subscript"/>
        </w:rPr>
        <w:t>2</w:t>
      </w:r>
      <w:r>
        <w:t>PO</w:t>
      </w:r>
      <w:r>
        <w:rPr>
          <w:sz w:val="24"/>
          <w:vertAlign w:val="subscript"/>
        </w:rPr>
        <w:t>4</w:t>
      </w:r>
      <w:r>
        <w:t xml:space="preserve"> </w:t>
      </w:r>
      <w:r>
        <w:rPr>
          <w:rFonts w:cstheme="minorHAnsi"/>
        </w:rPr>
        <w:t>̅</w:t>
      </w:r>
      <w:r>
        <w:t xml:space="preserve"> gives stronger and larger number of H-bonds, when compared to the Cl ̅ anion. Due to the fact, that the H</w:t>
      </w:r>
      <w:r>
        <w:rPr>
          <w:vertAlign w:val="subscript"/>
        </w:rPr>
        <w:t>2</w:t>
      </w:r>
      <w:r>
        <w:t>PO</w:t>
      </w:r>
      <w:r>
        <w:rPr>
          <w:vertAlign w:val="subscript"/>
        </w:rPr>
        <w:t>4</w:t>
      </w:r>
      <w:r>
        <w:t xml:space="preserve">  ̅ dopant’s effective ion radius (&gt;269 pm) is much greater than that of a simple Cl ̅  ion (167 pm) [</w:t>
      </w:r>
      <w:r>
        <w:rPr>
          <w:rStyle w:val="Endnotenzeichen"/>
          <w:vertAlign w:val="baseline"/>
        </w:rPr>
        <w:endnoteReference w:id="30"/>
      </w:r>
      <w:r>
        <w:t>], the H</w:t>
      </w:r>
      <w:r>
        <w:rPr>
          <w:vertAlign w:val="subscript"/>
        </w:rPr>
        <w:t>2</w:t>
      </w:r>
      <w:r>
        <w:t>PO</w:t>
      </w:r>
      <w:r>
        <w:rPr>
          <w:vertAlign w:val="subscript"/>
        </w:rPr>
        <w:t>4</w:t>
      </w:r>
      <w:r>
        <w:t xml:space="preserve"> ̅ dopant can more effectively interact with several saccharides OH groups to form multiple H-bonds with the sugar substrate. The optimized geometries of the H</w:t>
      </w:r>
      <w:r>
        <w:rPr>
          <w:vertAlign w:val="subscript"/>
        </w:rPr>
        <w:t>2</w:t>
      </w:r>
      <w:r>
        <w:t>PO</w:t>
      </w:r>
      <w:r>
        <w:rPr>
          <w:vertAlign w:val="subscript"/>
        </w:rPr>
        <w:t>4</w:t>
      </w:r>
      <w:r>
        <w:t xml:space="preserve"> ̅ adduct anions for the examined sugar mixtures are shown in Figure S2. Disaccharides can give the largest number of H-bonds toward the dopant anion when compared to mono- and trisaccharides. Addition of more sugar rings to disaccharides does not increase the affinity of the trisaccharide toward H</w:t>
      </w:r>
      <w:r>
        <w:rPr>
          <w:vertAlign w:val="subscript"/>
        </w:rPr>
        <w:t>2</w:t>
      </w:r>
      <w:r>
        <w:t>PO</w:t>
      </w:r>
      <w:r>
        <w:rPr>
          <w:vertAlign w:val="subscript"/>
        </w:rPr>
        <w:t>4</w:t>
      </w:r>
      <w:r>
        <w:t xml:space="preserve"> ̅ due to steric hindrance and conformational limits in the geometry. This is experimentally validated as shown in (Figures 1 and S1) in accordance with the calculated affinities shown in Figure 2.</w:t>
      </w:r>
    </w:p>
    <w:p w:rsidR="00D45F2B" w:rsidRDefault="00D45F2B">
      <w:pPr>
        <w:pStyle w:val="TAMainText"/>
      </w:pPr>
    </w:p>
    <w:p w:rsidR="00D45F2B" w:rsidRDefault="009E0F3A">
      <w:pPr>
        <w:pStyle w:val="TAMainText"/>
      </w:pPr>
      <w:r>
        <w:t>Figure 2 shows a key correlation between the experimental steady state maximum MS signal intensities of the formed adduct ions and the calculated sugars affinities toward H</w:t>
      </w:r>
      <w:r>
        <w:rPr>
          <w:vertAlign w:val="subscript"/>
        </w:rPr>
        <w:t>2</w:t>
      </w:r>
      <w:r>
        <w:t>PO</w:t>
      </w:r>
      <w:r>
        <w:rPr>
          <w:vertAlign w:val="subscript"/>
        </w:rPr>
        <w:t>4</w:t>
      </w:r>
      <w:r>
        <w:t xml:space="preserve"> ̅ anion, confirming the increased order of sensitivity and affinities in the direction: Monosaccharides &lt; Trisaccharides &lt; Disaccharides. Dispersion corrected DFT-D3 [</w:t>
      </w:r>
      <w:r>
        <w:rPr>
          <w:rStyle w:val="Endnotenzeichen"/>
          <w:vertAlign w:val="baseline"/>
        </w:rPr>
        <w:endnoteReference w:id="31"/>
      </w:r>
      <w:r>
        <w:t>] gives more accurate results [</w:t>
      </w:r>
      <w:r>
        <w:rPr>
          <w:rStyle w:val="Endnotenzeichen"/>
          <w:vertAlign w:val="baseline"/>
        </w:rPr>
        <w:endnoteReference w:id="32"/>
      </w:r>
      <w:r>
        <w:t>], showing higher variation in the obtained affinities</w:t>
      </w:r>
      <w:r>
        <w:t>.</w:t>
      </w:r>
      <w:r>
        <w:t xml:space="preserve"> </w:t>
      </w:r>
      <w:r>
        <w:t>This correlates with</w:t>
      </w:r>
      <w:r>
        <w:t xml:space="preserve"> higher ion production</w:t>
      </w:r>
      <w:r>
        <w:t xml:space="preserve"> (abundance)</w:t>
      </w:r>
      <w:r>
        <w:t>.</w:t>
      </w:r>
    </w:p>
    <w:p w:rsidR="00D45F2B" w:rsidRDefault="009E0F3A">
      <w:pPr>
        <w:pStyle w:val="TAMainText"/>
      </w:pPr>
      <w:r>
        <w:t xml:space="preserve">This new finding has a great impact on MS detection of organic compounds in plants by glycosylation, since glycosylated </w:t>
      </w:r>
      <w:r>
        <w:lastRenderedPageBreak/>
        <w:t>organic compounds can be much better ionized for mass spectrometric investigations, when compared to their aglycons. Figure 3 (A-D) compares experimental MS intensity profiles for H</w:t>
      </w:r>
      <w:r>
        <w:rPr>
          <w:vertAlign w:val="subscript"/>
        </w:rPr>
        <w:t>2</w:t>
      </w:r>
      <w:r>
        <w:t>PO</w:t>
      </w:r>
      <w:r>
        <w:rPr>
          <w:vertAlign w:val="subscript"/>
        </w:rPr>
        <w:t>4</w:t>
      </w:r>
      <w:r>
        <w:t xml:space="preserve"> ̅ complexes towards aglycone and glycosidic dopant systems (including Cl ̅ systems for reference). For both dopants, H</w:t>
      </w:r>
      <w:r>
        <w:rPr>
          <w:vertAlign w:val="subscript"/>
        </w:rPr>
        <w:t>2</w:t>
      </w:r>
      <w:r>
        <w:t>PO</w:t>
      </w:r>
      <w:r>
        <w:rPr>
          <w:vertAlign w:val="subscript"/>
        </w:rPr>
        <w:t>4</w:t>
      </w:r>
      <w:r>
        <w:t xml:space="preserve"> ̅ and Cl ̅, similar binding has been observed for quercetin/isoquercetin and kaempferol/astragalin whereas it was different for salicyl alcohol/salicin. The aglycones quercetin and kaempferol could be detected in both forms [M+ H</w:t>
      </w:r>
      <w:r>
        <w:rPr>
          <w:vertAlign w:val="subscript"/>
        </w:rPr>
        <w:t>2</w:t>
      </w:r>
      <w:r>
        <w:t>PO</w:t>
      </w:r>
      <w:r>
        <w:rPr>
          <w:vertAlign w:val="subscript"/>
        </w:rPr>
        <w:t>4</w:t>
      </w:r>
      <w:r>
        <w:t>] ̅ and [M+Cl] ̅ (with M = neutral substrate) and so did their glycosidic forms, isoquercetin and astragalin.</w:t>
      </w:r>
    </w:p>
    <w:p w:rsidR="009C1AFF" w:rsidRDefault="009C1AFF">
      <w:pPr>
        <w:pStyle w:val="TAMainText"/>
      </w:pPr>
    </w:p>
    <w:p w:rsidR="009C1AFF" w:rsidRDefault="009C1AFF" w:rsidP="009C1AFF">
      <w:pPr>
        <w:pStyle w:val="TAMainText"/>
      </w:pPr>
      <w:r>
        <w:rPr>
          <w:noProof/>
          <w:lang w:val="de-DE" w:eastAsia="de-DE"/>
        </w:rPr>
        <w:drawing>
          <wp:inline distT="0" distB="0" distL="0" distR="0">
            <wp:extent cx="3044825" cy="5466715"/>
            <wp:effectExtent l="0" t="0" r="3175"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1_10_3.tif"/>
                    <pic:cNvPicPr/>
                  </pic:nvPicPr>
                  <pic:blipFill>
                    <a:blip r:embed="rId11">
                      <a:extLst>
                        <a:ext uri="{28A0092B-C50C-407E-A947-70E740481C1C}">
                          <a14:useLocalDpi xmlns:a14="http://schemas.microsoft.com/office/drawing/2010/main" val="0"/>
                        </a:ext>
                      </a:extLst>
                    </a:blip>
                    <a:stretch>
                      <a:fillRect/>
                    </a:stretch>
                  </pic:blipFill>
                  <pic:spPr>
                    <a:xfrm>
                      <a:off x="0" y="0"/>
                      <a:ext cx="3044825" cy="5466715"/>
                    </a:xfrm>
                    <a:prstGeom prst="rect">
                      <a:avLst/>
                    </a:prstGeom>
                  </pic:spPr>
                </pic:pic>
              </a:graphicData>
            </a:graphic>
          </wp:inline>
        </w:drawing>
      </w:r>
    </w:p>
    <w:p w:rsidR="009C1AFF" w:rsidRDefault="009C1AFF" w:rsidP="009C1AFF">
      <w:pPr>
        <w:pStyle w:val="Beschriftung"/>
      </w:pPr>
      <w:r>
        <w:t xml:space="preserve">Figure </w:t>
      </w:r>
      <w:r w:rsidR="00966DC9">
        <w:fldChar w:fldCharType="begin"/>
      </w:r>
      <w:r w:rsidR="00966DC9">
        <w:instrText xml:space="preserve"> SEQ Figure \* ARABIC </w:instrText>
      </w:r>
      <w:r w:rsidR="00966DC9">
        <w:fldChar w:fldCharType="separate"/>
      </w:r>
      <w:r>
        <w:rPr>
          <w:noProof/>
        </w:rPr>
        <w:t>1</w:t>
      </w:r>
      <w:r w:rsidR="00966DC9">
        <w:rPr>
          <w:noProof/>
        </w:rPr>
        <w:fldChar w:fldCharType="end"/>
      </w:r>
      <w:r>
        <w:t>: FT-ICR-MS signal intensity profile (log Y scale) along elevated spiked dopant concentrations of NH</w:t>
      </w:r>
      <w:r>
        <w:rPr>
          <w:vertAlign w:val="subscript"/>
        </w:rPr>
        <w:t>4</w:t>
      </w:r>
      <w:r>
        <w:t>Cl and NH</w:t>
      </w:r>
      <w:r>
        <w:rPr>
          <w:vertAlign w:val="subscript"/>
        </w:rPr>
        <w:t>4</w:t>
      </w:r>
      <w:r>
        <w:t>H</w:t>
      </w:r>
      <w:r>
        <w:rPr>
          <w:vertAlign w:val="subscript"/>
        </w:rPr>
        <w:t>2</w:t>
      </w:r>
      <w:r>
        <w:t>PO</w:t>
      </w:r>
      <w:r>
        <w:rPr>
          <w:vertAlign w:val="subscript"/>
        </w:rPr>
        <w:t>4</w:t>
      </w:r>
      <w:r>
        <w:t xml:space="preserve"> for A) Sugar mixture of glucose (α and β </w:t>
      </w:r>
      <w:r>
        <w:t>anomers</w:t>
      </w:r>
      <w:r>
        <w:t xml:space="preserve">), sucrose and melezitose; B) Sugar mixture of galactose (α and β </w:t>
      </w:r>
      <w:r>
        <w:t>anomers</w:t>
      </w:r>
      <w:r>
        <w:t>), gentiobiose and raffinose. For measured triplicates, mean intensity values are plotted with standard deviations and 4</w:t>
      </w:r>
      <w:r>
        <w:rPr>
          <w:vertAlign w:val="superscript"/>
        </w:rPr>
        <w:t>th</w:t>
      </w:r>
      <w:r>
        <w:t xml:space="preserve"> order polynomial fits.</w:t>
      </w:r>
    </w:p>
    <w:p w:rsidR="009C1AFF" w:rsidRDefault="009C1AFF">
      <w:pPr>
        <w:pStyle w:val="TAMainText"/>
      </w:pPr>
    </w:p>
    <w:p w:rsidR="009C1AFF" w:rsidRDefault="009C1AFF" w:rsidP="009C1AFF">
      <w:pPr>
        <w:pStyle w:val="TAMainText"/>
      </w:pPr>
      <w:r>
        <w:rPr>
          <w:noProof/>
          <w:lang w:val="de-DE" w:eastAsia="de-DE"/>
        </w:rPr>
        <w:lastRenderedPageBreak/>
        <w:drawing>
          <wp:inline distT="0" distB="0" distL="0" distR="0" wp14:anchorId="3BCC6650" wp14:editId="2B7DE787">
            <wp:extent cx="3044825" cy="2287433"/>
            <wp:effectExtent l="0" t="0" r="317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st Pic_Final 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4825" cy="2287433"/>
                    </a:xfrm>
                    <a:prstGeom prst="rect">
                      <a:avLst/>
                    </a:prstGeom>
                  </pic:spPr>
                </pic:pic>
              </a:graphicData>
            </a:graphic>
          </wp:inline>
        </w:drawing>
      </w:r>
    </w:p>
    <w:p w:rsidR="00D45F2B" w:rsidRDefault="00B674F6" w:rsidP="009C1AFF">
      <w:pPr>
        <w:pStyle w:val="Beschriftung"/>
      </w:pPr>
      <w:r>
        <w:rPr>
          <w:b/>
          <w:noProof/>
          <w:lang w:val="de-DE" w:eastAsia="de-DE"/>
        </w:rPr>
        <w:drawing>
          <wp:anchor distT="0" distB="0" distL="114300" distR="114300" simplePos="0" relativeHeight="251653632" behindDoc="0" locked="0" layoutInCell="1" allowOverlap="1" wp14:anchorId="64E836E8" wp14:editId="3B8F5E70">
            <wp:simplePos x="0" y="0"/>
            <wp:positionH relativeFrom="margin">
              <wp:posOffset>6985</wp:posOffset>
            </wp:positionH>
            <wp:positionV relativeFrom="paragraph">
              <wp:posOffset>1156970</wp:posOffset>
            </wp:positionV>
            <wp:extent cx="6388100" cy="49987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3_600dpi_2.tif"/>
                    <pic:cNvPicPr/>
                  </pic:nvPicPr>
                  <pic:blipFill>
                    <a:blip r:embed="rId13">
                      <a:extLst>
                        <a:ext uri="{28A0092B-C50C-407E-A947-70E740481C1C}">
                          <a14:useLocalDpi xmlns:a14="http://schemas.microsoft.com/office/drawing/2010/main" val="0"/>
                        </a:ext>
                      </a:extLst>
                    </a:blip>
                    <a:stretch>
                      <a:fillRect/>
                    </a:stretch>
                  </pic:blipFill>
                  <pic:spPr>
                    <a:xfrm>
                      <a:off x="0" y="0"/>
                      <a:ext cx="6388100" cy="4998720"/>
                    </a:xfrm>
                    <a:prstGeom prst="rect">
                      <a:avLst/>
                    </a:prstGeom>
                  </pic:spPr>
                </pic:pic>
              </a:graphicData>
            </a:graphic>
            <wp14:sizeRelH relativeFrom="margin">
              <wp14:pctWidth>0</wp14:pctWidth>
            </wp14:sizeRelH>
            <wp14:sizeRelV relativeFrom="margin">
              <wp14:pctHeight>0</wp14:pctHeight>
            </wp14:sizeRelV>
          </wp:anchor>
        </w:drawing>
      </w:r>
      <w:r w:rsidR="009C1AFF">
        <w:t xml:space="preserve">Figure </w:t>
      </w:r>
      <w:r w:rsidR="00966DC9">
        <w:fldChar w:fldCharType="begin"/>
      </w:r>
      <w:r w:rsidR="00966DC9">
        <w:instrText xml:space="preserve"> SEQ Figure \</w:instrText>
      </w:r>
      <w:r w:rsidR="00966DC9">
        <w:instrText xml:space="preserve">* ARABIC </w:instrText>
      </w:r>
      <w:r w:rsidR="00966DC9">
        <w:fldChar w:fldCharType="separate"/>
      </w:r>
      <w:r w:rsidR="009C1AFF">
        <w:rPr>
          <w:noProof/>
        </w:rPr>
        <w:t>2</w:t>
      </w:r>
      <w:r w:rsidR="00966DC9">
        <w:rPr>
          <w:noProof/>
        </w:rPr>
        <w:fldChar w:fldCharType="end"/>
      </w:r>
      <w:r w:rsidR="009C1AFF">
        <w:t>: FT-ICR-MS maximum signal intensity curves vs. calculated saccharides affinities toward H</w:t>
      </w:r>
      <w:r w:rsidR="009C1AFF">
        <w:rPr>
          <w:vertAlign w:val="subscript"/>
        </w:rPr>
        <w:t>2</w:t>
      </w:r>
      <w:r w:rsidR="009C1AFF">
        <w:t>PO</w:t>
      </w:r>
      <w:r w:rsidR="009C1AFF">
        <w:rPr>
          <w:vertAlign w:val="subscript"/>
        </w:rPr>
        <w:t>4</w:t>
      </w:r>
      <w:r w:rsidR="009C1AFF">
        <w:t xml:space="preserve"> ̅ dopant anion. Quadratic fits are shown as curves: blue for B3LYP/6-311+(2d,p)//B3LYP/6-31+(d,p) and black for the dispersion corrected DFT-D3 M06-2X/Def2TZVP//m062x/Def2TZVP. Legend: Monosaccharides are shown in red; Trisaccharides are shown in green and disaccharides in cyan.</w:t>
      </w:r>
    </w:p>
    <w:p w:rsidR="009C1AFF" w:rsidRDefault="00B674F6">
      <w:pPr>
        <w:pStyle w:val="TAMainText"/>
      </w:pPr>
      <w:r>
        <w:rPr>
          <w:noProof/>
          <w:lang w:val="de-DE" w:eastAsia="de-DE"/>
        </w:rPr>
        <w:lastRenderedPageBreak/>
        <mc:AlternateContent>
          <mc:Choice Requires="wps">
            <w:drawing>
              <wp:anchor distT="0" distB="0" distL="114300" distR="114300" simplePos="0" relativeHeight="251715072" behindDoc="0" locked="0" layoutInCell="1" allowOverlap="1" wp14:anchorId="00E3DE05" wp14:editId="40C90BCE">
                <wp:simplePos x="0" y="0"/>
                <wp:positionH relativeFrom="column">
                  <wp:posOffset>0</wp:posOffset>
                </wp:positionH>
                <wp:positionV relativeFrom="paragraph">
                  <wp:posOffset>5283835</wp:posOffset>
                </wp:positionV>
                <wp:extent cx="6422390" cy="413385"/>
                <wp:effectExtent l="0" t="0" r="0" b="5715"/>
                <wp:wrapTopAndBottom/>
                <wp:docPr id="1" name="Textfeld 1"/>
                <wp:cNvGraphicFramePr/>
                <a:graphic xmlns:a="http://schemas.openxmlformats.org/drawingml/2006/main">
                  <a:graphicData uri="http://schemas.microsoft.com/office/word/2010/wordprocessingShape">
                    <wps:wsp>
                      <wps:cNvSpPr txBox="1"/>
                      <wps:spPr>
                        <a:xfrm>
                          <a:off x="0" y="0"/>
                          <a:ext cx="6422390" cy="413385"/>
                        </a:xfrm>
                        <a:prstGeom prst="rect">
                          <a:avLst/>
                        </a:prstGeom>
                        <a:solidFill>
                          <a:prstClr val="white"/>
                        </a:solidFill>
                        <a:ln>
                          <a:noFill/>
                        </a:ln>
                      </wps:spPr>
                      <wps:txbx>
                        <w:txbxContent>
                          <w:p w:rsidR="00B674F6" w:rsidRDefault="00B674F6" w:rsidP="00B674F6">
                            <w:pPr>
                              <w:pStyle w:val="Beschriftung"/>
                            </w:pPr>
                            <w:r>
                              <w:t>Figure 3: (A-D) Intensity MS profiles (log Y scale) of [M+dopant] ̅ anions for varying NH</w:t>
                            </w:r>
                            <w:r>
                              <w:rPr>
                                <w:vertAlign w:val="subscript"/>
                              </w:rPr>
                              <w:t>4</w:t>
                            </w:r>
                            <w:r>
                              <w:t>H</w:t>
                            </w:r>
                            <w:r>
                              <w:rPr>
                                <w:vertAlign w:val="subscript"/>
                              </w:rPr>
                              <w:t>2</w:t>
                            </w:r>
                            <w:r>
                              <w:t>PO</w:t>
                            </w:r>
                            <w:r>
                              <w:rPr>
                                <w:vertAlign w:val="subscript"/>
                              </w:rPr>
                              <w:t>4</w:t>
                            </w:r>
                            <w:r>
                              <w:t xml:space="preserve"> (left column, A, C) or NH</w:t>
                            </w:r>
                            <w:r>
                              <w:rPr>
                                <w:vertAlign w:val="subscript"/>
                              </w:rPr>
                              <w:t>4</w:t>
                            </w:r>
                            <w:r>
                              <w:t>Cl (right column, B, D) in an aglycone (1st row, A, B) or glycoside mixture (2</w:t>
                            </w:r>
                            <w:r>
                              <w:rPr>
                                <w:vertAlign w:val="superscript"/>
                              </w:rPr>
                              <w:t>nd</w:t>
                            </w:r>
                            <w:r>
                              <w:t xml:space="preserve"> row, C, D), with M = aglycone/glycoside substrate. Mean values for measured triplicates are plotted with standard deviations. Curve fitting was done by 4</w:t>
                            </w:r>
                            <w:r>
                              <w:rPr>
                                <w:vertAlign w:val="superscript"/>
                              </w:rPr>
                              <w:t>th</w:t>
                            </w:r>
                            <w:r>
                              <w:t xml:space="preserve"> order polynomials.</w:t>
                            </w:r>
                          </w:p>
                          <w:p w:rsidR="00B674F6" w:rsidRDefault="00B674F6" w:rsidP="00B674F6"/>
                          <w:p w:rsidR="00B674F6" w:rsidRDefault="00B674F6" w:rsidP="00B674F6"/>
                          <w:p w:rsidR="00B674F6" w:rsidRDefault="00B674F6" w:rsidP="00B674F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3DE05" id="_x0000_t202" coordsize="21600,21600" o:spt="202" path="m,l,21600r21600,l21600,xe">
                <v:stroke joinstyle="miter"/>
                <v:path gradientshapeok="t" o:connecttype="rect"/>
              </v:shapetype>
              <v:shape id="Textfeld 1" o:spid="_x0000_s1026" type="#_x0000_t202" style="position:absolute;left:0;text-align:left;margin-left:0;margin-top:416.05pt;width:505.7pt;height:32.5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" stroked="f">
                <v:textbox inset="0,0,0,0">
                  <w:txbxContent>
                    <w:p w:rsidR="00B674F6" w:rsidRDefault="00B674F6" w:rsidP="00B674F6">
                      <w:pPr>
                        <w:pStyle w:val="Beschriftung"/>
                      </w:pPr>
                      <w:r>
                        <w:t>Figure 3: (A-D) Intensity MS profiles (log Y scale) of [M+dopant] ̅ anions for varying NH</w:t>
                      </w:r>
                      <w:r>
                        <w:rPr>
                          <w:vertAlign w:val="subscript"/>
                        </w:rPr>
                        <w:t>4</w:t>
                      </w:r>
                      <w:r>
                        <w:t>H</w:t>
                      </w:r>
                      <w:r>
                        <w:rPr>
                          <w:vertAlign w:val="subscript"/>
                        </w:rPr>
                        <w:t>2</w:t>
                      </w:r>
                      <w:r>
                        <w:t>PO</w:t>
                      </w:r>
                      <w:r>
                        <w:rPr>
                          <w:vertAlign w:val="subscript"/>
                        </w:rPr>
                        <w:t>4</w:t>
                      </w:r>
                      <w:r>
                        <w:t xml:space="preserve"> (left column, A, C) or NH</w:t>
                      </w:r>
                      <w:r>
                        <w:rPr>
                          <w:vertAlign w:val="subscript"/>
                        </w:rPr>
                        <w:t>4</w:t>
                      </w:r>
                      <w:r>
                        <w:t>Cl (right column, B, D) in an aglycone (1st row, A, B) or glycoside mixture (2</w:t>
                      </w:r>
                      <w:r>
                        <w:rPr>
                          <w:vertAlign w:val="superscript"/>
                        </w:rPr>
                        <w:t>nd</w:t>
                      </w:r>
                      <w:r>
                        <w:t xml:space="preserve"> row, C, D), with M = aglycone/glycoside substrate. Mean values for measured triplicates are plotted with standard deviations. Curve fitting was done by 4</w:t>
                      </w:r>
                      <w:r>
                        <w:rPr>
                          <w:vertAlign w:val="superscript"/>
                        </w:rPr>
                        <w:t>th</w:t>
                      </w:r>
                      <w:r>
                        <w:t xml:space="preserve"> order polynomials.</w:t>
                      </w:r>
                    </w:p>
                    <w:p w:rsidR="00B674F6" w:rsidRDefault="00B674F6" w:rsidP="00B674F6"/>
                    <w:p w:rsidR="00B674F6" w:rsidRDefault="00B674F6" w:rsidP="00B674F6"/>
                    <w:p w:rsidR="00B674F6" w:rsidRDefault="00B674F6" w:rsidP="00B674F6"/>
                  </w:txbxContent>
                </v:textbox>
                <w10:wrap type="topAndBottom"/>
              </v:shape>
            </w:pict>
          </mc:Fallback>
        </mc:AlternateContent>
      </w:r>
    </w:p>
    <w:p w:rsidR="00D45F2B" w:rsidRDefault="009E0F3A">
      <w:pPr>
        <w:pStyle w:val="TAMainText"/>
      </w:pPr>
      <w:r>
        <w:t>Thus, the H</w:t>
      </w:r>
      <w:r>
        <w:rPr>
          <w:vertAlign w:val="subscript"/>
        </w:rPr>
        <w:t>2</w:t>
      </w:r>
      <w:r>
        <w:t>PO</w:t>
      </w:r>
      <w:r>
        <w:rPr>
          <w:vertAlign w:val="subscript"/>
        </w:rPr>
        <w:t>4</w:t>
      </w:r>
      <w:r>
        <w:t xml:space="preserve"> ̅ dopant anion does not necessarily require a sugar moiety to attach at but can also bind to the aglycone itself. For chloride anion attachment, stronger binding has been observed toward glycosidic part compared to the aglyconic region (c.f. isoquercetin - Cl ̅,  astragalin-Cl ̅, salicin-Cl  ̅ ). Salicyl alcohol could barely be detected as [M+Cl] ̅ complex with low intensities only (not being detected as [M + H</w:t>
      </w:r>
      <w:r>
        <w:rPr>
          <w:vertAlign w:val="subscript"/>
        </w:rPr>
        <w:t>2</w:t>
      </w:r>
      <w:r>
        <w:t>PO</w:t>
      </w:r>
      <w:r>
        <w:rPr>
          <w:vertAlign w:val="subscript"/>
        </w:rPr>
        <w:t>4</w:t>
      </w:r>
      <w:r>
        <w:t>] ̅ complex) while its glycosylated form, salicin, gave both intense [M+ H</w:t>
      </w:r>
      <w:r>
        <w:rPr>
          <w:vertAlign w:val="subscript"/>
        </w:rPr>
        <w:t>2</w:t>
      </w:r>
      <w:r>
        <w:t>PO</w:t>
      </w:r>
      <w:r>
        <w:rPr>
          <w:vertAlign w:val="subscript"/>
        </w:rPr>
        <w:t>4</w:t>
      </w:r>
      <w:r>
        <w:t>] ̅ and [M+Cl] ̅ signals. Due to the unique pattern of the salicyl alcohol / salicin system (as can be significantly discerned when comparing Figure 3A with 3C), we focused on performing a thorough theoretical investigation of this system when it interacts with the H</w:t>
      </w:r>
      <w:r>
        <w:rPr>
          <w:vertAlign w:val="subscript"/>
        </w:rPr>
        <w:t>2</w:t>
      </w:r>
      <w:r>
        <w:t>PO</w:t>
      </w:r>
      <w:r>
        <w:rPr>
          <w:vertAlign w:val="subscript"/>
        </w:rPr>
        <w:t>4</w:t>
      </w:r>
      <w:r>
        <w:t xml:space="preserve"> ̅  anion.</w:t>
      </w:r>
    </w:p>
    <w:p w:rsidR="00B674F6" w:rsidRDefault="00B674F6">
      <w:pPr>
        <w:pStyle w:val="TAMainText"/>
      </w:pPr>
    </w:p>
    <w:p w:rsidR="00B674F6" w:rsidRDefault="009E0F3A">
      <w:pPr>
        <w:pStyle w:val="TAMainText"/>
      </w:pPr>
      <w:r>
        <w:t>Dissociation energies of the formed product ions for salicyl alcohol and salicin with H</w:t>
      </w:r>
      <w:r>
        <w:rPr>
          <w:vertAlign w:val="subscript"/>
        </w:rPr>
        <w:t>2</w:t>
      </w:r>
      <w:r>
        <w:t>PO</w:t>
      </w:r>
      <w:r>
        <w:rPr>
          <w:vertAlign w:val="subscript"/>
        </w:rPr>
        <w:t>4</w:t>
      </w:r>
      <w:r>
        <w:t xml:space="preserve"> ̅ were also computed to obtain insight on the site-specific most favorite binding site toward the dopant anion (Table 1). These findings are well explained by examining the optimized adduct ion geometries of salicyl alcohol and salicin with H</w:t>
      </w:r>
      <w:r>
        <w:rPr>
          <w:vertAlign w:val="subscript"/>
        </w:rPr>
        <w:t>2</w:t>
      </w:r>
      <w:r>
        <w:t>PO</w:t>
      </w:r>
      <w:r>
        <w:rPr>
          <w:vertAlign w:val="subscript"/>
        </w:rPr>
        <w:t>4</w:t>
      </w:r>
      <w:r>
        <w:t xml:space="preserve"> ̅ (Figure S3). An application of the usage of H</w:t>
      </w:r>
      <w:r>
        <w:rPr>
          <w:vertAlign w:val="subscript"/>
        </w:rPr>
        <w:t>2</w:t>
      </w:r>
      <w:r>
        <w:t>PO</w:t>
      </w:r>
      <w:r>
        <w:rPr>
          <w:vertAlign w:val="subscript"/>
        </w:rPr>
        <w:t>4</w:t>
      </w:r>
      <w:r>
        <w:t xml:space="preserve"> ̅ as a potential ESI-MS dopant is introduced by examining the diverse H</w:t>
      </w:r>
      <w:r>
        <w:rPr>
          <w:vertAlign w:val="subscript"/>
        </w:rPr>
        <w:t>2</w:t>
      </w:r>
      <w:r>
        <w:t>PO</w:t>
      </w:r>
      <w:r>
        <w:rPr>
          <w:vertAlign w:val="subscript"/>
        </w:rPr>
        <w:t>4</w:t>
      </w:r>
      <w:r>
        <w:t xml:space="preserve"> ̅ adduct ions, formed in an oak sample (oak Quercus robur from North-Rhine West</w:t>
      </w:r>
      <w:r w:rsidR="00B674F6">
        <w:t>-</w:t>
      </w:r>
    </w:p>
    <w:p w:rsidR="00B674F6" w:rsidRDefault="00B674F6">
      <w:pPr>
        <w:pStyle w:val="TAMainText"/>
      </w:pPr>
    </w:p>
    <w:p w:rsidR="00D45F2B" w:rsidRDefault="009E0F3A">
      <w:pPr>
        <w:pStyle w:val="TAMainText"/>
      </w:pPr>
      <w:r>
        <w:t>phalia [</w:t>
      </w:r>
      <w:r>
        <w:fldChar w:fldCharType="begin"/>
      </w:r>
      <w:r>
        <w:instrText xml:space="preserve"> NOTEREF _Ref86417786 \h </w:instrText>
      </w:r>
      <w:r>
        <w:fldChar w:fldCharType="separate"/>
      </w:r>
      <w:r>
        <w:t>18</w:t>
      </w:r>
      <w:r>
        <w:fldChar w:fldCharType="end"/>
      </w:r>
      <w:r>
        <w:t xml:space="preserve">]) by means of a non-targeted, high-resolution FT-ICR-MS analysis. A Matlab-based program was written to specifically extract features which uniquely form either </w:t>
      </w:r>
      <w:r>
        <w:br/>
        <w:t>H</w:t>
      </w:r>
      <w:r>
        <w:rPr>
          <w:vertAlign w:val="subscript"/>
        </w:rPr>
        <w:t>2</w:t>
      </w:r>
      <w:r>
        <w:t>PO</w:t>
      </w:r>
      <w:r>
        <w:rPr>
          <w:vertAlign w:val="subscript"/>
        </w:rPr>
        <w:t>4</w:t>
      </w:r>
      <w:r>
        <w:t xml:space="preserve"> ̅ or Cl ̅ dopant complexes , after filtering the noise according to a home-made algorithm [</w:t>
      </w:r>
      <w:r>
        <w:fldChar w:fldCharType="begin"/>
      </w:r>
      <w:r>
        <w:instrText xml:space="preserve"> NOTEREF _Ref86405639 \h </w:instrText>
      </w:r>
      <w:r>
        <w:fldChar w:fldCharType="separate"/>
      </w:r>
      <w:r>
        <w:t>24</w:t>
      </w:r>
      <w:r>
        <w:fldChar w:fldCharType="end"/>
      </w:r>
      <w:r>
        <w:t>].</w:t>
      </w:r>
    </w:p>
    <w:p w:rsidR="00B674F6" w:rsidRDefault="00B674F6">
      <w:pPr>
        <w:pStyle w:val="TAMainText"/>
      </w:pPr>
    </w:p>
    <w:p w:rsidR="00B674F6" w:rsidRDefault="00B674F6" w:rsidP="00B674F6">
      <w:pPr>
        <w:pStyle w:val="Beschriftung"/>
        <w:keepNext/>
      </w:pPr>
      <w:r>
        <w:t xml:space="preserve">Table </w:t>
      </w:r>
      <w:r w:rsidR="00966DC9">
        <w:fldChar w:fldCharType="begin"/>
      </w:r>
      <w:r w:rsidR="00966DC9">
        <w:instrText xml:space="preserve"> SEQ Table \* ARABIC </w:instrText>
      </w:r>
      <w:r w:rsidR="00966DC9">
        <w:fldChar w:fldCharType="separate"/>
      </w:r>
      <w:r>
        <w:rPr>
          <w:noProof/>
        </w:rPr>
        <w:t>1</w:t>
      </w:r>
      <w:r w:rsidR="00966DC9">
        <w:rPr>
          <w:noProof/>
        </w:rPr>
        <w:fldChar w:fldCharType="end"/>
      </w:r>
      <w:r>
        <w:t>: Dissociation energies (kcal/mol) of [Salicyl alcohol - H</w:t>
      </w:r>
      <w:r>
        <w:rPr>
          <w:vertAlign w:val="subscript"/>
        </w:rPr>
        <w:t>2</w:t>
      </w:r>
      <w:r>
        <w:t>PO</w:t>
      </w:r>
      <w:r>
        <w:rPr>
          <w:vertAlign w:val="subscript"/>
        </w:rPr>
        <w:t>4</w:t>
      </w:r>
      <w:r>
        <w:t>] ̅ complex anion as well as several possible geom</w:t>
      </w:r>
      <w:bookmarkStart w:id="8" w:name="_GoBack"/>
      <w:bookmarkEnd w:id="8"/>
      <w:r>
        <w:t>etries for H</w:t>
      </w:r>
      <w:r>
        <w:rPr>
          <w:vertAlign w:val="subscript"/>
        </w:rPr>
        <w:t>2</w:t>
      </w:r>
      <w:r>
        <w:t>PO</w:t>
      </w:r>
      <w:r>
        <w:rPr>
          <w:vertAlign w:val="subscript"/>
        </w:rPr>
        <w:t>4</w:t>
      </w:r>
      <w:r>
        <w:t xml:space="preserve"> ̅ ion attachment to salicin</w:t>
      </w:r>
      <w:r>
        <w:t xml:space="preserve"> </w:t>
      </w:r>
      <w:r>
        <w:rPr>
          <w:rFonts w:cs="Times"/>
        </w:rPr>
        <w:t>(</w:t>
      </w:r>
      <w:r w:rsidR="007051D6">
        <w:rPr>
          <w:rFonts w:cs="Times"/>
          <w:color w:val="333333"/>
          <w:shd w:val="clear" w:color="auto" w:fill="FFFFFF"/>
        </w:rPr>
        <w:t>2</w:t>
      </w:r>
      <w:r w:rsidRPr="00A97028">
        <w:rPr>
          <w:rFonts w:cs="Times"/>
          <w:color w:val="333333"/>
          <w:shd w:val="clear" w:color="auto" w:fill="FFFFFF"/>
        </w:rPr>
        <w:t>-hydroxyl-aryl-beta-D-glucopyranoside)</w:t>
      </w:r>
      <w:r>
        <w:t xml:space="preserve"> according to structures shown in Figure S3, calculated on the B3LYP/6-311+(2d,p)//B3LYP/6-31+(d,p) level.</w:t>
      </w:r>
    </w:p>
    <w:p w:rsidR="00B674F6" w:rsidRDefault="00B674F6">
      <w:pPr>
        <w:pStyle w:val="TAMainText"/>
      </w:pPr>
      <w:r>
        <w:rPr>
          <w:noProof/>
          <w:lang w:val="de-DE" w:eastAsia="de-DE"/>
        </w:rPr>
        <w:drawing>
          <wp:anchor distT="0" distB="0" distL="114300" distR="114300" simplePos="0" relativeHeight="251662848" behindDoc="0" locked="0" layoutInCell="1" allowOverlap="1" wp14:anchorId="07A1DFAD" wp14:editId="680EA4AC">
            <wp:simplePos x="0" y="0"/>
            <wp:positionH relativeFrom="column">
              <wp:posOffset>-100965</wp:posOffset>
            </wp:positionH>
            <wp:positionV relativeFrom="paragraph">
              <wp:posOffset>2336800</wp:posOffset>
            </wp:positionV>
            <wp:extent cx="6550025" cy="3017520"/>
            <wp:effectExtent l="0" t="0" r="3175" b="0"/>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4 Horizontal.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50025" cy="3017520"/>
                    </a:xfrm>
                    <a:prstGeom prst="rect">
                      <a:avLst/>
                    </a:prstGeom>
                  </pic:spPr>
                </pic:pic>
              </a:graphicData>
            </a:graphic>
            <wp14:sizeRelH relativeFrom="margin">
              <wp14:pctWidth>0</wp14:pctWidth>
            </wp14:sizeRelH>
            <wp14:sizeRelV relativeFrom="margin">
              <wp14:pctHeight>0</wp14:pctHeight>
            </wp14:sizeRelV>
          </wp:anchor>
        </w:drawing>
      </w:r>
    </w:p>
    <w:p w:rsidR="009C1AFF" w:rsidRPr="009C1AFF" w:rsidRDefault="00B674F6" w:rsidP="009C1AFF">
      <w:r>
        <w:rPr>
          <w:noProof/>
          <w:lang w:val="de-DE" w:eastAsia="de-DE"/>
        </w:rPr>
        <mc:AlternateContent>
          <mc:Choice Requires="wps">
            <w:drawing>
              <wp:anchor distT="0" distB="0" distL="114300" distR="114300" simplePos="0" relativeHeight="251661824" behindDoc="0" locked="0" layoutInCell="1" allowOverlap="1" wp14:anchorId="7B036621" wp14:editId="4C71F88C">
                <wp:simplePos x="0" y="0"/>
                <wp:positionH relativeFrom="column">
                  <wp:posOffset>0</wp:posOffset>
                </wp:positionH>
                <wp:positionV relativeFrom="paragraph">
                  <wp:posOffset>3274060</wp:posOffset>
                </wp:positionV>
                <wp:extent cx="5741670" cy="635"/>
                <wp:effectExtent l="0" t="0" r="0" b="0"/>
                <wp:wrapTopAndBottom/>
                <wp:docPr id="5" name="Textfeld 5"/>
                <wp:cNvGraphicFramePr/>
                <a:graphic xmlns:a="http://schemas.openxmlformats.org/drawingml/2006/main">
                  <a:graphicData uri="http://schemas.microsoft.com/office/word/2010/wordprocessingShape">
                    <wps:wsp>
                      <wps:cNvSpPr txBox="1"/>
                      <wps:spPr>
                        <a:xfrm>
                          <a:off x="0" y="0"/>
                          <a:ext cx="5741670" cy="635"/>
                        </a:xfrm>
                        <a:prstGeom prst="rect">
                          <a:avLst/>
                        </a:prstGeom>
                        <a:solidFill>
                          <a:prstClr val="white"/>
                        </a:solidFill>
                        <a:ln>
                          <a:noFill/>
                        </a:ln>
                      </wps:spPr>
                      <wps:txbx>
                        <w:txbxContent>
                          <w:p w:rsidR="00B674F6" w:rsidRDefault="00B674F6" w:rsidP="00B674F6">
                            <w:pPr>
                              <w:pStyle w:val="Beschriftung"/>
                            </w:pPr>
                            <w:r>
                              <w:t>Figure 4: Specific dopant complexes in a complex oak plant sample. This modified van Krevelen diagram (H/C vs. m/z ratio plot) highlights compounds present in the oak sample which form H</w:t>
                            </w:r>
                            <w:r>
                              <w:rPr>
                                <w:vertAlign w:val="subscript"/>
                              </w:rPr>
                              <w:t>2</w:t>
                            </w:r>
                            <w:r>
                              <w:t>PO</w:t>
                            </w:r>
                            <w:r>
                              <w:rPr>
                                <w:vertAlign w:val="subscript"/>
                              </w:rPr>
                              <w:t>4</w:t>
                            </w:r>
                            <w:r>
                              <w:t xml:space="preserve"> ̅ (orange, A) and Cl ̅ dopant complexes (gray, B). The bubble size is scaled by log(Intensity). Dashed lines represent average values for H/C or m/z,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036621" id="Textfeld 5" o:spid="_x0000_s1027" type="#_x0000_t202" style="position:absolute;left:0;text-align:left;margin-left:0;margin-top:257.8pt;width:452.1pt;height:.0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" stroked="f">
                <v:textbox style="mso-fit-shape-to-text:t" inset="0,0,0,0">
                  <w:txbxContent>
                    <w:p w:rsidR="00B674F6" w:rsidRDefault="00B674F6" w:rsidP="00B674F6">
                      <w:pPr>
                        <w:pStyle w:val="Beschriftung"/>
                      </w:pPr>
                      <w:r>
                        <w:t>Figure 4: Specific dopant complexes in a complex oak plant sample. This modified van Krevelen diagram (H/C vs. m/z ratio plot) highlights compounds present in the oak sample which form H</w:t>
                      </w:r>
                      <w:r>
                        <w:rPr>
                          <w:vertAlign w:val="subscript"/>
                        </w:rPr>
                        <w:t>2</w:t>
                      </w:r>
                      <w:r>
                        <w:t>PO</w:t>
                      </w:r>
                      <w:r>
                        <w:rPr>
                          <w:vertAlign w:val="subscript"/>
                        </w:rPr>
                        <w:t>4</w:t>
                      </w:r>
                      <w:r>
                        <w:t xml:space="preserve"> ̅ (orange, A) and Cl ̅ dopant complexes (gray, B). The bubble size is scaled by log(Intensity). Dashed lines represent average values for H/C or m/z, respectively.</w:t>
                      </w:r>
                    </w:p>
                  </w:txbxContent>
                </v:textbox>
                <w10:wrap type="topAndBottom"/>
              </v:shape>
            </w:pict>
          </mc:Fallback>
        </mc:AlternateContent>
      </w:r>
    </w:p>
    <w:tbl>
      <w:tblPr>
        <w:tblpPr w:leftFromText="141" w:rightFromText="141" w:vertAnchor="page" w:horzAnchor="margin" w:tblpY="3685"/>
        <w:tblW w:w="4936" w:type="dxa"/>
        <w:tblLayout w:type="fixed"/>
        <w:tblCellMar>
          <w:left w:w="70" w:type="dxa"/>
          <w:right w:w="70" w:type="dxa"/>
        </w:tblCellMar>
        <w:tblLook w:val="04A0" w:firstRow="1" w:lastRow="0" w:firstColumn="1" w:lastColumn="0" w:noHBand="0" w:noVBand="1"/>
      </w:tblPr>
      <w:tblGrid>
        <w:gridCol w:w="918"/>
        <w:gridCol w:w="160"/>
        <w:gridCol w:w="702"/>
        <w:gridCol w:w="1409"/>
        <w:gridCol w:w="1747"/>
      </w:tblGrid>
      <w:tr w:rsidR="009C1AFF" w:rsidTr="00B674F6">
        <w:trPr>
          <w:trHeight w:val="576"/>
        </w:trPr>
        <w:tc>
          <w:tcPr>
            <w:tcW w:w="9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1AFF" w:rsidRDefault="009C1AFF" w:rsidP="00B674F6">
            <w:pPr>
              <w:spacing w:after="0"/>
              <w:jc w:val="center"/>
              <w:rPr>
                <w:rFonts w:ascii="Calibri" w:hAnsi="Calibri" w:cs="Calibri"/>
                <w:b/>
                <w:bCs/>
                <w:color w:val="000000"/>
                <w:sz w:val="16"/>
                <w:szCs w:val="16"/>
                <w:lang w:val="de-DE" w:eastAsia="de-DE"/>
              </w:rPr>
            </w:pPr>
            <w:r>
              <w:rPr>
                <w:rFonts w:ascii="Calibri" w:hAnsi="Calibri" w:cs="Calibri"/>
                <w:b/>
                <w:bCs/>
                <w:color w:val="000000"/>
                <w:sz w:val="16"/>
                <w:szCs w:val="16"/>
                <w:lang w:val="de-DE" w:eastAsia="de-DE"/>
              </w:rPr>
              <w:t>No.</w:t>
            </w:r>
          </w:p>
        </w:tc>
        <w:tc>
          <w:tcPr>
            <w:tcW w:w="160" w:type="dxa"/>
            <w:tcBorders>
              <w:top w:val="single" w:sz="4" w:space="0" w:color="auto"/>
              <w:left w:val="nil"/>
              <w:bottom w:val="single" w:sz="4" w:space="0" w:color="auto"/>
              <w:right w:val="nil"/>
            </w:tcBorders>
          </w:tcPr>
          <w:p w:rsidR="009C1AFF" w:rsidRDefault="009C1AFF" w:rsidP="00B674F6">
            <w:pPr>
              <w:spacing w:after="0"/>
              <w:jc w:val="center"/>
              <w:rPr>
                <w:rFonts w:ascii="Calibri" w:hAnsi="Calibri" w:cs="Calibri"/>
                <w:b/>
                <w:bCs/>
                <w:color w:val="000000"/>
                <w:sz w:val="16"/>
                <w:szCs w:val="16"/>
                <w:lang w:val="de-DE" w:eastAsia="de-DE"/>
              </w:rPr>
            </w:pPr>
          </w:p>
        </w:tc>
        <w:tc>
          <w:tcPr>
            <w:tcW w:w="702" w:type="dxa"/>
            <w:tcBorders>
              <w:top w:val="single" w:sz="4" w:space="0" w:color="auto"/>
              <w:left w:val="nil"/>
              <w:bottom w:val="single" w:sz="4" w:space="0" w:color="auto"/>
              <w:right w:val="nil"/>
            </w:tcBorders>
          </w:tcPr>
          <w:p w:rsidR="009C1AFF" w:rsidRDefault="009C1AFF" w:rsidP="00B674F6">
            <w:pPr>
              <w:spacing w:after="0"/>
              <w:jc w:val="center"/>
              <w:rPr>
                <w:rFonts w:ascii="Calibri" w:hAnsi="Calibri" w:cs="Calibri"/>
                <w:b/>
                <w:bCs/>
                <w:color w:val="000000"/>
                <w:sz w:val="16"/>
                <w:szCs w:val="16"/>
                <w:lang w:val="de-DE" w:eastAsia="de-DE"/>
              </w:rPr>
            </w:pPr>
          </w:p>
        </w:tc>
        <w:tc>
          <w:tcPr>
            <w:tcW w:w="1409" w:type="dxa"/>
            <w:tcBorders>
              <w:top w:val="single" w:sz="4" w:space="0" w:color="auto"/>
              <w:left w:val="nil"/>
              <w:bottom w:val="single" w:sz="4" w:space="0" w:color="auto"/>
              <w:right w:val="single" w:sz="4" w:space="0" w:color="auto"/>
            </w:tcBorders>
            <w:shd w:val="clear" w:color="auto" w:fill="auto"/>
            <w:vAlign w:val="center"/>
            <w:hideMark/>
          </w:tcPr>
          <w:p w:rsidR="009C1AFF" w:rsidRDefault="009C1AFF" w:rsidP="00B674F6">
            <w:pPr>
              <w:spacing w:after="0"/>
              <w:jc w:val="center"/>
              <w:rPr>
                <w:rFonts w:ascii="Calibri" w:hAnsi="Calibri" w:cs="Calibri"/>
                <w:b/>
                <w:bCs/>
                <w:color w:val="000000"/>
                <w:sz w:val="16"/>
                <w:szCs w:val="16"/>
                <w:lang w:val="de-DE" w:eastAsia="de-DE"/>
              </w:rPr>
            </w:pPr>
            <w:r>
              <w:rPr>
                <w:rFonts w:ascii="Calibri" w:hAnsi="Calibri" w:cs="Calibri"/>
                <w:b/>
                <w:bCs/>
                <w:color w:val="000000"/>
                <w:sz w:val="16"/>
                <w:szCs w:val="16"/>
                <w:lang w:val="de-DE" w:eastAsia="de-DE"/>
              </w:rPr>
              <w:t>Substrate-H</w:t>
            </w:r>
            <w:r>
              <w:rPr>
                <w:rFonts w:ascii="Calibri" w:hAnsi="Calibri" w:cs="Calibri"/>
                <w:b/>
                <w:bCs/>
                <w:color w:val="000000"/>
                <w:sz w:val="16"/>
                <w:szCs w:val="16"/>
                <w:vertAlign w:val="subscript"/>
                <w:lang w:val="de-DE" w:eastAsia="de-DE"/>
              </w:rPr>
              <w:t>2</w:t>
            </w:r>
            <w:r>
              <w:rPr>
                <w:rFonts w:ascii="Calibri" w:hAnsi="Calibri" w:cs="Calibri"/>
                <w:b/>
                <w:bCs/>
                <w:color w:val="000000"/>
                <w:sz w:val="16"/>
                <w:szCs w:val="16"/>
                <w:lang w:val="de-DE" w:eastAsia="de-DE"/>
              </w:rPr>
              <w:t>PO</w:t>
            </w:r>
            <w:r>
              <w:rPr>
                <w:rFonts w:ascii="Calibri" w:hAnsi="Calibri" w:cs="Calibri"/>
                <w:b/>
                <w:bCs/>
                <w:color w:val="000000"/>
                <w:sz w:val="16"/>
                <w:szCs w:val="16"/>
                <w:vertAlign w:val="subscript"/>
                <w:lang w:val="de-DE" w:eastAsia="de-DE"/>
              </w:rPr>
              <w:t>4</w:t>
            </w:r>
            <w:r>
              <w:rPr>
                <w:rFonts w:ascii="Calibri" w:hAnsi="Calibri" w:cs="Calibri"/>
                <w:b/>
                <w:bCs/>
                <w:color w:val="000000"/>
                <w:sz w:val="16"/>
                <w:szCs w:val="16"/>
                <w:lang w:val="de-DE" w:eastAsia="de-DE"/>
              </w:rPr>
              <w:t xml:space="preserve">  ̅ Complex anion</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9C1AFF" w:rsidRDefault="009C1AFF" w:rsidP="00B674F6">
            <w:pPr>
              <w:spacing w:after="0"/>
              <w:jc w:val="center"/>
              <w:rPr>
                <w:rFonts w:ascii="Calibri" w:hAnsi="Calibri" w:cs="Calibri"/>
                <w:b/>
                <w:bCs/>
                <w:color w:val="000000"/>
                <w:sz w:val="16"/>
                <w:szCs w:val="16"/>
                <w:lang w:eastAsia="de-DE"/>
              </w:rPr>
            </w:pPr>
            <w:r>
              <w:rPr>
                <w:rFonts w:ascii="Calibri" w:hAnsi="Calibri" w:cs="Calibri"/>
                <w:b/>
                <w:bCs/>
                <w:color w:val="000000"/>
                <w:sz w:val="16"/>
                <w:szCs w:val="16"/>
                <w:lang w:eastAsia="de-DE"/>
              </w:rPr>
              <w:t>Complex dissociation energy (kcal/mol)</w:t>
            </w:r>
          </w:p>
        </w:tc>
      </w:tr>
      <w:tr w:rsidR="009C1AFF" w:rsidTr="00B674F6">
        <w:trPr>
          <w:trHeight w:val="312"/>
        </w:trPr>
        <w:tc>
          <w:tcPr>
            <w:tcW w:w="918" w:type="dxa"/>
            <w:tcBorders>
              <w:top w:val="nil"/>
              <w:left w:val="single" w:sz="4" w:space="0" w:color="auto"/>
              <w:bottom w:val="single" w:sz="4" w:space="0" w:color="auto"/>
              <w:right w:val="single" w:sz="4" w:space="0" w:color="auto"/>
            </w:tcBorders>
            <w:shd w:val="clear" w:color="auto" w:fill="auto"/>
            <w:noWrap/>
            <w:vAlign w:val="center"/>
            <w:hideMark/>
          </w:tcPr>
          <w:p w:rsidR="009C1AFF" w:rsidRDefault="009C1AFF" w:rsidP="00B674F6">
            <w:pPr>
              <w:spacing w:after="0"/>
              <w:jc w:val="center"/>
              <w:rPr>
                <w:rFonts w:ascii="Calibri" w:hAnsi="Calibri" w:cs="Calibri"/>
                <w:color w:val="000000"/>
                <w:sz w:val="16"/>
                <w:szCs w:val="16"/>
                <w:lang w:val="de-DE" w:eastAsia="de-DE"/>
              </w:rPr>
            </w:pPr>
            <w:r>
              <w:rPr>
                <w:rFonts w:ascii="Calibri" w:hAnsi="Calibri" w:cs="Calibri"/>
                <w:color w:val="000000"/>
                <w:sz w:val="16"/>
                <w:szCs w:val="16"/>
                <w:lang w:val="de-DE" w:eastAsia="de-DE"/>
              </w:rPr>
              <w:t>1</w:t>
            </w:r>
          </w:p>
        </w:tc>
        <w:tc>
          <w:tcPr>
            <w:tcW w:w="160" w:type="dxa"/>
            <w:tcBorders>
              <w:top w:val="nil"/>
              <w:left w:val="nil"/>
              <w:bottom w:val="single" w:sz="4" w:space="0" w:color="auto"/>
              <w:right w:val="nil"/>
            </w:tcBorders>
          </w:tcPr>
          <w:p w:rsidR="009C1AFF" w:rsidRDefault="009C1AFF" w:rsidP="00B674F6">
            <w:pPr>
              <w:spacing w:after="0"/>
              <w:jc w:val="center"/>
              <w:rPr>
                <w:rFonts w:ascii="Calibri" w:hAnsi="Calibri" w:cs="Calibri"/>
                <w:color w:val="000000"/>
                <w:sz w:val="16"/>
                <w:szCs w:val="16"/>
                <w:lang w:val="de-DE" w:eastAsia="de-DE"/>
              </w:rPr>
            </w:pPr>
          </w:p>
        </w:tc>
        <w:tc>
          <w:tcPr>
            <w:tcW w:w="702" w:type="dxa"/>
            <w:tcBorders>
              <w:top w:val="nil"/>
              <w:left w:val="nil"/>
              <w:bottom w:val="single" w:sz="4" w:space="0" w:color="auto"/>
              <w:right w:val="nil"/>
            </w:tcBorders>
          </w:tcPr>
          <w:p w:rsidR="009C1AFF" w:rsidRDefault="009C1AFF" w:rsidP="00B674F6">
            <w:pPr>
              <w:spacing w:after="0"/>
              <w:jc w:val="center"/>
              <w:rPr>
                <w:rFonts w:ascii="Calibri" w:hAnsi="Calibri" w:cs="Calibri"/>
                <w:color w:val="000000"/>
                <w:sz w:val="16"/>
                <w:szCs w:val="16"/>
                <w:lang w:val="de-DE" w:eastAsia="de-DE"/>
              </w:rPr>
            </w:pPr>
          </w:p>
        </w:tc>
        <w:tc>
          <w:tcPr>
            <w:tcW w:w="1409" w:type="dxa"/>
            <w:tcBorders>
              <w:top w:val="nil"/>
              <w:left w:val="nil"/>
              <w:bottom w:val="single" w:sz="4" w:space="0" w:color="auto"/>
              <w:right w:val="single" w:sz="4" w:space="0" w:color="auto"/>
            </w:tcBorders>
            <w:shd w:val="clear" w:color="auto" w:fill="auto"/>
            <w:vAlign w:val="center"/>
            <w:hideMark/>
          </w:tcPr>
          <w:p w:rsidR="009C1AFF" w:rsidRDefault="009C1AFF" w:rsidP="00B674F6">
            <w:pPr>
              <w:spacing w:after="0"/>
              <w:jc w:val="center"/>
              <w:rPr>
                <w:rFonts w:ascii="Calibri" w:hAnsi="Calibri" w:cs="Calibri"/>
                <w:color w:val="000000"/>
                <w:sz w:val="16"/>
                <w:szCs w:val="16"/>
                <w:lang w:val="de-DE" w:eastAsia="de-DE"/>
              </w:rPr>
            </w:pPr>
            <w:r>
              <w:rPr>
                <w:rFonts w:ascii="Calibri" w:hAnsi="Calibri" w:cs="Calibri"/>
                <w:color w:val="000000"/>
                <w:sz w:val="16"/>
                <w:szCs w:val="16"/>
                <w:lang w:val="de-DE" w:eastAsia="de-DE"/>
              </w:rPr>
              <w:t>Salicyl alcohol - H</w:t>
            </w:r>
            <w:r>
              <w:rPr>
                <w:rFonts w:ascii="Calibri" w:hAnsi="Calibri" w:cs="Calibri"/>
                <w:color w:val="000000"/>
                <w:sz w:val="16"/>
                <w:szCs w:val="16"/>
                <w:vertAlign w:val="subscript"/>
                <w:lang w:val="de-DE" w:eastAsia="de-DE"/>
              </w:rPr>
              <w:t>2</w:t>
            </w:r>
            <w:r>
              <w:rPr>
                <w:rFonts w:ascii="Calibri" w:hAnsi="Calibri" w:cs="Calibri"/>
                <w:color w:val="000000"/>
                <w:sz w:val="16"/>
                <w:szCs w:val="16"/>
                <w:lang w:val="de-DE" w:eastAsia="de-DE"/>
              </w:rPr>
              <w:t>PO</w:t>
            </w:r>
            <w:r>
              <w:rPr>
                <w:rFonts w:ascii="Calibri" w:hAnsi="Calibri" w:cs="Calibri"/>
                <w:color w:val="000000"/>
                <w:sz w:val="16"/>
                <w:szCs w:val="16"/>
                <w:vertAlign w:val="subscript"/>
                <w:lang w:val="de-DE" w:eastAsia="de-DE"/>
              </w:rPr>
              <w:t>4</w:t>
            </w:r>
            <w:r>
              <w:rPr>
                <w:rFonts w:ascii="Calibri" w:hAnsi="Calibri" w:cs="Calibri"/>
                <w:color w:val="000000"/>
                <w:sz w:val="16"/>
                <w:szCs w:val="16"/>
                <w:lang w:val="de-DE" w:eastAsia="de-DE"/>
              </w:rPr>
              <w:t xml:space="preserve">  ̅</w:t>
            </w:r>
          </w:p>
        </w:tc>
        <w:tc>
          <w:tcPr>
            <w:tcW w:w="1747" w:type="dxa"/>
            <w:tcBorders>
              <w:top w:val="nil"/>
              <w:left w:val="nil"/>
              <w:bottom w:val="single" w:sz="4" w:space="0" w:color="auto"/>
              <w:right w:val="single" w:sz="4" w:space="0" w:color="auto"/>
            </w:tcBorders>
            <w:shd w:val="clear" w:color="auto" w:fill="auto"/>
            <w:noWrap/>
            <w:vAlign w:val="center"/>
            <w:hideMark/>
          </w:tcPr>
          <w:p w:rsidR="009C1AFF" w:rsidRDefault="009C1AFF" w:rsidP="00B674F6">
            <w:pPr>
              <w:spacing w:after="0"/>
              <w:jc w:val="center"/>
              <w:rPr>
                <w:rFonts w:ascii="Calibri" w:hAnsi="Calibri" w:cs="Calibri"/>
                <w:color w:val="000000"/>
                <w:sz w:val="16"/>
                <w:szCs w:val="16"/>
                <w:lang w:val="de-DE" w:eastAsia="de-DE"/>
              </w:rPr>
            </w:pPr>
            <w:r>
              <w:rPr>
                <w:rFonts w:ascii="Calibri" w:hAnsi="Calibri" w:cs="Calibri"/>
                <w:color w:val="000000"/>
                <w:sz w:val="16"/>
                <w:szCs w:val="16"/>
                <w:lang w:val="de-DE" w:eastAsia="de-DE"/>
              </w:rPr>
              <w:t>24.7</w:t>
            </w:r>
          </w:p>
        </w:tc>
      </w:tr>
      <w:tr w:rsidR="009C1AFF" w:rsidTr="00B674F6">
        <w:trPr>
          <w:trHeight w:val="600"/>
        </w:trPr>
        <w:tc>
          <w:tcPr>
            <w:tcW w:w="918" w:type="dxa"/>
            <w:tcBorders>
              <w:top w:val="nil"/>
              <w:left w:val="single" w:sz="4" w:space="0" w:color="auto"/>
              <w:bottom w:val="single" w:sz="4" w:space="0" w:color="auto"/>
              <w:right w:val="single" w:sz="4" w:space="0" w:color="auto"/>
            </w:tcBorders>
            <w:shd w:val="clear" w:color="auto" w:fill="auto"/>
            <w:noWrap/>
            <w:vAlign w:val="center"/>
            <w:hideMark/>
          </w:tcPr>
          <w:p w:rsidR="009C1AFF" w:rsidRDefault="009C1AFF" w:rsidP="00B674F6">
            <w:pPr>
              <w:spacing w:after="0"/>
              <w:jc w:val="center"/>
              <w:rPr>
                <w:rFonts w:ascii="Calibri" w:hAnsi="Calibri" w:cs="Calibri"/>
                <w:color w:val="000000"/>
                <w:sz w:val="16"/>
                <w:szCs w:val="16"/>
                <w:lang w:val="de-DE" w:eastAsia="de-DE"/>
              </w:rPr>
            </w:pPr>
            <w:r>
              <w:rPr>
                <w:rFonts w:ascii="Calibri" w:hAnsi="Calibri" w:cs="Calibri"/>
                <w:color w:val="000000"/>
                <w:sz w:val="16"/>
                <w:szCs w:val="16"/>
                <w:lang w:val="de-DE" w:eastAsia="de-DE"/>
              </w:rPr>
              <w:t>2</w:t>
            </w:r>
          </w:p>
        </w:tc>
        <w:tc>
          <w:tcPr>
            <w:tcW w:w="160" w:type="dxa"/>
            <w:tcBorders>
              <w:top w:val="nil"/>
              <w:left w:val="nil"/>
              <w:bottom w:val="single" w:sz="4" w:space="0" w:color="auto"/>
              <w:right w:val="nil"/>
            </w:tcBorders>
          </w:tcPr>
          <w:p w:rsidR="009C1AFF" w:rsidRDefault="009C1AFF" w:rsidP="00B674F6">
            <w:pPr>
              <w:spacing w:after="0"/>
              <w:jc w:val="center"/>
              <w:rPr>
                <w:rFonts w:ascii="Calibri" w:hAnsi="Calibri" w:cs="Calibri"/>
                <w:color w:val="000000"/>
                <w:sz w:val="16"/>
                <w:szCs w:val="16"/>
                <w:lang w:eastAsia="de-DE"/>
              </w:rPr>
            </w:pPr>
          </w:p>
        </w:tc>
        <w:tc>
          <w:tcPr>
            <w:tcW w:w="702" w:type="dxa"/>
            <w:tcBorders>
              <w:top w:val="nil"/>
              <w:left w:val="nil"/>
              <w:bottom w:val="single" w:sz="4" w:space="0" w:color="auto"/>
              <w:right w:val="nil"/>
            </w:tcBorders>
          </w:tcPr>
          <w:p w:rsidR="009C1AFF" w:rsidRDefault="009C1AFF" w:rsidP="00B674F6">
            <w:pPr>
              <w:spacing w:after="0"/>
              <w:jc w:val="center"/>
              <w:rPr>
                <w:rFonts w:ascii="Calibri" w:hAnsi="Calibri" w:cs="Calibri"/>
                <w:color w:val="000000"/>
                <w:sz w:val="16"/>
                <w:szCs w:val="16"/>
                <w:lang w:eastAsia="de-DE"/>
              </w:rPr>
            </w:pPr>
          </w:p>
        </w:tc>
        <w:tc>
          <w:tcPr>
            <w:tcW w:w="1409" w:type="dxa"/>
            <w:tcBorders>
              <w:top w:val="nil"/>
              <w:left w:val="nil"/>
              <w:bottom w:val="single" w:sz="4" w:space="0" w:color="auto"/>
              <w:right w:val="single" w:sz="4" w:space="0" w:color="auto"/>
            </w:tcBorders>
            <w:shd w:val="clear" w:color="auto" w:fill="auto"/>
            <w:vAlign w:val="center"/>
            <w:hideMark/>
          </w:tcPr>
          <w:p w:rsidR="009C1AFF" w:rsidRDefault="009C1AFF" w:rsidP="00B674F6">
            <w:pPr>
              <w:spacing w:after="0"/>
              <w:jc w:val="center"/>
              <w:rPr>
                <w:rFonts w:ascii="Calibri" w:hAnsi="Calibri" w:cs="Calibri"/>
                <w:color w:val="000000"/>
                <w:sz w:val="16"/>
                <w:szCs w:val="16"/>
                <w:lang w:eastAsia="de-DE"/>
              </w:rPr>
            </w:pPr>
            <w:r>
              <w:rPr>
                <w:rFonts w:ascii="Calibri" w:hAnsi="Calibri" w:cs="Calibri"/>
                <w:color w:val="000000"/>
                <w:sz w:val="16"/>
                <w:szCs w:val="16"/>
                <w:lang w:eastAsia="de-DE"/>
              </w:rPr>
              <w:t>Salicin - H</w:t>
            </w:r>
            <w:r>
              <w:rPr>
                <w:rFonts w:ascii="Calibri" w:hAnsi="Calibri" w:cs="Calibri"/>
                <w:color w:val="000000"/>
                <w:sz w:val="16"/>
                <w:szCs w:val="16"/>
                <w:vertAlign w:val="subscript"/>
                <w:lang w:eastAsia="de-DE"/>
              </w:rPr>
              <w:t>2</w:t>
            </w:r>
            <w:r>
              <w:rPr>
                <w:rFonts w:ascii="Calibri" w:hAnsi="Calibri" w:cs="Calibri"/>
                <w:color w:val="000000"/>
                <w:sz w:val="16"/>
                <w:szCs w:val="16"/>
                <w:lang w:eastAsia="de-DE"/>
              </w:rPr>
              <w:t>PO</w:t>
            </w:r>
            <w:r>
              <w:rPr>
                <w:rFonts w:ascii="Calibri" w:hAnsi="Calibri" w:cs="Calibri"/>
                <w:color w:val="000000"/>
                <w:sz w:val="16"/>
                <w:szCs w:val="16"/>
                <w:vertAlign w:val="subscript"/>
                <w:lang w:eastAsia="de-DE"/>
              </w:rPr>
              <w:t>4</w:t>
            </w:r>
            <w:r>
              <w:rPr>
                <w:rFonts w:ascii="Calibri" w:hAnsi="Calibri" w:cs="Calibri"/>
                <w:color w:val="000000"/>
                <w:sz w:val="16"/>
                <w:szCs w:val="16"/>
                <w:lang w:eastAsia="de-DE"/>
              </w:rPr>
              <w:t xml:space="preserve">  ̅ (attachment to aglycon)</w:t>
            </w:r>
          </w:p>
        </w:tc>
        <w:tc>
          <w:tcPr>
            <w:tcW w:w="1747" w:type="dxa"/>
            <w:tcBorders>
              <w:top w:val="nil"/>
              <w:left w:val="nil"/>
              <w:bottom w:val="single" w:sz="4" w:space="0" w:color="auto"/>
              <w:right w:val="single" w:sz="4" w:space="0" w:color="auto"/>
            </w:tcBorders>
            <w:shd w:val="clear" w:color="auto" w:fill="auto"/>
            <w:noWrap/>
            <w:vAlign w:val="center"/>
            <w:hideMark/>
          </w:tcPr>
          <w:p w:rsidR="009C1AFF" w:rsidRDefault="009C1AFF" w:rsidP="00B674F6">
            <w:pPr>
              <w:spacing w:after="0"/>
              <w:jc w:val="center"/>
              <w:rPr>
                <w:rFonts w:ascii="Calibri" w:hAnsi="Calibri" w:cs="Calibri"/>
                <w:color w:val="000000"/>
                <w:sz w:val="16"/>
                <w:szCs w:val="16"/>
                <w:lang w:val="de-DE" w:eastAsia="de-DE"/>
              </w:rPr>
            </w:pPr>
            <w:r>
              <w:rPr>
                <w:rFonts w:ascii="Calibri" w:hAnsi="Calibri" w:cs="Calibri"/>
                <w:color w:val="000000"/>
                <w:sz w:val="16"/>
                <w:szCs w:val="16"/>
                <w:lang w:val="de-DE" w:eastAsia="de-DE"/>
              </w:rPr>
              <w:t>24.3</w:t>
            </w:r>
          </w:p>
        </w:tc>
      </w:tr>
      <w:tr w:rsidR="009C1AFF" w:rsidTr="00B674F6">
        <w:trPr>
          <w:trHeight w:val="888"/>
        </w:trPr>
        <w:tc>
          <w:tcPr>
            <w:tcW w:w="918" w:type="dxa"/>
            <w:tcBorders>
              <w:top w:val="nil"/>
              <w:left w:val="single" w:sz="4" w:space="0" w:color="auto"/>
              <w:bottom w:val="single" w:sz="4" w:space="0" w:color="auto"/>
              <w:right w:val="single" w:sz="4" w:space="0" w:color="auto"/>
            </w:tcBorders>
            <w:shd w:val="clear" w:color="auto" w:fill="auto"/>
            <w:noWrap/>
            <w:vAlign w:val="center"/>
            <w:hideMark/>
          </w:tcPr>
          <w:p w:rsidR="009C1AFF" w:rsidRDefault="009C1AFF" w:rsidP="00B674F6">
            <w:pPr>
              <w:spacing w:after="0"/>
              <w:jc w:val="center"/>
              <w:rPr>
                <w:rFonts w:ascii="Calibri" w:hAnsi="Calibri" w:cs="Calibri"/>
                <w:color w:val="000000"/>
                <w:sz w:val="16"/>
                <w:szCs w:val="16"/>
                <w:lang w:val="de-DE" w:eastAsia="de-DE"/>
              </w:rPr>
            </w:pPr>
            <w:r>
              <w:rPr>
                <w:rFonts w:ascii="Calibri" w:hAnsi="Calibri" w:cs="Calibri"/>
                <w:color w:val="000000"/>
                <w:sz w:val="16"/>
                <w:szCs w:val="16"/>
                <w:lang w:val="de-DE" w:eastAsia="de-DE"/>
              </w:rPr>
              <w:t>3</w:t>
            </w:r>
          </w:p>
        </w:tc>
        <w:tc>
          <w:tcPr>
            <w:tcW w:w="160" w:type="dxa"/>
            <w:tcBorders>
              <w:top w:val="nil"/>
              <w:left w:val="nil"/>
              <w:bottom w:val="single" w:sz="4" w:space="0" w:color="auto"/>
              <w:right w:val="nil"/>
            </w:tcBorders>
          </w:tcPr>
          <w:p w:rsidR="009C1AFF" w:rsidRDefault="009C1AFF" w:rsidP="00B674F6">
            <w:pPr>
              <w:spacing w:after="0"/>
              <w:jc w:val="center"/>
              <w:rPr>
                <w:rFonts w:ascii="Calibri" w:hAnsi="Calibri" w:cs="Calibri"/>
                <w:color w:val="000000"/>
                <w:sz w:val="16"/>
                <w:szCs w:val="16"/>
                <w:lang w:eastAsia="de-DE"/>
              </w:rPr>
            </w:pPr>
          </w:p>
        </w:tc>
        <w:tc>
          <w:tcPr>
            <w:tcW w:w="702" w:type="dxa"/>
            <w:tcBorders>
              <w:top w:val="nil"/>
              <w:left w:val="nil"/>
              <w:bottom w:val="single" w:sz="4" w:space="0" w:color="auto"/>
              <w:right w:val="nil"/>
            </w:tcBorders>
          </w:tcPr>
          <w:p w:rsidR="009C1AFF" w:rsidRDefault="009C1AFF" w:rsidP="00B674F6">
            <w:pPr>
              <w:spacing w:after="0"/>
              <w:jc w:val="center"/>
              <w:rPr>
                <w:rFonts w:ascii="Calibri" w:hAnsi="Calibri" w:cs="Calibri"/>
                <w:color w:val="000000"/>
                <w:sz w:val="16"/>
                <w:szCs w:val="16"/>
                <w:lang w:eastAsia="de-DE"/>
              </w:rPr>
            </w:pPr>
          </w:p>
        </w:tc>
        <w:tc>
          <w:tcPr>
            <w:tcW w:w="1409" w:type="dxa"/>
            <w:tcBorders>
              <w:top w:val="nil"/>
              <w:left w:val="nil"/>
              <w:bottom w:val="single" w:sz="4" w:space="0" w:color="auto"/>
              <w:right w:val="single" w:sz="4" w:space="0" w:color="auto"/>
            </w:tcBorders>
            <w:shd w:val="clear" w:color="auto" w:fill="auto"/>
            <w:vAlign w:val="center"/>
            <w:hideMark/>
          </w:tcPr>
          <w:p w:rsidR="009C1AFF" w:rsidRDefault="009C1AFF" w:rsidP="00B674F6">
            <w:pPr>
              <w:spacing w:after="0"/>
              <w:jc w:val="center"/>
              <w:rPr>
                <w:rFonts w:ascii="Calibri" w:hAnsi="Calibri" w:cs="Calibri"/>
                <w:color w:val="000000"/>
                <w:sz w:val="16"/>
                <w:szCs w:val="16"/>
                <w:lang w:eastAsia="de-DE"/>
              </w:rPr>
            </w:pPr>
            <w:r>
              <w:rPr>
                <w:rFonts w:ascii="Calibri" w:hAnsi="Calibri" w:cs="Calibri"/>
                <w:color w:val="000000"/>
                <w:sz w:val="16"/>
                <w:szCs w:val="16"/>
                <w:lang w:eastAsia="de-DE"/>
              </w:rPr>
              <w:t>Salicin - H</w:t>
            </w:r>
            <w:r>
              <w:rPr>
                <w:rFonts w:ascii="Calibri" w:hAnsi="Calibri" w:cs="Calibri"/>
                <w:color w:val="000000"/>
                <w:sz w:val="16"/>
                <w:szCs w:val="16"/>
                <w:vertAlign w:val="subscript"/>
                <w:lang w:eastAsia="de-DE"/>
              </w:rPr>
              <w:t>2</w:t>
            </w:r>
            <w:r>
              <w:rPr>
                <w:rFonts w:ascii="Calibri" w:hAnsi="Calibri" w:cs="Calibri"/>
                <w:color w:val="000000"/>
                <w:sz w:val="16"/>
                <w:szCs w:val="16"/>
                <w:lang w:eastAsia="de-DE"/>
              </w:rPr>
              <w:t>PO</w:t>
            </w:r>
            <w:r>
              <w:rPr>
                <w:rFonts w:ascii="Calibri" w:hAnsi="Calibri" w:cs="Calibri"/>
                <w:color w:val="000000"/>
                <w:sz w:val="16"/>
                <w:szCs w:val="16"/>
                <w:vertAlign w:val="subscript"/>
                <w:lang w:eastAsia="de-DE"/>
              </w:rPr>
              <w:t>4</w:t>
            </w:r>
            <w:r>
              <w:rPr>
                <w:rFonts w:ascii="Calibri" w:hAnsi="Calibri" w:cs="Calibri"/>
                <w:color w:val="000000"/>
                <w:sz w:val="16"/>
                <w:szCs w:val="16"/>
                <w:lang w:eastAsia="de-DE"/>
              </w:rPr>
              <w:t xml:space="preserve">  ̅ (formation of a </w:t>
            </w:r>
            <w:r>
              <w:rPr>
                <w:rFonts w:ascii="Calibri" w:hAnsi="Calibri" w:cs="Calibri"/>
                <w:color w:val="000000"/>
                <w:sz w:val="16"/>
                <w:szCs w:val="16"/>
                <w:lang w:eastAsia="de-DE"/>
              </w:rPr>
              <w:t>pseudo</w:t>
            </w:r>
            <w:r>
              <w:rPr>
                <w:rFonts w:ascii="Calibri" w:hAnsi="Calibri" w:cs="Calibri"/>
                <w:color w:val="000000"/>
                <w:sz w:val="16"/>
                <w:szCs w:val="16"/>
                <w:lang w:eastAsia="de-DE"/>
              </w:rPr>
              <w:t>-ring)</w:t>
            </w:r>
          </w:p>
        </w:tc>
        <w:tc>
          <w:tcPr>
            <w:tcW w:w="1747" w:type="dxa"/>
            <w:tcBorders>
              <w:top w:val="nil"/>
              <w:left w:val="nil"/>
              <w:bottom w:val="single" w:sz="4" w:space="0" w:color="auto"/>
              <w:right w:val="single" w:sz="4" w:space="0" w:color="auto"/>
            </w:tcBorders>
            <w:shd w:val="clear" w:color="auto" w:fill="auto"/>
            <w:noWrap/>
            <w:vAlign w:val="center"/>
            <w:hideMark/>
          </w:tcPr>
          <w:p w:rsidR="009C1AFF" w:rsidRDefault="009C1AFF" w:rsidP="00B674F6">
            <w:pPr>
              <w:spacing w:after="0"/>
              <w:jc w:val="center"/>
              <w:rPr>
                <w:rFonts w:ascii="Calibri" w:hAnsi="Calibri" w:cs="Calibri"/>
                <w:color w:val="000000"/>
                <w:sz w:val="16"/>
                <w:szCs w:val="16"/>
                <w:lang w:val="de-DE" w:eastAsia="de-DE"/>
              </w:rPr>
            </w:pPr>
            <w:r>
              <w:rPr>
                <w:rFonts w:ascii="Calibri" w:hAnsi="Calibri" w:cs="Calibri"/>
                <w:color w:val="000000"/>
                <w:sz w:val="16"/>
                <w:szCs w:val="16"/>
                <w:lang w:val="de-DE" w:eastAsia="de-DE"/>
              </w:rPr>
              <w:t>29.0</w:t>
            </w:r>
          </w:p>
        </w:tc>
      </w:tr>
      <w:tr w:rsidR="009C1AFF" w:rsidTr="00B674F6">
        <w:trPr>
          <w:trHeight w:val="600"/>
        </w:trPr>
        <w:tc>
          <w:tcPr>
            <w:tcW w:w="918" w:type="dxa"/>
            <w:tcBorders>
              <w:top w:val="nil"/>
              <w:left w:val="single" w:sz="4" w:space="0" w:color="auto"/>
              <w:bottom w:val="single" w:sz="4" w:space="0" w:color="auto"/>
              <w:right w:val="single" w:sz="4" w:space="0" w:color="auto"/>
            </w:tcBorders>
            <w:shd w:val="clear" w:color="auto" w:fill="auto"/>
            <w:noWrap/>
            <w:vAlign w:val="center"/>
            <w:hideMark/>
          </w:tcPr>
          <w:p w:rsidR="009C1AFF" w:rsidRDefault="009C1AFF" w:rsidP="00B674F6">
            <w:pPr>
              <w:spacing w:after="0"/>
              <w:jc w:val="center"/>
              <w:rPr>
                <w:rFonts w:ascii="Calibri" w:hAnsi="Calibri" w:cs="Calibri"/>
                <w:color w:val="000000"/>
                <w:sz w:val="16"/>
                <w:szCs w:val="16"/>
                <w:lang w:val="de-DE" w:eastAsia="de-DE"/>
              </w:rPr>
            </w:pPr>
            <w:r>
              <w:rPr>
                <w:rFonts w:ascii="Calibri" w:hAnsi="Calibri" w:cs="Calibri"/>
                <w:color w:val="000000"/>
                <w:sz w:val="16"/>
                <w:szCs w:val="16"/>
                <w:lang w:val="de-DE" w:eastAsia="de-DE"/>
              </w:rPr>
              <w:t>4</w:t>
            </w:r>
          </w:p>
        </w:tc>
        <w:tc>
          <w:tcPr>
            <w:tcW w:w="160" w:type="dxa"/>
            <w:tcBorders>
              <w:top w:val="nil"/>
              <w:left w:val="nil"/>
              <w:bottom w:val="single" w:sz="4" w:space="0" w:color="auto"/>
              <w:right w:val="nil"/>
            </w:tcBorders>
          </w:tcPr>
          <w:p w:rsidR="009C1AFF" w:rsidRDefault="009C1AFF" w:rsidP="00B674F6">
            <w:pPr>
              <w:spacing w:after="0"/>
              <w:jc w:val="center"/>
              <w:rPr>
                <w:rFonts w:ascii="Calibri" w:hAnsi="Calibri" w:cs="Calibri"/>
                <w:color w:val="000000"/>
                <w:sz w:val="16"/>
                <w:szCs w:val="16"/>
                <w:lang w:eastAsia="de-DE"/>
              </w:rPr>
            </w:pPr>
          </w:p>
        </w:tc>
        <w:tc>
          <w:tcPr>
            <w:tcW w:w="702" w:type="dxa"/>
            <w:tcBorders>
              <w:top w:val="nil"/>
              <w:left w:val="nil"/>
              <w:bottom w:val="single" w:sz="4" w:space="0" w:color="auto"/>
              <w:right w:val="nil"/>
            </w:tcBorders>
          </w:tcPr>
          <w:p w:rsidR="009C1AFF" w:rsidRDefault="009C1AFF" w:rsidP="00B674F6">
            <w:pPr>
              <w:spacing w:after="0"/>
              <w:jc w:val="center"/>
              <w:rPr>
                <w:rFonts w:ascii="Calibri" w:hAnsi="Calibri" w:cs="Calibri"/>
                <w:color w:val="000000"/>
                <w:sz w:val="16"/>
                <w:szCs w:val="16"/>
                <w:lang w:eastAsia="de-DE"/>
              </w:rPr>
            </w:pPr>
          </w:p>
        </w:tc>
        <w:tc>
          <w:tcPr>
            <w:tcW w:w="1409" w:type="dxa"/>
            <w:tcBorders>
              <w:top w:val="nil"/>
              <w:left w:val="nil"/>
              <w:bottom w:val="single" w:sz="4" w:space="0" w:color="auto"/>
              <w:right w:val="single" w:sz="4" w:space="0" w:color="auto"/>
            </w:tcBorders>
            <w:shd w:val="clear" w:color="auto" w:fill="auto"/>
            <w:vAlign w:val="center"/>
            <w:hideMark/>
          </w:tcPr>
          <w:p w:rsidR="009C1AFF" w:rsidRDefault="009C1AFF" w:rsidP="00B674F6">
            <w:pPr>
              <w:spacing w:after="0"/>
              <w:jc w:val="center"/>
              <w:rPr>
                <w:rFonts w:ascii="Calibri" w:hAnsi="Calibri" w:cs="Calibri"/>
                <w:color w:val="000000"/>
                <w:sz w:val="16"/>
                <w:szCs w:val="16"/>
                <w:lang w:eastAsia="de-DE"/>
              </w:rPr>
            </w:pPr>
            <w:r>
              <w:rPr>
                <w:rFonts w:ascii="Calibri" w:hAnsi="Calibri" w:cs="Calibri"/>
                <w:color w:val="000000"/>
                <w:sz w:val="16"/>
                <w:szCs w:val="16"/>
                <w:lang w:eastAsia="de-DE"/>
              </w:rPr>
              <w:t>Salicin - H</w:t>
            </w:r>
            <w:r>
              <w:rPr>
                <w:rFonts w:ascii="Calibri" w:hAnsi="Calibri" w:cs="Calibri"/>
                <w:color w:val="000000"/>
                <w:sz w:val="16"/>
                <w:szCs w:val="16"/>
                <w:vertAlign w:val="subscript"/>
                <w:lang w:eastAsia="de-DE"/>
              </w:rPr>
              <w:t>2</w:t>
            </w:r>
            <w:r>
              <w:rPr>
                <w:rFonts w:ascii="Calibri" w:hAnsi="Calibri" w:cs="Calibri"/>
                <w:color w:val="000000"/>
                <w:sz w:val="16"/>
                <w:szCs w:val="16"/>
                <w:lang w:eastAsia="de-DE"/>
              </w:rPr>
              <w:t>PO</w:t>
            </w:r>
            <w:r>
              <w:rPr>
                <w:rFonts w:ascii="Calibri" w:hAnsi="Calibri" w:cs="Calibri"/>
                <w:color w:val="000000"/>
                <w:sz w:val="16"/>
                <w:szCs w:val="16"/>
                <w:vertAlign w:val="subscript"/>
                <w:lang w:eastAsia="de-DE"/>
              </w:rPr>
              <w:t>4</w:t>
            </w:r>
            <w:r>
              <w:rPr>
                <w:rFonts w:ascii="Calibri" w:hAnsi="Calibri" w:cs="Calibri"/>
                <w:color w:val="000000"/>
                <w:sz w:val="16"/>
                <w:szCs w:val="16"/>
                <w:lang w:eastAsia="de-DE"/>
              </w:rPr>
              <w:t xml:space="preserve">  ̅ (attachment to glucose)</w:t>
            </w:r>
          </w:p>
        </w:tc>
        <w:tc>
          <w:tcPr>
            <w:tcW w:w="1747" w:type="dxa"/>
            <w:tcBorders>
              <w:top w:val="nil"/>
              <w:left w:val="nil"/>
              <w:bottom w:val="single" w:sz="4" w:space="0" w:color="auto"/>
              <w:right w:val="single" w:sz="4" w:space="0" w:color="auto"/>
            </w:tcBorders>
            <w:shd w:val="clear" w:color="auto" w:fill="auto"/>
            <w:noWrap/>
            <w:vAlign w:val="center"/>
            <w:hideMark/>
          </w:tcPr>
          <w:p w:rsidR="009C1AFF" w:rsidRDefault="009C1AFF" w:rsidP="00B674F6">
            <w:pPr>
              <w:spacing w:after="0"/>
              <w:jc w:val="center"/>
              <w:rPr>
                <w:rFonts w:ascii="Calibri" w:hAnsi="Calibri" w:cs="Calibri"/>
                <w:color w:val="000000"/>
                <w:sz w:val="16"/>
                <w:szCs w:val="16"/>
                <w:lang w:val="de-DE" w:eastAsia="de-DE"/>
              </w:rPr>
            </w:pPr>
            <w:r>
              <w:rPr>
                <w:rFonts w:ascii="Calibri" w:hAnsi="Calibri" w:cs="Calibri"/>
                <w:color w:val="000000"/>
                <w:sz w:val="16"/>
                <w:szCs w:val="16"/>
                <w:lang w:val="de-DE" w:eastAsia="de-DE"/>
              </w:rPr>
              <w:t>34.2</w:t>
            </w:r>
          </w:p>
        </w:tc>
      </w:tr>
    </w:tbl>
    <w:p w:rsidR="00D45F2B" w:rsidRDefault="009E0F3A">
      <w:pPr>
        <w:pStyle w:val="TAMainText"/>
      </w:pPr>
      <w:r>
        <w:t>Around 50% of the identified substrate molecules M would not have been detected as [M-H] ̅  ions ([M-H] ̅ intensity in the noise level). These substrate molecules M show at least an intensity on-set of factor 2 in form of their dopant ions (I[M+Dopant] ̅  / I[M-H] ̅ ≥ 2). Details about the data analyti</w:t>
      </w:r>
      <w:r>
        <w:lastRenderedPageBreak/>
        <w:t>cal workflow is given in the Materials and Methods section of the supporting information.</w:t>
      </w:r>
    </w:p>
    <w:p w:rsidR="00D45F2B" w:rsidRDefault="009E0F3A">
      <w:pPr>
        <w:pStyle w:val="TAMainText"/>
      </w:pPr>
      <w:r>
        <w:t>Figure 4 illustrates that H</w:t>
      </w:r>
      <w:r>
        <w:rPr>
          <w:vertAlign w:val="subscript"/>
        </w:rPr>
        <w:t>2</w:t>
      </w:r>
      <w:r>
        <w:t>PO</w:t>
      </w:r>
      <w:r>
        <w:rPr>
          <w:vertAlign w:val="subscript"/>
        </w:rPr>
        <w:t>4</w:t>
      </w:r>
      <w:r>
        <w:t xml:space="preserve"> ̅ and Cl ̅ specifically form dopant complexes with neutral substrate molecules M. Here, a modified van Krevelen diagram demonstrates the chemical characteristics of neutral substrates M by plotting their H/C ratios vs. m/z. masses and molecular formulas for neutral substrate compounds M were calculated based on the analysis of [M+ H</w:t>
      </w:r>
      <w:r>
        <w:rPr>
          <w:vertAlign w:val="subscript"/>
        </w:rPr>
        <w:t>2</w:t>
      </w:r>
      <w:r>
        <w:t>PO</w:t>
      </w:r>
      <w:r>
        <w:rPr>
          <w:vertAlign w:val="subscript"/>
        </w:rPr>
        <w:t>4</w:t>
      </w:r>
      <w:r>
        <w:t xml:space="preserve">] ̅ and [M+Cl] ̅ ions. </w:t>
      </w:r>
      <w:r w:rsidR="00A67C17" w:rsidRPr="00A67C17">
        <w:t>Compounds M may correspond to ones that are hardly ionizable, e.g. lignin precursors.</w:t>
      </w:r>
      <w:r w:rsidR="00A67C17">
        <w:t xml:space="preserve"> </w:t>
      </w:r>
      <w:r>
        <w:t>While 98 m/z features (compounds + isomers) form specific Cl ̅ dopant complexes, 139 unique H</w:t>
      </w:r>
      <w:r>
        <w:rPr>
          <w:vertAlign w:val="subscript"/>
        </w:rPr>
        <w:t>2</w:t>
      </w:r>
      <w:r>
        <w:t>PO</w:t>
      </w:r>
      <w:r>
        <w:rPr>
          <w:vertAlign w:val="subscript"/>
        </w:rPr>
        <w:t>4</w:t>
      </w:r>
      <w:r>
        <w:t xml:space="preserve"> ̅ complexes could be detected. This finding from non-targeted analysis of a complex plant sample is in agreement with the above discussed targeted investigations, indicating that H</w:t>
      </w:r>
      <w:r>
        <w:rPr>
          <w:vertAlign w:val="subscript"/>
        </w:rPr>
        <w:t>2</w:t>
      </w:r>
      <w:r>
        <w:t>PO</w:t>
      </w:r>
      <w:r>
        <w:rPr>
          <w:vertAlign w:val="subscript"/>
        </w:rPr>
        <w:t>4</w:t>
      </w:r>
      <w:r>
        <w:t xml:space="preserve"> ̅  binds stronger toward organic substrates (sugars</w:t>
      </w:r>
      <w:r w:rsidR="00A67C17">
        <w:t xml:space="preserve"> and other organic classes</w:t>
      </w:r>
      <w:r>
        <w:t>) than Cl ̅  does.</w:t>
      </w:r>
    </w:p>
    <w:p w:rsidR="00D45F2B" w:rsidRDefault="00D45F2B">
      <w:pPr>
        <w:pStyle w:val="TAMainText"/>
      </w:pPr>
    </w:p>
    <w:p w:rsidR="00D45F2B" w:rsidRDefault="00D45F2B">
      <w:pPr>
        <w:pStyle w:val="TAMainText"/>
      </w:pPr>
    </w:p>
    <w:p w:rsidR="00D45F2B" w:rsidRDefault="009E0F3A">
      <w:pPr>
        <w:pStyle w:val="TAMainText"/>
        <w:rPr>
          <w:b/>
        </w:rPr>
      </w:pPr>
      <w:r>
        <w:rPr>
          <w:b/>
        </w:rPr>
        <w:t>Conclusion:</w:t>
      </w:r>
    </w:p>
    <w:p w:rsidR="00D45F2B" w:rsidRDefault="009E0F3A">
      <w:pPr>
        <w:pStyle w:val="TAMainText"/>
      </w:pPr>
      <w:r>
        <w:t>H</w:t>
      </w:r>
      <w:r>
        <w:rPr>
          <w:vertAlign w:val="subscript"/>
        </w:rPr>
        <w:t>2</w:t>
      </w:r>
      <w:r>
        <w:t>PO</w:t>
      </w:r>
      <w:r>
        <w:rPr>
          <w:vertAlign w:val="subscript"/>
        </w:rPr>
        <w:t>4</w:t>
      </w:r>
      <w:r>
        <w:t xml:space="preserve"> ̅ enables the detection of compounds which would be challenging to detect in absence of the H</w:t>
      </w:r>
      <w:r>
        <w:rPr>
          <w:vertAlign w:val="subscript"/>
        </w:rPr>
        <w:t>2</w:t>
      </w:r>
      <w:r>
        <w:t>PO</w:t>
      </w:r>
      <w:r>
        <w:rPr>
          <w:vertAlign w:val="subscript"/>
        </w:rPr>
        <w:t>4</w:t>
      </w:r>
      <w:r>
        <w:t xml:space="preserve"> ̅ dopant. According to the previously shown correlation diagram between MS signal intensities of detected [M+H</w:t>
      </w:r>
      <w:r>
        <w:rPr>
          <w:vertAlign w:val="subscript"/>
        </w:rPr>
        <w:t>2</w:t>
      </w:r>
      <w:r>
        <w:t>PO</w:t>
      </w:r>
      <w:r>
        <w:rPr>
          <w:vertAlign w:val="subscript"/>
        </w:rPr>
        <w:t>4</w:t>
      </w:r>
      <w:r>
        <w:t>] ̅ anions of different saccharides and their calculated dissociation enthalpies, an excellent agreement with a coefficient of determination R</w:t>
      </w:r>
      <w:r>
        <w:rPr>
          <w:vertAlign w:val="superscript"/>
        </w:rPr>
        <w:t>2</w:t>
      </w:r>
      <w:r>
        <w:t>=99 % could be achieved. Thus, the variation of MS signal intensities can be very well described to a large extent by variation of calculated saccharides affinities toward H</w:t>
      </w:r>
      <w:r>
        <w:rPr>
          <w:vertAlign w:val="subscript"/>
        </w:rPr>
        <w:t>2</w:t>
      </w:r>
      <w:r>
        <w:t>PO</w:t>
      </w:r>
      <w:r>
        <w:rPr>
          <w:vertAlign w:val="subscript"/>
        </w:rPr>
        <w:t>4</w:t>
      </w:r>
      <w:r>
        <w:t xml:space="preserve"> ̅ dopant anion, showing that DFT-D3 can very well describe experimental FT-ICR-MS observations. Both DFT and DFT-D3 calculations gave clear reasons for the noticeably increased ion production and calculated affinities in the order: Monosaccharides &lt; Trisacchrides &lt; Disaccharides. The site specific attachment of the H</w:t>
      </w:r>
      <w:r>
        <w:rPr>
          <w:vertAlign w:val="subscript"/>
        </w:rPr>
        <w:t>2</w:t>
      </w:r>
      <w:r>
        <w:t>PO</w:t>
      </w:r>
      <w:r>
        <w:rPr>
          <w:vertAlign w:val="subscript"/>
        </w:rPr>
        <w:t>4</w:t>
      </w:r>
      <w:r>
        <w:t xml:space="preserve"> ̅ dopant anion to different saccharides and to </w:t>
      </w:r>
      <w:r>
        <w:lastRenderedPageBreak/>
        <w:t>glycosylated organic compounds could be revealed, explaining the role of glycosylation for enhancing the ionization efficiency of the detected organic compounds, when H</w:t>
      </w:r>
      <w:r>
        <w:rPr>
          <w:vertAlign w:val="subscript"/>
        </w:rPr>
        <w:t>2</w:t>
      </w:r>
      <w:r>
        <w:t>PO</w:t>
      </w:r>
      <w:r>
        <w:rPr>
          <w:vertAlign w:val="subscript"/>
        </w:rPr>
        <w:t>4</w:t>
      </w:r>
      <w:r>
        <w:t xml:space="preserve"> ̅ anion is used as a dopant in ESI-MS experiments. </w:t>
      </w:r>
    </w:p>
    <w:p w:rsidR="00D45F2B" w:rsidRDefault="009E0F3A">
      <w:pPr>
        <w:pStyle w:val="TDAckTitle"/>
      </w:pPr>
      <w:r>
        <w:t xml:space="preserve">ACKNOWLEDGMENT </w:t>
      </w:r>
    </w:p>
    <w:p w:rsidR="00D45F2B" w:rsidRDefault="009E0F3A">
      <w:pPr>
        <w:pStyle w:val="TAMainText"/>
      </w:pPr>
      <w:r>
        <w:t>We want to thank Dr. Andrea Ghirardo and Moritz Kaling (Helmholtz Zentrum München) for providing the plant samples.</w:t>
      </w:r>
    </w:p>
    <w:p w:rsidR="00D45F2B" w:rsidRDefault="009E0F3A">
      <w:pPr>
        <w:pStyle w:val="FAAuthorInfoSubtitle"/>
      </w:pPr>
      <w:r>
        <w:t>Author Contributions</w:t>
      </w:r>
    </w:p>
    <w:p w:rsidR="00D45F2B" w:rsidRDefault="009E0F3A">
      <w:pPr>
        <w:pStyle w:val="TAMainText"/>
      </w:pPr>
      <w:r>
        <w:t>A. Ruf performed the experimental study, data evaluation and DFT. B. Kanawati did extended DFT &amp; DFT-D3 calculations and wrote the MATLAB algorithm for data analysis of the plant extract samples. P. Schmitt-Kopplin performed a critical review for this investigation.</w:t>
      </w:r>
    </w:p>
    <w:p w:rsidR="00D45F2B" w:rsidRDefault="00D45F2B">
      <w:pPr>
        <w:pStyle w:val="FAAuthorInfoSubtitle"/>
      </w:pPr>
    </w:p>
    <w:p w:rsidR="00D45F2B" w:rsidRDefault="009E0F3A">
      <w:pPr>
        <w:pStyle w:val="FAAuthorInfoSubtitle"/>
      </w:pPr>
      <w:r>
        <w:t>Supporting Information</w:t>
      </w:r>
    </w:p>
    <w:p w:rsidR="00D45F2B" w:rsidRDefault="009E0F3A">
      <w:pPr>
        <w:pStyle w:val="TESupportingInformation"/>
      </w:pPr>
      <w:r>
        <w:t xml:space="preserve">Supplementary Figures and Tables; Gaussian archive outputs for all optimized geometries. </w:t>
      </w:r>
    </w:p>
    <w:p w:rsidR="00D45F2B" w:rsidRDefault="00D45F2B">
      <w:pPr>
        <w:pStyle w:val="TAMainText"/>
      </w:pPr>
    </w:p>
    <w:p w:rsidR="00D45F2B" w:rsidRDefault="009E0F3A">
      <w:pPr>
        <w:pStyle w:val="TDAckTitle"/>
      </w:pPr>
      <w:r>
        <w:t>REFERENCES</w:t>
      </w:r>
    </w:p>
    <w:p w:rsidR="00D45F2B" w:rsidRDefault="00D45F2B">
      <w:pPr>
        <w:pStyle w:val="TAMainText"/>
        <w:sectPr w:rsidR="00D45F2B">
          <w:endnotePr>
            <w:numFmt w:val="decimal"/>
          </w:endnotePr>
          <w:pgSz w:w="12240" w:h="15840"/>
          <w:pgMar w:top="720" w:right="1094" w:bottom="720" w:left="1094" w:header="720" w:footer="720" w:gutter="0"/>
          <w:cols w:num="2" w:space="461"/>
        </w:sectPr>
      </w:pPr>
    </w:p>
    <w:p w:rsidR="00D45F2B" w:rsidRDefault="00D45F2B">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B674F6" w:rsidRDefault="00B674F6">
      <w:pPr>
        <w:rPr>
          <w:b/>
        </w:rPr>
      </w:pPr>
    </w:p>
    <w:p w:rsidR="00D45F2B" w:rsidRDefault="009E0F3A">
      <w:pPr>
        <w:rPr>
          <w:b/>
        </w:rPr>
      </w:pPr>
      <w:r>
        <w:rPr>
          <w:b/>
          <w:color w:val="2525FF"/>
        </w:rPr>
        <w:lastRenderedPageBreak/>
        <w:t>Graphical Abstract</w:t>
      </w:r>
      <w:r>
        <w:rPr>
          <w:b/>
        </w:rPr>
        <w:t>:</w:t>
      </w:r>
    </w:p>
    <w:p w:rsidR="00D45F2B" w:rsidRDefault="00D45F2B">
      <w:pPr>
        <w:pStyle w:val="TAMainText"/>
      </w:pPr>
    </w:p>
    <w:p w:rsidR="00D45F2B" w:rsidRDefault="00D45F2B">
      <w:pPr>
        <w:pStyle w:val="TAMainText"/>
      </w:pPr>
    </w:p>
    <w:p w:rsidR="00D45F2B" w:rsidRDefault="009E0F3A">
      <w:pPr>
        <w:pStyle w:val="TAMainText"/>
      </w:pPr>
      <w:r>
        <w:rPr>
          <w:noProof/>
          <w:lang w:val="de-DE" w:eastAsia="de-DE"/>
        </w:rPr>
        <w:drawing>
          <wp:anchor distT="0" distB="0" distL="114300" distR="114300" simplePos="0" relativeHeight="251712000" behindDoc="0" locked="0" layoutInCell="1" allowOverlap="1">
            <wp:simplePos x="0" y="0"/>
            <wp:positionH relativeFrom="column">
              <wp:posOffset>1996</wp:posOffset>
            </wp:positionH>
            <wp:positionV relativeFrom="paragraph">
              <wp:posOffset>-272</wp:posOffset>
            </wp:positionV>
            <wp:extent cx="6177600" cy="4086000"/>
            <wp:effectExtent l="0" t="0" r="0"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al Abstract_600dpi_2b.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77600" cy="4086000"/>
                    </a:xfrm>
                    <a:prstGeom prst="rect">
                      <a:avLst/>
                    </a:prstGeom>
                  </pic:spPr>
                </pic:pic>
              </a:graphicData>
            </a:graphic>
            <wp14:sizeRelH relativeFrom="margin">
              <wp14:pctWidth>0</wp14:pctWidth>
            </wp14:sizeRelH>
            <wp14:sizeRelV relativeFrom="margin">
              <wp14:pctHeight>0</wp14:pctHeight>
            </wp14:sizeRelV>
          </wp:anchor>
        </w:drawing>
      </w:r>
    </w:p>
    <w:sectPr w:rsidR="00D45F2B">
      <w:headerReference w:type="even" r:id="rId16"/>
      <w:footerReference w:type="even" r:id="rId17"/>
      <w:footerReference w:type="default" r:id="rId18"/>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DC9" w:rsidRDefault="00966DC9">
      <w:r>
        <w:separator/>
      </w:r>
    </w:p>
  </w:endnote>
  <w:endnote w:type="continuationSeparator" w:id="0">
    <w:p w:rsidR="00966DC9" w:rsidRDefault="00966DC9">
      <w:r>
        <w:continuationSeparator/>
      </w:r>
    </w:p>
  </w:endnote>
  <w:endnote w:id="1">
    <w:p w:rsidR="00D45F2B" w:rsidRDefault="009E0F3A">
      <w:pPr>
        <w:pStyle w:val="Endnotentext"/>
      </w:pPr>
      <w:r>
        <w:rPr>
          <w:rStyle w:val="Endnotenzeichen"/>
        </w:rPr>
        <w:endnoteRef/>
      </w:r>
      <w:r>
        <w:t xml:space="preserve"> Ruiz-Mirazo K, Briones C, de la Escosura A. Prebiotic systems chemistry: new perspectives for the origins of life. Chem. Rev. 2014, 114, 285-366.</w:t>
      </w:r>
    </w:p>
  </w:endnote>
  <w:endnote w:id="2">
    <w:p w:rsidR="00D45F2B" w:rsidRDefault="009E0F3A">
      <w:pPr>
        <w:pStyle w:val="Endnotentext"/>
        <w:rPr>
          <w:lang w:val="de-DE"/>
        </w:rPr>
      </w:pPr>
      <w:r>
        <w:rPr>
          <w:rStyle w:val="Endnotenzeichen"/>
        </w:rPr>
        <w:endnoteRef/>
      </w:r>
      <w:r>
        <w:t xml:space="preserve"> Dworkin JP, Lazcano A, Miller SL. The roads to and from the RNA world. </w:t>
      </w:r>
      <w:r>
        <w:rPr>
          <w:lang w:val="de-DE"/>
        </w:rPr>
        <w:t>J. Theor. Biol., 2003, 222, 127-134.</w:t>
      </w:r>
    </w:p>
  </w:endnote>
  <w:endnote w:id="3">
    <w:p w:rsidR="00D45F2B" w:rsidRDefault="009E0F3A">
      <w:pPr>
        <w:pStyle w:val="Endnotentext"/>
        <w:rPr>
          <w:lang w:val="de-DE"/>
        </w:rPr>
      </w:pPr>
      <w:r>
        <w:rPr>
          <w:rStyle w:val="Endnotenzeichen"/>
        </w:rPr>
        <w:endnoteRef/>
      </w:r>
      <w:r>
        <w:rPr>
          <w:lang w:val="de-DE"/>
        </w:rPr>
        <w:t xml:space="preserve"> Meinert C, Myrgorodska I, De Marcellus P, Buhse T, Nahon L, Hoffmann SV, d’Hendecourt LLS,</w:t>
      </w:r>
    </w:p>
    <w:p w:rsidR="00D45F2B" w:rsidRDefault="009E0F3A">
      <w:pPr>
        <w:pStyle w:val="Endnotentext"/>
      </w:pPr>
      <w:r>
        <w:t>Meierhenrich UJ. Ribose and related sugars from ultraviolet irradiation of interstellar ice analogs. Science, 2016, 352, 208-212.</w:t>
      </w:r>
    </w:p>
  </w:endnote>
  <w:endnote w:id="4">
    <w:p w:rsidR="00D45F2B" w:rsidRDefault="009E0F3A">
      <w:pPr>
        <w:pStyle w:val="Endnotentext"/>
      </w:pPr>
      <w:r>
        <w:rPr>
          <w:rStyle w:val="Endnotenzeichen"/>
        </w:rPr>
        <w:endnoteRef/>
      </w:r>
      <w:r>
        <w:t xml:space="preserve"> Levy DE, Fügedi P, The Organic Chemistry of Sugars (CRC Press, 2005).</w:t>
      </w:r>
    </w:p>
  </w:endnote>
  <w:endnote w:id="5">
    <w:p w:rsidR="00D45F2B" w:rsidRDefault="009E0F3A">
      <w:pPr>
        <w:pStyle w:val="Endnotentext"/>
      </w:pPr>
      <w:r>
        <w:rPr>
          <w:rStyle w:val="Endnotenzeichen"/>
        </w:rPr>
        <w:endnoteRef/>
      </w:r>
      <w:r>
        <w:t xml:space="preserve"> Wan ECH, Yu JZ. Analysis of Sugars and Sugar Polyols in Atmospheric Aerosols by Chloride Attachment in Liquid Chromatography/Negative Ion Electrospray Mass Spectrometry. Environ. Sci. Technol. 2007, 41, 2459-2466.</w:t>
      </w:r>
    </w:p>
  </w:endnote>
  <w:endnote w:id="6">
    <w:p w:rsidR="00D45F2B" w:rsidRDefault="009E0F3A">
      <w:pPr>
        <w:pStyle w:val="Endnotentext"/>
      </w:pPr>
      <w:r>
        <w:rPr>
          <w:rStyle w:val="Endnotenzeichen"/>
        </w:rPr>
        <w:endnoteRef/>
      </w:r>
      <w:r>
        <w:t xml:space="preserve"> Jiang Y and Cole RB. Oligosaccharide analysis using anion attachment in negative mode electrospray mass spectrometry. J. Am. Soc. Mass Spectrom., 2005, 16, 60-70.</w:t>
      </w:r>
    </w:p>
  </w:endnote>
  <w:endnote w:id="7">
    <w:p w:rsidR="00D45F2B" w:rsidRDefault="009E0F3A">
      <w:pPr>
        <w:pStyle w:val="Endnotentext"/>
      </w:pPr>
      <w:r>
        <w:rPr>
          <w:rStyle w:val="Endnotenzeichen"/>
        </w:rPr>
        <w:endnoteRef/>
      </w:r>
      <w:r>
        <w:t xml:space="preserve"> Boutegrabet L, Kanawati B, Gebefügi I, Peyron D, Cayot P, Gougeon RD, Schmitt-Kopplin P. Attachment of Chloride Anion to Sugars: Mechanistic Investigation and Discovery of a New Dopant for Efficient Sugar Ionization/Detection in Mass Spectrometers. Chem. Eur. J. 2012, 18, 13059.</w:t>
      </w:r>
    </w:p>
  </w:endnote>
  <w:endnote w:id="8">
    <w:p w:rsidR="00D45F2B" w:rsidRDefault="009E0F3A">
      <w:pPr>
        <w:pStyle w:val="Endnotentext"/>
      </w:pPr>
      <w:r>
        <w:rPr>
          <w:rStyle w:val="Endnotenzeichen"/>
        </w:rPr>
        <w:endnoteRef/>
      </w:r>
      <w:r>
        <w:t xml:space="preserve"> Khairallah G, Peel JB. Cyano Adduct Anions of C70:  Electrospray Mass Spectrometric Studies. J. Phys. Chem. A, 1997, 101, 6770-6774.</w:t>
      </w:r>
    </w:p>
  </w:endnote>
  <w:endnote w:id="9">
    <w:p w:rsidR="00D45F2B" w:rsidRDefault="009E0F3A">
      <w:pPr>
        <w:pStyle w:val="Endnotentext"/>
      </w:pPr>
      <w:r>
        <w:rPr>
          <w:rStyle w:val="Endnotenzeichen"/>
        </w:rPr>
        <w:endnoteRef/>
      </w:r>
      <w:r>
        <w:t xml:space="preserve"> Cole RB, Zhu J. Chloride anion attachment in negative ion electrospray ionization mass spectrometry. Rapid Commun. Mass Spectrom., 1999, 13, 607-611.</w:t>
      </w:r>
    </w:p>
  </w:endnote>
  <w:endnote w:id="10">
    <w:p w:rsidR="00D45F2B" w:rsidRDefault="009E0F3A">
      <w:pPr>
        <w:pStyle w:val="Endnotentext"/>
      </w:pPr>
      <w:r>
        <w:rPr>
          <w:rStyle w:val="Endnotenzeichen"/>
        </w:rPr>
        <w:endnoteRef/>
      </w:r>
      <w:r>
        <w:t xml:space="preserve"> Bayer E, Gfrörer P, Rentel C, Angew. Chem. Int. Ed., 1999, 38, 992-995.</w:t>
      </w:r>
    </w:p>
  </w:endnote>
  <w:endnote w:id="11">
    <w:p w:rsidR="00D45F2B" w:rsidRDefault="009E0F3A">
      <w:pPr>
        <w:pStyle w:val="Endnotentext"/>
      </w:pPr>
      <w:r>
        <w:rPr>
          <w:rStyle w:val="Endnotenzeichen"/>
        </w:rPr>
        <w:endnoteRef/>
      </w:r>
      <w:r>
        <w:t xml:space="preserve"> Cai Y, Concha MC, Murray JS, Cole RB. Evaluation of the role of multiple hydrogen bonding in offering stability to negative ion adducts in electrospray mass spectrometry. J. Am. Soc. Mass Spectrom., 2002, 13, 1360-1369.</w:t>
      </w:r>
    </w:p>
  </w:endnote>
  <w:endnote w:id="12">
    <w:p w:rsidR="00D45F2B" w:rsidRDefault="009E0F3A">
      <w:pPr>
        <w:pStyle w:val="Endnotentext"/>
      </w:pPr>
      <w:r>
        <w:rPr>
          <w:rStyle w:val="Endnotenzeichen"/>
        </w:rPr>
        <w:endnoteRef/>
      </w:r>
      <w:r>
        <w:t xml:space="preserve"> Cerda BA Wesdemiotis C. The Relative Copper(I) Ion Affinities of Amino Acids in the Gas Phase. J. Am. Chem. Soc., 1995, 117, 9734-9739.</w:t>
      </w:r>
    </w:p>
  </w:endnote>
  <w:endnote w:id="13">
    <w:p w:rsidR="00D45F2B" w:rsidRDefault="009E0F3A">
      <w:pPr>
        <w:pStyle w:val="Endnotentext"/>
      </w:pPr>
      <w:r>
        <w:rPr>
          <w:rStyle w:val="Endnotenzeichen"/>
        </w:rPr>
        <w:endnoteRef/>
      </w:r>
      <w:r>
        <w:t xml:space="preserve"> Cerda BA, Wesdemiotis C. Thermochemistry and structures of Na+ coordinated mono- and disaccharide stereoisomers. Int. J. Mass Spectrom., 1999, 189, 189-204.</w:t>
      </w:r>
    </w:p>
  </w:endnote>
  <w:endnote w:id="14">
    <w:p w:rsidR="00D45F2B" w:rsidRDefault="009E0F3A">
      <w:pPr>
        <w:pStyle w:val="Endnotentext"/>
      </w:pPr>
      <w:r>
        <w:rPr>
          <w:rStyle w:val="Endnotenzeichen"/>
        </w:rPr>
        <w:endnoteRef/>
      </w:r>
      <w:r>
        <w:t xml:space="preserve"> Tian Y, Chen W, Zhao Z, Xu L, Tong B. Interaction and selectivity of 14-crown-4 derivatives with Li+, Na+ and Mg2+ metal ions J. Mol. Model., 2020, 26, 67-79.</w:t>
      </w:r>
    </w:p>
  </w:endnote>
  <w:endnote w:id="15">
    <w:p w:rsidR="00D45F2B" w:rsidRDefault="009E0F3A">
      <w:pPr>
        <w:pStyle w:val="Endnotentext"/>
      </w:pPr>
      <w:r>
        <w:rPr>
          <w:rStyle w:val="Endnotenzeichen"/>
        </w:rPr>
        <w:endnoteRef/>
      </w:r>
      <w:r>
        <w:t xml:space="preserve"> Harvey DJ, Negative ion mass spectrometry for the analysis of n‐linked glycans. Mass Spectrom. Rev. 2020; 39: 586–679.</w:t>
      </w:r>
    </w:p>
  </w:endnote>
  <w:endnote w:id="16">
    <w:p w:rsidR="00D45F2B" w:rsidRDefault="009E0F3A">
      <w:pPr>
        <w:pStyle w:val="Endnotentext"/>
      </w:pPr>
      <w:r>
        <w:rPr>
          <w:rStyle w:val="Endnotenzeichen"/>
        </w:rPr>
        <w:endnoteRef/>
      </w:r>
      <w:r>
        <w:t xml:space="preserve"> Nimtz M, Wray V, Rüdiger A, Conradt HS, Identification and structural characterization of a mannose-6-phosphate containing oligomannosidic N-glycan from human erythropoietin secreted by recombinant BHK-21 cells. FEBS Lett. 1995; 365(2-3):203-208.</w:t>
      </w:r>
    </w:p>
  </w:endnote>
  <w:endnote w:id="17">
    <w:p w:rsidR="00D45F2B" w:rsidRDefault="009E0F3A">
      <w:pPr>
        <w:pStyle w:val="Endnotentext"/>
      </w:pPr>
      <w:r>
        <w:rPr>
          <w:rStyle w:val="Endnotenzeichen"/>
        </w:rPr>
        <w:endnoteRef/>
      </w:r>
      <w:r>
        <w:t xml:space="preserve"> Blanchard V, Gadkari RA, Gerwig GJ, Leeflang BR, Dighe RR, Kamerling JP, Characterization of the N-linked oligosaccharides from human chorionic gonadotropin expressed in the methylotrophic yeast Pichia pastoris. </w:t>
      </w:r>
      <w:r>
        <w:br/>
        <w:t>Glycoconj J. 2007; 24(1):33-47.</w:t>
      </w:r>
    </w:p>
  </w:endnote>
  <w:endnote w:id="18">
    <w:p w:rsidR="00D45F2B" w:rsidRDefault="009E0F3A">
      <w:pPr>
        <w:pStyle w:val="Endnotentext"/>
      </w:pPr>
      <w:r>
        <w:rPr>
          <w:rStyle w:val="Endnotenzeichen"/>
        </w:rPr>
        <w:endnoteRef/>
      </w:r>
      <w:r>
        <w:t xml:space="preserve"> Ghirardo A, Heller W, Fladung M, Schnitzler JP,  Schroeder H, Function of defensive volatiles in pedunculate oak (Quercus robur) is tricked by the moth Tortrix viridana. Plant Cell Environ. 2012; 35, 2192-2207.</w:t>
      </w:r>
    </w:p>
  </w:endnote>
  <w:endnote w:id="19">
    <w:p w:rsidR="00D45F2B" w:rsidRDefault="009E0F3A">
      <w:pPr>
        <w:pStyle w:val="Endnotentext"/>
      </w:pPr>
      <w:r>
        <w:rPr>
          <w:rStyle w:val="Endnotenzeichen"/>
        </w:rPr>
        <w:endnoteRef/>
      </w:r>
      <w:r>
        <w:t xml:space="preserve"> Gaussian 09, Revision D.01, Frisch MJ, Trucks GW, Schlegel HB, Scuseria GE, Robb MA, Cheeseman JR, Scalmani G, Barone V, Petersson GA, Nakatsuji H, Li X, Caricato M, Marenich A, Bloino J, Janesko BG, Gomperts R, Mennucci B, Hratchian HP, Ortiz JV, Izmaylov AF, Sonnenberg JL, Williams-Young D, Ding F, Lipparini F, Egidi F, Goings J, Peng B, Petrone A, Henderson T,  Ranasinghe D, Zakrzewski VG, Gao J, Rega N, ZhengG, Liang W, Hada M, Ehara M, Toyota K, Fukuda R, Hasegawa J,  Ishida M, Nakajima T, Honda Y, Kitao O, Nakai H, Vreven T, Throssell K, Montgomery JA, Peralta JE, Ogliaro F, Bearpark M, Heyd JJ, Brothers E, Kudin KN, Staroverov VN, Keith T, Kobayashi R, Normand J, Raghavachari K, Rendell A, Burant JC, Iyengar SS, Tomasi J, Cossi M, Millam JM, Klene M, Adamo C, Cammi R, Ochterski JW,  Martin RL, Morokuma K, Farkas O, Foresman JB, Fox DJ, Gaussian, Inc., Wallingford CT, 2016.</w:t>
      </w:r>
    </w:p>
  </w:endnote>
  <w:endnote w:id="20">
    <w:p w:rsidR="00D45F2B" w:rsidRDefault="009E0F3A">
      <w:pPr>
        <w:pStyle w:val="Endnotentext"/>
      </w:pPr>
      <w:r>
        <w:rPr>
          <w:rStyle w:val="Endnotenzeichen"/>
        </w:rPr>
        <w:endnoteRef/>
      </w:r>
      <w:r>
        <w:t xml:space="preserve"> Schlegel HB. Optimization of equilibrium geometries and transition structures J. Comput. Chem., 1982, 3, 214-218.</w:t>
      </w:r>
    </w:p>
  </w:endnote>
  <w:endnote w:id="21">
    <w:p w:rsidR="00D45F2B" w:rsidRDefault="009E0F3A">
      <w:pPr>
        <w:pStyle w:val="Endnotentext"/>
      </w:pPr>
      <w:r>
        <w:rPr>
          <w:rStyle w:val="Endnotenzeichen"/>
        </w:rPr>
        <w:endnoteRef/>
      </w:r>
      <w:r>
        <w:t xml:space="preserve"> Schlegel HB. Estimating the hessian for gradient-type geometry optimizations. Theor. Chim. Acta, 1984, 66, 333-340.</w:t>
      </w:r>
    </w:p>
  </w:endnote>
  <w:endnote w:id="22">
    <w:p w:rsidR="00D45F2B" w:rsidRDefault="009E0F3A">
      <w:pPr>
        <w:pStyle w:val="Endnotentext"/>
      </w:pPr>
      <w:r>
        <w:rPr>
          <w:rStyle w:val="Endnotenzeichen"/>
        </w:rPr>
        <w:endnoteRef/>
      </w:r>
      <w:r>
        <w:t xml:space="preserve"> Dennington R, Keith T, Millam J, Eppinnett K, Hovell WL, Gilliliand R, GaussView, 2003.</w:t>
      </w:r>
    </w:p>
  </w:endnote>
  <w:endnote w:id="23">
    <w:p w:rsidR="00D45F2B" w:rsidRDefault="009E0F3A">
      <w:pPr>
        <w:pStyle w:val="Endnotentext"/>
      </w:pPr>
      <w:r>
        <w:rPr>
          <w:rStyle w:val="Endnotenzeichen"/>
        </w:rPr>
        <w:endnoteRef/>
      </w:r>
      <w:r>
        <w:t xml:space="preserve"> Foreman JB, Frisch A, Exploring Chemistry with Electronic Structure Methods, 2nd ed. (Gaussian, Inc. Pittsburgh, 1993).</w:t>
      </w:r>
    </w:p>
  </w:endnote>
  <w:endnote w:id="24">
    <w:p w:rsidR="00D45F2B" w:rsidRDefault="009E0F3A">
      <w:pPr>
        <w:pStyle w:val="Endnotentext"/>
      </w:pPr>
      <w:r>
        <w:rPr>
          <w:rStyle w:val="Endnotenzeichen"/>
        </w:rPr>
        <w:endnoteRef/>
      </w:r>
      <w:r>
        <w:t xml:space="preserve"> Kanawati B, Bader TM, Wanczek KP, Li Y; Schmitt-Kopplin P. Fourier transform (FT)-artifacts and power-function resolution filter in Fourier transform mass spectrometry. Rapid Commun. Mass Spectrom., 2017, 31, 1607.</w:t>
      </w:r>
    </w:p>
  </w:endnote>
  <w:endnote w:id="25">
    <w:p w:rsidR="00D45F2B" w:rsidRDefault="009E0F3A">
      <w:pPr>
        <w:pStyle w:val="Endnotentext"/>
      </w:pPr>
      <w:r>
        <w:rPr>
          <w:rStyle w:val="Endnotenzeichen"/>
        </w:rPr>
        <w:endnoteRef/>
      </w:r>
      <w:r>
        <w:t xml:space="preserve"> Senior JK. Partitions and Their Representative Graphs Am. J. Math., 1951, 73, 663.</w:t>
      </w:r>
    </w:p>
  </w:endnote>
  <w:endnote w:id="26">
    <w:p w:rsidR="00D45F2B" w:rsidRDefault="009E0F3A">
      <w:pPr>
        <w:pStyle w:val="Endnotentext"/>
      </w:pPr>
      <w:r>
        <w:rPr>
          <w:rStyle w:val="Endnotenzeichen"/>
        </w:rPr>
        <w:endnoteRef/>
      </w:r>
      <w:r>
        <w:t xml:space="preserve"> Kind T, Fiehn O. Seven Golden Rules for heuristic filtering of molecular formulas obtained by accurate mass spectrometry. BMC Bioinformatics, 2007, 8, 105.</w:t>
      </w:r>
    </w:p>
  </w:endnote>
  <w:endnote w:id="27">
    <w:p w:rsidR="00D45F2B" w:rsidRDefault="009E0F3A">
      <w:pPr>
        <w:pStyle w:val="Endnotentext"/>
      </w:pPr>
      <w:r>
        <w:rPr>
          <w:rStyle w:val="Endnotenzeichen"/>
        </w:rPr>
        <w:endnoteRef/>
      </w:r>
      <w:r>
        <w:t xml:space="preserve"> Jiang Y, Cole RB, Oligosaccharide analysis using anion attachment in negative mode electrospray mass spectrometry. J. Am. Soc. Mass Spectrom. 2005; 16: 60-70.</w:t>
      </w:r>
    </w:p>
  </w:endnote>
  <w:endnote w:id="28">
    <w:p w:rsidR="00D45F2B" w:rsidRDefault="009E0F3A">
      <w:pPr>
        <w:pStyle w:val="Endnotentext"/>
      </w:pPr>
      <w:r>
        <w:rPr>
          <w:rStyle w:val="Endnotenzeichen"/>
        </w:rPr>
        <w:endnoteRef/>
      </w:r>
      <w:r>
        <w:t xml:space="preserve"> Cole RB, Zhu J. Chloride anion attachment in negative ion electrospray ionization mass spectrometry. Rapid Commun. Mass Spectrom., </w:t>
      </w:r>
      <w:r>
        <w:rPr>
          <w:b/>
        </w:rPr>
        <w:t>1999</w:t>
      </w:r>
      <w:r>
        <w:t>, 13, 607.</w:t>
      </w:r>
    </w:p>
  </w:endnote>
  <w:endnote w:id="29">
    <w:p w:rsidR="00D45F2B" w:rsidRDefault="009E0F3A">
      <w:pPr>
        <w:pStyle w:val="Endnotentext"/>
      </w:pPr>
      <w:r>
        <w:rPr>
          <w:rStyle w:val="Endnotenzeichen"/>
        </w:rPr>
        <w:endnoteRef/>
      </w:r>
      <w:r>
        <w:t xml:space="preserve"> Bayer E, Gfrörer P, Rentel C. Coordination-Ionspray-MS (CIS-MS), a Universal Detection and Characterization Method for Direct Coupling with Separation Techniques. Angew. Chem. Int. Ed., </w:t>
      </w:r>
      <w:r>
        <w:rPr>
          <w:b/>
        </w:rPr>
        <w:t>1999</w:t>
      </w:r>
      <w:r>
        <w:t>, 38, 992-995.</w:t>
      </w:r>
    </w:p>
  </w:endnote>
  <w:endnote w:id="30">
    <w:p w:rsidR="00D45F2B" w:rsidRDefault="009E0F3A">
      <w:pPr>
        <w:pStyle w:val="Endnotentext"/>
      </w:pPr>
      <w:r>
        <w:rPr>
          <w:rStyle w:val="Endnotenzeichen"/>
        </w:rPr>
        <w:endnoteRef/>
      </w:r>
      <w:r>
        <w:t xml:space="preserve"> Shannon RD. Revised effective ionic radii and systematic studies of interatomic distances in halides and chalcogenides Acta Crystallogr A. , </w:t>
      </w:r>
      <w:r>
        <w:rPr>
          <w:b/>
        </w:rPr>
        <w:t>1976</w:t>
      </w:r>
      <w:r>
        <w:t>, 32 (5): 751–767.</w:t>
      </w:r>
    </w:p>
  </w:endnote>
  <w:endnote w:id="31">
    <w:p w:rsidR="00D45F2B" w:rsidRDefault="009E0F3A">
      <w:pPr>
        <w:pStyle w:val="Endnotentext"/>
      </w:pPr>
      <w:r>
        <w:rPr>
          <w:rStyle w:val="Endnotenzeichen"/>
        </w:rPr>
        <w:endnoteRef/>
      </w:r>
      <w:r>
        <w:t xml:space="preserve"> Grimme S, Antony J, Ehrlich S, Krieg H. J. Chem. Phys. </w:t>
      </w:r>
      <w:r>
        <w:rPr>
          <w:b/>
        </w:rPr>
        <w:t>2010</w:t>
      </w:r>
      <w:r>
        <w:t>, 132, 154104, 1-19.</w:t>
      </w:r>
    </w:p>
  </w:endnote>
  <w:endnote w:id="32">
    <w:p w:rsidR="00D45F2B" w:rsidRDefault="009E0F3A">
      <w:pPr>
        <w:pStyle w:val="Endnotentext"/>
        <w:rPr>
          <w:lang w:val="de-DE"/>
        </w:rPr>
      </w:pPr>
      <w:r>
        <w:rPr>
          <w:rStyle w:val="Endnotenzeichen"/>
        </w:rPr>
        <w:endnoteRef/>
      </w:r>
      <w:r>
        <w:t xml:space="preserve"> Hujo W, Grimme S. Comparison of the performance of dispersion-corrected density functional theory for weak hydrogen bonds. Phys. Chem. Chem. </w:t>
      </w:r>
      <w:r>
        <w:rPr>
          <w:lang w:val="de-DE"/>
        </w:rPr>
        <w:t xml:space="preserve">Phys., </w:t>
      </w:r>
      <w:r>
        <w:rPr>
          <w:b/>
          <w:lang w:val="de-DE"/>
        </w:rPr>
        <w:t>2011</w:t>
      </w:r>
      <w:r>
        <w:rPr>
          <w:lang w:val="de-DE"/>
        </w:rPr>
        <w:t>, 13, 13942-13950.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embedRegular r:id="rId1" w:fontKey="{96B87B48-2110-487F-A6FC-940AE8971467}"/>
    <w:embedBold r:id="rId2" w:fontKey="{DDDBBCAE-C8AE-49AD-B4CD-00902B0E9F27}"/>
    <w:embedItalic r:id="rId3" w:fontKey="{0ECC930C-8EF9-4DB0-B23A-35D712CD3DDD}"/>
    <w:embedBoldItalic r:id="rId4" w:fontKey="{4FE17117-5804-4F46-8D77-CCD1534B8857}"/>
  </w:font>
  <w:font w:name="Myriad Pro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Italic r:id="rId5" w:subsetted="1" w:fontKey="{7BEEA656-B639-4C6F-8616-EB769BE558FC}"/>
  </w:font>
  <w:font w:name="Calibri">
    <w:panose1 w:val="020F0502020204030204"/>
    <w:charset w:val="00"/>
    <w:family w:val="swiss"/>
    <w:pitch w:val="variable"/>
    <w:sig w:usb0="E4002EFF" w:usb1="C000247B" w:usb2="00000009" w:usb3="00000000" w:csb0="000001FF" w:csb1="00000000"/>
    <w:embedRegular r:id="rId6" w:fontKey="{EA065913-EE53-4491-AF8D-D00619B56696}"/>
    <w:embedBold r:id="rId7" w:fontKey="{405E9A9C-0B86-4552-8D9E-B1072450E728}"/>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2B" w:rsidRDefault="009E0F3A">
    <w:pPr>
      <w:framePr w:wrap="around" w:vAnchor="text" w:hAnchor="margin" w:xAlign="right" w:y="1"/>
      <w:rPr>
        <w:rStyle w:val="Seitenzahl"/>
      </w:rPr>
    </w:pPr>
    <w:r>
      <w:rPr>
        <w:rStyle w:val="Seitenzahl"/>
      </w:rPr>
      <w:t xml:space="preserve">PAGE  </w:t>
    </w:r>
    <w:r>
      <w:rPr>
        <w:rStyle w:val="Seitenzahl"/>
        <w:noProof/>
      </w:rPr>
      <w:t>2</w:t>
    </w:r>
  </w:p>
  <w:p w:rsidR="00D45F2B" w:rsidRDefault="00D45F2B">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2B" w:rsidRDefault="00D45F2B">
    <w:pP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2B" w:rsidRDefault="009E0F3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D45F2B" w:rsidRDefault="00D45F2B">
    <w:pPr>
      <w:pStyle w:val="Fuzeile"/>
      <w:ind w:right="360"/>
    </w:pPr>
  </w:p>
  <w:p w:rsidR="00D45F2B" w:rsidRDefault="00D45F2B"/>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2B" w:rsidRDefault="009E0F3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97028">
      <w:rPr>
        <w:rStyle w:val="Seitenzahl"/>
        <w:noProof/>
      </w:rPr>
      <w:t>10</w:t>
    </w:r>
    <w:r>
      <w:rPr>
        <w:rStyle w:val="Seitenzahl"/>
      </w:rPr>
      <w:fldChar w:fldCharType="end"/>
    </w:r>
  </w:p>
  <w:p w:rsidR="00D45F2B" w:rsidRDefault="00D45F2B">
    <w:pPr>
      <w:pStyle w:val="Fuzeile"/>
      <w:ind w:right="360"/>
    </w:pPr>
  </w:p>
  <w:p w:rsidR="00D45F2B" w:rsidRDefault="00D45F2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DC9" w:rsidRDefault="00966DC9">
      <w:r>
        <w:separator/>
      </w:r>
    </w:p>
    <w:p w:rsidR="00966DC9" w:rsidRDefault="00966DC9"/>
  </w:footnote>
  <w:footnote w:type="continuationSeparator" w:id="0">
    <w:p w:rsidR="00966DC9" w:rsidRDefault="00966DC9">
      <w:r>
        <w:continuationSeparator/>
      </w:r>
    </w:p>
    <w:p w:rsidR="00966DC9" w:rsidRDefault="00966DC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F2B" w:rsidRDefault="00D45F2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15:restartNumberingAfterBreak="0">
    <w:nsid w:val="449B3CD3"/>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15:restartNumberingAfterBreak="0">
    <w:nsid w:val="4BB17FAA"/>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4"/>
  </w:num>
  <w:num w:numId="2">
    <w:abstractNumId w:val="2"/>
  </w:num>
  <w:num w:numId="3">
    <w:abstractNumId w:val="5"/>
  </w:num>
  <w:num w:numId="4">
    <w:abstractNumId w:val="3"/>
  </w:num>
  <w:num w:numId="5">
    <w:abstractNumId w:val="1"/>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hideGrammaticalErrors/>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pos w:val="sectEnd"/>
    <w:endnote w:id="-1"/>
    <w:endnote w:id="0"/>
  </w:endnotePr>
  <w:compat>
    <w:noColumn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2B"/>
    <w:rsid w:val="000C7B6F"/>
    <w:rsid w:val="002C1F74"/>
    <w:rsid w:val="003E3D8D"/>
    <w:rsid w:val="004F018F"/>
    <w:rsid w:val="007051D6"/>
    <w:rsid w:val="009626AA"/>
    <w:rsid w:val="00966DC9"/>
    <w:rsid w:val="009C1AFF"/>
    <w:rsid w:val="009E0F3A"/>
    <w:rsid w:val="00A16DB8"/>
    <w:rsid w:val="00A67C17"/>
    <w:rsid w:val="00A97028"/>
    <w:rsid w:val="00AC00C1"/>
    <w:rsid w:val="00B33CE3"/>
    <w:rsid w:val="00B674F6"/>
    <w:rsid w:val="00B75700"/>
    <w:rsid w:val="00BA6302"/>
    <w:rsid w:val="00D45F2B"/>
    <w:rsid w:val="00DB2F60"/>
    <w:rsid w:val="00F3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9D4532F-5B36-44CE-A613-070FDEDA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jc w:val="both"/>
    </w:pPr>
    <w:rPr>
      <w:rFonts w:ascii="Times" w:hAnsi="Times"/>
      <w:sz w:val="24"/>
    </w:rPr>
  </w:style>
  <w:style w:type="paragraph" w:styleId="berschrift1">
    <w:name w:val="heading 1"/>
    <w:basedOn w:val="Standard"/>
    <w:next w:val="Standard"/>
    <w:qFormat/>
    <w:pPr>
      <w:keepNext/>
      <w:spacing w:before="180" w:after="60"/>
      <w:ind w:left="480" w:hanging="240"/>
      <w:outlineLvl w:val="0"/>
    </w:pPr>
    <w:rPr>
      <w:rFonts w:ascii="Myriad Pro Light" w:hAnsi="Myriad Pro Light" w:cs="Arial"/>
      <w:b/>
      <w:bCs/>
      <w:kern w:val="32"/>
      <w:sz w:val="22"/>
      <w:szCs w:val="32"/>
    </w:rPr>
  </w:style>
  <w:style w:type="paragraph" w:styleId="berschrift2">
    <w:name w:val="heading 2"/>
    <w:basedOn w:val="Standard"/>
    <w:next w:val="Standard"/>
    <w:qFormat/>
    <w:pPr>
      <w:keepNext/>
      <w:spacing w:before="60" w:after="60"/>
      <w:outlineLvl w:val="1"/>
    </w:pPr>
    <w:rPr>
      <w:rFonts w:ascii="Myriad Pro Light" w:hAnsi="Myriad Pro Light" w:cs="Arial"/>
      <w:b/>
      <w:bCs/>
      <w:iCs/>
      <w:sz w:val="20"/>
      <w:szCs w:val="28"/>
    </w:rPr>
  </w:style>
  <w:style w:type="paragraph" w:styleId="berschrift3">
    <w:name w:val="heading 3"/>
    <w:basedOn w:val="Standard"/>
    <w:next w:val="Standard"/>
    <w:qFormat/>
    <w:pPr>
      <w:keepNext/>
      <w:spacing w:before="60" w:after="60"/>
      <w:ind w:left="180"/>
      <w:outlineLvl w:val="2"/>
    </w:pPr>
    <w:rPr>
      <w:rFonts w:ascii="Myriad Pro Light" w:hAnsi="Myriad Pro Light" w:cs="Arial"/>
      <w:b/>
      <w:bCs/>
      <w:sz w:val="2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Link">
    <w:name w:val="FollowedHyperlink"/>
    <w:rPr>
      <w:color w:val="800080"/>
      <w:u w:val="single"/>
    </w:rPr>
  </w:style>
  <w:style w:type="paragraph" w:styleId="Textkrper">
    <w:name w:val="Body Text"/>
    <w:basedOn w:val="Standard"/>
    <w:pPr>
      <w:jc w:val="center"/>
    </w:pPr>
    <w:rPr>
      <w:b/>
      <w:sz w:val="40"/>
    </w:rPr>
  </w:style>
  <w:style w:type="paragraph" w:styleId="Funotentext">
    <w:name w:val="footnote text"/>
    <w:basedOn w:val="Standard"/>
    <w:next w:val="TFReferencesSection"/>
    <w:semiHidden/>
  </w:style>
  <w:style w:type="paragraph" w:customStyle="1" w:styleId="TFReferencesSection">
    <w:name w:val="TF_References_Section"/>
    <w:basedOn w:val="Standard"/>
    <w:next w:val="Standard"/>
    <w:autoRedefine/>
    <w:pPr>
      <w:spacing w:after="0"/>
      <w:ind w:firstLine="187"/>
    </w:pPr>
    <w:rPr>
      <w:rFonts w:ascii="Arno Pro" w:hAnsi="Arno Pro"/>
      <w:kern w:val="19"/>
      <w:sz w:val="17"/>
      <w:szCs w:val="14"/>
    </w:rPr>
  </w:style>
  <w:style w:type="paragraph" w:customStyle="1" w:styleId="TAMainText">
    <w:name w:val="TA_Main_Text"/>
    <w:basedOn w:val="Standard"/>
    <w:autoRedefine/>
    <w:pPr>
      <w:spacing w:after="60"/>
    </w:pPr>
    <w:rPr>
      <w:rFonts w:ascii="Arno Pro" w:hAnsi="Arno Pro"/>
      <w:kern w:val="21"/>
      <w:sz w:val="19"/>
    </w:rPr>
  </w:style>
  <w:style w:type="paragraph" w:customStyle="1" w:styleId="BATitle">
    <w:name w:val="BA_Title"/>
    <w:basedOn w:val="Standard"/>
    <w:next w:val="BBAuthorName"/>
    <w:autoRedefine/>
    <w:pPr>
      <w:spacing w:before="1400" w:after="180"/>
      <w:jc w:val="left"/>
    </w:pPr>
    <w:rPr>
      <w:rFonts w:ascii="Myriad Pro Light" w:hAnsi="Myriad Pro Light"/>
      <w:b/>
      <w:kern w:val="36"/>
      <w:sz w:val="34"/>
    </w:rPr>
  </w:style>
  <w:style w:type="paragraph" w:customStyle="1" w:styleId="BBAuthorName">
    <w:name w:val="BB_Author_Name"/>
    <w:basedOn w:val="Standard"/>
    <w:next w:val="BCAuthorAddress"/>
    <w:autoRedefine/>
    <w:pPr>
      <w:spacing w:after="180"/>
      <w:jc w:val="left"/>
    </w:pPr>
    <w:rPr>
      <w:rFonts w:ascii="Arno Pro" w:hAnsi="Arno Pro"/>
      <w:kern w:val="26"/>
    </w:rPr>
  </w:style>
  <w:style w:type="paragraph" w:customStyle="1" w:styleId="BCAuthorAddress">
    <w:name w:val="BC_Author_Address"/>
    <w:basedOn w:val="Standard"/>
    <w:next w:val="BIEmailAddress"/>
    <w:autoRedefine/>
    <w:pPr>
      <w:spacing w:after="60"/>
      <w:jc w:val="left"/>
    </w:pPr>
    <w:rPr>
      <w:rFonts w:ascii="Arno Pro" w:hAnsi="Arno Pro"/>
      <w:kern w:val="22"/>
      <w:sz w:val="20"/>
    </w:rPr>
  </w:style>
  <w:style w:type="paragraph" w:customStyle="1" w:styleId="BIEmailAddress">
    <w:name w:val="BI_Email_Address"/>
    <w:basedOn w:val="Standard"/>
    <w:next w:val="AIReceivedDate"/>
    <w:autoRedefine/>
    <w:pPr>
      <w:spacing w:after="100"/>
      <w:jc w:val="left"/>
    </w:pPr>
    <w:rPr>
      <w:rFonts w:ascii="Arno Pro" w:hAnsi="Arno Pro"/>
      <w:sz w:val="18"/>
    </w:rPr>
  </w:style>
  <w:style w:type="paragraph" w:customStyle="1" w:styleId="AIReceivedDate">
    <w:name w:val="AI_Received_Date"/>
    <w:basedOn w:val="Standard"/>
    <w:next w:val="Standard"/>
    <w:autoRedefine/>
    <w:pPr>
      <w:spacing w:after="100"/>
      <w:jc w:val="left"/>
    </w:pPr>
    <w:rPr>
      <w:rFonts w:ascii="Arno Pro" w:hAnsi="Arno Pro"/>
      <w:sz w:val="18"/>
    </w:rPr>
  </w:style>
  <w:style w:type="paragraph" w:customStyle="1" w:styleId="BDAbstract">
    <w:name w:val="BD_Abstract"/>
    <w:basedOn w:val="Standard"/>
    <w:next w:val="TAMainText"/>
    <w:link w:val="BDAbstractChar"/>
    <w:autoRedefine/>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Standard"/>
    <w:next w:val="Standard"/>
    <w:link w:val="TDAcknowledgmentsChar"/>
    <w:autoRedefine/>
    <w:pPr>
      <w:spacing w:after="0"/>
    </w:pPr>
    <w:rPr>
      <w:rFonts w:ascii="Arno Pro" w:hAnsi="Arno Pro"/>
      <w:kern w:val="20"/>
      <w:sz w:val="18"/>
    </w:rPr>
  </w:style>
  <w:style w:type="paragraph" w:customStyle="1" w:styleId="TESupportingInformation">
    <w:name w:val="TE_Supporting_Information"/>
    <w:basedOn w:val="Standard"/>
    <w:next w:val="Standard"/>
    <w:autoRedefine/>
    <w:pPr>
      <w:spacing w:after="0"/>
    </w:pPr>
    <w:rPr>
      <w:rFonts w:ascii="Arno Pro" w:hAnsi="Arno Pro"/>
      <w:kern w:val="20"/>
      <w:sz w:val="18"/>
    </w:rPr>
  </w:style>
  <w:style w:type="paragraph" w:customStyle="1" w:styleId="VCSchemeTitle">
    <w:name w:val="VC_Scheme_Title"/>
    <w:basedOn w:val="Standard"/>
    <w:next w:val="Standard"/>
    <w:autoRedefine/>
    <w:pPr>
      <w:spacing w:after="180"/>
    </w:pPr>
    <w:rPr>
      <w:rFonts w:ascii="Arno Pro" w:hAnsi="Arno Pro"/>
      <w:b/>
      <w:kern w:val="21"/>
      <w:sz w:val="19"/>
    </w:rPr>
  </w:style>
  <w:style w:type="paragraph" w:customStyle="1" w:styleId="VDTableTitle">
    <w:name w:val="VD_Table_Title"/>
    <w:basedOn w:val="Standard"/>
    <w:next w:val="Standard"/>
    <w:autoRedefine/>
    <w:pPr>
      <w:spacing w:after="180"/>
    </w:pPr>
    <w:rPr>
      <w:rFonts w:ascii="Arno Pro" w:hAnsi="Arno Pro"/>
      <w:b/>
      <w:kern w:val="21"/>
      <w:sz w:val="19"/>
      <w:szCs w:val="19"/>
    </w:rPr>
  </w:style>
  <w:style w:type="paragraph" w:customStyle="1" w:styleId="VAFigureCaption">
    <w:name w:val="VA_Figure_Caption"/>
    <w:basedOn w:val="Standard"/>
    <w:next w:val="Standard"/>
    <w:autoRedefine/>
    <w:pPr>
      <w:spacing w:before="200" w:after="120"/>
    </w:pPr>
    <w:rPr>
      <w:rFonts w:ascii="Arno Pro" w:hAnsi="Arno Pro"/>
      <w:kern w:val="20"/>
      <w:sz w:val="18"/>
    </w:rPr>
  </w:style>
  <w:style w:type="paragraph" w:customStyle="1" w:styleId="VBChartTitle">
    <w:name w:val="VB_Chart_Title"/>
    <w:basedOn w:val="Standard"/>
    <w:next w:val="Standard"/>
    <w:autoRedefine/>
    <w:pPr>
      <w:spacing w:after="180"/>
    </w:pPr>
    <w:rPr>
      <w:rFonts w:ascii="Arno Pro" w:hAnsi="Arno Pro"/>
      <w:b/>
      <w:kern w:val="21"/>
      <w:sz w:val="19"/>
    </w:rPr>
  </w:style>
  <w:style w:type="paragraph" w:customStyle="1" w:styleId="FETableFootnote">
    <w:name w:val="FE_Table_Footnote"/>
    <w:basedOn w:val="Standard"/>
    <w:next w:val="Standard"/>
    <w:autoRedefine/>
    <w:pPr>
      <w:spacing w:before="60" w:after="120"/>
      <w:ind w:firstLine="187"/>
    </w:pPr>
    <w:rPr>
      <w:rFonts w:ascii="Arno Pro" w:hAnsi="Arno Pro"/>
      <w:sz w:val="18"/>
    </w:rPr>
  </w:style>
  <w:style w:type="paragraph" w:customStyle="1" w:styleId="FCChartFootnote">
    <w:name w:val="FC_Chart_Footnote"/>
    <w:basedOn w:val="Standard"/>
    <w:next w:val="Standard"/>
    <w:autoRedefine/>
    <w:pPr>
      <w:spacing w:before="60" w:after="120"/>
      <w:ind w:firstLine="187"/>
    </w:pPr>
    <w:rPr>
      <w:rFonts w:ascii="Arno Pro" w:hAnsi="Arno Pro"/>
      <w:sz w:val="18"/>
    </w:rPr>
  </w:style>
  <w:style w:type="paragraph" w:customStyle="1" w:styleId="FDSchemeFootnote">
    <w:name w:val="FD_Scheme_Footnote"/>
    <w:basedOn w:val="Standard"/>
    <w:next w:val="Standard"/>
    <w:autoRedefine/>
    <w:pPr>
      <w:spacing w:before="60" w:after="120"/>
      <w:ind w:firstLine="187"/>
    </w:pPr>
    <w:rPr>
      <w:rFonts w:ascii="Arno Pro" w:hAnsi="Arno Pro"/>
      <w:sz w:val="18"/>
    </w:rPr>
  </w:style>
  <w:style w:type="paragraph" w:customStyle="1" w:styleId="TCTableBody">
    <w:name w:val="TC_Table_Body"/>
    <w:basedOn w:val="Standard"/>
    <w:next w:val="Standard"/>
    <w:link w:val="TCTableBodyChar"/>
    <w:autoRedefine/>
    <w:pPr>
      <w:spacing w:before="20" w:after="60"/>
    </w:pPr>
    <w:rPr>
      <w:rFonts w:ascii="Arno Pro" w:hAnsi="Arno Pro"/>
      <w:kern w:val="20"/>
      <w:sz w:val="18"/>
    </w:rPr>
  </w:style>
  <w:style w:type="paragraph" w:customStyle="1" w:styleId="StyleFACorrespondingAuthorFootnote7pt">
    <w:name w:val="Style FA_Corresponding_Author_Footnote + 7 pt"/>
    <w:basedOn w:val="Standard"/>
    <w:next w:val="BGKeywords"/>
    <w:link w:val="StyleFACorrespondingAuthorFootnote7ptChar"/>
    <w:autoRedefine/>
    <w:pPr>
      <w:spacing w:after="0"/>
      <w:jc w:val="left"/>
    </w:pPr>
    <w:rPr>
      <w:rFonts w:ascii="Arno Pro" w:hAnsi="Arno Pro"/>
      <w:kern w:val="20"/>
      <w:sz w:val="18"/>
    </w:rPr>
  </w:style>
  <w:style w:type="paragraph" w:customStyle="1" w:styleId="BEAuthorBiography">
    <w:name w:val="BE_Author_Biography"/>
    <w:basedOn w:val="Standard"/>
    <w:autoRedefine/>
    <w:rPr>
      <w:rFonts w:ascii="Arno Pro" w:hAnsi="Arno Pro"/>
      <w:sz w:val="22"/>
    </w:rPr>
  </w:style>
  <w:style w:type="paragraph" w:customStyle="1" w:styleId="StyleBIEmailAddress95pt">
    <w:name w:val="Style BI_Email_Address + 9.5 pt"/>
    <w:basedOn w:val="BIEmailAddress"/>
    <w:pPr>
      <w:spacing w:after="60"/>
    </w:pPr>
    <w:rPr>
      <w:sz w:val="19"/>
    </w:rPr>
  </w:style>
  <w:style w:type="paragraph" w:customStyle="1" w:styleId="SNSynopsisTOC">
    <w:name w:val="SN_Synopsis_TOC"/>
    <w:basedOn w:val="Standard"/>
    <w:next w:val="Standard"/>
    <w:autoRedefine/>
    <w:pPr>
      <w:spacing w:after="60"/>
    </w:pPr>
    <w:rPr>
      <w:rFonts w:ascii="Arno Pro" w:hAnsi="Arno Pro"/>
      <w:kern w:val="22"/>
      <w:sz w:val="20"/>
    </w:rPr>
  </w:style>
  <w:style w:type="character" w:styleId="Hyperlink">
    <w:name w:val="Hyperlink"/>
    <w:rPr>
      <w:color w:val="0000FF"/>
      <w:u w:val="single"/>
    </w:rPr>
  </w:style>
  <w:style w:type="paragraph" w:styleId="Fuzeile">
    <w:name w:val="footer"/>
    <w:basedOn w:val="Standard"/>
    <w:link w:val="FuzeileZchn"/>
    <w:uiPriority w:val="99"/>
    <w:pPr>
      <w:tabs>
        <w:tab w:val="center" w:pos="4320"/>
        <w:tab w:val="right" w:pos="8640"/>
      </w:tabs>
    </w:pPr>
  </w:style>
  <w:style w:type="paragraph" w:customStyle="1" w:styleId="BGKeywords">
    <w:name w:val="BG_Keywords"/>
    <w:basedOn w:val="Standard"/>
    <w:next w:val="BHBriefs"/>
    <w:autoRedefine/>
    <w:pPr>
      <w:spacing w:after="220"/>
      <w:jc w:val="left"/>
    </w:pPr>
    <w:rPr>
      <w:rFonts w:ascii="Arno Pro" w:hAnsi="Arno Pro"/>
      <w:i/>
      <w:kern w:val="22"/>
      <w:sz w:val="20"/>
    </w:rPr>
  </w:style>
  <w:style w:type="paragraph" w:customStyle="1" w:styleId="BHBriefs">
    <w:name w:val="BH_Briefs"/>
    <w:basedOn w:val="Standard"/>
    <w:next w:val="BDAbstract"/>
    <w:autoRedefine/>
    <w:pPr>
      <w:spacing w:before="180" w:after="60"/>
      <w:jc w:val="left"/>
    </w:pPr>
    <w:rPr>
      <w:rFonts w:ascii="Arno Pro" w:hAnsi="Arno Pro"/>
      <w:kern w:val="22"/>
      <w:sz w:val="20"/>
    </w:r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character" w:styleId="Endnotenzeichen">
    <w:name w:val="endnote reference"/>
    <w:semiHidden/>
    <w:rPr>
      <w:rFonts w:ascii="Times" w:hAnsi="Times"/>
      <w:sz w:val="18"/>
      <w:vertAlign w:val="superscript"/>
    </w:rPr>
  </w:style>
  <w:style w:type="paragraph" w:customStyle="1" w:styleId="StyleTCTableBodyBold">
    <w:name w:val="Style TC_Table_Body + Bold"/>
    <w:basedOn w:val="TCTableBody"/>
    <w:link w:val="StyleTCTableBodyBoldChar"/>
    <w:rPr>
      <w:b/>
      <w:bCs/>
      <w:kern w:val="22"/>
      <w:sz w:val="15"/>
    </w:rPr>
  </w:style>
  <w:style w:type="character" w:customStyle="1" w:styleId="StyleFACorrespondingAuthorFootnote7ptChar">
    <w:name w:val="Style FA_Corresponding_Author_Footnote + 7 pt Char"/>
    <w:link w:val="StyleFACorrespondingAuthorFootnote7pt"/>
    <w:rPr>
      <w:rFonts w:ascii="Arno Pro" w:hAnsi="Arno Pro"/>
      <w:kern w:val="20"/>
      <w:sz w:val="18"/>
      <w:lang w:val="en-US" w:eastAsia="en-US" w:bidi="ar-SA"/>
    </w:rPr>
  </w:style>
  <w:style w:type="paragraph" w:customStyle="1" w:styleId="BDAbstractTitle">
    <w:name w:val="BD_Abstract_Title"/>
    <w:basedOn w:val="BDAbstract"/>
    <w:link w:val="BDAbstractTitleChar"/>
    <w:rPr>
      <w:b/>
    </w:rPr>
  </w:style>
  <w:style w:type="character" w:customStyle="1" w:styleId="BDAbstractChar">
    <w:name w:val="BD_Abstract Char"/>
    <w:link w:val="BDAbstract"/>
    <w:rPr>
      <w:rFonts w:ascii="Arno Pro" w:hAnsi="Arno Pro"/>
      <w:kern w:val="21"/>
      <w:sz w:val="19"/>
      <w:lang w:val="en-US" w:eastAsia="en-US" w:bidi="ar-SA"/>
    </w:rPr>
  </w:style>
  <w:style w:type="character" w:customStyle="1" w:styleId="BDAbstractTitleChar">
    <w:name w:val="BD_Abstract_Title Char"/>
    <w:link w:val="BDAbstractTitle"/>
    <w:rPr>
      <w:rFonts w:ascii="Arno Pro" w:hAnsi="Arno Pro"/>
      <w:b/>
      <w:kern w:val="21"/>
      <w:sz w:val="19"/>
      <w:lang w:val="en-US" w:eastAsia="en-US" w:bidi="ar-SA"/>
    </w:rPr>
  </w:style>
  <w:style w:type="paragraph" w:customStyle="1" w:styleId="TDAckTitle">
    <w:name w:val="TD_Ack_Title"/>
    <w:basedOn w:val="TDAcknowledgments"/>
    <w:link w:val="TDAckTitleChar"/>
    <w:pPr>
      <w:spacing w:before="180" w:after="60"/>
    </w:pPr>
    <w:rPr>
      <w:rFonts w:ascii="Myriad Pro Light" w:hAnsi="Myriad Pro Light"/>
      <w:b/>
      <w:kern w:val="23"/>
      <w:sz w:val="21"/>
    </w:rPr>
  </w:style>
  <w:style w:type="character" w:customStyle="1" w:styleId="TDAcknowledgmentsChar">
    <w:name w:val="TD_Acknowledgments Char"/>
    <w:link w:val="TDAcknowledgments"/>
    <w:rPr>
      <w:rFonts w:ascii="Arno Pro" w:hAnsi="Arno Pro"/>
      <w:kern w:val="20"/>
      <w:sz w:val="18"/>
      <w:lang w:val="en-US" w:eastAsia="en-US" w:bidi="ar-SA"/>
    </w:rPr>
  </w:style>
  <w:style w:type="character" w:customStyle="1" w:styleId="TDAckTitleChar">
    <w:name w:val="TD_Ack_Title Char"/>
    <w:link w:val="TDAckTitle"/>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pPr>
      <w:spacing w:before="180" w:after="60"/>
    </w:pPr>
    <w:rPr>
      <w:rFonts w:ascii="Myriad Pro Light" w:hAnsi="Myriad Pro Light"/>
      <w:b/>
      <w:caps/>
      <w:sz w:val="21"/>
      <w:szCs w:val="18"/>
    </w:rPr>
  </w:style>
  <w:style w:type="paragraph" w:customStyle="1" w:styleId="AuthorInformationTitle">
    <w:name w:val="Author_Information_Title"/>
    <w:basedOn w:val="TDAckTitle"/>
  </w:style>
  <w:style w:type="paragraph" w:customStyle="1" w:styleId="FAAuthorInfoSubtitle">
    <w:name w:val="FA_Author_Info_Subtitle"/>
    <w:basedOn w:val="Standard"/>
    <w:link w:val="FAAuthorInfoSubtitleChar"/>
    <w:autoRedefine/>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Pr>
      <w:rFonts w:ascii="Myriad Pro Light" w:hAnsi="Myriad Pro Light"/>
      <w:b/>
      <w:kern w:val="21"/>
      <w:sz w:val="19"/>
      <w:szCs w:val="14"/>
      <w:lang w:val="en-US" w:eastAsia="en-US" w:bidi="ar-SA"/>
    </w:rPr>
  </w:style>
  <w:style w:type="character" w:customStyle="1" w:styleId="TCTableBodyChar">
    <w:name w:val="TC_Table_Body Char"/>
    <w:link w:val="TCTableBody"/>
    <w:rPr>
      <w:rFonts w:ascii="Arno Pro" w:hAnsi="Arno Pro"/>
      <w:kern w:val="20"/>
      <w:sz w:val="18"/>
      <w:lang w:val="en-US" w:eastAsia="en-US" w:bidi="ar-SA"/>
    </w:rPr>
  </w:style>
  <w:style w:type="character" w:customStyle="1" w:styleId="StyleTCTableBodyBoldChar">
    <w:name w:val="Style TC_Table_Body + Bold Char"/>
    <w:link w:val="StyleTCTableBodyBold"/>
    <w:rPr>
      <w:rFonts w:ascii="Arno Pro" w:hAnsi="Arno Pro"/>
      <w:b/>
      <w:bCs/>
      <w:kern w:val="22"/>
      <w:sz w:val="15"/>
      <w:lang w:val="en-US" w:eastAsia="en-US" w:bidi="ar-SA"/>
    </w:rPr>
  </w:style>
  <w:style w:type="paragraph" w:customStyle="1" w:styleId="SectionContent">
    <w:name w:val="Section_Content"/>
    <w:basedOn w:val="Standard"/>
    <w:next w:val="Standard"/>
    <w:autoRedefine/>
    <w:pPr>
      <w:spacing w:after="0"/>
    </w:pPr>
    <w:rPr>
      <w:rFonts w:ascii="Arno Pro" w:hAnsi="Arno Pro"/>
      <w:kern w:val="20"/>
      <w:sz w:val="18"/>
    </w:rPr>
  </w:style>
  <w:style w:type="paragraph" w:customStyle="1" w:styleId="TESectionHeading">
    <w:name w:val="TE_Section_Heading"/>
    <w:basedOn w:val="TESupportingInfoTitle"/>
    <w:qFormat/>
  </w:style>
  <w:style w:type="paragraph" w:styleId="Beschriftung">
    <w:name w:val="caption"/>
    <w:basedOn w:val="Standard"/>
    <w:next w:val="Standard"/>
    <w:unhideWhenUsed/>
    <w:qFormat/>
    <w:rPr>
      <w:i/>
      <w:iCs/>
      <w:color w:val="1F497D" w:themeColor="text2"/>
      <w:sz w:val="18"/>
      <w:szCs w:val="18"/>
    </w:rPr>
  </w:style>
  <w:style w:type="paragraph" w:styleId="Kopfzeile">
    <w:name w:val="header"/>
    <w:basedOn w:val="Standard"/>
    <w:link w:val="KopfzeileZchn"/>
    <w:unhideWhenUsed/>
    <w:pPr>
      <w:tabs>
        <w:tab w:val="center" w:pos="4536"/>
        <w:tab w:val="right" w:pos="9072"/>
      </w:tabs>
      <w:spacing w:after="0"/>
    </w:pPr>
  </w:style>
  <w:style w:type="character" w:customStyle="1" w:styleId="KopfzeileZchn">
    <w:name w:val="Kopfzeile Zchn"/>
    <w:basedOn w:val="Absatz-Standardschriftart"/>
    <w:link w:val="Kopfzeile"/>
    <w:rPr>
      <w:rFonts w:ascii="Times" w:hAnsi="Times"/>
      <w:sz w:val="24"/>
    </w:rPr>
  </w:style>
  <w:style w:type="character" w:customStyle="1" w:styleId="FuzeileZchn">
    <w:name w:val="Fußzeile Zchn"/>
    <w:basedOn w:val="Absatz-Standardschriftart"/>
    <w:link w:val="Fuzeile"/>
    <w:uiPriority w:val="99"/>
    <w:rPr>
      <w:rFonts w:ascii="Times" w:hAnsi="Times"/>
      <w:sz w:val="24"/>
    </w:rPr>
  </w:style>
  <w:style w:type="paragraph" w:styleId="Endnotentext">
    <w:name w:val="endnote text"/>
    <w:basedOn w:val="Standard"/>
    <w:link w:val="EndnotentextZchn"/>
    <w:semiHidden/>
    <w:unhideWhenUsed/>
    <w:pPr>
      <w:spacing w:after="0"/>
    </w:pPr>
    <w:rPr>
      <w:sz w:val="20"/>
    </w:rPr>
  </w:style>
  <w:style w:type="character" w:customStyle="1" w:styleId="EndnotentextZchn">
    <w:name w:val="Endnotentext Zchn"/>
    <w:basedOn w:val="Absatz-Standardschriftart"/>
    <w:link w:val="Endnotentext"/>
    <w:semiHidden/>
    <w:rPr>
      <w:rFonts w:ascii="Times" w:hAnsi="Times"/>
    </w:rPr>
  </w:style>
  <w:style w:type="character" w:styleId="Platzhaltertext">
    <w:name w:val="Placeholder Text"/>
    <w:basedOn w:val="Absatz-Standardschriftar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ea\Desktop\1\Paper\Submission%204\acs_template_msw2010_ac_p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8F2BA-4591-446E-B8F7-A0A22636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acs_template_msw2010_ac_pc.dotx</Template>
  <TotalTime>0</TotalTime>
  <Pages>10</Pages>
  <Words>3945</Words>
  <Characters>24857</Characters>
  <Application>Microsoft Office Word</Application>
  <DocSecurity>0</DocSecurity>
  <Lines>207</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28745</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Basem Kanawati</dc:creator>
  <cp:keywords/>
  <cp:lastModifiedBy>Basem Kanawati</cp:lastModifiedBy>
  <cp:revision>102</cp:revision>
  <cp:lastPrinted>2011-04-15T21:20:00Z</cp:lastPrinted>
  <dcterms:created xsi:type="dcterms:W3CDTF">2021-09-17T15:01:00Z</dcterms:created>
  <dcterms:modified xsi:type="dcterms:W3CDTF">2022-01-11T15:29:00Z</dcterms:modified>
</cp:coreProperties>
</file>