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23B53" w14:textId="699FC983" w:rsidR="00B318FA" w:rsidRPr="008361AA" w:rsidRDefault="00B318FA" w:rsidP="003148E0">
      <w:pPr>
        <w:pStyle w:val="Heading2"/>
      </w:pPr>
      <w:bookmarkStart w:id="0" w:name="_Toc87538037"/>
      <w:r>
        <w:t xml:space="preserve">Supplementary Item </w:t>
      </w:r>
      <w:r>
        <w:rPr>
          <w:szCs w:val="22"/>
        </w:rPr>
        <w:t>6:</w:t>
      </w:r>
      <w:r w:rsidRPr="008361AA">
        <w:t xml:space="preserve"> Assessment of growth or death of OTU’s</w:t>
      </w:r>
      <w:bookmarkEnd w:id="0"/>
    </w:p>
    <w:p w14:paraId="21EAC3EF" w14:textId="25A1A4C9" w:rsidR="00B318FA" w:rsidRPr="008361AA" w:rsidRDefault="00B318FA" w:rsidP="00B318FA">
      <w:pPr>
        <w:jc w:val="both"/>
        <w:rPr>
          <w:sz w:val="20"/>
          <w:szCs w:val="20"/>
        </w:rPr>
      </w:pPr>
      <w:bookmarkStart w:id="1" w:name="_Hlk58920701"/>
      <w:r w:rsidRPr="008361AA">
        <w:rPr>
          <w:b/>
          <w:bCs/>
          <w:sz w:val="20"/>
          <w:szCs w:val="20"/>
        </w:rPr>
        <w:t xml:space="preserve"> </w:t>
      </w:r>
      <w:r w:rsidRPr="008361AA">
        <w:rPr>
          <w:noProof/>
        </w:rPr>
        <w:drawing>
          <wp:inline distT="0" distB="0" distL="0" distR="0" wp14:anchorId="155659A6" wp14:editId="2CBA040E">
            <wp:extent cx="5731510" cy="339471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394710"/>
                    </a:xfrm>
                    <a:prstGeom prst="rect">
                      <a:avLst/>
                    </a:prstGeom>
                    <a:noFill/>
                    <a:ln>
                      <a:noFill/>
                    </a:ln>
                  </pic:spPr>
                </pic:pic>
              </a:graphicData>
            </a:graphic>
          </wp:inline>
        </w:drawing>
      </w:r>
      <w:r w:rsidRPr="00B318FA">
        <w:rPr>
          <w:b/>
          <w:bCs/>
          <w:sz w:val="20"/>
          <w:szCs w:val="20"/>
        </w:rPr>
        <w:t xml:space="preserve"> </w:t>
      </w:r>
      <w:r w:rsidRPr="004B3431">
        <w:rPr>
          <w:b/>
          <w:bCs/>
          <w:sz w:val="20"/>
          <w:szCs w:val="20"/>
        </w:rPr>
        <w:t xml:space="preserve">Supplementary Item </w:t>
      </w:r>
      <w:r>
        <w:rPr>
          <w:b/>
          <w:bCs/>
          <w:sz w:val="20"/>
          <w:szCs w:val="20"/>
        </w:rPr>
        <w:t>6A:</w:t>
      </w:r>
      <w:r w:rsidRPr="008361AA">
        <w:rPr>
          <w:b/>
          <w:bCs/>
          <w:sz w:val="20"/>
          <w:szCs w:val="20"/>
        </w:rPr>
        <w:t xml:space="preserve"> Assessment of growth/death (soil versus digestate) of OTU’s within Clade A</w:t>
      </w:r>
      <w:r w:rsidRPr="008361AA">
        <w:rPr>
          <w:sz w:val="20"/>
          <w:szCs w:val="20"/>
        </w:rPr>
        <w:t xml:space="preserve">. </w:t>
      </w:r>
      <w:r w:rsidRPr="008361AA">
        <w:t xml:space="preserve">To assess growth or decline of each OTU within the 6 clades, we calculated the relative increase for each consecutive enrichment culture as </w:t>
      </w:r>
      <w:r w:rsidRPr="008361AA">
        <w:rPr>
          <w:i/>
          <w:iCs/>
        </w:rPr>
        <w:t>R</w:t>
      </w:r>
      <w:r w:rsidRPr="008361AA">
        <w:t>= ln(</w:t>
      </w:r>
      <w:r w:rsidRPr="008361AA">
        <w:rPr>
          <w:vertAlign w:val="subscript"/>
        </w:rPr>
        <w:t>N(</w:t>
      </w:r>
      <w:proofErr w:type="spellStart"/>
      <w:r w:rsidRPr="008361AA">
        <w:rPr>
          <w:vertAlign w:val="subscript"/>
        </w:rPr>
        <w:t>i</w:t>
      </w:r>
      <w:proofErr w:type="spellEnd"/>
      <w:r w:rsidRPr="008361AA">
        <w:rPr>
          <w:vertAlign w:val="subscript"/>
        </w:rPr>
        <w:t>)</w:t>
      </w:r>
      <w:r w:rsidRPr="008361AA">
        <w:t>/(N</w:t>
      </w:r>
      <w:r w:rsidRPr="008361AA">
        <w:rPr>
          <w:vertAlign w:val="subscript"/>
        </w:rPr>
        <w:t>(i-1)</w:t>
      </w:r>
      <w:r w:rsidRPr="008361AA">
        <w:t>*0.1) where N</w:t>
      </w:r>
      <w:r w:rsidRPr="008361AA">
        <w:rPr>
          <w:vertAlign w:val="subscript"/>
        </w:rPr>
        <w:t xml:space="preserve">i </w:t>
      </w:r>
      <w:r w:rsidRPr="008361AA">
        <w:t xml:space="preserve">is the estimated copy number per vial at  the end of enrichment </w:t>
      </w:r>
      <w:proofErr w:type="spellStart"/>
      <w:r w:rsidRPr="008361AA">
        <w:t>i</w:t>
      </w:r>
      <w:proofErr w:type="spellEnd"/>
      <w:r w:rsidRPr="008361AA">
        <w:t xml:space="preserve"> and N</w:t>
      </w:r>
      <w:r w:rsidRPr="008361AA">
        <w:rPr>
          <w:vertAlign w:val="subscript"/>
        </w:rPr>
        <w:t>(i-1)</w:t>
      </w:r>
      <w:r w:rsidRPr="008361AA">
        <w:t xml:space="preserve"> is the estimated copy number per vial at the end of the foregoing enrichment (both estimated by the relative abundance of the OTU in question and the total copy numbers of 16S rRNA gene quantified by digital droplet PCR (</w:t>
      </w:r>
      <w:r w:rsidR="00A808BF" w:rsidRPr="00A808BF">
        <w:rPr>
          <w:b/>
          <w:bCs/>
        </w:rPr>
        <w:t>Supplementary Item 5B</w:t>
      </w:r>
      <w:r w:rsidRPr="008361AA">
        <w:t xml:space="preserve">). The multiplication with 0.1 is because 10% of the content of one enrichment culture was transferred to the next. </w:t>
      </w:r>
      <w:r w:rsidRPr="008361AA">
        <w:rPr>
          <w:i/>
          <w:iCs/>
        </w:rPr>
        <w:t>R</w:t>
      </w:r>
      <w:r w:rsidRPr="008361AA">
        <w:t xml:space="preserve"> for the initial enrichment in live digestate (with and without live soil added is ln(N/N</w:t>
      </w:r>
      <w:r w:rsidRPr="008361AA">
        <w:rPr>
          <w:vertAlign w:val="subscript"/>
        </w:rPr>
        <w:t>0</w:t>
      </w:r>
      <w:r w:rsidRPr="008361AA">
        <w:t>), where N is the abundance after enrichment and N</w:t>
      </w:r>
      <w:r w:rsidRPr="008361AA">
        <w:rPr>
          <w:vertAlign w:val="subscript"/>
        </w:rPr>
        <w:t>0</w:t>
      </w:r>
      <w:r w:rsidRPr="008361AA">
        <w:t xml:space="preserve"> is the abundance measured at the onset of this enrichment). This figure shows the results for OTU’s within Clade A: </w:t>
      </w:r>
      <w:proofErr w:type="spellStart"/>
      <w:r w:rsidRPr="008361AA">
        <w:rPr>
          <w:i/>
          <w:iCs/>
        </w:rPr>
        <w:t>R</w:t>
      </w:r>
      <w:r w:rsidRPr="008361AA">
        <w:rPr>
          <w:i/>
          <w:iCs/>
          <w:vertAlign w:val="subscript"/>
        </w:rPr>
        <w:t>soil</w:t>
      </w:r>
      <w:proofErr w:type="spellEnd"/>
      <w:r w:rsidRPr="008361AA">
        <w:rPr>
          <w:i/>
          <w:iCs/>
          <w:vertAlign w:val="subscript"/>
        </w:rPr>
        <w:t xml:space="preserve"> </w:t>
      </w:r>
      <w:r w:rsidRPr="008361AA">
        <w:t xml:space="preserve">plotted against </w:t>
      </w:r>
      <w:proofErr w:type="spellStart"/>
      <w:r w:rsidRPr="008361AA">
        <w:rPr>
          <w:i/>
          <w:iCs/>
        </w:rPr>
        <w:t>R</w:t>
      </w:r>
      <w:r w:rsidRPr="008361AA">
        <w:rPr>
          <w:i/>
          <w:iCs/>
          <w:vertAlign w:val="subscript"/>
        </w:rPr>
        <w:t>digestate</w:t>
      </w:r>
      <w:proofErr w:type="spellEnd"/>
      <w:r w:rsidRPr="008361AA">
        <w:t xml:space="preserve">, with standard error (n=8) marked by vertical and horizontal lines. The dashed line is the plotted equation </w:t>
      </w:r>
      <w:proofErr w:type="spellStart"/>
      <w:r w:rsidRPr="008361AA">
        <w:rPr>
          <w:i/>
          <w:iCs/>
        </w:rPr>
        <w:t>R</w:t>
      </w:r>
      <w:r w:rsidRPr="008361AA">
        <w:rPr>
          <w:i/>
          <w:iCs/>
          <w:vertAlign w:val="subscript"/>
        </w:rPr>
        <w:t>soil</w:t>
      </w:r>
      <w:r w:rsidRPr="008361AA">
        <w:t>+</w:t>
      </w:r>
      <w:r w:rsidRPr="008361AA">
        <w:rPr>
          <w:i/>
          <w:iCs/>
        </w:rPr>
        <w:t>R</w:t>
      </w:r>
      <w:r w:rsidRPr="008361AA">
        <w:rPr>
          <w:i/>
          <w:iCs/>
          <w:vertAlign w:val="subscript"/>
        </w:rPr>
        <w:t>digestate</w:t>
      </w:r>
      <w:proofErr w:type="spellEnd"/>
      <w:r w:rsidRPr="008361AA">
        <w:t>= 4.6, which marks a division between OTU’s which increase (</w:t>
      </w:r>
      <w:proofErr w:type="spellStart"/>
      <w:r w:rsidRPr="008361AA">
        <w:t>R</w:t>
      </w:r>
      <w:r w:rsidRPr="008361AA">
        <w:rPr>
          <w:vertAlign w:val="subscript"/>
        </w:rPr>
        <w:t>soil</w:t>
      </w:r>
      <w:r w:rsidRPr="008361AA">
        <w:t>+R</w:t>
      </w:r>
      <w:r w:rsidRPr="008361AA">
        <w:rPr>
          <w:vertAlign w:val="subscript"/>
        </w:rPr>
        <w:t>digestate</w:t>
      </w:r>
      <w:proofErr w:type="spellEnd"/>
      <w:r w:rsidRPr="008361AA">
        <w:t xml:space="preserve"> &gt; 4.61) and those that are gradually washed out (</w:t>
      </w:r>
      <w:proofErr w:type="spellStart"/>
      <w:r w:rsidRPr="008361AA">
        <w:t>R</w:t>
      </w:r>
      <w:r w:rsidRPr="008361AA">
        <w:rPr>
          <w:vertAlign w:val="subscript"/>
        </w:rPr>
        <w:t>soil</w:t>
      </w:r>
      <w:r w:rsidRPr="008361AA">
        <w:t>+R</w:t>
      </w:r>
      <w:r w:rsidRPr="008361AA">
        <w:rPr>
          <w:vertAlign w:val="subscript"/>
        </w:rPr>
        <w:t>digestate</w:t>
      </w:r>
      <w:proofErr w:type="spellEnd"/>
      <w:r w:rsidRPr="008361AA">
        <w:t xml:space="preserve"> &lt; 4.61) throughout the dual enrichment cultures. The plotting of </w:t>
      </w:r>
      <w:proofErr w:type="spellStart"/>
      <w:r w:rsidRPr="008361AA">
        <w:rPr>
          <w:i/>
          <w:iCs/>
        </w:rPr>
        <w:t>R</w:t>
      </w:r>
      <w:r w:rsidRPr="008361AA">
        <w:rPr>
          <w:i/>
          <w:iCs/>
          <w:vertAlign w:val="subscript"/>
        </w:rPr>
        <w:t>soil</w:t>
      </w:r>
      <w:proofErr w:type="spellEnd"/>
      <w:r w:rsidRPr="008361AA">
        <w:rPr>
          <w:vertAlign w:val="subscript"/>
        </w:rPr>
        <w:t xml:space="preserve"> </w:t>
      </w:r>
      <w:r w:rsidRPr="008361AA">
        <w:t xml:space="preserve">and </w:t>
      </w:r>
      <w:proofErr w:type="spellStart"/>
      <w:r w:rsidRPr="008361AA">
        <w:rPr>
          <w:i/>
          <w:iCs/>
        </w:rPr>
        <w:t>R</w:t>
      </w:r>
      <w:r w:rsidRPr="008361AA">
        <w:rPr>
          <w:i/>
          <w:iCs/>
          <w:vertAlign w:val="subscript"/>
        </w:rPr>
        <w:t>digestate</w:t>
      </w:r>
      <w:proofErr w:type="spellEnd"/>
      <w:r w:rsidRPr="008361AA">
        <w:t xml:space="preserve"> for individual OTU’s shows that the OTU’s within Clade A span a continuum from “Soil specialists” (</w:t>
      </w:r>
      <w:bookmarkStart w:id="2" w:name="_Hlk66206473"/>
      <w:r w:rsidRPr="008361AA">
        <w:t xml:space="preserve">high </w:t>
      </w:r>
      <w:proofErr w:type="spellStart"/>
      <w:r w:rsidRPr="008361AA">
        <w:rPr>
          <w:i/>
          <w:iCs/>
        </w:rPr>
        <w:t>R</w:t>
      </w:r>
      <w:r w:rsidRPr="008361AA">
        <w:rPr>
          <w:i/>
          <w:iCs/>
          <w:vertAlign w:val="subscript"/>
        </w:rPr>
        <w:t>soil</w:t>
      </w:r>
      <w:proofErr w:type="spellEnd"/>
      <w:r w:rsidRPr="008361AA">
        <w:t xml:space="preserve">, low/negative </w:t>
      </w:r>
      <w:proofErr w:type="spellStart"/>
      <w:r w:rsidRPr="008361AA">
        <w:rPr>
          <w:i/>
          <w:iCs/>
        </w:rPr>
        <w:t>R</w:t>
      </w:r>
      <w:r w:rsidRPr="008361AA">
        <w:rPr>
          <w:i/>
          <w:iCs/>
          <w:vertAlign w:val="subscript"/>
        </w:rPr>
        <w:t>digestate</w:t>
      </w:r>
      <w:proofErr w:type="spellEnd"/>
      <w:r w:rsidRPr="008361AA">
        <w:t xml:space="preserve"> values</w:t>
      </w:r>
      <w:bookmarkEnd w:id="2"/>
      <w:r w:rsidRPr="008361AA">
        <w:t xml:space="preserve">) through “Generalists” (similar </w:t>
      </w:r>
      <w:proofErr w:type="spellStart"/>
      <w:r w:rsidRPr="008361AA">
        <w:rPr>
          <w:i/>
          <w:iCs/>
        </w:rPr>
        <w:t>R</w:t>
      </w:r>
      <w:r w:rsidRPr="008361AA">
        <w:rPr>
          <w:i/>
          <w:iCs/>
          <w:vertAlign w:val="subscript"/>
        </w:rPr>
        <w:t>soil</w:t>
      </w:r>
      <w:proofErr w:type="spellEnd"/>
      <w:r w:rsidRPr="008361AA">
        <w:t xml:space="preserve"> and </w:t>
      </w:r>
      <w:proofErr w:type="spellStart"/>
      <w:r w:rsidRPr="008361AA">
        <w:rPr>
          <w:i/>
          <w:iCs/>
        </w:rPr>
        <w:t>R</w:t>
      </w:r>
      <w:r w:rsidRPr="008361AA">
        <w:rPr>
          <w:i/>
          <w:iCs/>
          <w:vertAlign w:val="subscript"/>
        </w:rPr>
        <w:t>digestate</w:t>
      </w:r>
      <w:proofErr w:type="spellEnd"/>
      <w:r w:rsidRPr="008361AA">
        <w:t xml:space="preserve"> values &gt;2) and further on to “Digestate specialists” (low </w:t>
      </w:r>
      <w:proofErr w:type="spellStart"/>
      <w:r w:rsidRPr="008361AA">
        <w:t>R</w:t>
      </w:r>
      <w:r w:rsidRPr="008361AA">
        <w:rPr>
          <w:vertAlign w:val="subscript"/>
        </w:rPr>
        <w:t>soil</w:t>
      </w:r>
      <w:proofErr w:type="spellEnd"/>
      <w:r w:rsidRPr="008361AA">
        <w:t xml:space="preserve">, high R </w:t>
      </w:r>
      <w:r w:rsidRPr="008361AA">
        <w:rPr>
          <w:vertAlign w:val="subscript"/>
        </w:rPr>
        <w:t>dig</w:t>
      </w:r>
      <w:r w:rsidRPr="008361AA">
        <w:t xml:space="preserve">). </w:t>
      </w:r>
      <w:proofErr w:type="spellStart"/>
      <w:r w:rsidRPr="008361AA">
        <w:rPr>
          <w:i/>
          <w:iCs/>
        </w:rPr>
        <w:t>R</w:t>
      </w:r>
      <w:r w:rsidRPr="008361AA">
        <w:rPr>
          <w:i/>
          <w:iCs/>
          <w:vertAlign w:val="subscript"/>
        </w:rPr>
        <w:t>soil</w:t>
      </w:r>
      <w:proofErr w:type="spellEnd"/>
      <w:r w:rsidRPr="008361AA">
        <w:t xml:space="preserve"> was negatively correlated with </w:t>
      </w:r>
      <w:proofErr w:type="spellStart"/>
      <w:r w:rsidRPr="008361AA">
        <w:rPr>
          <w:i/>
          <w:iCs/>
        </w:rPr>
        <w:t>D</w:t>
      </w:r>
      <w:r w:rsidRPr="008361AA">
        <w:rPr>
          <w:i/>
          <w:iCs/>
          <w:vertAlign w:val="subscript"/>
        </w:rPr>
        <w:t>digestate</w:t>
      </w:r>
      <w:proofErr w:type="spellEnd"/>
      <w:r w:rsidRPr="008361AA">
        <w:t xml:space="preserve"> (regression function: </w:t>
      </w:r>
      <w:proofErr w:type="spellStart"/>
      <w:r w:rsidRPr="008361AA">
        <w:rPr>
          <w:i/>
          <w:iCs/>
        </w:rPr>
        <w:t>R</w:t>
      </w:r>
      <w:r w:rsidRPr="008361AA">
        <w:rPr>
          <w:i/>
          <w:iCs/>
          <w:vertAlign w:val="subscript"/>
        </w:rPr>
        <w:t>soil</w:t>
      </w:r>
      <w:proofErr w:type="spellEnd"/>
      <w:r w:rsidRPr="008361AA">
        <w:t>=4.7-0.6</w:t>
      </w:r>
      <w:r w:rsidRPr="008361AA">
        <w:rPr>
          <w:rFonts w:cstheme="minorHAnsi"/>
        </w:rPr>
        <w:t>·</w:t>
      </w:r>
      <w:r w:rsidRPr="008361AA">
        <w:rPr>
          <w:i/>
          <w:iCs/>
        </w:rPr>
        <w:t>R</w:t>
      </w:r>
      <w:r w:rsidRPr="008361AA">
        <w:rPr>
          <w:i/>
          <w:iCs/>
          <w:vertAlign w:val="subscript"/>
        </w:rPr>
        <w:t>digestate</w:t>
      </w:r>
      <w:r w:rsidRPr="008361AA">
        <w:t>, r</w:t>
      </w:r>
      <w:r w:rsidRPr="008361AA">
        <w:rPr>
          <w:vertAlign w:val="superscript"/>
        </w:rPr>
        <w:t>2</w:t>
      </w:r>
      <w:r w:rsidRPr="008361AA">
        <w:t>=0.7, p&lt;0.01).</w:t>
      </w:r>
      <w:r w:rsidRPr="008361AA">
        <w:rPr>
          <w:sz w:val="20"/>
          <w:szCs w:val="20"/>
        </w:rPr>
        <w:t xml:space="preserve"> </w:t>
      </w:r>
    </w:p>
    <w:p w14:paraId="466B6710" w14:textId="77777777" w:rsidR="00B318FA" w:rsidRPr="008361AA" w:rsidRDefault="00B318FA" w:rsidP="00B318FA">
      <w:pPr>
        <w:jc w:val="both"/>
        <w:rPr>
          <w:i/>
          <w:iCs/>
          <w:sz w:val="20"/>
          <w:szCs w:val="20"/>
        </w:rPr>
      </w:pPr>
    </w:p>
    <w:p w14:paraId="215DB658" w14:textId="4BEF5C23" w:rsidR="00B318FA" w:rsidRPr="008361AA" w:rsidRDefault="00B318FA" w:rsidP="00B318FA">
      <w:pPr>
        <w:jc w:val="both"/>
        <w:rPr>
          <w:sz w:val="20"/>
          <w:szCs w:val="20"/>
        </w:rPr>
      </w:pPr>
      <w:r w:rsidRPr="008361AA">
        <w:rPr>
          <w:noProof/>
        </w:rPr>
        <w:lastRenderedPageBreak/>
        <w:drawing>
          <wp:anchor distT="0" distB="0" distL="114300" distR="114300" simplePos="0" relativeHeight="251659264" behindDoc="0" locked="0" layoutInCell="1" allowOverlap="1" wp14:anchorId="773A6340" wp14:editId="15FE8A1C">
            <wp:simplePos x="0" y="0"/>
            <wp:positionH relativeFrom="column">
              <wp:posOffset>1685290</wp:posOffset>
            </wp:positionH>
            <wp:positionV relativeFrom="paragraph">
              <wp:posOffset>0</wp:posOffset>
            </wp:positionV>
            <wp:extent cx="3989070" cy="22669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8907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3431">
        <w:rPr>
          <w:b/>
          <w:bCs/>
          <w:sz w:val="20"/>
          <w:szCs w:val="20"/>
        </w:rPr>
        <w:t xml:space="preserve">Supplementary Item </w:t>
      </w:r>
      <w:r>
        <w:rPr>
          <w:b/>
          <w:bCs/>
          <w:sz w:val="20"/>
          <w:szCs w:val="20"/>
        </w:rPr>
        <w:t>6B</w:t>
      </w:r>
      <w:r w:rsidRPr="008361AA">
        <w:rPr>
          <w:b/>
          <w:bCs/>
          <w:sz w:val="20"/>
          <w:szCs w:val="20"/>
        </w:rPr>
        <w:t>: Assessment of growth/death (soil versus digestate) of OTU’s within Clade B</w:t>
      </w:r>
      <w:r w:rsidRPr="008361AA">
        <w:rPr>
          <w:sz w:val="20"/>
          <w:szCs w:val="20"/>
        </w:rPr>
        <w:t xml:space="preserve">. </w:t>
      </w:r>
      <w:bookmarkStart w:id="3" w:name="_Hlk86956319"/>
      <w:r w:rsidRPr="008361AA">
        <w:rPr>
          <w:sz w:val="20"/>
          <w:szCs w:val="20"/>
        </w:rPr>
        <w:t xml:space="preserve">Calculus and plotting are explained in the legend of </w:t>
      </w:r>
      <w:r w:rsidRPr="004B3431">
        <w:rPr>
          <w:b/>
          <w:bCs/>
          <w:sz w:val="20"/>
          <w:szCs w:val="20"/>
        </w:rPr>
        <w:t xml:space="preserve">Supplementary Item </w:t>
      </w:r>
      <w:r>
        <w:rPr>
          <w:b/>
          <w:bCs/>
          <w:sz w:val="20"/>
          <w:szCs w:val="20"/>
        </w:rPr>
        <w:t>6A</w:t>
      </w:r>
      <w:r w:rsidRPr="008361AA">
        <w:rPr>
          <w:sz w:val="20"/>
          <w:szCs w:val="20"/>
        </w:rPr>
        <w:t xml:space="preserve">. </w:t>
      </w:r>
      <w:bookmarkEnd w:id="3"/>
      <w:r w:rsidRPr="008361AA">
        <w:rPr>
          <w:sz w:val="20"/>
          <w:szCs w:val="20"/>
        </w:rPr>
        <w:t xml:space="preserve">All OTU’s within Clade B were gradually diluted out (below the dashed line).  </w:t>
      </w:r>
    </w:p>
    <w:p w14:paraId="2329062B" w14:textId="77777777" w:rsidR="00B318FA" w:rsidRPr="008361AA" w:rsidRDefault="00B318FA" w:rsidP="00B318FA">
      <w:pPr>
        <w:jc w:val="both"/>
        <w:rPr>
          <w:b/>
          <w:bCs/>
          <w:sz w:val="20"/>
          <w:szCs w:val="20"/>
        </w:rPr>
      </w:pPr>
      <w:r w:rsidRPr="008361AA">
        <w:rPr>
          <w:b/>
          <w:bCs/>
          <w:sz w:val="20"/>
          <w:szCs w:val="20"/>
        </w:rPr>
        <w:t xml:space="preserve"> </w:t>
      </w:r>
    </w:p>
    <w:p w14:paraId="77DE5BEF" w14:textId="77777777" w:rsidR="00B318FA" w:rsidRPr="008361AA" w:rsidRDefault="00B318FA" w:rsidP="00B318FA">
      <w:pPr>
        <w:jc w:val="both"/>
        <w:rPr>
          <w:b/>
          <w:bCs/>
          <w:sz w:val="20"/>
          <w:szCs w:val="20"/>
        </w:rPr>
      </w:pPr>
    </w:p>
    <w:p w14:paraId="2879E87F" w14:textId="77777777" w:rsidR="00B318FA" w:rsidRPr="008361AA" w:rsidRDefault="00B318FA" w:rsidP="00B318FA">
      <w:pPr>
        <w:jc w:val="both"/>
        <w:rPr>
          <w:b/>
          <w:bCs/>
          <w:sz w:val="20"/>
          <w:szCs w:val="20"/>
        </w:rPr>
      </w:pPr>
    </w:p>
    <w:p w14:paraId="67D90F99" w14:textId="1A28ACDF" w:rsidR="00B318FA" w:rsidRPr="008361AA" w:rsidRDefault="00B318FA" w:rsidP="00B318FA">
      <w:pPr>
        <w:jc w:val="both"/>
        <w:rPr>
          <w:sz w:val="20"/>
          <w:szCs w:val="20"/>
        </w:rPr>
      </w:pPr>
      <w:r w:rsidRPr="008361AA">
        <w:rPr>
          <w:noProof/>
        </w:rPr>
        <w:drawing>
          <wp:anchor distT="0" distB="0" distL="114300" distR="114300" simplePos="0" relativeHeight="251660288" behindDoc="0" locked="0" layoutInCell="1" allowOverlap="1" wp14:anchorId="61051163" wp14:editId="1A78EC2B">
            <wp:simplePos x="0" y="0"/>
            <wp:positionH relativeFrom="margin">
              <wp:align>right</wp:align>
            </wp:positionH>
            <wp:positionV relativeFrom="paragraph">
              <wp:posOffset>111963</wp:posOffset>
            </wp:positionV>
            <wp:extent cx="4042410" cy="24015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2410" cy="24015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3431">
        <w:rPr>
          <w:b/>
          <w:bCs/>
          <w:sz w:val="20"/>
          <w:szCs w:val="20"/>
        </w:rPr>
        <w:t xml:space="preserve">Supplementary Item </w:t>
      </w:r>
      <w:r>
        <w:rPr>
          <w:b/>
          <w:bCs/>
          <w:sz w:val="20"/>
          <w:szCs w:val="20"/>
        </w:rPr>
        <w:t>6C</w:t>
      </w:r>
      <w:r w:rsidRPr="008361AA">
        <w:rPr>
          <w:b/>
          <w:bCs/>
          <w:sz w:val="20"/>
          <w:szCs w:val="20"/>
        </w:rPr>
        <w:t>: Assessment of growth/death (soil versus digestate) of OTU’s within Clade C</w:t>
      </w:r>
      <w:r w:rsidRPr="008361AA">
        <w:rPr>
          <w:sz w:val="20"/>
          <w:szCs w:val="20"/>
        </w:rPr>
        <w:t xml:space="preserve">. Calculus and plotting are explained in the legend of </w:t>
      </w:r>
      <w:r w:rsidRPr="004B3431">
        <w:rPr>
          <w:b/>
          <w:bCs/>
          <w:sz w:val="20"/>
          <w:szCs w:val="20"/>
        </w:rPr>
        <w:t xml:space="preserve">Supplementary Item </w:t>
      </w:r>
      <w:r>
        <w:rPr>
          <w:b/>
          <w:bCs/>
          <w:sz w:val="20"/>
          <w:szCs w:val="20"/>
        </w:rPr>
        <w:t>6A</w:t>
      </w:r>
      <w:r w:rsidRPr="008361AA">
        <w:rPr>
          <w:sz w:val="20"/>
          <w:szCs w:val="20"/>
        </w:rPr>
        <w:t xml:space="preserve">.  All OTU’s within Clade B were diluted out (below the dashed line).  </w:t>
      </w:r>
    </w:p>
    <w:p w14:paraId="0D385B05" w14:textId="77777777" w:rsidR="00B318FA" w:rsidRPr="008361AA" w:rsidRDefault="00B318FA" w:rsidP="00B318FA">
      <w:pPr>
        <w:jc w:val="both"/>
        <w:rPr>
          <w:sz w:val="20"/>
          <w:szCs w:val="20"/>
        </w:rPr>
      </w:pPr>
    </w:p>
    <w:p w14:paraId="46087AA6" w14:textId="77777777" w:rsidR="00B318FA" w:rsidRPr="008361AA" w:rsidRDefault="00B318FA" w:rsidP="00B318FA">
      <w:pPr>
        <w:jc w:val="both"/>
        <w:rPr>
          <w:sz w:val="20"/>
          <w:szCs w:val="20"/>
        </w:rPr>
      </w:pPr>
    </w:p>
    <w:p w14:paraId="4E56161C" w14:textId="77777777" w:rsidR="00B318FA" w:rsidRPr="008361AA" w:rsidRDefault="00B318FA" w:rsidP="00B318FA">
      <w:pPr>
        <w:jc w:val="both"/>
        <w:rPr>
          <w:sz w:val="20"/>
          <w:szCs w:val="20"/>
        </w:rPr>
      </w:pPr>
    </w:p>
    <w:p w14:paraId="579B07E9" w14:textId="77777777" w:rsidR="00B318FA" w:rsidRPr="008361AA" w:rsidRDefault="00B318FA" w:rsidP="00B318FA">
      <w:pPr>
        <w:jc w:val="both"/>
        <w:rPr>
          <w:sz w:val="20"/>
          <w:szCs w:val="20"/>
        </w:rPr>
      </w:pPr>
    </w:p>
    <w:p w14:paraId="718B6A61" w14:textId="6DDB3E15" w:rsidR="00B318FA" w:rsidRPr="008361AA" w:rsidRDefault="00B318FA" w:rsidP="00B318FA">
      <w:pPr>
        <w:jc w:val="both"/>
        <w:rPr>
          <w:sz w:val="20"/>
          <w:szCs w:val="20"/>
        </w:rPr>
      </w:pPr>
      <w:r w:rsidRPr="008361AA">
        <w:rPr>
          <w:noProof/>
        </w:rPr>
        <w:drawing>
          <wp:anchor distT="0" distB="0" distL="114300" distR="114300" simplePos="0" relativeHeight="251661312" behindDoc="0" locked="0" layoutInCell="1" allowOverlap="1" wp14:anchorId="2C08E1FF" wp14:editId="6BD2CC33">
            <wp:simplePos x="0" y="0"/>
            <wp:positionH relativeFrom="column">
              <wp:posOffset>1685696</wp:posOffset>
            </wp:positionH>
            <wp:positionV relativeFrom="paragraph">
              <wp:posOffset>83896</wp:posOffset>
            </wp:positionV>
            <wp:extent cx="4150360" cy="2418715"/>
            <wp:effectExtent l="0" t="0" r="2540" b="63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0360" cy="24187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3431">
        <w:rPr>
          <w:b/>
          <w:bCs/>
          <w:sz w:val="20"/>
          <w:szCs w:val="20"/>
        </w:rPr>
        <w:t xml:space="preserve">Supplementary Item </w:t>
      </w:r>
      <w:r>
        <w:rPr>
          <w:b/>
          <w:bCs/>
          <w:sz w:val="20"/>
          <w:szCs w:val="20"/>
        </w:rPr>
        <w:t>6D</w:t>
      </w:r>
      <w:r w:rsidRPr="008361AA">
        <w:rPr>
          <w:b/>
          <w:bCs/>
          <w:sz w:val="20"/>
          <w:szCs w:val="20"/>
        </w:rPr>
        <w:t>: Assessment of growth/death (soil versus digestate) of OTU’s within Clade D</w:t>
      </w:r>
      <w:r w:rsidRPr="008361AA">
        <w:rPr>
          <w:sz w:val="20"/>
          <w:szCs w:val="20"/>
        </w:rPr>
        <w:t xml:space="preserve">. </w:t>
      </w:r>
      <w:bookmarkStart w:id="4" w:name="_Hlk86956779"/>
      <w:r w:rsidRPr="008361AA">
        <w:rPr>
          <w:sz w:val="20"/>
          <w:szCs w:val="20"/>
        </w:rPr>
        <w:t xml:space="preserve">Calculus and plotting are explained in the legend of </w:t>
      </w:r>
      <w:r w:rsidRPr="004B3431">
        <w:rPr>
          <w:b/>
          <w:bCs/>
          <w:sz w:val="20"/>
          <w:szCs w:val="20"/>
        </w:rPr>
        <w:t xml:space="preserve">Supplementary Item </w:t>
      </w:r>
      <w:r>
        <w:rPr>
          <w:b/>
          <w:bCs/>
          <w:sz w:val="20"/>
          <w:szCs w:val="20"/>
        </w:rPr>
        <w:t>6A</w:t>
      </w:r>
      <w:r w:rsidRPr="008361AA">
        <w:rPr>
          <w:b/>
          <w:bCs/>
          <w:sz w:val="20"/>
          <w:szCs w:val="20"/>
        </w:rPr>
        <w:t xml:space="preserve">. </w:t>
      </w:r>
      <w:bookmarkEnd w:id="4"/>
      <w:r w:rsidRPr="008361AA">
        <w:rPr>
          <w:sz w:val="20"/>
          <w:szCs w:val="20"/>
        </w:rPr>
        <w:t xml:space="preserve">For digestate, the majority of OTU’s had R between -2 and -1.5, which indicates </w:t>
      </w:r>
      <w:proofErr w:type="gramStart"/>
      <w:r w:rsidRPr="008361AA">
        <w:rPr>
          <w:sz w:val="20"/>
          <w:szCs w:val="20"/>
        </w:rPr>
        <w:t>a</w:t>
      </w:r>
      <w:proofErr w:type="gramEnd"/>
      <w:r w:rsidRPr="008361AA">
        <w:rPr>
          <w:sz w:val="20"/>
          <w:szCs w:val="20"/>
        </w:rPr>
        <w:t xml:space="preserve"> 80-85% decline during the enrichment in digestate. In contrast, R for enrichments in soil ranged from 3-7, indicating that the abundance increased by a factor of 150-1100 (7-10 cell divisions) during the enrichment in soil. A clear negative correlation between </w:t>
      </w:r>
      <w:proofErr w:type="spellStart"/>
      <w:r w:rsidRPr="008361AA">
        <w:rPr>
          <w:sz w:val="20"/>
          <w:szCs w:val="20"/>
        </w:rPr>
        <w:t>R</w:t>
      </w:r>
      <w:r w:rsidRPr="008361AA">
        <w:rPr>
          <w:sz w:val="20"/>
          <w:szCs w:val="20"/>
          <w:vertAlign w:val="subscript"/>
        </w:rPr>
        <w:t>soil</w:t>
      </w:r>
      <w:proofErr w:type="spellEnd"/>
      <w:r w:rsidRPr="008361AA">
        <w:rPr>
          <w:sz w:val="20"/>
          <w:szCs w:val="20"/>
        </w:rPr>
        <w:t xml:space="preserve"> and </w:t>
      </w:r>
      <w:proofErr w:type="spellStart"/>
      <w:r w:rsidRPr="008361AA">
        <w:rPr>
          <w:sz w:val="20"/>
          <w:szCs w:val="20"/>
        </w:rPr>
        <w:t>R</w:t>
      </w:r>
      <w:r w:rsidRPr="008361AA">
        <w:rPr>
          <w:sz w:val="20"/>
          <w:szCs w:val="20"/>
          <w:vertAlign w:val="subscript"/>
        </w:rPr>
        <w:t>digestate</w:t>
      </w:r>
      <w:proofErr w:type="spellEnd"/>
      <w:r w:rsidRPr="008361AA">
        <w:rPr>
          <w:sz w:val="20"/>
          <w:szCs w:val="20"/>
        </w:rPr>
        <w:t xml:space="preserve"> is observed (r</w:t>
      </w:r>
      <w:r w:rsidRPr="008361AA">
        <w:rPr>
          <w:sz w:val="20"/>
          <w:szCs w:val="20"/>
          <w:vertAlign w:val="superscript"/>
        </w:rPr>
        <w:t>2</w:t>
      </w:r>
      <w:r w:rsidRPr="008361AA">
        <w:rPr>
          <w:sz w:val="20"/>
          <w:szCs w:val="20"/>
        </w:rPr>
        <w:t>=0.573, p&lt;0.01). The outliers with apparent growth in digestate (R&gt;0) showed somewhat erratic development of abundance throughout, as illustrated for OTU1369 (inse</w:t>
      </w:r>
      <w:r w:rsidR="00A808BF">
        <w:rPr>
          <w:sz w:val="20"/>
          <w:szCs w:val="20"/>
        </w:rPr>
        <w:t>t</w:t>
      </w:r>
      <w:r w:rsidRPr="008361AA">
        <w:rPr>
          <w:sz w:val="20"/>
          <w:szCs w:val="20"/>
        </w:rPr>
        <w:t xml:space="preserve"> panel). The majority of the OTU’s are below the line (declining), while some are sustained or increase slightly, which was the case for OTU74 circumscribing the isolated </w:t>
      </w:r>
      <w:proofErr w:type="spellStart"/>
      <w:r w:rsidRPr="008361AA">
        <w:rPr>
          <w:i/>
          <w:iCs/>
          <w:sz w:val="20"/>
          <w:szCs w:val="20"/>
        </w:rPr>
        <w:t>Ochrobactrum</w:t>
      </w:r>
      <w:proofErr w:type="spellEnd"/>
      <w:r w:rsidRPr="008361AA">
        <w:rPr>
          <w:sz w:val="20"/>
          <w:szCs w:val="20"/>
        </w:rPr>
        <w:t xml:space="preserve"> sp. OB. The distribution of R values suggests that the majority dies out fast in the digestate but grow fast in soil.</w:t>
      </w:r>
    </w:p>
    <w:p w14:paraId="0C7D0B4B" w14:textId="77777777" w:rsidR="00B318FA" w:rsidRPr="008361AA" w:rsidRDefault="00B318FA" w:rsidP="00B318FA">
      <w:pPr>
        <w:jc w:val="both"/>
        <w:rPr>
          <w:sz w:val="20"/>
          <w:szCs w:val="20"/>
        </w:rPr>
      </w:pPr>
    </w:p>
    <w:p w14:paraId="3427000F" w14:textId="77777777" w:rsidR="00B318FA" w:rsidRPr="008361AA" w:rsidRDefault="00B318FA" w:rsidP="00B318FA">
      <w:pPr>
        <w:jc w:val="both"/>
        <w:rPr>
          <w:b/>
          <w:bCs/>
          <w:sz w:val="20"/>
          <w:szCs w:val="20"/>
        </w:rPr>
      </w:pPr>
    </w:p>
    <w:p w14:paraId="573A01AF" w14:textId="7FFBBD2E" w:rsidR="00B318FA" w:rsidRPr="008361AA" w:rsidRDefault="00B318FA" w:rsidP="00B318FA">
      <w:pPr>
        <w:jc w:val="both"/>
        <w:rPr>
          <w:sz w:val="20"/>
          <w:szCs w:val="20"/>
        </w:rPr>
      </w:pPr>
      <w:r w:rsidRPr="008361AA">
        <w:rPr>
          <w:noProof/>
        </w:rPr>
        <w:drawing>
          <wp:anchor distT="0" distB="0" distL="114300" distR="114300" simplePos="0" relativeHeight="251662336" behindDoc="0" locked="0" layoutInCell="1" allowOverlap="1" wp14:anchorId="10F0B532" wp14:editId="7D63EB98">
            <wp:simplePos x="0" y="0"/>
            <wp:positionH relativeFrom="column">
              <wp:posOffset>1591691</wp:posOffset>
            </wp:positionH>
            <wp:positionV relativeFrom="paragraph">
              <wp:posOffset>34214</wp:posOffset>
            </wp:positionV>
            <wp:extent cx="4268470" cy="2430780"/>
            <wp:effectExtent l="0" t="0" r="0" b="762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8470" cy="2430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3431">
        <w:rPr>
          <w:b/>
          <w:bCs/>
          <w:sz w:val="20"/>
          <w:szCs w:val="20"/>
        </w:rPr>
        <w:t xml:space="preserve">Supplementary Item </w:t>
      </w:r>
      <w:r>
        <w:rPr>
          <w:b/>
          <w:bCs/>
          <w:sz w:val="20"/>
          <w:szCs w:val="20"/>
        </w:rPr>
        <w:t>6E</w:t>
      </w:r>
      <w:r w:rsidRPr="008361AA">
        <w:rPr>
          <w:b/>
          <w:bCs/>
          <w:sz w:val="20"/>
          <w:szCs w:val="20"/>
        </w:rPr>
        <w:t>: Assessment of growth and death of OTU’s within Clade E</w:t>
      </w:r>
      <w:r w:rsidRPr="008361AA">
        <w:rPr>
          <w:sz w:val="20"/>
          <w:szCs w:val="20"/>
        </w:rPr>
        <w:t xml:space="preserve">. Calculus and plotting are explained in the legend of </w:t>
      </w:r>
      <w:r w:rsidRPr="004B3431">
        <w:rPr>
          <w:b/>
          <w:bCs/>
          <w:sz w:val="20"/>
          <w:szCs w:val="20"/>
        </w:rPr>
        <w:t xml:space="preserve">Supplementary Item </w:t>
      </w:r>
      <w:r>
        <w:rPr>
          <w:b/>
          <w:bCs/>
          <w:sz w:val="20"/>
          <w:szCs w:val="20"/>
        </w:rPr>
        <w:t>6A</w:t>
      </w:r>
      <w:r w:rsidRPr="008361AA">
        <w:rPr>
          <w:b/>
          <w:bCs/>
          <w:sz w:val="20"/>
          <w:szCs w:val="20"/>
        </w:rPr>
        <w:t xml:space="preserve">. </w:t>
      </w:r>
      <w:r w:rsidRPr="008361AA">
        <w:rPr>
          <w:sz w:val="20"/>
          <w:szCs w:val="20"/>
        </w:rPr>
        <w:t xml:space="preserve">35 of the 50 OTU’s within this clade are above the line, hence not diluted out, although they did not reach dominance. </w:t>
      </w:r>
    </w:p>
    <w:p w14:paraId="675F864A" w14:textId="77777777" w:rsidR="00B318FA" w:rsidRPr="008361AA" w:rsidRDefault="00B318FA" w:rsidP="00B318FA">
      <w:pPr>
        <w:rPr>
          <w:b/>
          <w:bCs/>
          <w:i/>
          <w:iCs/>
          <w:sz w:val="20"/>
          <w:szCs w:val="20"/>
        </w:rPr>
      </w:pPr>
    </w:p>
    <w:p w14:paraId="56AFBE6A" w14:textId="77777777" w:rsidR="00B318FA" w:rsidRPr="008361AA" w:rsidRDefault="00B318FA" w:rsidP="00B318FA">
      <w:pPr>
        <w:jc w:val="both"/>
        <w:rPr>
          <w:b/>
          <w:bCs/>
          <w:sz w:val="20"/>
          <w:szCs w:val="20"/>
        </w:rPr>
      </w:pPr>
    </w:p>
    <w:p w14:paraId="2F28DA2D" w14:textId="77777777" w:rsidR="00B318FA" w:rsidRPr="008361AA" w:rsidRDefault="00B318FA" w:rsidP="00B318FA">
      <w:pPr>
        <w:jc w:val="both"/>
        <w:rPr>
          <w:b/>
          <w:bCs/>
          <w:sz w:val="20"/>
          <w:szCs w:val="20"/>
        </w:rPr>
      </w:pPr>
    </w:p>
    <w:p w14:paraId="4D46B8E1" w14:textId="77777777" w:rsidR="00B318FA" w:rsidRPr="008361AA" w:rsidRDefault="00B318FA" w:rsidP="00B318FA">
      <w:pPr>
        <w:jc w:val="both"/>
        <w:rPr>
          <w:b/>
          <w:bCs/>
          <w:sz w:val="20"/>
          <w:szCs w:val="20"/>
        </w:rPr>
      </w:pPr>
    </w:p>
    <w:p w14:paraId="2D2F62FC" w14:textId="4157E5D3" w:rsidR="00B318FA" w:rsidRPr="008361AA" w:rsidRDefault="00B318FA" w:rsidP="00B318FA">
      <w:pPr>
        <w:jc w:val="both"/>
        <w:rPr>
          <w:sz w:val="24"/>
          <w:szCs w:val="24"/>
          <w:u w:val="single"/>
        </w:rPr>
      </w:pPr>
      <w:r w:rsidRPr="008361AA">
        <w:rPr>
          <w:noProof/>
        </w:rPr>
        <w:drawing>
          <wp:anchor distT="0" distB="0" distL="114300" distR="114300" simplePos="0" relativeHeight="251663360" behindDoc="0" locked="0" layoutInCell="1" allowOverlap="1" wp14:anchorId="7D521B67" wp14:editId="51F241EB">
            <wp:simplePos x="0" y="0"/>
            <wp:positionH relativeFrom="column">
              <wp:posOffset>1588414</wp:posOffset>
            </wp:positionH>
            <wp:positionV relativeFrom="paragraph">
              <wp:posOffset>60350</wp:posOffset>
            </wp:positionV>
            <wp:extent cx="4220210" cy="2403475"/>
            <wp:effectExtent l="0" t="0" r="889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0210" cy="240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3431">
        <w:rPr>
          <w:b/>
          <w:bCs/>
          <w:sz w:val="20"/>
          <w:szCs w:val="20"/>
        </w:rPr>
        <w:t xml:space="preserve">Supplementary Item </w:t>
      </w:r>
      <w:r>
        <w:rPr>
          <w:b/>
          <w:bCs/>
          <w:sz w:val="20"/>
          <w:szCs w:val="20"/>
        </w:rPr>
        <w:t>6F</w:t>
      </w:r>
      <w:r w:rsidRPr="008361AA">
        <w:rPr>
          <w:b/>
          <w:bCs/>
          <w:sz w:val="20"/>
          <w:szCs w:val="20"/>
        </w:rPr>
        <w:t>: Assessment of growth and death of OTU’s within Clade F</w:t>
      </w:r>
      <w:r w:rsidRPr="008361AA">
        <w:rPr>
          <w:sz w:val="20"/>
          <w:szCs w:val="20"/>
        </w:rPr>
        <w:t xml:space="preserve">. Calculus and plotting are explained in the legend of </w:t>
      </w:r>
      <w:r w:rsidRPr="004B3431">
        <w:rPr>
          <w:b/>
          <w:bCs/>
          <w:sz w:val="20"/>
          <w:szCs w:val="20"/>
        </w:rPr>
        <w:t xml:space="preserve">Supplementary Item </w:t>
      </w:r>
      <w:r>
        <w:rPr>
          <w:b/>
          <w:bCs/>
          <w:sz w:val="20"/>
          <w:szCs w:val="20"/>
        </w:rPr>
        <w:t>6A</w:t>
      </w:r>
      <w:r w:rsidRPr="008361AA">
        <w:rPr>
          <w:b/>
          <w:bCs/>
          <w:sz w:val="20"/>
          <w:szCs w:val="20"/>
        </w:rPr>
        <w:t>.</w:t>
      </w:r>
      <w:r w:rsidRPr="008361AA">
        <w:rPr>
          <w:sz w:val="20"/>
          <w:szCs w:val="20"/>
        </w:rPr>
        <w:t xml:space="preserve"> 46 of the 57 OTU’s within this clade are above the line, indicating that they were sustained throughout the enrichment, but none reached dominance. </w:t>
      </w:r>
      <w:bookmarkEnd w:id="1"/>
      <w:r w:rsidRPr="008361AA">
        <w:rPr>
          <w:i/>
          <w:iCs/>
          <w:sz w:val="20"/>
          <w:szCs w:val="20"/>
        </w:rPr>
        <w:t xml:space="preserve"> </w:t>
      </w:r>
    </w:p>
    <w:p w14:paraId="0DF52FD2" w14:textId="77777777" w:rsidR="00B318FA" w:rsidRPr="008361AA" w:rsidRDefault="00B318FA" w:rsidP="00B318FA">
      <w:pPr>
        <w:jc w:val="both"/>
        <w:rPr>
          <w:sz w:val="24"/>
          <w:szCs w:val="24"/>
          <w:u w:val="single"/>
        </w:rPr>
      </w:pPr>
    </w:p>
    <w:p w14:paraId="12384FB4" w14:textId="77777777" w:rsidR="00B318FA" w:rsidRPr="008361AA" w:rsidRDefault="00B318FA" w:rsidP="00B318FA">
      <w:pPr>
        <w:jc w:val="both"/>
        <w:rPr>
          <w:sz w:val="24"/>
          <w:szCs w:val="24"/>
          <w:u w:val="single"/>
        </w:rPr>
      </w:pPr>
    </w:p>
    <w:p w14:paraId="7C1D9881" w14:textId="77777777" w:rsidR="00F34181" w:rsidRDefault="00F34181"/>
    <w:sectPr w:rsidR="00F34181" w:rsidSect="00636F2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A9EA" w14:textId="77777777" w:rsidR="00C24284" w:rsidRDefault="00C24284" w:rsidP="00B318FA">
      <w:pPr>
        <w:spacing w:after="0" w:line="240" w:lineRule="auto"/>
      </w:pPr>
      <w:r>
        <w:separator/>
      </w:r>
    </w:p>
  </w:endnote>
  <w:endnote w:type="continuationSeparator" w:id="0">
    <w:p w14:paraId="2245C71F" w14:textId="77777777" w:rsidR="00C24284" w:rsidRDefault="00C24284" w:rsidP="00B31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3A29D" w14:textId="77777777" w:rsidR="00C24284" w:rsidRDefault="00C24284" w:rsidP="00B318FA">
      <w:pPr>
        <w:spacing w:after="0" w:line="240" w:lineRule="auto"/>
      </w:pPr>
      <w:r>
        <w:separator/>
      </w:r>
    </w:p>
  </w:footnote>
  <w:footnote w:type="continuationSeparator" w:id="0">
    <w:p w14:paraId="16890D8D" w14:textId="77777777" w:rsidR="00C24284" w:rsidRDefault="00C24284" w:rsidP="00B318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8FA"/>
    <w:rsid w:val="00002773"/>
    <w:rsid w:val="003148E0"/>
    <w:rsid w:val="00636F2C"/>
    <w:rsid w:val="00A808BF"/>
    <w:rsid w:val="00B318FA"/>
    <w:rsid w:val="00C24284"/>
    <w:rsid w:val="00F3418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425286"/>
  <w15:chartTrackingRefBased/>
  <w15:docId w15:val="{15248F7A-972C-4FB6-92DB-B2E2DC21D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8FA"/>
    <w:rPr>
      <w:lang w:val="en-US"/>
    </w:rPr>
  </w:style>
  <w:style w:type="paragraph" w:styleId="Heading1">
    <w:name w:val="heading 1"/>
    <w:basedOn w:val="Normal"/>
    <w:next w:val="Normal"/>
    <w:link w:val="Heading1Char"/>
    <w:uiPriority w:val="9"/>
    <w:qFormat/>
    <w:rsid w:val="00B318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148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18FA"/>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3148E0"/>
    <w:rPr>
      <w:rFonts w:asciiTheme="majorHAnsi" w:eastAsiaTheme="majorEastAsia" w:hAnsiTheme="majorHAnsi" w:cstheme="majorBidi"/>
      <w:color w:val="2F5496"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endnotes" Target="endnotes.xml"/><Relationship Id="rId10" Type="http://schemas.openxmlformats.org/officeDocument/2006/relationships/image" Target="media/image5.emf"/><Relationship Id="rId4" Type="http://schemas.openxmlformats.org/officeDocument/2006/relationships/footnotes" Target="footnote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Silas Vick</dc:creator>
  <cp:keywords/>
  <dc:description/>
  <cp:lastModifiedBy>Silas Vick</cp:lastModifiedBy>
  <cp:revision>3</cp:revision>
  <dcterms:created xsi:type="dcterms:W3CDTF">2021-12-02T13:43:00Z</dcterms:created>
  <dcterms:modified xsi:type="dcterms:W3CDTF">2022-04-13T09:56:00Z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2021-12-02T13:43:34Z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b5d86b4f-f5cc-444d-b5c6-85af05c76d4d</vt:lpwstr>
  </property>
  <property fmtid="{D5CDD505-2E9C-101B-9397-08002B2CF9AE}" pid="8" name="MSIP_Label_d0484126-3486-41a9-802e-7f1e2277276c_ContentBits">
    <vt:lpwstr>0</vt:lpwstr>
  </property>
</Properties>
</file>