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Arial" w:hAnsi="Arial" w:cs="Arial"/>
          <w:color w:val="787878"/>
          <w:sz w:val="21"/>
          <w:szCs w:val="21"/>
        </w:rPr>
      </w:pPr>
      <w:r>
        <w:rPr>
          <w:rFonts w:ascii="Arial" w:hAnsi="Arial" w:cs="Arial"/>
          <w:color w:val="787878"/>
          <w:sz w:val="21"/>
          <w:szCs w:val="21"/>
        </w:rPr>
        <w:t>Title: 120 characters</w:t>
      </w:r>
    </w:p>
    <w:p>
      <w:pPr>
        <w:rPr>
          <w:rFonts w:ascii="Arial" w:hAnsi="Arial" w:cs="Arial"/>
          <w:color w:val="787878"/>
          <w:sz w:val="21"/>
          <w:szCs w:val="21"/>
        </w:rPr>
      </w:pPr>
      <w:bookmarkStart w:id="0" w:name="_GoBack"/>
      <w:r>
        <w:rPr>
          <w:rFonts w:ascii="Arial" w:hAnsi="Arial" w:cs="Arial"/>
          <w:color w:val="787878"/>
          <w:sz w:val="21"/>
          <w:szCs w:val="21"/>
        </w:rPr>
        <w:t>MUTATIONS IN KRAS AND DNMT3A ARE NOT RELATED TO DEPENDENCY IN ESTABLISHED TUMORS, IN PDX ACUTE LEUKEMIA MODEL IN VIVO</w:t>
      </w:r>
      <w:bookmarkEnd w:id="0"/>
      <w:r>
        <w:rPr>
          <w:rFonts w:ascii="Arial" w:hAnsi="Arial" w:cs="Arial"/>
          <w:color w:val="787878"/>
          <w:sz w:val="21"/>
          <w:szCs w:val="21"/>
        </w:rPr>
        <w:t xml:space="preserve"> </w:t>
      </w:r>
    </w:p>
    <w:p>
      <w:pPr>
        <w:rPr>
          <w:rFonts w:ascii="Arial" w:hAnsi="Arial" w:cs="Arial"/>
          <w:color w:val="787878"/>
          <w:sz w:val="21"/>
          <w:szCs w:val="21"/>
        </w:rPr>
      </w:pPr>
      <w:r>
        <w:rPr>
          <w:rFonts w:ascii="Arial" w:hAnsi="Arial" w:cs="Arial"/>
          <w:color w:val="787878"/>
          <w:sz w:val="21"/>
          <w:szCs w:val="21"/>
        </w:rPr>
        <w:t xml:space="preserve">Authors: </w:t>
      </w:r>
    </w:p>
    <w:p>
      <w:pPr>
        <w:rPr>
          <w:rFonts w:ascii="Arial" w:hAnsi="Arial" w:cs="Arial"/>
          <w:color w:val="787878"/>
          <w:sz w:val="21"/>
          <w:szCs w:val="21"/>
        </w:rPr>
      </w:pPr>
      <w:r>
        <w:rPr>
          <w:rFonts w:ascii="Arial" w:hAnsi="Arial" w:cs="Arial"/>
          <w:color w:val="787878"/>
          <w:sz w:val="21"/>
          <w:szCs w:val="21"/>
          <w:u w:val="single"/>
        </w:rPr>
        <w:t>Y. gao</w:t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1</w:t>
      </w:r>
      <w:r>
        <w:rPr>
          <w:rFonts w:ascii="Arial" w:hAnsi="Arial" w:cs="Arial"/>
          <w:color w:val="787878"/>
          <w:sz w:val="21"/>
          <w:szCs w:val="21"/>
        </w:rPr>
        <w:t>, M. Ghalandary</w:t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1</w:t>
      </w:r>
      <w:r>
        <w:rPr>
          <w:rFonts w:ascii="Arial" w:hAnsi="Arial" w:cs="Arial"/>
          <w:color w:val="787878"/>
          <w:sz w:val="21"/>
          <w:szCs w:val="21"/>
        </w:rPr>
        <w:t>, M. Becker</w:t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1</w:t>
      </w:r>
      <w:r>
        <w:rPr>
          <w:rFonts w:ascii="Arial" w:hAnsi="Arial" w:cs="Arial"/>
          <w:color w:val="787878"/>
          <w:sz w:val="21"/>
          <w:szCs w:val="21"/>
        </w:rPr>
        <w:t>, D. Amend</w:t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1</w:t>
      </w:r>
      <w:r>
        <w:rPr>
          <w:rFonts w:ascii="Arial" w:hAnsi="Arial" w:cs="Arial"/>
          <w:color w:val="787878"/>
          <w:sz w:val="21"/>
          <w:szCs w:val="21"/>
        </w:rPr>
        <w:t>, M. Rothenberg-Thurley</w:t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787878"/>
          <w:sz w:val="21"/>
          <w:szCs w:val="21"/>
        </w:rPr>
        <w:t>, K. Metzeler</w:t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2</w:t>
      </w:r>
      <w:proofErr w:type="gramStart"/>
      <w:r>
        <w:rPr>
          <w:rFonts w:ascii="Arial" w:hAnsi="Arial" w:cs="Arial"/>
          <w:color w:val="787878"/>
          <w:sz w:val="16"/>
          <w:szCs w:val="16"/>
          <w:vertAlign w:val="superscript"/>
        </w:rPr>
        <w:t>,3</w:t>
      </w:r>
      <w:proofErr w:type="gramEnd"/>
      <w:r>
        <w:rPr>
          <w:rFonts w:ascii="Arial" w:hAnsi="Arial" w:cs="Arial"/>
          <w:color w:val="787878"/>
          <w:sz w:val="21"/>
          <w:szCs w:val="21"/>
        </w:rPr>
        <w:t>, I. Jeremias</w:t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1,4,5</w:t>
      </w:r>
      <w:r>
        <w:rPr>
          <w:rFonts w:ascii="Arial" w:hAnsi="Arial" w:cs="Arial"/>
          <w:color w:val="787878"/>
          <w:sz w:val="21"/>
          <w:szCs w:val="21"/>
        </w:rPr>
        <w:t>.</w:t>
      </w:r>
      <w:r>
        <w:rPr>
          <w:rFonts w:ascii="Arial" w:hAnsi="Arial" w:cs="Arial"/>
          <w:color w:val="787878"/>
          <w:sz w:val="21"/>
          <w:szCs w:val="21"/>
        </w:rPr>
        <w:br/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1</w:t>
      </w:r>
      <w:r>
        <w:rPr>
          <w:rFonts w:ascii="Arial" w:hAnsi="Arial" w:cs="Arial"/>
          <w:color w:val="787878"/>
          <w:sz w:val="21"/>
          <w:szCs w:val="21"/>
        </w:rPr>
        <w:t>German Research Center for Environmental Health HMGU, Research Unit Apoptosis in Hematopoietic Stem Cells, Munich, Germany.</w:t>
      </w:r>
      <w:r>
        <w:rPr>
          <w:rFonts w:ascii="Arial" w:hAnsi="Arial" w:cs="Arial"/>
          <w:color w:val="787878"/>
          <w:sz w:val="21"/>
          <w:szCs w:val="21"/>
        </w:rPr>
        <w:br/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787878"/>
          <w:sz w:val="21"/>
          <w:szCs w:val="21"/>
        </w:rPr>
        <w:t xml:space="preserve">University Hospital- Ludwig </w:t>
      </w:r>
      <w:proofErr w:type="spellStart"/>
      <w:r>
        <w:rPr>
          <w:rFonts w:ascii="Arial" w:hAnsi="Arial" w:cs="Arial"/>
          <w:color w:val="787878"/>
          <w:sz w:val="21"/>
          <w:szCs w:val="21"/>
        </w:rPr>
        <w:t>Maximilians</w:t>
      </w:r>
      <w:proofErr w:type="spellEnd"/>
      <w:r>
        <w:rPr>
          <w:rFonts w:ascii="Arial" w:hAnsi="Arial" w:cs="Arial"/>
          <w:color w:val="787878"/>
          <w:sz w:val="21"/>
          <w:szCs w:val="21"/>
        </w:rPr>
        <w:t xml:space="preserve"> University LMU, Laboratory for Leukemia Diagnostics- Department of Medicine III, Munich, Germany.</w:t>
      </w:r>
      <w:r>
        <w:rPr>
          <w:rFonts w:ascii="Arial" w:hAnsi="Arial" w:cs="Arial"/>
          <w:color w:val="787878"/>
          <w:sz w:val="21"/>
          <w:szCs w:val="21"/>
        </w:rPr>
        <w:br/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787878"/>
          <w:sz w:val="21"/>
          <w:szCs w:val="21"/>
        </w:rPr>
        <w:t>University Hospital Leipzig, Department of Hematology and Cell Therapy, Leipzig, Germany.</w:t>
      </w:r>
      <w:r>
        <w:rPr>
          <w:rFonts w:ascii="Arial" w:hAnsi="Arial" w:cs="Arial"/>
          <w:color w:val="787878"/>
          <w:sz w:val="21"/>
          <w:szCs w:val="21"/>
        </w:rPr>
        <w:br/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4</w:t>
      </w:r>
      <w:r>
        <w:rPr>
          <w:rFonts w:ascii="Arial" w:hAnsi="Arial" w:cs="Arial"/>
          <w:color w:val="787878"/>
          <w:sz w:val="21"/>
          <w:szCs w:val="21"/>
        </w:rPr>
        <w:t xml:space="preserve">University Hospital- Ludwig </w:t>
      </w:r>
      <w:proofErr w:type="spellStart"/>
      <w:r>
        <w:rPr>
          <w:rFonts w:ascii="Arial" w:hAnsi="Arial" w:cs="Arial"/>
          <w:color w:val="787878"/>
          <w:sz w:val="21"/>
          <w:szCs w:val="21"/>
        </w:rPr>
        <w:t>Maximilians</w:t>
      </w:r>
      <w:proofErr w:type="spellEnd"/>
      <w:r>
        <w:rPr>
          <w:rFonts w:ascii="Arial" w:hAnsi="Arial" w:cs="Arial"/>
          <w:color w:val="787878"/>
          <w:sz w:val="21"/>
          <w:szCs w:val="21"/>
        </w:rPr>
        <w:t xml:space="preserve"> University LMU, Department of Pediatrics, Munich, Germany.</w:t>
      </w:r>
      <w:r>
        <w:rPr>
          <w:rFonts w:ascii="Arial" w:hAnsi="Arial" w:cs="Arial"/>
          <w:color w:val="787878"/>
          <w:sz w:val="21"/>
          <w:szCs w:val="21"/>
        </w:rPr>
        <w:br/>
      </w:r>
      <w:r>
        <w:rPr>
          <w:rFonts w:ascii="Arial" w:hAnsi="Arial" w:cs="Arial"/>
          <w:color w:val="787878"/>
          <w:sz w:val="16"/>
          <w:szCs w:val="16"/>
          <w:vertAlign w:val="superscript"/>
        </w:rPr>
        <w:t>5</w:t>
      </w:r>
      <w:r>
        <w:rPr>
          <w:rFonts w:ascii="Arial" w:hAnsi="Arial" w:cs="Arial"/>
          <w:color w:val="787878"/>
          <w:sz w:val="21"/>
          <w:szCs w:val="21"/>
        </w:rPr>
        <w:t>Partner Site Munich, German Cancer Consortium DKTK, Munich, Germany.</w:t>
      </w:r>
      <w:r>
        <w:rPr>
          <w:rFonts w:ascii="Arial" w:hAnsi="Arial" w:cs="Arial"/>
          <w:color w:val="787878"/>
          <w:sz w:val="21"/>
          <w:szCs w:val="21"/>
        </w:rPr>
        <w:br/>
      </w:r>
    </w:p>
    <w:p>
      <w:pPr>
        <w:rPr>
          <w:rFonts w:ascii="Arial" w:hAnsi="Arial" w:cs="Arial"/>
          <w:color w:val="787878"/>
          <w:sz w:val="21"/>
          <w:szCs w:val="21"/>
        </w:rPr>
      </w:pPr>
      <w:r>
        <w:rPr>
          <w:rFonts w:ascii="Arial" w:hAnsi="Arial" w:cs="Arial"/>
          <w:color w:val="787878"/>
          <w:sz w:val="21"/>
          <w:szCs w:val="21"/>
        </w:rPr>
        <w:t>Abstract Text: 1200 characters</w:t>
      </w:r>
    </w:p>
    <w:p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787878"/>
          <w:sz w:val="21"/>
          <w:szCs w:val="21"/>
        </w:rPr>
      </w:pPr>
      <w:r>
        <w:rPr>
          <w:rFonts w:ascii="Arial" w:hAnsi="Arial" w:cs="Arial"/>
          <w:color w:val="787878"/>
          <w:sz w:val="21"/>
          <w:szCs w:val="21"/>
        </w:rPr>
        <w:t>The role of oncogenic mutations was not clear in patients' established tumors. We studied the dependency of frequently mutated genes in established AML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in vivo</w:t>
      </w:r>
      <w:r>
        <w:rPr>
          <w:rFonts w:ascii="Arial" w:hAnsi="Arial" w:cs="Arial"/>
          <w:color w:val="787878"/>
          <w:sz w:val="21"/>
          <w:szCs w:val="21"/>
        </w:rPr>
        <w:t xml:space="preserve"> using genetic engineered PDX models. A CRISPR/Cas9 library was tested in </w:t>
      </w:r>
      <w:proofErr w:type="gramStart"/>
      <w:r>
        <w:rPr>
          <w:rFonts w:ascii="Arial" w:hAnsi="Arial" w:cs="Arial"/>
          <w:color w:val="787878"/>
          <w:sz w:val="21"/>
          <w:szCs w:val="21"/>
        </w:rPr>
        <w:t>2</w:t>
      </w:r>
      <w:proofErr w:type="gramEnd"/>
      <w:r>
        <w:rPr>
          <w:rFonts w:ascii="Arial" w:hAnsi="Arial" w:cs="Arial"/>
          <w:color w:val="787878"/>
          <w:sz w:val="21"/>
          <w:szCs w:val="21"/>
        </w:rPr>
        <w:t xml:space="preserve"> PDX models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in vivo</w:t>
      </w:r>
      <w:r>
        <w:rPr>
          <w:rFonts w:ascii="Arial" w:hAnsi="Arial" w:cs="Arial"/>
          <w:color w:val="787878"/>
          <w:sz w:val="21"/>
          <w:szCs w:val="21"/>
        </w:rPr>
        <w:t>. In hit validation experiments, knockout of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NPM1</w:t>
      </w:r>
      <w:r>
        <w:rPr>
          <w:rFonts w:ascii="Arial" w:hAnsi="Arial" w:cs="Arial"/>
          <w:color w:val="787878"/>
          <w:sz w:val="21"/>
          <w:szCs w:val="21"/>
        </w:rPr>
        <w:t> abrogated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in vivo</w:t>
      </w:r>
      <w:r>
        <w:rPr>
          <w:rFonts w:ascii="Arial" w:hAnsi="Arial" w:cs="Arial"/>
          <w:color w:val="787878"/>
          <w:sz w:val="21"/>
          <w:szCs w:val="21"/>
        </w:rPr>
        <w:t> growth in all PDX models, reproducing the known common essential function.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KRAS</w:t>
      </w:r>
      <w:r>
        <w:rPr>
          <w:rFonts w:ascii="Arial" w:hAnsi="Arial" w:cs="Arial"/>
          <w:color w:val="787878"/>
          <w:sz w:val="21"/>
          <w:szCs w:val="21"/>
        </w:rPr>
        <w:t xml:space="preserve"> proved an essential function in PDX models with and without a 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KRAS</w:t>
      </w:r>
      <w:r>
        <w:rPr>
          <w:rFonts w:ascii="Arial" w:hAnsi="Arial" w:cs="Arial"/>
          <w:color w:val="787878"/>
          <w:sz w:val="21"/>
          <w:szCs w:val="21"/>
        </w:rPr>
        <w:t xml:space="preserve"> mutation, suggesting that AML patients might beneﬁt from treatment inhibiting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KRAS,</w:t>
      </w:r>
      <w:r>
        <w:rPr>
          <w:rFonts w:ascii="Arial" w:hAnsi="Arial" w:cs="Arial"/>
          <w:color w:val="787878"/>
          <w:sz w:val="21"/>
          <w:szCs w:val="21"/>
        </w:rPr>
        <w:t xml:space="preserve"> no matter with or without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KRAS</w:t>
      </w:r>
      <w:r>
        <w:rPr>
          <w:rFonts w:ascii="Arial" w:hAnsi="Arial" w:cs="Arial"/>
          <w:color w:val="787878"/>
          <w:sz w:val="21"/>
          <w:szCs w:val="21"/>
        </w:rPr>
        <w:t xml:space="preserve"> mutation. 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DNMT3A</w:t>
      </w:r>
      <w:r>
        <w:rPr>
          <w:rFonts w:ascii="Arial" w:hAnsi="Arial" w:cs="Arial"/>
          <w:color w:val="787878"/>
          <w:sz w:val="21"/>
          <w:szCs w:val="21"/>
        </w:rPr>
        <w:t> were not essential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in vitro</w:t>
      </w:r>
      <w:r>
        <w:rPr>
          <w:rFonts w:ascii="Arial" w:hAnsi="Arial" w:cs="Arial"/>
          <w:color w:val="787878"/>
          <w:sz w:val="21"/>
          <w:szCs w:val="21"/>
        </w:rPr>
        <w:t xml:space="preserve"> in AML cell lines. </w:t>
      </w:r>
      <w:proofErr w:type="gramStart"/>
      <w:r>
        <w:rPr>
          <w:rFonts w:ascii="Arial" w:hAnsi="Arial" w:cs="Arial"/>
          <w:color w:val="787878"/>
          <w:sz w:val="21"/>
          <w:szCs w:val="21"/>
        </w:rPr>
        <w:t>But</w:t>
      </w:r>
      <w:proofErr w:type="gramEnd"/>
      <w:r>
        <w:rPr>
          <w:rFonts w:ascii="Arial" w:hAnsi="Arial" w:cs="Arial"/>
          <w:color w:val="787878"/>
          <w:sz w:val="21"/>
          <w:szCs w:val="21"/>
        </w:rPr>
        <w:t xml:space="preserve"> knockout 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DNMT3A</w:t>
      </w:r>
      <w:r>
        <w:rPr>
          <w:rFonts w:ascii="Arial" w:hAnsi="Arial" w:cs="Arial"/>
          <w:color w:val="787878"/>
          <w:sz w:val="21"/>
          <w:szCs w:val="21"/>
        </w:rPr>
        <w:t xml:space="preserve"> vanished cells in certain PDX models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in vivo</w:t>
      </w:r>
      <w:r>
        <w:rPr>
          <w:rFonts w:ascii="Arial" w:hAnsi="Arial" w:cs="Arial"/>
          <w:color w:val="787878"/>
          <w:sz w:val="21"/>
          <w:szCs w:val="21"/>
        </w:rPr>
        <w:t xml:space="preserve"> and was unrelated to whether mutated or not. These data highlight the complementary use of PDX models to study gene dependencies. We conclude that both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KRAS</w:t>
      </w:r>
      <w:r>
        <w:rPr>
          <w:rFonts w:ascii="Arial" w:hAnsi="Arial" w:cs="Arial"/>
          <w:color w:val="787878"/>
          <w:sz w:val="21"/>
          <w:szCs w:val="21"/>
        </w:rPr>
        <w:t> and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DNMT3A</w:t>
      </w:r>
      <w:r>
        <w:rPr>
          <w:rFonts w:ascii="Arial" w:hAnsi="Arial" w:cs="Arial"/>
          <w:color w:val="787878"/>
          <w:sz w:val="21"/>
          <w:szCs w:val="21"/>
        </w:rPr>
        <w:t> harbor an essential function in certain patients' established AML </w:t>
      </w:r>
      <w:r>
        <w:rPr>
          <w:rStyle w:val="Emphasis"/>
          <w:rFonts w:ascii="Arial" w:hAnsi="Arial" w:cs="Arial"/>
          <w:color w:val="787878"/>
          <w:sz w:val="21"/>
          <w:szCs w:val="21"/>
        </w:rPr>
        <w:t>in vivo</w:t>
      </w:r>
      <w:r>
        <w:rPr>
          <w:rFonts w:ascii="Arial" w:hAnsi="Arial" w:cs="Arial"/>
          <w:color w:val="787878"/>
          <w:sz w:val="21"/>
          <w:szCs w:val="21"/>
        </w:rPr>
        <w:t>, although independently from whether there is a mutation or not. Warranting veriﬁcation in additional patient samples, oncogenes and tumor entities, our data indicate re-consider basic principles of decision-making in Molecular Tumor Boards.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4B258-2186-48EF-81B5-A60CF1A3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3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621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32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65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500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36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73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yuqiao.gao</dc:creator>
  <cp:keywords/>
  <dc:description/>
  <cp:lastModifiedBy>yuqiao.gao</cp:lastModifiedBy>
  <cp:revision>8</cp:revision>
  <dcterms:created xsi:type="dcterms:W3CDTF">2022-03-23T15:47:00Z</dcterms:created>
  <dcterms:modified xsi:type="dcterms:W3CDTF">2022-03-23T22:26:00Z</dcterms:modified>
</cp:coreProperties>
</file>