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Times New Roman" w:hAnsi="Times New Roman" w:cs="Times New Roman"/>
          <w:b/>
          <w:bCs/>
          <w:color w:val="000000" w:themeColor="text1"/>
        </w:rPr>
      </w:pPr>
      <w:bookmarkStart w:id="0" w:name="_GoBack"/>
      <w:bookmarkEnd w:id="0"/>
      <w:r>
        <w:rPr>
          <w:rFonts w:ascii="Times New Roman" w:hAnsi="Times New Roman" w:cs="Times New Roman"/>
          <w:b/>
          <w:bCs/>
          <w:color w:val="000000" w:themeColor="text1"/>
        </w:rPr>
        <w:t>Supplementary Information</w:t>
      </w:r>
    </w:p>
    <w:p>
      <w:pPr>
        <w:jc w:val="center"/>
        <w:rPr>
          <w:rFonts w:ascii="Times New Roman" w:hAnsi="Times New Roman" w:cs="Times New Roman"/>
          <w:b/>
          <w:bCs/>
          <w:color w:val="000000" w:themeColor="text1"/>
        </w:rPr>
      </w:pPr>
    </w:p>
    <w:p>
      <w:pPr>
        <w:rPr>
          <w:rFonts w:ascii="Times New Roman" w:hAnsi="Times New Roman" w:cs="Times New Roman"/>
          <w:b/>
          <w:bCs/>
          <w:color w:val="000000" w:themeColor="text1"/>
        </w:rPr>
      </w:pPr>
      <w:r>
        <w:rPr>
          <w:rFonts w:ascii="Times New Roman" w:hAnsi="Times New Roman" w:cs="Times New Roman"/>
          <w:b/>
          <w:bCs/>
          <w:color w:val="000000" w:themeColor="text1"/>
        </w:rPr>
        <w:t>Supplementary Methods</w:t>
      </w:r>
    </w:p>
    <w:p>
      <w:pPr>
        <w:jc w:val="both"/>
        <w:rPr>
          <w:rFonts w:ascii="Times New Roman" w:hAnsi="Times New Roman" w:cs="Times New Roman"/>
          <w:b/>
          <w:bCs/>
          <w:color w:val="000000" w:themeColor="text1"/>
        </w:rPr>
      </w:pPr>
      <w:r>
        <w:rPr>
          <w:rFonts w:ascii="Times New Roman" w:hAnsi="Times New Roman" w:cs="Times New Roman"/>
          <w:b/>
          <w:bCs/>
          <w:color w:val="000000" w:themeColor="text1"/>
        </w:rPr>
        <w:t>WRF/UCM model setting</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 First, according to related research focused at a similar scale</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&lt;EndNote&gt;&lt;Cite&gt;&lt;Author&gt;Krayenhoff&lt;/Author&gt;&lt;Year&gt;2018&lt;/Year&gt;&lt;RecNum&gt;629&lt;/RecNum&gt;&lt;DisplayText&gt;&lt;style face="superscript"&gt;1&lt;/style&gt;&lt;/DisplayText&gt;&lt;record&gt;&lt;rec-number&gt;629&lt;/rec-number&gt;&lt;foreign-keys&gt;&lt;key app="EN" db-id="0vp2p0ptdvdaf4erwesvxax0d5sezasrfx50" timestamp="1577679244"&gt;629&lt;/key&gt;&lt;/foreign-keys&gt;&lt;ref-type name="Journal Article"&gt;17&lt;/ref-type&gt;&lt;contributors&gt;&lt;authors&gt;&lt;author&gt;Krayenhoff, E Scott&lt;/author&gt;&lt;author&gt;Moustaoui, Mohamed&lt;/author&gt;&lt;author&gt;Broadbent, Ashley M&lt;/author&gt;&lt;author&gt;Gupta, Vishesh&lt;/author&gt;&lt;author&gt;Georgescu, Matei&lt;/author&gt;&lt;/authors&gt;&lt;/contributors&gt;&lt;titles&gt;&lt;title&gt;Diurnal interaction between urban expansion, climate change and adaptation in US cities&lt;/title&gt;&lt;secondary-title&gt;Nature Climate Change&lt;/secondary-title&gt;&lt;/titles&gt;&lt;periodical&gt;&lt;full-title&gt;Nature Climate Change&lt;/full-title&gt;&lt;abbr-1&gt;Nat Clim Change&lt;/abbr-1&gt;&lt;/periodical&gt;&lt;pages&gt;1097&lt;/pages&gt;&lt;volume&gt;8&lt;/volume&gt;&lt;number&gt;12&lt;/number&gt;&lt;dates&gt;&lt;year&gt;2018&lt;/year&gt;&lt;/dates&gt;&lt;isbn&gt;1758-6798&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we selected some important </w:t>
      </w:r>
      <w:bookmarkStart w:id="1" w:name="OLE_LINK281"/>
      <w:bookmarkStart w:id="2" w:name="OLE_LINK282"/>
      <w:r>
        <w:rPr>
          <w:rFonts w:ascii="Times New Roman" w:hAnsi="Times New Roman" w:cs="Times New Roman"/>
          <w:color w:val="000000" w:themeColor="text1"/>
        </w:rPr>
        <w:t>physical attributes</w:t>
      </w:r>
      <w:bookmarkEnd w:id="1"/>
      <w:bookmarkEnd w:id="2"/>
      <w:r>
        <w:rPr>
          <w:rFonts w:ascii="Times New Roman" w:hAnsi="Times New Roman" w:cs="Times New Roman"/>
          <w:color w:val="000000" w:themeColor="text1"/>
        </w:rPr>
        <w:t xml:space="preserve"> and model options for the WRF, which are detailed in Supplementary Table 3.</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 In terms of the initial boundary conditions</w:t>
      </w:r>
      <w:r>
        <w:rPr>
          <w:rFonts w:ascii="Times New Roman" w:eastAsia="Times New Roman" w:hAnsi="Times New Roman" w:cs="Times New Roman"/>
          <w:color w:val="000000" w:themeColor="text1"/>
        </w:rPr>
        <w:t xml:space="preserve"> under the RCP 6.0 scenario, </w:t>
      </w:r>
      <w:r>
        <w:rPr>
          <w:rFonts w:ascii="Times New Roman" w:hAnsi="Times New Roman" w:cs="Times New Roman"/>
          <w:color w:val="000000" w:themeColor="text1"/>
        </w:rPr>
        <w:t>we used the global bias-corrected dataset outputs from NCAR’s Community Earth System Model, which participated in phase 5 of the Coupled Model Intercomparison Project (CMIP5) (https://rda.ucar.edu/datasets/ds316.1/index.html/) and supported the Intergovernmental Panel on Climate Change Fifth Assessment Report (IPCC AR5). This dataset contains all the variables needed in this study for simulations with the WRF model, which has been widely used in previous studies about future urban climate under different climate change assumptions</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&lt;EndNote&gt;&lt;Cite&gt;&lt;Author&gt;Krayenhoff&lt;/Author&gt;&lt;Year&gt;2018&lt;/Year&gt;&lt;RecNum&gt;629&lt;/RecNum&gt;&lt;DisplayText&gt;&lt;style face="superscript"&gt;1, 2&lt;/style&gt;&lt;/DisplayText&gt;&lt;record&gt;&lt;rec-number&gt;629&lt;/rec-number&gt;&lt;foreign-keys&gt;&lt;key app="EN" db-id="0vp2p0ptdvdaf4erwesvxax0d5sezasrfx50" timestamp="1577679244"&gt;629&lt;/key&gt;&lt;/foreign-keys&gt;&lt;ref-type name="Journal Article"&gt;17&lt;/ref-type&gt;&lt;contributors&gt;&lt;authors&gt;&lt;author&gt;Krayenhoff, E Scott&lt;/author&gt;&lt;author&gt;Moustaoui, Mohamed&lt;/author&gt;&lt;author&gt;Broadbent, Ashley M&lt;/author&gt;&lt;author&gt;Gupta, Vishesh&lt;/author&gt;&lt;author&gt;Georgescu, Matei&lt;/author&gt;&lt;/authors&gt;&lt;/contributors&gt;&lt;titles&gt;&lt;title&gt;Diurnal interaction between urban expansion, climate change and adaptation in US cities&lt;/title&gt;&lt;secondary-title&gt;Nature Climate Change&lt;/secondary-title&gt;&lt;/titles&gt;&lt;periodical&gt;&lt;full-title&gt;Nature Climate Change&lt;/full-title&gt;&lt;abbr-1&gt;Nat Clim Change&lt;/abbr-1&gt;&lt;/periodical&gt;&lt;pages&gt;1097&lt;/pages&gt;&lt;volume&gt;8&lt;/volume&gt;&lt;number&gt;12&lt;/number&gt;&lt;dates&gt;&lt;year&gt;2018&lt;/year&gt;&lt;/dates&gt;&lt;isbn&gt;1758-6798&lt;/isbn&gt;&lt;urls&gt;&lt;/urls&gt;&lt;/record&gt;&lt;/Cite&gt;&lt;Cite&gt;&lt;Author&gt;Broadbent&lt;/Author&gt;&lt;Year&gt;2020&lt;/Year&gt;&lt;RecNum&gt;1330&lt;/RecNum&gt;&lt;record&gt;&lt;rec-number&gt;1330&lt;/rec-number&gt;&lt;foreign-keys&gt;&lt;key app="EN" db-id="0vp2p0ptdvdaf4erwesvxax0d5sezasrfx50" timestamp="1647520855"&gt;1330&lt;/key&gt;&lt;/foreign-keys&gt;&lt;ref-type name="Journal Article"&gt;17&lt;/ref-type&gt;&lt;contributors&gt;&lt;authors&gt;&lt;author&gt;Broadbent, Ashley Mark&lt;/author&gt;&lt;author&gt;Krayenhoff, Eric Scott&lt;/author&gt;&lt;author&gt;Georgescu, Matei&lt;/author&gt;&lt;/authors&gt;&lt;/contributors&gt;&lt;titles&gt;&lt;title&gt;The motley drivers of heat and cold exposure in 21st century US cities&lt;/title&gt;&lt;secondary-title&gt;Proceedings of the National Academy of Sciences&lt;/secondary-title&gt;&lt;/titles&gt;&lt;periodical&gt;&lt;full-title&gt;Proceedings of the National Academy of Sciences&lt;/full-title&gt;&lt;/periodical&gt;&lt;pages&gt;21108-21117&lt;/pages&gt;&lt;volume&gt;117&lt;/volume&gt;&lt;number&gt;35&lt;/number&gt;&lt;dates&gt;&lt;year&gt;2020&lt;/year&gt;&lt;/dates&gt;&lt;isbn&gt;0027-8424&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1, 2</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For the baseline scenario, we selected the NCEP Final (FNL) Operational Global Analysis data as the initial boundary conditions. These data are on 1 degree by 1 degree grids prepared operationally every six hours. This product is from the Global Data Assimilation System and other sources (https://rda.ucar.edu/datasets/ds083.2/).</w:t>
      </w:r>
    </w:p>
    <w:p>
      <w:pPr>
        <w:ind w:firstLineChars="150" w:firstLine="360"/>
        <w:jc w:val="both"/>
        <w:rPr>
          <w:rFonts w:ascii="Times New Roman" w:hAnsi="Times New Roman" w:cs="Times New Roman"/>
          <w:color w:val="000000" w:themeColor="text1"/>
        </w:rPr>
      </w:pPr>
      <w:bookmarkStart w:id="3" w:name="OLE_LINK41"/>
      <w:bookmarkStart w:id="4" w:name="OLE_LINK42"/>
      <w:r>
        <w:rPr>
          <w:rFonts w:ascii="Times New Roman" w:hAnsi="Times New Roman" w:cs="Times New Roman"/>
          <w:color w:val="000000" w:themeColor="text1"/>
        </w:rPr>
        <w:t xml:space="preserve">The spatial patterns of contemporary </w:t>
      </w:r>
      <w:bookmarkStart w:id="5" w:name="OLE_LINK50"/>
      <w:bookmarkStart w:id="6" w:name="OLE_LINK51"/>
      <w:r>
        <w:rPr>
          <w:rFonts w:ascii="Times New Roman" w:hAnsi="Times New Roman" w:cs="Times New Roman"/>
          <w:color w:val="000000" w:themeColor="text1"/>
        </w:rPr>
        <w:t xml:space="preserve">urban areas were obtained from the </w:t>
      </w:r>
      <w:bookmarkEnd w:id="3"/>
      <w:bookmarkEnd w:id="4"/>
      <w:r>
        <w:rPr>
          <w:rFonts w:ascii="Times New Roman" w:hAnsi="Times New Roman" w:cs="Times New Roman"/>
          <w:color w:val="000000" w:themeColor="text1"/>
        </w:rPr>
        <w:t>Chinese Academy of Sciences Resource and Environmental Science Data Center (http://www.resdc.cn/)</w:t>
      </w:r>
      <w:bookmarkEnd w:id="5"/>
      <w:bookmarkEnd w:id="6"/>
      <w:r>
        <w:rPr>
          <w:rFonts w:ascii="Times New Roman" w:hAnsi="Times New Roman" w:cs="Times New Roman"/>
          <w:color w:val="000000" w:themeColor="text1"/>
        </w:rPr>
        <w:t>.</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To divide the urban grids into three types, we treated urban grids with populations greater than 1 million as commercial centers, those with populations greater than </w:t>
      </w:r>
      <w:bookmarkStart w:id="7" w:name="OLE_LINK88"/>
      <w:bookmarkStart w:id="8" w:name="OLE_LINK89"/>
      <w:r>
        <w:rPr>
          <w:rFonts w:ascii="Times New Roman" w:hAnsi="Times New Roman" w:cs="Times New Roman"/>
          <w:color w:val="000000" w:themeColor="text1"/>
        </w:rPr>
        <w:t>100 thousand</w:t>
      </w:r>
      <w:bookmarkEnd w:id="7"/>
      <w:bookmarkEnd w:id="8"/>
      <w:r>
        <w:rPr>
          <w:rFonts w:ascii="Times New Roman" w:hAnsi="Times New Roman" w:cs="Times New Roman"/>
          <w:color w:val="000000" w:themeColor="text1"/>
        </w:rPr>
        <w:t xml:space="preserve"> and less than 1 million as high-intensity residential areas, and the remaining urban grids as low-intensity residential areas, according to the population and urban area size data for first-tier cities in China according to Chinese government</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&lt;EndNote&gt;&lt;Cite&gt;&lt;Author&gt;PRC&lt;/Author&gt;&lt;Year&gt;2014&lt;/Year&gt;&lt;RecNum&gt;1331&lt;/RecNum&gt;&lt;DisplayText&gt;&lt;style face="superscript"&gt;3&lt;/style&gt;&lt;/DisplayText&gt;&lt;record&gt;&lt;rec-number&gt;1331&lt;/rec-number&gt;&lt;foreign-keys&gt;&lt;key app="EN" db-id="0vp2p0ptdvdaf4erwesvxax0d5sezasrfx50" timestamp="1647521191"&gt;1331&lt;/key&gt;&lt;/foreign-keys&gt;&lt;ref-type name="Web Page"&gt;12&lt;/ref-type&gt;&lt;contributors&gt;&lt;authors&gt;&lt;author&gt;the State Council of the PRC&lt;/author&gt;&lt;/authors&gt;&lt;/contributors&gt;&lt;titles&gt;&lt;title&gt;About Adjusting the Criteria for Urban Size Division&lt;/title&gt;&lt;/titles&gt;&lt;dates&gt;&lt;year&gt;2014&lt;/year&gt;&lt;/dates&gt;&lt;urls&gt;&lt;related-urls&gt;&lt;url&gt;http://www.gov.cn/zhengce/content/2014-11/20/content_9225.htm&lt;/url&gt;&lt;/related-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3</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Other important physical attributes that we modified for the urban canopy model are detailed in Supplementary Table 4.</w:t>
      </w:r>
    </w:p>
    <w:p>
      <w:pPr>
        <w:ind w:firstLineChars="150"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For all the simulations, we set the same modeling domain to include portions of the Pacific Ocean, Mongolia and the Korean Peninsula and all areas of China at 20 km resolution, as shown in Supplementary Fig.5. To consider all changes occurring across all cities and to avoid the influence of nonurban areas, we selected all 20 × 20-km grids </w:t>
      </w:r>
      <w:r>
        <w:rPr>
          <w:rFonts w:ascii="Times New Roman" w:hAnsi="Times New Roman" w:cs="Times New Roman"/>
          <w:color w:val="000000" w:themeColor="text1"/>
        </w:rPr>
        <w:lastRenderedPageBreak/>
        <w:t>with urban land use fractions higher than 10% as urban grids, as 76% of all urban residents were located in these grids.</w:t>
      </w:r>
    </w:p>
    <w:p>
      <w:pPr>
        <w:ind w:firstLineChars="200" w:firstLine="480"/>
        <w:jc w:val="both"/>
        <w:rPr>
          <w:rFonts w:ascii="Times New Roman" w:hAnsi="Times New Roman" w:cs="Times New Roman"/>
          <w:color w:val="000000" w:themeColor="text1"/>
        </w:rPr>
      </w:pPr>
      <w:r>
        <w:rPr>
          <w:rFonts w:ascii="Times New Roman" w:hAnsi="Times New Roman" w:cs="Times New Roman"/>
          <w:color w:val="000000" w:themeColor="text1"/>
        </w:rPr>
        <w:t>To spin up the model, each modeling period began one week before each studied period.</w:t>
      </w:r>
    </w:p>
    <w:p>
      <w:pPr>
        <w:ind w:firstLineChars="200" w:firstLine="480"/>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Details on the calibration of the WRF results from the baseline data against the observed air temperature in the 10 cities are provided in Supplementary Fig.7 and Supplementary Fig.8. </w:t>
      </w:r>
      <w:r>
        <w:rPr>
          <w:rFonts w:ascii="Times New Roman" w:eastAsia="Times New Roman" w:hAnsi="Times New Roman" w:cs="Times New Roman"/>
          <w:color w:val="000000" w:themeColor="text1"/>
        </w:rPr>
        <w:t>Overall, the results demonstrate the ability of the WRF to reproduce the climate of the baseline scenario.</w:t>
      </w:r>
    </w:p>
    <w:p>
      <w:pPr>
        <w:jc w:val="both"/>
        <w:rPr>
          <w:rFonts w:ascii="Times New Roman" w:hAnsi="Times New Roman" w:cs="Times New Roman"/>
          <w:color w:val="000000" w:themeColor="text1"/>
        </w:rPr>
      </w:pPr>
    </w:p>
    <w:p>
      <w:pPr>
        <w:jc w:val="both"/>
        <w:rPr>
          <w:rFonts w:ascii="Times New Roman" w:hAnsi="Times New Roman" w:cs="Times New Roman"/>
          <w:b/>
          <w:bCs/>
          <w:color w:val="000000" w:themeColor="text1"/>
        </w:rPr>
      </w:pPr>
      <w:r>
        <w:rPr>
          <w:rFonts w:ascii="Times New Roman" w:hAnsi="Times New Roman" w:cs="Times New Roman"/>
          <w:b/>
          <w:bCs/>
          <w:color w:val="000000" w:themeColor="text1"/>
        </w:rPr>
        <w:t>WBGT calculation method</w:t>
      </w:r>
    </w:p>
    <w:p>
      <w:pPr>
        <w:ind w:firstLineChars="200" w:firstLine="480"/>
        <w:jc w:val="both"/>
        <w:rPr>
          <w:rFonts w:ascii="Times New Roman" w:hAnsi="Times New Roman" w:cs="Times New Roman"/>
          <w:color w:val="000000" w:themeColor="text1"/>
        </w:rPr>
      </w:pPr>
      <w:r>
        <w:rPr>
          <w:rFonts w:ascii="Times New Roman" w:hAnsi="Times New Roman" w:cs="Times New Roman"/>
          <w:color w:val="000000" w:themeColor="text1"/>
        </w:rPr>
        <w:t>According to the related research</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&lt;EndNote&gt;&lt;Cite&gt;&lt;Author&gt;Andrews&lt;/Author&gt;&lt;Year&gt;2018&lt;/Year&gt;&lt;RecNum&gt;1332&lt;/RecNum&gt;&lt;DisplayText&gt;&lt;style face="superscript"&gt;4&lt;/style&gt;&lt;/DisplayText&gt;&lt;record&gt;&lt;rec-number&gt;1332&lt;/rec-number&gt;&lt;foreign-keys&gt;&lt;key app="EN" db-id="0vp2p0ptdvdaf4erwesvxax0d5sezasrfx50" timestamp="1647521372"&gt;1332&lt;/key&gt;&lt;/foreign-keys&gt;&lt;ref-type name="Journal Article"&gt;17&lt;/ref-type&gt;&lt;contributors&gt;&lt;authors&gt;&lt;author&gt;Andrews, Oliver&lt;/author&gt;&lt;author&gt;Le Quéré, Corinne&lt;/author&gt;&lt;author&gt;Kjellstrom, Tord&lt;/author&gt;&lt;author&gt;Lemke, Bruno&lt;/author&gt;&lt;author&gt;Haines, Andy&lt;/author&gt;&lt;/authors&gt;&lt;/contributors&gt;&lt;titles&gt;&lt;title&gt;Implications for workability and survivability in populations exposed to extreme heat under climate change: a modelling study&lt;/title&gt;&lt;secondary-title&gt;The Lancet Planetary Health&lt;/secondary-title&gt;&lt;/titles&gt;&lt;periodical&gt;&lt;full-title&gt;The Lancet Planetary Health&lt;/full-title&gt;&lt;/periodical&gt;&lt;pages&gt;e540-e547&lt;/pages&gt;&lt;volume&gt;2&lt;/volume&gt;&lt;number&gt;12&lt;/number&gt;&lt;dates&gt;&lt;year&gt;2018&lt;/year&gt;&lt;/dates&gt;&lt;isbn&gt;2542-5196&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4</w:t>
      </w:r>
      <w:r>
        <w:rPr>
          <w:rFonts w:ascii="Times New Roman" w:hAnsi="Times New Roman" w:cs="Times New Roman"/>
          <w:color w:val="000000" w:themeColor="text1"/>
        </w:rPr>
        <w:fldChar w:fldCharType="end"/>
      </w:r>
      <w:r>
        <w:rPr>
          <w:rFonts w:ascii="Times New Roman" w:hAnsi="Times New Roman" w:cs="Times New Roman"/>
          <w:color w:val="000000" w:themeColor="text1"/>
        </w:rPr>
        <w:t>, WBGT in shade conditions at stable wind speed (1 m/s) was calculated as:</w:t>
      </w:r>
    </w:p>
    <w:p>
      <w:pPr>
        <w:spacing w:line="360" w:lineRule="auto"/>
        <w:jc w:val="center"/>
        <w:rPr>
          <w:rFonts w:ascii="Times New Roman" w:hAnsi="Times New Roman" w:cs="Times New Roman"/>
          <w:color w:val="000000" w:themeColor="text1"/>
        </w:rPr>
      </w:pPr>
      <m:oMath>
        <m:r>
          <w:rPr>
            <w:rFonts w:ascii="Cambria Math" w:hAnsi="Cambria Math" w:cs="Times New Roman"/>
            <w:color w:val="000000" w:themeColor="text1"/>
          </w:rPr>
          <m:t>WBGT=0.33</m:t>
        </m:r>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a</m:t>
            </m:r>
          </m:sub>
        </m:sSub>
        <m:r>
          <w:rPr>
            <w:rFonts w:ascii="Cambria Math" w:hAnsi="Cambria Math" w:cs="Times New Roman"/>
            <w:color w:val="000000" w:themeColor="text1"/>
          </w:rPr>
          <m:t>+0.67</m:t>
        </m:r>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pwb</m:t>
            </m:r>
          </m:sub>
        </m:sSub>
      </m:oMath>
      <w:r>
        <w:rPr>
          <w:rFonts w:ascii="Times New Roman" w:hAnsi="Times New Roman" w:cs="Times New Roman"/>
          <w:color w:val="000000" w:themeColor="text1"/>
        </w:rPr>
        <w:t xml:space="preserve">        (1)</w:t>
      </w:r>
    </w:p>
    <w:p>
      <w:pPr>
        <w:ind w:firstLineChars="200" w:firstLine="480"/>
        <w:jc w:val="both"/>
        <w:rPr>
          <w:rFonts w:ascii="Times New Roman" w:hAnsi="Times New Roman" w:cs="Times New Roman"/>
          <w:color w:val="000000" w:themeColor="text1"/>
        </w:rPr>
      </w:pPr>
      <w:r>
        <w:rPr>
          <w:rFonts w:ascii="Times New Roman" w:hAnsi="Times New Roman" w:cs="Times New Roman"/>
          <w:color w:val="000000" w:themeColor="text1"/>
        </w:rPr>
        <w:t xml:space="preserve">where </w:t>
      </w:r>
      <w:bookmarkStart w:id="9" w:name="OLE_LINK283"/>
      <w:bookmarkStart w:id="10" w:name="OLE_LINK284"/>
      <w:r>
        <w:rPr>
          <w:rFonts w:ascii="Times New Roman" w:hAnsi="Times New Roman" w:cs="Times New Roman"/>
          <w:i/>
          <w:iCs/>
          <w:color w:val="000000" w:themeColor="text1"/>
        </w:rPr>
        <w:t>T</w:t>
      </w:r>
      <w:r>
        <w:rPr>
          <w:rFonts w:ascii="Times New Roman" w:hAnsi="Times New Roman" w:cs="Times New Roman"/>
          <w:i/>
          <w:iCs/>
          <w:color w:val="000000" w:themeColor="text1"/>
          <w:vertAlign w:val="subscript"/>
        </w:rPr>
        <w:t>a</w:t>
      </w:r>
      <w:r>
        <w:rPr>
          <w:rFonts w:ascii="Times New Roman" w:hAnsi="Times New Roman" w:cs="Times New Roman"/>
          <w:color w:val="000000" w:themeColor="text1"/>
        </w:rPr>
        <w:t xml:space="preserve"> represents the 2-m air temperature (°C) and </w:t>
      </w:r>
      <w:proofErr w:type="spellStart"/>
      <w:r>
        <w:rPr>
          <w:rFonts w:ascii="Times New Roman" w:hAnsi="Times New Roman" w:cs="Times New Roman"/>
          <w:i/>
          <w:iCs/>
          <w:color w:val="000000" w:themeColor="text1"/>
        </w:rPr>
        <w:t>T</w:t>
      </w:r>
      <w:r>
        <w:rPr>
          <w:rFonts w:ascii="Times New Roman" w:hAnsi="Times New Roman" w:cs="Times New Roman"/>
          <w:i/>
          <w:iCs/>
          <w:color w:val="000000" w:themeColor="text1"/>
          <w:vertAlign w:val="subscript"/>
        </w:rPr>
        <w:t>pwb</w:t>
      </w:r>
      <w:bookmarkEnd w:id="9"/>
      <w:bookmarkEnd w:id="10"/>
      <w:proofErr w:type="spellEnd"/>
      <w:r>
        <w:rPr>
          <w:rFonts w:ascii="Times New Roman" w:hAnsi="Times New Roman" w:cs="Times New Roman"/>
          <w:color w:val="000000" w:themeColor="text1"/>
        </w:rPr>
        <w:t xml:space="preserve"> represents the 2-m psychometric wet bulb temperature. Based on related research</w:t>
      </w:r>
      <w:r>
        <w:rPr>
          <w:rFonts w:ascii="Times New Roman" w:hAnsi="Times New Roman" w:cs="Times New Roman"/>
          <w:color w:val="000000" w:themeColor="text1"/>
          <w:vertAlign w:val="superscript"/>
        </w:rPr>
        <w:t>1</w:t>
      </w:r>
      <w:r>
        <w:rPr>
          <w:rFonts w:ascii="Times New Roman" w:hAnsi="Times New Roman" w:cs="Times New Roman"/>
          <w:color w:val="000000" w:themeColor="text1"/>
        </w:rPr>
        <w:t xml:space="preserve">, we calculated </w:t>
      </w:r>
      <w:proofErr w:type="spellStart"/>
      <w:r>
        <w:rPr>
          <w:rFonts w:ascii="Times New Roman" w:hAnsi="Times New Roman" w:cs="Times New Roman"/>
          <w:i/>
          <w:iCs/>
          <w:color w:val="000000" w:themeColor="text1"/>
        </w:rPr>
        <w:t>T</w:t>
      </w:r>
      <w:r>
        <w:rPr>
          <w:rFonts w:ascii="Times New Roman" w:hAnsi="Times New Roman" w:cs="Times New Roman"/>
          <w:i/>
          <w:iCs/>
          <w:color w:val="000000" w:themeColor="text1"/>
          <w:vertAlign w:val="subscript"/>
        </w:rPr>
        <w:t>pwb</w:t>
      </w:r>
      <w:proofErr w:type="spellEnd"/>
      <w:r>
        <w:rPr>
          <w:rFonts w:ascii="Times New Roman" w:hAnsi="Times New Roman" w:cs="Times New Roman"/>
          <w:color w:val="000000" w:themeColor="text1"/>
        </w:rPr>
        <w:t xml:space="preserve"> as:</w:t>
      </w:r>
    </w:p>
    <w:p>
      <w:pPr>
        <w:ind w:firstLineChars="150" w:firstLine="420"/>
        <w:jc w:val="center"/>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pwb</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α</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a</m:t>
                </m:r>
              </m:sub>
            </m:sSub>
            <m:r>
              <w:rPr>
                <w:rFonts w:ascii="Cambria Math" w:hAnsi="Cambria Math" w:cs="Times New Roman"/>
                <w:color w:val="000000" w:themeColor="text1"/>
                <w:sz w:val="28"/>
                <w:szCs w:val="28"/>
              </w:rPr>
              <m:t>+β</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de</m:t>
                </m:r>
              </m:sub>
            </m:sSub>
          </m:num>
          <m:den>
            <m:r>
              <w:rPr>
                <w:rFonts w:ascii="Cambria Math" w:hAnsi="Cambria Math" w:cs="Times New Roman"/>
                <w:color w:val="000000" w:themeColor="text1"/>
                <w:sz w:val="28"/>
                <w:szCs w:val="28"/>
              </w:rPr>
              <m:t>α+β</m:t>
            </m:r>
          </m:den>
        </m:f>
      </m:oMath>
      <w:r>
        <w:rPr>
          <w:rFonts w:ascii="Times New Roman" w:hAnsi="Times New Roman" w:cs="Times New Roman"/>
          <w:color w:val="000000" w:themeColor="text1"/>
          <w:sz w:val="28"/>
          <w:szCs w:val="28"/>
        </w:rPr>
        <w:t xml:space="preserve">    (2)</w:t>
      </w:r>
    </w:p>
    <w:p>
      <w:pPr>
        <w:ind w:firstLine="480"/>
        <w:jc w:val="both"/>
        <w:rPr>
          <w:rFonts w:ascii="Times New Roman" w:hAnsi="Times New Roman" w:cs="Times New Roman"/>
          <w:color w:val="000000" w:themeColor="text1"/>
        </w:rPr>
      </w:pPr>
      <w:r>
        <w:rPr>
          <w:rFonts w:ascii="Times New Roman" w:hAnsi="Times New Roman" w:cs="Times New Roman"/>
          <w:color w:val="000000" w:themeColor="text1"/>
        </w:rPr>
        <w:t>in which</w:t>
      </w:r>
    </w:p>
    <w:p>
      <w:pPr>
        <w:ind w:firstLine="480"/>
        <w:jc w:val="center"/>
        <w:rPr>
          <w:rFonts w:ascii="Times New Roman" w:hAnsi="Times New Roman" w:cs="Times New Roman"/>
          <w:color w:val="000000" w:themeColor="text1"/>
        </w:rPr>
      </w:pPr>
      <m:oMath>
        <m:r>
          <w:rPr>
            <w:rFonts w:ascii="Cambria Math" w:hAnsi="Cambria Math" w:cs="Times New Roman"/>
            <w:color w:val="000000" w:themeColor="text1"/>
            <w:sz w:val="28"/>
            <w:szCs w:val="28"/>
          </w:rPr>
          <m:t>α=0.00066*ps</m:t>
        </m:r>
      </m:oMath>
      <w:r>
        <w:rPr>
          <w:rFonts w:ascii="Times New Roman" w:hAnsi="Times New Roman" w:cs="Times New Roman"/>
          <w:color w:val="000000" w:themeColor="text1"/>
          <w:sz w:val="28"/>
          <w:szCs w:val="28"/>
        </w:rPr>
        <w:t xml:space="preserve">   (3)</w:t>
      </w:r>
    </w:p>
    <w:p>
      <w:pPr>
        <w:spacing w:line="360" w:lineRule="auto"/>
        <w:jc w:val="center"/>
        <w:rPr>
          <w:rFonts w:ascii="Times New Roman" w:hAnsi="Times New Roman" w:cs="Times New Roman"/>
          <w:color w:val="000000" w:themeColor="text1"/>
        </w:rPr>
      </w:pPr>
      <m:oMath>
        <m:r>
          <w:rPr>
            <w:rFonts w:ascii="Cambria Math" w:hAnsi="Cambria Math" w:cs="Times New Roman"/>
            <w:color w:val="000000" w:themeColor="text1"/>
            <w:sz w:val="28"/>
            <w:szCs w:val="28"/>
          </w:rPr>
          <m:t xml:space="preserve">        β=</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4098*P</m:t>
            </m:r>
          </m:num>
          <m:den>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de</m:t>
                    </m:r>
                  </m:sub>
                </m:sSub>
                <m:r>
                  <w:rPr>
                    <w:rFonts w:ascii="Cambria Math" w:hAnsi="Cambria Math" w:cs="Times New Roman"/>
                    <w:color w:val="000000" w:themeColor="text1"/>
                    <w:sz w:val="28"/>
                    <w:szCs w:val="28"/>
                  </w:rPr>
                  <m:t>+237.8)</m:t>
                </m:r>
              </m:e>
              <m:sup>
                <m:r>
                  <w:rPr>
                    <w:rFonts w:ascii="Cambria Math" w:hAnsi="Cambria Math" w:cs="Times New Roman"/>
                    <w:color w:val="000000" w:themeColor="text1"/>
                    <w:sz w:val="28"/>
                    <w:szCs w:val="28"/>
                  </w:rPr>
                  <m:t>2</m:t>
                </m:r>
              </m:sup>
            </m:sSup>
          </m:den>
        </m:f>
      </m:oMath>
      <w:r>
        <w:rPr>
          <w:rFonts w:ascii="Times New Roman" w:hAnsi="Times New Roman" w:cs="Times New Roman"/>
          <w:color w:val="000000" w:themeColor="text1"/>
        </w:rPr>
        <w:t xml:space="preserve">      (4)</w:t>
      </w:r>
    </w:p>
    <w:p>
      <w:pPr>
        <w:ind w:firstLine="480"/>
        <w:jc w:val="both"/>
        <w:rPr>
          <w:rFonts w:ascii="Times New Roman" w:hAnsi="Times New Roman" w:cs="Times New Roman"/>
          <w:color w:val="000000" w:themeColor="text1"/>
        </w:rPr>
      </w:pPr>
      <w:r>
        <w:rPr>
          <w:rFonts w:ascii="Times New Roman" w:hAnsi="Times New Roman" w:cs="Times New Roman"/>
          <w:color w:val="000000" w:themeColor="text1"/>
        </w:rPr>
        <w:t xml:space="preserve">where </w:t>
      </w:r>
      <w:proofErr w:type="spellStart"/>
      <w:r>
        <w:rPr>
          <w:rFonts w:ascii="Times New Roman" w:hAnsi="Times New Roman" w:cs="Times New Roman"/>
          <w:i/>
          <w:iCs/>
          <w:color w:val="000000" w:themeColor="text1"/>
        </w:rPr>
        <w:t>T</w:t>
      </w:r>
      <w:r>
        <w:rPr>
          <w:rFonts w:ascii="Times New Roman" w:hAnsi="Times New Roman" w:cs="Times New Roman"/>
          <w:i/>
          <w:iCs/>
          <w:color w:val="000000" w:themeColor="text1"/>
          <w:vertAlign w:val="subscript"/>
        </w:rPr>
        <w:t>de</w:t>
      </w:r>
      <w:proofErr w:type="spellEnd"/>
      <w:r>
        <w:rPr>
          <w:rFonts w:ascii="Times New Roman" w:hAnsi="Times New Roman" w:cs="Times New Roman"/>
          <w:i/>
          <w:iCs/>
          <w:color w:val="000000" w:themeColor="text1"/>
          <w:vertAlign w:val="subscript"/>
        </w:rPr>
        <w:t xml:space="preserve"> </w:t>
      </w:r>
      <w:r>
        <w:rPr>
          <w:rFonts w:ascii="Times New Roman" w:hAnsi="Times New Roman" w:cs="Times New Roman"/>
          <w:color w:val="000000" w:themeColor="text1"/>
        </w:rPr>
        <w:t xml:space="preserve">represents the </w:t>
      </w:r>
      <w:proofErr w:type="spellStart"/>
      <w:r>
        <w:rPr>
          <w:rFonts w:ascii="Times New Roman" w:hAnsi="Times New Roman" w:cs="Times New Roman"/>
          <w:color w:val="000000" w:themeColor="text1"/>
        </w:rPr>
        <w:t>dewpoint</w:t>
      </w:r>
      <w:proofErr w:type="spellEnd"/>
      <w:r>
        <w:rPr>
          <w:rFonts w:ascii="Times New Roman" w:hAnsi="Times New Roman" w:cs="Times New Roman"/>
          <w:color w:val="000000" w:themeColor="text1"/>
        </w:rPr>
        <w:t xml:space="preserve"> temperature (°C), </w:t>
      </w:r>
      <w:proofErr w:type="spellStart"/>
      <w:r>
        <w:rPr>
          <w:rFonts w:ascii="Times New Roman" w:hAnsi="Times New Roman" w:cs="Times New Roman"/>
          <w:i/>
          <w:iCs/>
          <w:color w:val="000000" w:themeColor="text1"/>
        </w:rPr>
        <w:t>ps</w:t>
      </w:r>
      <w:proofErr w:type="spell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represents barometric surface pressure (kPa) and </w:t>
      </w:r>
      <w:r>
        <w:rPr>
          <w:rFonts w:ascii="Times New Roman" w:hAnsi="Times New Roman" w:cs="Times New Roman"/>
          <w:i/>
          <w:iCs/>
          <w:color w:val="000000" w:themeColor="text1"/>
        </w:rPr>
        <w:t>P</w:t>
      </w:r>
      <w:r>
        <w:rPr>
          <w:rFonts w:ascii="Times New Roman" w:hAnsi="Times New Roman" w:cs="Times New Roman"/>
          <w:color w:val="000000" w:themeColor="text1"/>
        </w:rPr>
        <w:t xml:space="preserve"> represents the vapor pressure (kPa).</w:t>
      </w:r>
    </w:p>
    <w:p>
      <w:pPr>
        <w:ind w:firstLine="480"/>
        <w:jc w:val="both"/>
        <w:rPr>
          <w:rFonts w:ascii="Times New Roman" w:hAnsi="Times New Roman" w:cs="Times New Roman"/>
          <w:iCs/>
          <w:color w:val="000000" w:themeColor="text1"/>
        </w:rPr>
      </w:pPr>
      <w:proofErr w:type="spellStart"/>
      <w:r>
        <w:rPr>
          <w:rFonts w:ascii="Times New Roman" w:hAnsi="Times New Roman" w:cs="Times New Roman"/>
          <w:i/>
          <w:iCs/>
          <w:color w:val="000000" w:themeColor="text1"/>
        </w:rPr>
        <w:t>T</w:t>
      </w:r>
      <w:r>
        <w:rPr>
          <w:rFonts w:ascii="Times New Roman" w:hAnsi="Times New Roman" w:cs="Times New Roman"/>
          <w:i/>
          <w:iCs/>
          <w:color w:val="000000" w:themeColor="text1"/>
          <w:vertAlign w:val="subscript"/>
        </w:rPr>
        <w:t>de</w:t>
      </w:r>
      <w:proofErr w:type="spellEnd"/>
      <w:r>
        <w:rPr>
          <w:rFonts w:ascii="Times New Roman" w:hAnsi="Times New Roman" w:cs="Times New Roman"/>
          <w:i/>
          <w:iCs/>
          <w:color w:val="000000" w:themeColor="text1"/>
          <w:vertAlign w:val="subscript"/>
        </w:rPr>
        <w:t xml:space="preserve"> </w:t>
      </w:r>
      <w:r>
        <w:rPr>
          <w:rFonts w:ascii="Times New Roman" w:hAnsi="Times New Roman" w:cs="Times New Roman"/>
          <w:iCs/>
          <w:color w:val="000000" w:themeColor="text1"/>
        </w:rPr>
        <w:t>was calculated as:</w:t>
      </w:r>
    </w:p>
    <w:p>
      <w:pPr>
        <w:ind w:firstLine="480"/>
        <w:jc w:val="center"/>
        <w:rPr>
          <w:rFonts w:ascii="Times New Roman" w:hAnsi="Times New Roman" w:cs="Times New Roman"/>
          <w:color w:val="000000" w:themeColor="text1"/>
          <w:sz w:val="28"/>
        </w:rPr>
      </w:pPr>
      <m:oMath>
        <m:sSub>
          <m:sSubPr>
            <m:ctrlPr>
              <w:rPr>
                <w:rFonts w:ascii="Cambria Math" w:hAnsi="Cambria Math" w:cs="Times New Roman"/>
                <w:color w:val="000000" w:themeColor="text1"/>
                <w:sz w:val="28"/>
              </w:rPr>
            </m:ctrlPr>
          </m:sSubPr>
          <m:e>
            <m:r>
              <w:rPr>
                <w:rFonts w:ascii="Cambria Math" w:hAnsi="Cambria Math" w:cs="Times New Roman"/>
                <w:color w:val="000000" w:themeColor="text1"/>
                <w:sz w:val="28"/>
              </w:rPr>
              <m:t>T</m:t>
            </m:r>
          </m:e>
          <m:sub>
            <m:r>
              <w:rPr>
                <w:rFonts w:ascii="Cambria Math" w:hAnsi="Cambria Math" w:cs="Times New Roman"/>
                <w:color w:val="000000" w:themeColor="text1"/>
                <w:sz w:val="28"/>
              </w:rPr>
              <m:t>de</m:t>
            </m:r>
          </m:sub>
        </m:sSub>
        <m: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r>
              <w:rPr>
                <w:rFonts w:ascii="Cambria Math" w:hAnsi="Cambria Math" w:cs="Times New Roman"/>
                <w:color w:val="000000" w:themeColor="text1"/>
                <w:sz w:val="28"/>
              </w:rPr>
              <m:t>243</m:t>
            </m:r>
            <m:func>
              <m:funcPr>
                <m:ctrlPr>
                  <w:rPr>
                    <w:rFonts w:ascii="Cambria Math" w:hAnsi="Cambria Math" w:cs="Times New Roman"/>
                    <w:color w:val="000000" w:themeColor="text1"/>
                    <w:sz w:val="28"/>
                  </w:rPr>
                </m:ctrlPr>
              </m:funcPr>
              <m:fName>
                <m:r>
                  <m:rPr>
                    <m:sty m:val="p"/>
                  </m:rPr>
                  <w:rPr>
                    <w:rFonts w:ascii="Cambria Math" w:hAnsi="Cambria Math" w:cs="Times New Roman"/>
                    <w:color w:val="000000" w:themeColor="text1"/>
                    <w:sz w:val="28"/>
                  </w:rPr>
                  <m:t>ln</m:t>
                </m:r>
                <m:ctrlPr>
                  <w:rPr>
                    <w:rFonts w:ascii="Cambria Math" w:hAnsi="Cambria Math" w:cs="Times New Roman"/>
                    <w:i/>
                    <w:color w:val="000000" w:themeColor="text1"/>
                    <w:sz w:val="28"/>
                  </w:rPr>
                </m:ctrlPr>
              </m:fName>
              <m:e>
                <m:d>
                  <m:dPr>
                    <m:ctrlPr>
                      <w:rPr>
                        <w:rFonts w:ascii="Cambria Math" w:hAnsi="Cambria Math" w:cs="Times New Roman"/>
                        <w:i/>
                        <w:color w:val="000000" w:themeColor="text1"/>
                        <w:sz w:val="28"/>
                      </w:rPr>
                    </m:ctrlPr>
                  </m:dPr>
                  <m:e>
                    <m:f>
                      <m:fPr>
                        <m:ctrlPr>
                          <w:rPr>
                            <w:rFonts w:ascii="Cambria Math" w:hAnsi="Cambria Math" w:cs="Times New Roman"/>
                            <w:i/>
                            <w:color w:val="000000" w:themeColor="text1"/>
                            <w:sz w:val="28"/>
                          </w:rPr>
                        </m:ctrlPr>
                      </m:fPr>
                      <m:num>
                        <m:r>
                          <w:rPr>
                            <w:rFonts w:ascii="Cambria Math" w:hAnsi="Cambria Math" w:cs="Times New Roman"/>
                            <w:color w:val="000000" w:themeColor="text1"/>
                            <w:sz w:val="28"/>
                          </w:rPr>
                          <m:t>P</m:t>
                        </m:r>
                      </m:num>
                      <m:den>
                        <m:r>
                          <w:rPr>
                            <w:rFonts w:ascii="Cambria Math" w:hAnsi="Cambria Math" w:cs="Times New Roman"/>
                            <w:color w:val="000000" w:themeColor="text1"/>
                            <w:sz w:val="28"/>
                          </w:rPr>
                          <m:t>0.6112</m:t>
                        </m:r>
                      </m:den>
                    </m:f>
                  </m:e>
                </m:d>
              </m:e>
            </m:func>
          </m:num>
          <m:den>
            <m:r>
              <w:rPr>
                <w:rFonts w:ascii="Cambria Math" w:hAnsi="Cambria Math" w:cs="Times New Roman"/>
                <w:color w:val="000000" w:themeColor="text1"/>
                <w:sz w:val="28"/>
              </w:rPr>
              <m:t>17.67</m:t>
            </m:r>
          </m:den>
        </m:f>
        <m:r>
          <w:rPr>
            <w:rFonts w:ascii="Cambria Math" w:hAnsi="Cambria Math" w:cs="Times New Roman"/>
            <w:color w:val="000000" w:themeColor="text1"/>
            <w:sz w:val="28"/>
          </w:rPr>
          <m:t>-</m:t>
        </m:r>
        <m:r>
          <m:rPr>
            <m:sty m:val="p"/>
          </m:rPr>
          <w:rPr>
            <w:rFonts w:ascii="Cambria Math" w:hAnsi="Cambria Math" w:cs="Times New Roman"/>
            <w:color w:val="000000" w:themeColor="text1"/>
            <w:sz w:val="28"/>
          </w:rPr>
          <m:t>ln⁡</m:t>
        </m:r>
        <m: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r>
              <w:rPr>
                <w:rFonts w:ascii="Cambria Math" w:hAnsi="Cambria Math" w:cs="Times New Roman"/>
                <w:color w:val="000000" w:themeColor="text1"/>
                <w:sz w:val="28"/>
              </w:rPr>
              <m:t>P</m:t>
            </m:r>
          </m:num>
          <m:den>
            <m:r>
              <w:rPr>
                <w:rFonts w:ascii="Cambria Math" w:hAnsi="Cambria Math" w:cs="Times New Roman"/>
                <w:color w:val="000000" w:themeColor="text1"/>
                <w:sz w:val="28"/>
              </w:rPr>
              <m:t>0.6112</m:t>
            </m:r>
          </m:den>
        </m:f>
        <m:r>
          <w:rPr>
            <w:rFonts w:ascii="Cambria Math" w:hAnsi="Cambria Math" w:cs="Times New Roman"/>
            <w:color w:val="000000" w:themeColor="text1"/>
            <w:sz w:val="28"/>
          </w:rPr>
          <m:t>)</m:t>
        </m:r>
      </m:oMath>
      <w:r>
        <w:rPr>
          <w:rFonts w:ascii="Times New Roman" w:hAnsi="Times New Roman" w:cs="Times New Roman"/>
          <w:color w:val="000000" w:themeColor="text1"/>
          <w:sz w:val="28"/>
        </w:rPr>
        <w:t xml:space="preserve">   (5)</w:t>
      </w:r>
    </w:p>
    <w:p>
      <w:pPr>
        <w:jc w:val="both"/>
        <w:rPr>
          <w:rFonts w:ascii="Times New Roman" w:hAnsi="Times New Roman" w:cs="Times New Roman"/>
          <w:color w:val="000000" w:themeColor="text1"/>
        </w:rPr>
      </w:pPr>
    </w:p>
    <w:p>
      <w:pPr>
        <w:jc w:val="both"/>
        <w:rPr>
          <w:rFonts w:ascii="Times New Roman" w:hAnsi="Times New Roman" w:cs="Times New Roman"/>
          <w:b/>
          <w:bCs/>
          <w:color w:val="000000" w:themeColor="text1"/>
        </w:rPr>
      </w:pPr>
      <w:r>
        <w:rPr>
          <w:rFonts w:ascii="Times New Roman" w:hAnsi="Times New Roman" w:cs="Times New Roman"/>
          <w:b/>
          <w:bCs/>
          <w:color w:val="000000" w:themeColor="text1"/>
        </w:rPr>
        <w:t>The cost of applying green roof</w:t>
      </w:r>
    </w:p>
    <w:p>
      <w:pPr>
        <w:ind w:firstLine="480"/>
        <w:jc w:val="both"/>
        <w:rPr>
          <w:rFonts w:ascii="Times New Roman" w:hAnsi="Times New Roman" w:cs="Times New Roman"/>
          <w:color w:val="000000" w:themeColor="text1"/>
        </w:rPr>
      </w:pPr>
      <w:r>
        <w:rPr>
          <w:rFonts w:ascii="Times New Roman" w:hAnsi="Times New Roman" w:cs="Times New Roman"/>
          <w:color w:val="000000" w:themeColor="text1"/>
        </w:rPr>
        <w:t>Here, we assume that it takes n years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n</m:t>
            </m:r>
          </m:sub>
        </m:sSub>
      </m:oMath>
      <w:r>
        <w:rPr>
          <w:rFonts w:ascii="Times New Roman" w:hAnsi="Times New Roman" w:cs="Times New Roman"/>
          <w:color w:val="000000" w:themeColor="text1"/>
        </w:rPr>
        <w:t>) to recover all the investment costs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costs</m:t>
            </m:r>
          </m:sub>
        </m:sSub>
      </m:oMath>
      <w:r>
        <w:rPr>
          <w:rFonts w:ascii="Times New Roman" w:hAnsi="Times New Roman" w:cs="Times New Roman"/>
          <w:color w:val="000000" w:themeColor="text1"/>
        </w:rPr>
        <w:t>) of adopting green roof under our green roof scenario, so the following formula can be established:</w:t>
      </w:r>
    </w:p>
    <w:p>
      <w:pPr>
        <w:jc w:val="both"/>
        <w:rPr>
          <w:rFonts w:ascii="Times New Roman" w:hAnsi="Times New Roman" w:cs="Times New Roman"/>
          <w:i/>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Re</m:t>
              </m:r>
            </m:e>
            <m:sub>
              <m:r>
                <w:rPr>
                  <w:rFonts w:ascii="Cambria Math" w:hAnsi="Cambria Math" w:cs="Times New Roman"/>
                  <w:color w:val="000000" w:themeColor="text1"/>
                </w:rPr>
                <m:t>loss</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Y</m:t>
              </m:r>
            </m:e>
            <m:sub>
              <m:r>
                <w:rPr>
                  <w:rFonts w:ascii="Cambria Math" w:hAnsi="Cambria Math" w:cs="Times New Roman"/>
                  <w:color w:val="000000" w:themeColor="text1"/>
                </w:rPr>
                <m:t>n</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Area</m:t>
              </m:r>
            </m:e>
            <m:sub>
              <m:r>
                <w:rPr>
                  <w:rFonts w:ascii="Cambria Math" w:hAnsi="Cambria Math" w:cs="Times New Roman"/>
                  <w:color w:val="000000" w:themeColor="text1"/>
                </w:rPr>
                <m:t>green_roof</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costs</m:t>
              </m:r>
            </m:sub>
          </m:sSub>
        </m:oMath>
      </m:oMathPara>
    </w:p>
    <w:p>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Re</m:t>
            </m:r>
          </m:e>
          <m:sub>
            <m:r>
              <w:rPr>
                <w:rFonts w:ascii="Cambria Math" w:hAnsi="Cambria Math" w:cs="Times New Roman"/>
                <w:color w:val="000000" w:themeColor="text1"/>
              </w:rPr>
              <m:t>loss</m:t>
            </m:r>
          </m:sub>
        </m:sSub>
      </m:oMath>
      <w:r>
        <w:rPr>
          <w:rFonts w:ascii="Times New Roman" w:hAnsi="Times New Roman" w:cs="Times New Roman"/>
          <w:color w:val="000000" w:themeColor="text1"/>
        </w:rPr>
        <w:t xml:space="preserve"> represent the annually recovered economic losses from the implementation of green roof, which is 212.63 million US dollars according to our estimation (Table.s3). According to the recommendation from Beijing government</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&lt;EndNote&gt;&lt;Cite&gt;&lt;Author&gt;Chen&lt;/Author&gt;&lt;Year&gt;2019&lt;/Year&gt;&lt;RecNum&gt;1333&lt;/RecNum&gt;&lt;DisplayText&gt;&lt;style face="superscript"&gt;5&lt;/style&gt;&lt;/DisplayText&gt;&lt;record&gt;&lt;rec-number&gt;1333&lt;/rec-number&gt;&lt;foreign-keys&gt;&lt;key app="EN" db-id="0vp2p0ptdvdaf4erwesvxax0d5sezasrfx50" timestamp="1647521473"&gt;1333&lt;/key&gt;&lt;/foreign-keys&gt;&lt;ref-type name="Journal Article"&gt;17&lt;/ref-type&gt;&lt;contributors&gt;&lt;authors&gt;&lt;author&gt;Chen, Xi&lt;/author&gt;&lt;author&gt;Shuai, Chenyang&lt;/author&gt;&lt;author&gt;Chen, Zhenhao&lt;/author&gt;&lt;author&gt;Zhang, Yu&lt;/author&gt;&lt;/authors&gt;&lt;/contributors&gt;&lt;titles&gt;&lt;title&gt;What are the root causes hindering the implementation of green roofs in urban China?&lt;/title&gt;&lt;secondary-title&gt;Science of the Total Environment&lt;/secondary-title&gt;&lt;/titles&gt;&lt;periodical&gt;&lt;full-title&gt;Science of the Total Environment&lt;/full-title&gt;&lt;abbr-1&gt;Sci Total Environ&lt;/abbr-1&gt;&lt;/periodical&gt;&lt;pages&gt;742-750&lt;/pages&gt;&lt;volume&gt;654&lt;/volume&gt;&lt;dates&gt;&lt;year&gt;2019&lt;/year&gt;&lt;/dates&gt;&lt;isbn&gt;0048-9697&lt;/isbn&gt;&lt;urls&gt;&lt;/urls&gt;&lt;/record&gt;&lt;/Cite&gt;&lt;/EndNote&gt;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5</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standard of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costs</m:t>
            </m:r>
          </m:sub>
        </m:sSub>
      </m:oMath>
      <w:r>
        <w:rPr>
          <w:rFonts w:ascii="Times New Roman" w:hAnsi="Times New Roman" w:cs="Times New Roman"/>
          <w:color w:val="000000" w:themeColor="text1"/>
        </w:rPr>
        <w:t xml:space="preserve"> is 310 CNY/m</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for the extensive green roof system</w:t>
      </w: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&lt;EndNote&gt;&lt;Cite&gt;&lt;Author&gt;Chen&lt;/Author&gt;&lt;Year&gt;2019&lt;/Year&gt;&lt;RecNum&gt;1334&lt;/RecNum&gt;&lt;DisplayText&gt;&lt;style face="superscript"&gt;5&lt;/style&gt;&lt;/DisplayText&gt;&lt;record&gt;&lt;rec-number&gt;1334&lt;/rec-number&gt;&lt;foreign-keys&gt;&lt;key app="EN" db-id="0vp2p0ptdvdaf4erwesvxax0d5sezasrfx50" timestamp="1647522068"&gt;1334&lt;/key&gt;&lt;/foreign-keys&gt;&lt;ref-type name="Journal Article"&gt;17&lt;/ref-type&gt;&lt;contributors&gt;&lt;authors&gt;&lt;author&gt;Chen, Xi&lt;/author&gt;&lt;author&gt;Shuai, Chenyang&lt;/author&gt;&lt;author&gt;Chen, Zhenhao&lt;/author&gt;&lt;author&gt;Zhang, Yu&lt;/author&gt;&lt;/authors&gt;&lt;/contributors&gt;&lt;titles&gt;&lt;title&gt;What are the root causes hindering the implementation of green roofs in urban China?&lt;/title&gt;&lt;secondary-title&gt;Science of the Total Environment&lt;/secondary-title&gt;&lt;/titles&gt;&lt;periodical&gt;&lt;full-title&gt;Science of the Total Environment&lt;/full-title&gt;&lt;abbr-1&gt;Sci Total Environ&lt;/abbr-1&gt;&lt;/periodical&gt;&lt;pages&gt;742-750&lt;/pages&gt;&lt;volume&gt;654&lt;/volume&gt;&lt;dates&gt;&lt;year&gt;2019&lt;/year&gt;&lt;/dates&gt;&lt;isbn&gt;0048-9697&lt;/isbn&gt;&lt;urls&gt;&lt;/urls&gt;&lt;/record&gt;&lt;/Cite&gt;&lt;/EndNote&gt;</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vertAlign w:val="superscript"/>
        </w:rPr>
        <w:t>5</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Area</m:t>
            </m:r>
          </m:e>
          <m:sub>
            <m:r>
              <w:rPr>
                <w:rFonts w:ascii="Cambria Math" w:hAnsi="Cambria Math" w:cs="Times New Roman"/>
                <w:color w:val="000000" w:themeColor="text1"/>
              </w:rPr>
              <m:t>green_roof</m:t>
            </m:r>
          </m:sub>
        </m:sSub>
      </m:oMath>
      <w:r>
        <w:rPr>
          <w:rFonts w:ascii="Times New Roman" w:hAnsi="Times New Roman" w:cs="Times New Roman"/>
          <w:color w:val="000000" w:themeColor="text1"/>
        </w:rPr>
        <w:t xml:space="preserve"> represents the total area of green roof, according to our settings in the WRF/UCM, it can be calculated as: </w:t>
      </w:r>
    </w:p>
    <w:p>
      <w:pPr>
        <w:jc w:val="both"/>
        <w:rPr>
          <w:rFonts w:ascii="Times New Roman" w:hAnsi="Times New Roman"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Area</m:t>
              </m:r>
            </m:e>
            <m:sub>
              <m:r>
                <w:rPr>
                  <w:rFonts w:ascii="Cambria Math" w:hAnsi="Cambria Math" w:cs="Times New Roman"/>
                  <w:color w:val="000000" w:themeColor="text1"/>
                </w:rPr>
                <m:t>green roof</m:t>
              </m:r>
            </m:sub>
          </m:sSub>
          <m:r>
            <w:rPr>
              <w:rFonts w:ascii="Cambria Math" w:hAnsi="Cambria Math" w:cs="Times New Roman"/>
              <w:color w:val="000000" w:themeColor="text1"/>
            </w:rPr>
            <m:t>=</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rPr>
                <m:t>i=1</m:t>
              </m:r>
            </m:sub>
            <m:sup>
              <m:r>
                <w:rPr>
                  <w:rFonts w:ascii="Cambria Math" w:hAnsi="Cambria Math" w:cs="Times New Roman"/>
                  <w:color w:val="000000" w:themeColor="text1"/>
                </w:rPr>
                <m:t>j</m:t>
              </m:r>
            </m:sup>
            <m:e>
              <m:sSub>
                <m:sSubPr>
                  <m:ctrlPr>
                    <w:rPr>
                      <w:rFonts w:ascii="Cambria Math" w:hAnsi="Cambria Math" w:cs="Times New Roman"/>
                      <w:i/>
                      <w:color w:val="000000" w:themeColor="text1"/>
                    </w:rPr>
                  </m:ctrlPr>
                </m:sSubPr>
                <m:e>
                  <m:r>
                    <w:rPr>
                      <w:rFonts w:ascii="Cambria Math" w:hAnsi="Cambria Math" w:cs="Times New Roman"/>
                      <w:color w:val="000000" w:themeColor="text1"/>
                    </w:rPr>
                    <m:t>Ugrid</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Furb</m:t>
                  </m:r>
                </m:e>
                <m:sub>
                  <m:r>
                    <w:rPr>
                      <w:rFonts w:ascii="Cambria Math" w:hAnsi="Cambria Math" w:cs="Times New Roman"/>
                      <w:color w:val="000000" w:themeColor="text1"/>
                    </w:rPr>
                    <m:t>i</m:t>
                  </m:r>
                </m:sub>
              </m:sSub>
              <w:bookmarkStart w:id="11" w:name="OLE_LINK5"/>
              <w:bookmarkStart w:id="12" w:name="OLE_LINK6"/>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Fbuild</m:t>
                  </m:r>
                </m:e>
                <m:sub>
                  <m:r>
                    <w:rPr>
                      <w:rFonts w:ascii="Cambria Math" w:hAnsi="Cambria Math" w:cs="Times New Roman"/>
                      <w:color w:val="000000" w:themeColor="text1"/>
                    </w:rPr>
                    <m:t>i</m:t>
                  </m:r>
                </m:sub>
              </m:sSub>
              <w:bookmarkEnd w:id="11"/>
              <w:bookmarkEnd w:id="12"/>
              <m:r>
                <w:rPr>
                  <w:rFonts w:ascii="Cambria Math" w:hAnsi="Cambria Math" w:cs="Times New Roman"/>
                  <w:color w:val="000000" w:themeColor="text1"/>
                </w:rPr>
                <m:t>×</m:t>
              </m:r>
              <m:f>
                <m:fPr>
                  <m:ctrlPr>
                    <w:rPr>
                      <w:rFonts w:ascii="Cambria Math" w:hAnsi="Cambria Math" w:cs="Times New Roman"/>
                      <w:i/>
                      <w:color w:val="000000" w:themeColor="text1"/>
                    </w:rPr>
                  </m:ctrlPr>
                </m:fPr>
                <m:num>
                  <w:bookmarkStart w:id="13" w:name="OLE_LINK7"/>
                  <w:bookmarkStart w:id="14" w:name="OLE_LINK8"/>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roof</m:t>
                      </m:r>
                    </m:sub>
                  </m:sSub>
                  <w:bookmarkEnd w:id="13"/>
                  <w:bookmarkEnd w:id="14"/>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roof</m:t>
                      </m:r>
                    </m:sub>
                  </m:sSub>
                  <m:r>
                    <w:rPr>
                      <w:rFonts w:ascii="Cambria Math" w:hAnsi="Cambria Math" w:cs="Times New Roman"/>
                      <w:color w:val="000000" w:themeColor="text1"/>
                    </w:rPr>
                    <m:t>+</m:t>
                  </m:r>
                  <w:bookmarkStart w:id="15" w:name="OLE_LINK9"/>
                  <w:bookmarkStart w:id="16" w:name="OLE_LINK10"/>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road</m:t>
                      </m:r>
                    </m:sub>
                  </m:sSub>
                  <w:bookmarkEnd w:id="15"/>
                  <w:bookmarkEnd w:id="16"/>
                </m:den>
              </m:f>
              <m:r>
                <w:rPr>
                  <w:rFonts w:ascii="Cambria Math" w:hAnsi="Cambria Math" w:cs="Times New Roman"/>
                  <w:color w:val="000000" w:themeColor="text1"/>
                </w:rPr>
                <m:t>×80%</m:t>
              </m:r>
            </m:e>
          </m:nary>
        </m:oMath>
      </m:oMathPara>
    </w:p>
    <w:p>
      <w:pPr>
        <w:jc w:val="both"/>
        <w:rPr>
          <w:rFonts w:ascii="Times New Roman" w:hAnsi="Times New Roman" w:cs="Times New Roman"/>
          <w:color w:val="000000" w:themeColor="text1"/>
        </w:rPr>
      </w:pPr>
      <w:r>
        <w:rPr>
          <w:rFonts w:ascii="Times New Roman" w:hAnsi="Times New Roman" w:cs="Times New Roman"/>
          <w:color w:val="000000" w:themeColor="text1"/>
        </w:rPr>
        <w:t xml:space="preserve">    Where, </w:t>
      </w:r>
      <w:r>
        <w:rPr>
          <w:rFonts w:ascii="Times New Roman" w:hAnsi="Times New Roman" w:cs="Times New Roman"/>
          <w:i/>
          <w:iCs/>
          <w:color w:val="000000" w:themeColor="text1"/>
        </w:rPr>
        <w:t>j</w:t>
      </w:r>
      <w:r>
        <w:rPr>
          <w:rFonts w:ascii="Times New Roman" w:hAnsi="Times New Roman" w:cs="Times New Roman"/>
          <w:color w:val="000000" w:themeColor="text1"/>
        </w:rPr>
        <w:t xml:space="preserve"> represents the total number of urban grids,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Ugrid</m:t>
            </m:r>
          </m:e>
          <m:sub>
            <m:r>
              <w:rPr>
                <w:rFonts w:ascii="Cambria Math" w:hAnsi="Cambria Math" w:cs="Times New Roman"/>
                <w:color w:val="000000" w:themeColor="text1"/>
              </w:rPr>
              <m:t>i</m:t>
            </m:r>
          </m:sub>
        </m:sSub>
      </m:oMath>
      <w:r>
        <w:rPr>
          <w:rFonts w:ascii="Times New Roman" w:hAnsi="Times New Roman" w:cs="Times New Roman"/>
          <w:color w:val="000000" w:themeColor="text1"/>
        </w:rPr>
        <w:t xml:space="preserve"> is the total area of the urban grid </w:t>
      </w:r>
      <w:proofErr w:type="spellStart"/>
      <w:r>
        <w:rPr>
          <w:rFonts w:ascii="Times New Roman" w:hAnsi="Times New Roman" w:cs="Times New Roman"/>
          <w:i/>
          <w:iCs/>
          <w:color w:val="000000" w:themeColor="text1"/>
        </w:rPr>
        <w:t>i</w:t>
      </w:r>
      <w:proofErr w:type="spellEnd"/>
      <w:r>
        <w:rPr>
          <w:rFonts w:ascii="Times New Roman" w:hAnsi="Times New Roman" w:cs="Times New Roman"/>
          <w:i/>
          <w:iCs/>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Furb</m:t>
            </m:r>
          </m:e>
          <m:sub>
            <m:r>
              <w:rPr>
                <w:rFonts w:ascii="Cambria Math" w:hAnsi="Cambria Math" w:cs="Times New Roman"/>
                <w:color w:val="000000" w:themeColor="text1"/>
              </w:rPr>
              <m:t>i</m:t>
            </m:r>
          </m:sub>
        </m:sSub>
      </m:oMath>
      <w:r>
        <w:rPr>
          <w:rFonts w:ascii="Times New Roman" w:hAnsi="Times New Roman" w:cs="Times New Roman"/>
          <w:i/>
          <w:color w:val="000000" w:themeColor="text1"/>
        </w:rPr>
        <w:t xml:space="preserve"> </w:t>
      </w:r>
      <w:r>
        <w:rPr>
          <w:rFonts w:ascii="Times New Roman" w:hAnsi="Times New Roman" w:cs="Times New Roman"/>
          <w:iCs/>
          <w:color w:val="000000" w:themeColor="text1"/>
        </w:rPr>
        <w:t xml:space="preserve">is the urban land-use fraction in grid </w:t>
      </w:r>
      <w:proofErr w:type="spellStart"/>
      <w:r>
        <w:rPr>
          <w:rFonts w:ascii="Times New Roman" w:hAnsi="Times New Roman" w:cs="Times New Roman"/>
          <w:i/>
          <w:color w:val="000000" w:themeColor="text1"/>
        </w:rPr>
        <w:t>i</w:t>
      </w:r>
      <w:proofErr w:type="spellEnd"/>
      <w:r>
        <w:rPr>
          <w:rFonts w:ascii="Times New Roman" w:hAnsi="Times New Roman" w:cs="Times New Roman"/>
          <w:i/>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Fbuild</m:t>
            </m:r>
          </m:e>
          <m:sub>
            <m:r>
              <w:rPr>
                <w:rFonts w:ascii="Cambria Math" w:hAnsi="Cambria Math" w:cs="Times New Roman"/>
                <w:color w:val="000000" w:themeColor="text1"/>
              </w:rPr>
              <m:t>i</m:t>
            </m:r>
          </m:sub>
        </m:sSub>
      </m:oMath>
      <w:r>
        <w:rPr>
          <w:rFonts w:ascii="Times New Roman" w:hAnsi="Times New Roman" w:cs="Times New Roman"/>
          <w:i/>
          <w:color w:val="000000" w:themeColor="text1"/>
        </w:rPr>
        <w:t xml:space="preserve"> </w:t>
      </w:r>
      <w:r>
        <w:rPr>
          <w:rFonts w:ascii="Times New Roman" w:hAnsi="Times New Roman" w:cs="Times New Roman"/>
          <w:iCs/>
          <w:color w:val="000000" w:themeColor="text1"/>
        </w:rPr>
        <w:t xml:space="preserve">is the building plan fraction for specific urban land-use type (Table.s4),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roof</m:t>
            </m:r>
          </m:sub>
        </m:sSub>
      </m:oMath>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 xml:space="preserve">is the road width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road</m:t>
            </m:r>
          </m:sub>
        </m:sSub>
      </m:oMath>
      <w:r>
        <w:rPr>
          <w:rFonts w:ascii="Times New Roman" w:hAnsi="Times New Roman" w:cs="Times New Roman" w:hint="eastAsia"/>
          <w:color w:val="000000" w:themeColor="text1"/>
        </w:rPr>
        <w:t xml:space="preserve"> </w:t>
      </w:r>
      <w:r>
        <w:rPr>
          <w:rFonts w:ascii="Times New Roman" w:hAnsi="Times New Roman" w:cs="Times New Roman"/>
          <w:color w:val="000000" w:themeColor="text1"/>
        </w:rPr>
        <w:t>is the roof width</w:t>
      </w:r>
      <w:r>
        <w:rPr>
          <w:rFonts w:ascii="Times New Roman" w:hAnsi="Times New Roman" w:cs="Times New Roman"/>
          <w:iCs/>
          <w:color w:val="000000" w:themeColor="text1"/>
        </w:rPr>
        <w:t>.</w:t>
      </w:r>
    </w:p>
    <w:p>
      <w:pPr>
        <w:rPr>
          <w:rFonts w:ascii="Times New Roman" w:hAnsi="Times New Roman" w:cs="Times New Roman"/>
          <w:color w:val="000000" w:themeColor="text1"/>
        </w:rPr>
      </w:pPr>
      <w:r>
        <w:rPr>
          <w:rFonts w:ascii="Times New Roman" w:hAnsi="Times New Roman" w:cs="Times New Roman"/>
          <w:color w:val="000000" w:themeColor="text1"/>
        </w:rPr>
        <w:br w:type="page"/>
      </w:r>
    </w:p>
    <w:p>
      <w:pPr>
        <w:rPr>
          <w:rFonts w:ascii="Times New Roman" w:hAnsi="Times New Roman" w:cs="Times New Roman"/>
          <w:b/>
          <w:bCs/>
          <w:color w:val="000000" w:themeColor="text1"/>
        </w:rPr>
      </w:pPr>
      <w:bookmarkStart w:id="17" w:name="OLE_LINK25"/>
      <w:bookmarkStart w:id="18" w:name="OLE_LINK26"/>
    </w:p>
    <w:p>
      <w:pPr>
        <w:rPr>
          <w:rFonts w:ascii="Times New Roman" w:hAnsi="Times New Roman" w:cs="Times New Roman"/>
          <w:b/>
          <w:bCs/>
          <w:color w:val="000000" w:themeColor="text1"/>
        </w:rPr>
      </w:pPr>
      <w:bookmarkStart w:id="19" w:name="OLE_LINK29"/>
      <w:bookmarkStart w:id="20" w:name="OLE_LINK30"/>
      <w:r>
        <w:rPr>
          <w:rFonts w:ascii="Times New Roman" w:hAnsi="Times New Roman" w:cs="Times New Roman"/>
          <w:b/>
          <w:bCs/>
          <w:color w:val="000000" w:themeColor="text1"/>
        </w:rPr>
        <w:t>Supplementary</w:t>
      </w:r>
      <w:bookmarkEnd w:id="17"/>
      <w:bookmarkEnd w:id="18"/>
      <w:r>
        <w:rPr>
          <w:rFonts w:ascii="Times New Roman" w:hAnsi="Times New Roman" w:cs="Times New Roman"/>
          <w:b/>
          <w:bCs/>
          <w:color w:val="000000" w:themeColor="text1"/>
        </w:rPr>
        <w:t xml:space="preserve"> Figures</w:t>
      </w:r>
    </w:p>
    <w:bookmarkEnd w:id="19"/>
    <w:bookmarkEnd w:id="20"/>
    <w:p>
      <w:pPr>
        <w:jc w:val="center"/>
        <w:rPr>
          <w:rFonts w:ascii="Times New Roman" w:hAnsi="Times New Roman" w:cs="Times New Roman"/>
          <w:b/>
          <w:bCs/>
          <w:color w:val="000000" w:themeColor="text1"/>
        </w:rPr>
      </w:pPr>
    </w:p>
    <w:p>
      <w:pPr>
        <w:jc w:val="center"/>
        <w:rPr>
          <w:rFonts w:ascii="Times New Roman" w:hAnsi="Times New Roman" w:cs="Times New Roman"/>
          <w:b/>
          <w:bCs/>
          <w:color w:val="000000" w:themeColor="text1"/>
        </w:rPr>
      </w:pPr>
    </w:p>
    <w:p>
      <w:pPr>
        <w:jc w:val="center"/>
        <w:rPr>
          <w:rFonts w:ascii="Times New Roman" w:hAnsi="Times New Roman" w:cs="Times New Roman"/>
          <w:b/>
          <w:bCs/>
          <w:color w:val="000000" w:themeColor="text1"/>
        </w:rPr>
      </w:pPr>
    </w:p>
    <w:p>
      <w:pPr>
        <w:jc w:val="center"/>
        <w:rPr>
          <w:rFonts w:ascii="Times New Roman" w:hAnsi="Times New Roman" w:cs="Times New Roman"/>
          <w:b/>
          <w:bCs/>
          <w:color w:val="000000" w:themeColor="text1"/>
        </w:rPr>
      </w:pPr>
    </w:p>
    <w:p>
      <w:pPr>
        <w:ind w:firstLine="480"/>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4797873" cy="3393195"/>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16848" cy="3406615"/>
                    </a:xfrm>
                    <a:prstGeom prst="rect">
                      <a:avLst/>
                    </a:prstGeom>
                  </pic:spPr>
                </pic:pic>
              </a:graphicData>
            </a:graphic>
          </wp:inline>
        </w:drawing>
      </w:r>
    </w:p>
    <w:p>
      <w:pPr>
        <w:rPr>
          <w:rFonts w:ascii="Times New Roman" w:hAnsi="Times New Roman" w:cs="Times New Roman"/>
          <w:b/>
          <w:bCs/>
          <w:color w:val="000000" w:themeColor="text1"/>
          <w:sz w:val="21"/>
          <w:szCs w:val="21"/>
        </w:rPr>
      </w:pPr>
      <w:bookmarkStart w:id="21" w:name="OLE_LINK21"/>
      <w:bookmarkStart w:id="22" w:name="OLE_LINK22"/>
      <w:r>
        <w:rPr>
          <w:rFonts w:ascii="Times New Roman" w:hAnsi="Times New Roman" w:cs="Times New Roman"/>
          <w:b/>
          <w:bCs/>
          <w:color w:val="000000" w:themeColor="text1"/>
          <w:sz w:val="21"/>
          <w:szCs w:val="21"/>
        </w:rPr>
        <w:t>Supplementary Fig.</w:t>
      </w:r>
      <w:bookmarkEnd w:id="21"/>
      <w:bookmarkEnd w:id="22"/>
      <w:r>
        <w:rPr>
          <w:rFonts w:ascii="Times New Roman" w:hAnsi="Times New Roman" w:cs="Times New Roman"/>
          <w:b/>
          <w:bCs/>
          <w:color w:val="000000" w:themeColor="text1"/>
          <w:sz w:val="21"/>
          <w:szCs w:val="21"/>
        </w:rPr>
        <w:t xml:space="preserve">1: </w:t>
      </w:r>
      <w:bookmarkStart w:id="23" w:name="OLE_LINK187"/>
      <w:bookmarkStart w:id="24" w:name="OLE_LINK188"/>
      <w:r>
        <w:rPr>
          <w:rFonts w:ascii="Times New Roman" w:hAnsi="Times New Roman" w:cs="Times New Roman"/>
          <w:b/>
          <w:bCs/>
          <w:color w:val="000000" w:themeColor="text1"/>
          <w:sz w:val="21"/>
          <w:szCs w:val="21"/>
        </w:rPr>
        <w:t>The boundary of the 8 urban agglomerations that we selected for this study</w:t>
      </w:r>
      <w:bookmarkEnd w:id="23"/>
      <w:bookmarkEnd w:id="24"/>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sz w:val="21"/>
          <w:szCs w:val="21"/>
        </w:rPr>
      </w:pPr>
    </w:p>
    <w:p>
      <w:pPr>
        <w:rPr>
          <w:rFonts w:ascii="Times New Roman" w:hAnsi="Times New Roman" w:cs="Times New Roman"/>
          <w:b/>
          <w:bCs/>
          <w:color w:val="000000" w:themeColor="text1"/>
        </w:rPr>
      </w:pPr>
    </w:p>
    <w:p>
      <w:pPr>
        <w:rPr>
          <w:rFonts w:ascii="Times New Roman" w:hAnsi="Times New Roman" w:cs="Times New Roman"/>
          <w:b/>
          <w:bCs/>
          <w:color w:val="000000" w:themeColor="text1"/>
        </w:rPr>
      </w:pPr>
    </w:p>
    <w:p>
      <w:pPr>
        <w:rPr>
          <w:rFonts w:ascii="Times New Roman" w:hAnsi="Times New Roman" w:cs="Times New Roman"/>
          <w:b/>
          <w:bCs/>
          <w:color w:val="000000" w:themeColor="text1"/>
        </w:rPr>
      </w:pPr>
    </w:p>
    <w:p>
      <w:pPr>
        <w:rPr>
          <w:rFonts w:ascii="Times New Roman" w:hAnsi="Times New Roman" w:cs="Times New Roman"/>
          <w:b/>
          <w:bCs/>
          <w:color w:val="000000" w:themeColor="text1"/>
        </w:rPr>
      </w:pPr>
    </w:p>
    <w:p>
      <w:pPr>
        <w:rPr>
          <w:rFonts w:ascii="Times New Roman" w:hAnsi="Times New Roman" w:cs="Times New Roman"/>
          <w:b/>
          <w:bCs/>
          <w:color w:val="000000" w:themeColor="text1"/>
        </w:rPr>
      </w:pPr>
    </w:p>
    <w:p>
      <w:pPr>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5281944" cy="4154400"/>
            <wp:effectExtent l="0" t="0" r="127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pic:nvPicPr>
                  <pic:blipFill>
                    <a:blip r:embed="rId5" cstate="hqprint">
                      <a:extLst>
                        <a:ext uri="{28A0092B-C50C-407E-A947-70E740481C1C}">
                          <a14:useLocalDpi xmlns:a14="http://schemas.microsoft.com/office/drawing/2010/main" val="0"/>
                        </a:ext>
                      </a:extLst>
                    </a:blip>
                    <a:srcRect t="2628" r="12804" b="4998"/>
                    <a:stretch>
                      <a:fillRect/>
                    </a:stretch>
                  </pic:blipFill>
                  <pic:spPr bwMode="auto">
                    <a:xfrm>
                      <a:off x="0" y="0"/>
                      <a:ext cx="5470095" cy="4302386"/>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pPr>
        <w:jc w:val="both"/>
        <w:rPr>
          <w:rFonts w:ascii="Times New Roman" w:hAnsi="Times New Roman" w:cs="Times New Roman"/>
          <w:color w:val="000000" w:themeColor="text1"/>
          <w:sz w:val="21"/>
          <w:szCs w:val="21"/>
        </w:rPr>
      </w:pPr>
      <w:r>
        <w:rPr>
          <w:rFonts w:ascii="Times New Roman" w:hAnsi="Times New Roman" w:cs="Times New Roman"/>
          <w:b/>
          <w:bCs/>
          <w:color w:val="000000" w:themeColor="text1"/>
          <w:sz w:val="21"/>
          <w:szCs w:val="21"/>
        </w:rPr>
        <w:t xml:space="preserve">Supplementary Fig.2: </w:t>
      </w:r>
      <w:bookmarkStart w:id="25" w:name="OLE_LINK128"/>
      <w:bookmarkStart w:id="26" w:name="OLE_LINK129"/>
      <w:r>
        <w:rPr>
          <w:rFonts w:ascii="Times New Roman" w:hAnsi="Times New Roman" w:cs="Times New Roman"/>
          <w:b/>
          <w:bCs/>
          <w:color w:val="000000" w:themeColor="text1"/>
          <w:sz w:val="21"/>
          <w:szCs w:val="21"/>
        </w:rPr>
        <w:t>Reduction in the average wet-bulb global temperature in shadow (WBGTs) during the hottest part of the day in the hottest month</w:t>
      </w:r>
      <w:bookmarkEnd w:id="25"/>
      <w:bookmarkEnd w:id="26"/>
      <w:r>
        <w:rPr>
          <w:rFonts w:ascii="Times New Roman" w:hAnsi="Times New Roman" w:cs="Times New Roman"/>
          <w:b/>
          <w:bCs/>
          <w:color w:val="000000" w:themeColor="text1"/>
          <w:sz w:val="21"/>
          <w:szCs w:val="21"/>
        </w:rPr>
        <w:t xml:space="preserve"> resulting from several cooling adaptation strategies, including (a) green roofs, (b) cool walls, (c) cool ground surfaces and (d) full adaptation. </w:t>
      </w:r>
      <w:r>
        <w:rPr>
          <w:rFonts w:ascii="Times New Roman" w:hAnsi="Times New Roman" w:cs="Times New Roman"/>
          <w:color w:val="000000" w:themeColor="text1"/>
          <w:sz w:val="21"/>
          <w:szCs w:val="21"/>
        </w:rPr>
        <w:t>Areas in white are areas in which the urban land use fraction is projected to be less than 10% in the future.</w:t>
      </w:r>
    </w:p>
    <w:p>
      <w:pPr>
        <w:rPr>
          <w:rFonts w:ascii="Times New Roman" w:hAnsi="Times New Roman" w:cs="Times New Roman"/>
          <w:b/>
          <w:bCs/>
          <w:color w:val="000000" w:themeColor="text1"/>
        </w:rPr>
      </w:pPr>
    </w:p>
    <w:p>
      <w:pPr>
        <w:jc w:val="center"/>
        <w:rPr>
          <w:rFonts w:ascii="Times New Roman" w:hAnsi="Times New Roman" w:cs="Times New Roman"/>
          <w:b/>
          <w:bCs/>
          <w:color w:val="000000" w:themeColor="text1"/>
        </w:rPr>
      </w:pPr>
      <w:r>
        <w:rPr>
          <w:rFonts w:ascii="Times New Roman" w:hAnsi="Times New Roman" w:cs="Times New Roman"/>
          <w:b/>
          <w:bCs/>
          <w:noProof/>
          <w:color w:val="000000" w:themeColor="text1"/>
          <w:lang w:eastAsia="en-US"/>
        </w:rPr>
        <w:drawing>
          <wp:inline distT="0" distB="0" distL="0" distR="0">
            <wp:extent cx="5406577" cy="6041036"/>
            <wp:effectExtent l="0" t="0" r="381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6"/>
                    <a:stretch>
                      <a:fillRect/>
                    </a:stretch>
                  </pic:blipFill>
                  <pic:spPr>
                    <a:xfrm>
                      <a:off x="0" y="0"/>
                      <a:ext cx="5408698" cy="6043406"/>
                    </a:xfrm>
                    <a:prstGeom prst="rect">
                      <a:avLst/>
                    </a:prstGeom>
                  </pic:spPr>
                </pic:pic>
              </a:graphicData>
            </a:graphic>
          </wp:inline>
        </w:drawing>
      </w:r>
    </w:p>
    <w:p>
      <w:pPr>
        <w:jc w:val="both"/>
        <w:rPr>
          <w:rFonts w:ascii="Times New Roman" w:hAnsi="Times New Roman" w:cs="Times New Roman"/>
          <w:b/>
          <w:bCs/>
          <w:color w:val="000000" w:themeColor="text1"/>
          <w:sz w:val="21"/>
          <w:szCs w:val="21"/>
        </w:rPr>
      </w:pPr>
      <w:bookmarkStart w:id="27" w:name="OLE_LINK17"/>
      <w:bookmarkStart w:id="28" w:name="OLE_LINK18"/>
      <w:r>
        <w:rPr>
          <w:rFonts w:ascii="Times New Roman" w:hAnsi="Times New Roman" w:cs="Times New Roman"/>
          <w:b/>
          <w:bCs/>
          <w:color w:val="000000" w:themeColor="text1"/>
          <w:sz w:val="21"/>
          <w:szCs w:val="21"/>
        </w:rPr>
        <w:t>Supplementary Fig.3</w:t>
      </w:r>
      <w:bookmarkEnd w:id="27"/>
      <w:bookmarkEnd w:id="28"/>
      <w:r>
        <w:rPr>
          <w:rFonts w:ascii="Times New Roman" w:hAnsi="Times New Roman" w:cs="Times New Roman"/>
          <w:b/>
          <w:bCs/>
          <w:color w:val="000000" w:themeColor="text1"/>
          <w:sz w:val="21"/>
          <w:szCs w:val="21"/>
        </w:rPr>
        <w:t xml:space="preserve">: Average recovered percentage of worker productivity for three types of work due to application of the three adaptation strategies. </w:t>
      </w:r>
      <w:r>
        <w:rPr>
          <w:rFonts w:ascii="Times New Roman" w:hAnsi="Times New Roman" w:cs="Times New Roman"/>
          <w:color w:val="000000" w:themeColor="text1"/>
          <w:sz w:val="21"/>
          <w:szCs w:val="21"/>
        </w:rPr>
        <w:t>The exposure-response function developed by Kjellstrom</w:t>
      </w:r>
      <w:r>
        <w:rPr>
          <w:rFonts w:ascii="Times New Roman" w:hAnsi="Times New Roman" w:cs="Times New Roman"/>
          <w:color w:val="000000" w:themeColor="text1"/>
          <w:sz w:val="21"/>
          <w:szCs w:val="21"/>
        </w:rPr>
        <w:fldChar w:fldCharType="begin"/>
      </w:r>
      <w:r>
        <w:rPr>
          <w:rFonts w:ascii="Times New Roman" w:hAnsi="Times New Roman" w:cs="Times New Roman"/>
          <w:color w:val="000000" w:themeColor="text1"/>
          <w:sz w:val="21"/>
          <w:szCs w:val="21"/>
        </w:rPr>
        <w:instrText xml:space="preserve"> ADDIN EN.CITE &lt;EndNote&gt;&lt;Cite&gt;&lt;Author&gt;Kjellstrom&lt;/Author&gt;&lt;Year&gt;2018&lt;/Year&gt;&lt;RecNum&gt;1335&lt;/RecNum&gt;&lt;DisplayText&gt;&lt;style face="superscript"&gt;6&lt;/style&gt;&lt;/DisplayText&gt;&lt;record&gt;&lt;rec-number&gt;1335&lt;/rec-number&gt;&lt;foreign-keys&gt;&lt;key app="EN" db-id="0vp2p0ptdvdaf4erwesvxax0d5sezasrfx50" timestamp="1647522272"&gt;1335&lt;/key&gt;&lt;/foreign-keys&gt;&lt;ref-type name="Journal Article"&gt;17&lt;/ref-type&gt;&lt;contributors&gt;&lt;authors&gt;&lt;author&gt;Kjellstrom, Tord&lt;/author&gt;&lt;author&gt;Freyberg, Chris&lt;/author&gt;&lt;author&gt;Lemke, Bruno&lt;/author&gt;&lt;author&gt;Otto, Matthias&lt;/author&gt;&lt;author&gt;Briggs, David&lt;/author&gt;&lt;/authors&gt;&lt;/contributors&gt;&lt;titles&gt;&lt;title&gt;Estimating population heat exposure and impacts on working people in conjunction with climate change&lt;/title&gt;&lt;secondary-title&gt;International Journal of Biometeorology&lt;/secondary-title&gt;&lt;/titles&gt;&lt;periodical&gt;&lt;full-title&gt;International Journal of Biometeorology&lt;/full-title&gt;&lt;abbr-1&gt;Int J Biometeorol&lt;/abbr-1&gt;&lt;/periodical&gt;&lt;pages&gt;291-306&lt;/pages&gt;&lt;volume&gt;62&lt;/volume&gt;&lt;number&gt;3&lt;/number&gt;&lt;dates&gt;&lt;year&gt;2018&lt;/year&gt;&lt;/dates&gt;&lt;isbn&gt;1432-1254&lt;/isbn&gt;&lt;urls&gt;&lt;/urls&gt;&lt;/record&gt;&lt;/Cite&gt;&lt;/EndNote&gt;</w:instrText>
      </w:r>
      <w:r>
        <w:rPr>
          <w:rFonts w:ascii="Times New Roman" w:hAnsi="Times New Roman" w:cs="Times New Roman"/>
          <w:color w:val="000000" w:themeColor="text1"/>
          <w:sz w:val="21"/>
          <w:szCs w:val="21"/>
        </w:rPr>
        <w:fldChar w:fldCharType="separate"/>
      </w:r>
      <w:r>
        <w:rPr>
          <w:rFonts w:ascii="Times New Roman" w:hAnsi="Times New Roman" w:cs="Times New Roman"/>
          <w:noProof/>
          <w:color w:val="000000" w:themeColor="text1"/>
          <w:sz w:val="21"/>
          <w:szCs w:val="21"/>
          <w:vertAlign w:val="superscript"/>
        </w:rPr>
        <w:t>6</w:t>
      </w:r>
      <w:r>
        <w:rPr>
          <w:rFonts w:ascii="Times New Roman" w:hAnsi="Times New Roman" w:cs="Times New Roman"/>
          <w:color w:val="000000" w:themeColor="text1"/>
          <w:sz w:val="21"/>
          <w:szCs w:val="21"/>
        </w:rPr>
        <w:fldChar w:fldCharType="end"/>
      </w:r>
      <w:r>
        <w:rPr>
          <w:rFonts w:ascii="Times New Roman" w:hAnsi="Times New Roman" w:cs="Times New Roman"/>
          <w:color w:val="000000" w:themeColor="text1"/>
          <w:sz w:val="21"/>
          <w:szCs w:val="21"/>
        </w:rPr>
        <w:t xml:space="preserve"> was used to estimate the heat impacts on hourly worker productivity during all work hours in summer. For the calculation methods, please see the methods section.</w:t>
      </w:r>
    </w:p>
    <w:p>
      <w:pPr>
        <w:jc w:val="both"/>
        <w:rPr>
          <w:rFonts w:ascii="Times New Roman" w:hAnsi="Times New Roman" w:cs="Times New Roman"/>
          <w:color w:val="000000" w:themeColor="text1"/>
          <w:sz w:val="21"/>
          <w:szCs w:val="21"/>
        </w:rPr>
      </w:pPr>
    </w:p>
    <w:p>
      <w:pPr>
        <w:rPr>
          <w:rFonts w:ascii="Times New Roman" w:hAnsi="Times New Roman" w:cs="Times New Roman"/>
          <w:b/>
          <w:bCs/>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4704203" cy="272050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7"/>
                    <a:stretch>
                      <a:fillRect/>
                    </a:stretch>
                  </pic:blipFill>
                  <pic:spPr>
                    <a:xfrm>
                      <a:off x="0" y="0"/>
                      <a:ext cx="4709657" cy="2723657"/>
                    </a:xfrm>
                    <a:prstGeom prst="rect">
                      <a:avLst/>
                    </a:prstGeom>
                  </pic:spPr>
                </pic:pic>
              </a:graphicData>
            </a:graphic>
          </wp:inline>
        </w:drawing>
      </w:r>
    </w:p>
    <w:p>
      <w:pPr>
        <w:jc w:val="both"/>
        <w:rPr>
          <w:rFonts w:ascii="Times New Roman" w:hAnsi="Times New Roman" w:cs="Times New Roman"/>
          <w:color w:val="000000" w:themeColor="text1"/>
          <w:sz w:val="21"/>
          <w:szCs w:val="21"/>
        </w:rPr>
      </w:pPr>
      <w:r>
        <w:rPr>
          <w:rFonts w:ascii="Times New Roman" w:hAnsi="Times New Roman" w:cs="Times New Roman"/>
          <w:b/>
          <w:bCs/>
          <w:color w:val="000000" w:themeColor="text1"/>
          <w:sz w:val="21"/>
          <w:szCs w:val="21"/>
        </w:rPr>
        <w:t xml:space="preserve">Supplementary Fig.4: The exposure-response functions describing the relationship between WGBT and the ratio of labor loss for three different work intensities. </w:t>
      </w:r>
      <w:r>
        <w:rPr>
          <w:rFonts w:ascii="Times New Roman" w:hAnsi="Times New Roman" w:cs="Times New Roman"/>
          <w:color w:val="000000" w:themeColor="text1"/>
          <w:sz w:val="21"/>
          <w:szCs w:val="21"/>
        </w:rPr>
        <w:t>The impacts on productivity were measured on an hourly basis in related field studies</w:t>
      </w:r>
      <w:r>
        <w:rPr>
          <w:rFonts w:ascii="Times New Roman" w:hAnsi="Times New Roman" w:cs="Times New Roman"/>
          <w:color w:val="000000" w:themeColor="text1"/>
          <w:sz w:val="21"/>
          <w:szCs w:val="21"/>
        </w:rPr>
        <w:fldChar w:fldCharType="begin"/>
      </w:r>
      <w:r>
        <w:rPr>
          <w:rFonts w:ascii="Times New Roman" w:hAnsi="Times New Roman" w:cs="Times New Roman"/>
          <w:color w:val="000000" w:themeColor="text1"/>
          <w:sz w:val="21"/>
          <w:szCs w:val="21"/>
        </w:rPr>
        <w:instrText xml:space="preserve"> ADDIN EN.CITE &lt;EndNote&gt;&lt;Cite&gt;&lt;Author&gt;Bröde&lt;/Author&gt;&lt;Year&gt;2018&lt;/Year&gt;&lt;RecNum&gt;1336&lt;/RecNum&gt;&lt;DisplayText&gt;&lt;style face="superscript"&gt;7&lt;/style&gt;&lt;/DisplayText&gt;&lt;record&gt;&lt;rec-number&gt;1336&lt;/rec-number&gt;&lt;foreign-keys&gt;&lt;key app="EN" db-id="0vp2p0ptdvdaf4erwesvxax0d5sezasrfx50" timestamp="1647522610"&gt;1336&lt;/key&gt;&lt;/foreign-keys&gt;&lt;ref-type name="Journal Article"&gt;17&lt;/ref-type&gt;&lt;contributors&gt;&lt;authors&gt;&lt;author&gt;Bröde, Peter&lt;/author&gt;&lt;author&gt;Fiala, Dusan&lt;/author&gt;&lt;author&gt;Lemke, Bruno&lt;/author&gt;&lt;author&gt;Kjellstrom, Tord&lt;/author&gt;&lt;/authors&gt;&lt;/contributors&gt;&lt;titles&gt;&lt;title&gt;Estimated work ability in warm outdoor environments depends on the chosen heat stress assessment metric&lt;/title&gt;&lt;secondary-title&gt;International journal of biometeorology&lt;/secondary-title&gt;&lt;/titles&gt;&lt;periodical&gt;&lt;full-title&gt;International Journal of Biometeorology&lt;/full-title&gt;&lt;abbr-1&gt;Int J Biometeorol&lt;/abbr-1&gt;&lt;/periodical&gt;&lt;pages&gt;331-345&lt;/pages&gt;&lt;volume&gt;62&lt;/volume&gt;&lt;number&gt;3&lt;/number&gt;&lt;dates&gt;&lt;year&gt;2018&lt;/year&gt;&lt;/dates&gt;&lt;isbn&gt;1432-1254&lt;/isbn&gt;&lt;urls&gt;&lt;/urls&gt;&lt;/record&gt;&lt;/Cite&gt;&lt;/EndNote&gt;</w:instrText>
      </w:r>
      <w:r>
        <w:rPr>
          <w:rFonts w:ascii="Times New Roman" w:hAnsi="Times New Roman" w:cs="Times New Roman"/>
          <w:color w:val="000000" w:themeColor="text1"/>
          <w:sz w:val="21"/>
          <w:szCs w:val="21"/>
        </w:rPr>
        <w:fldChar w:fldCharType="separate"/>
      </w:r>
      <w:r>
        <w:rPr>
          <w:rFonts w:ascii="Times New Roman" w:hAnsi="Times New Roman" w:cs="Times New Roman"/>
          <w:noProof/>
          <w:color w:val="000000" w:themeColor="text1"/>
          <w:sz w:val="21"/>
          <w:szCs w:val="21"/>
          <w:vertAlign w:val="superscript"/>
        </w:rPr>
        <w:t>7</w:t>
      </w:r>
      <w:r>
        <w:rPr>
          <w:rFonts w:ascii="Times New Roman" w:hAnsi="Times New Roman" w:cs="Times New Roman"/>
          <w:color w:val="000000" w:themeColor="text1"/>
          <w:sz w:val="21"/>
          <w:szCs w:val="21"/>
        </w:rPr>
        <w:fldChar w:fldCharType="end"/>
      </w:r>
      <w:r>
        <w:rPr>
          <w:rFonts w:ascii="Times New Roman" w:hAnsi="Times New Roman" w:cs="Times New Roman"/>
          <w:color w:val="000000" w:themeColor="text1"/>
          <w:sz w:val="21"/>
          <w:szCs w:val="21"/>
        </w:rPr>
        <w:t>.</w:t>
      </w: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ind w:firstLine="480"/>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4491970" cy="3168733"/>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4522097" cy="3189985"/>
                    </a:xfrm>
                    <a:prstGeom prst="rect">
                      <a:avLst/>
                    </a:prstGeom>
                  </pic:spPr>
                </pic:pic>
              </a:graphicData>
            </a:graphic>
          </wp:inline>
        </w:drawing>
      </w:r>
    </w:p>
    <w:p>
      <w:pPr>
        <w:spacing w:line="480" w:lineRule="auto"/>
        <w:rPr>
          <w:rFonts w:ascii="Times New Roman" w:eastAsiaTheme="majorEastAsia" w:hAnsi="Times New Roman" w:cs="Times New Roman"/>
          <w:b/>
          <w:bCs/>
          <w:color w:val="000000" w:themeColor="text1"/>
          <w:sz w:val="21"/>
          <w:szCs w:val="21"/>
        </w:rPr>
      </w:pPr>
      <w:r>
        <w:rPr>
          <w:rFonts w:ascii="Times New Roman" w:hAnsi="Times New Roman" w:cs="Times New Roman"/>
          <w:b/>
          <w:bCs/>
          <w:color w:val="000000" w:themeColor="text1"/>
          <w:sz w:val="21"/>
          <w:szCs w:val="21"/>
        </w:rPr>
        <w:t>Supplementary Fig.</w:t>
      </w:r>
      <w:r>
        <w:rPr>
          <w:rFonts w:ascii="Times New Roman" w:eastAsiaTheme="majorEastAsia" w:hAnsi="Times New Roman" w:cs="Times New Roman"/>
          <w:b/>
          <w:bCs/>
          <w:color w:val="000000" w:themeColor="text1"/>
          <w:sz w:val="21"/>
          <w:szCs w:val="21"/>
        </w:rPr>
        <w:t>5: Domain of the WRF simulation at 20-km resolution.</w:t>
      </w: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both"/>
        <w:rPr>
          <w:rFonts w:ascii="Times New Roman" w:hAnsi="Times New Roman" w:cs="Times New Roman"/>
          <w:color w:val="000000" w:themeColor="text1"/>
        </w:rPr>
      </w:pPr>
    </w:p>
    <w:p>
      <w:pPr>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5047849" cy="3124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5134870" cy="3178669"/>
                    </a:xfrm>
                    <a:prstGeom prst="rect">
                      <a:avLst/>
                    </a:prstGeom>
                  </pic:spPr>
                </pic:pic>
              </a:graphicData>
            </a:graphic>
          </wp:inline>
        </w:drawing>
      </w:r>
    </w:p>
    <w:p>
      <w:pPr>
        <w:jc w:val="both"/>
        <w:rPr>
          <w:rFonts w:ascii="Times New Roman" w:hAnsi="Times New Roman" w:cs="Times New Roman"/>
          <w:color w:val="000000" w:themeColor="text1"/>
          <w:sz w:val="21"/>
          <w:szCs w:val="21"/>
        </w:rPr>
      </w:pPr>
      <w:r>
        <w:rPr>
          <w:rFonts w:ascii="Times New Roman" w:hAnsi="Times New Roman" w:cs="Times New Roman"/>
          <w:b/>
          <w:bCs/>
          <w:color w:val="000000" w:themeColor="text1"/>
          <w:sz w:val="21"/>
          <w:szCs w:val="21"/>
        </w:rPr>
        <w:t>Supplementary Fig.</w:t>
      </w:r>
      <w:r>
        <w:rPr>
          <w:rFonts w:ascii="Times New Roman" w:eastAsiaTheme="majorEastAsia" w:hAnsi="Times New Roman" w:cs="Times New Roman"/>
          <w:b/>
          <w:bCs/>
          <w:color w:val="000000" w:themeColor="text1"/>
          <w:sz w:val="21"/>
          <w:szCs w:val="21"/>
        </w:rPr>
        <w:t>6:</w:t>
      </w:r>
      <w:r>
        <w:rPr>
          <w:rFonts w:ascii="Times New Roman" w:hAnsi="Times New Roman" w:cs="Times New Roman"/>
          <w:b/>
          <w:bCs/>
          <w:color w:val="000000" w:themeColor="text1"/>
          <w:sz w:val="21"/>
          <w:szCs w:val="21"/>
        </w:rPr>
        <w:t xml:space="preserve"> The distributions of daily 2-m air temperature between the WRF simulation output and observation data of 10 urban meteorological observatories from 1 June to 31 August 2015. </w:t>
      </w:r>
      <w:r>
        <w:rPr>
          <w:rFonts w:ascii="Times New Roman" w:hAnsi="Times New Roman" w:cs="Times New Roman"/>
          <w:color w:val="000000" w:themeColor="text1"/>
          <w:sz w:val="21"/>
          <w:szCs w:val="21"/>
        </w:rPr>
        <w:t>The observation data were obtained from the National Earth System Science Data Center (http://www.geodata.cn). For comparison, we processed the point observation data into the nearest WRF simulation grid with 20-km resolution.</w:t>
      </w: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rPr>
          <w:rFonts w:ascii="Times New Roman" w:eastAsiaTheme="majorEastAsia" w:hAnsi="Times New Roman" w:cs="Times New Roman"/>
          <w:b/>
          <w:bCs/>
          <w:color w:val="000000" w:themeColor="text1"/>
          <w:sz w:val="21"/>
          <w:szCs w:val="21"/>
        </w:rPr>
      </w:pPr>
      <w:r>
        <w:rPr>
          <w:rFonts w:ascii="Times New Roman" w:eastAsiaTheme="majorEastAsia" w:hAnsi="Times New Roman" w:cs="Times New Roman"/>
          <w:b/>
          <w:bCs/>
          <w:color w:val="000000" w:themeColor="text1"/>
          <w:sz w:val="21"/>
          <w:szCs w:val="21"/>
        </w:rPr>
        <w:br w:type="page"/>
      </w: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center"/>
        <w:rPr>
          <w:rFonts w:ascii="Times New Roman" w:hAnsi="Times New Roman" w:cs="Times New Roman"/>
          <w:color w:val="000000" w:themeColor="text1"/>
        </w:rPr>
      </w:pPr>
      <w:r>
        <w:rPr>
          <w:rFonts w:ascii="Times New Roman" w:hAnsi="Times New Roman" w:cs="Times New Roman"/>
          <w:noProof/>
          <w:color w:val="000000" w:themeColor="text1"/>
          <w:lang w:eastAsia="en-US"/>
        </w:rPr>
        <w:drawing>
          <wp:inline distT="0" distB="0" distL="0" distR="0">
            <wp:extent cx="4876800" cy="3137016"/>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1211" cy="3139853"/>
                    </a:xfrm>
                    <a:prstGeom prst="rect">
                      <a:avLst/>
                    </a:prstGeom>
                  </pic:spPr>
                </pic:pic>
              </a:graphicData>
            </a:graphic>
          </wp:inline>
        </w:drawing>
      </w:r>
    </w:p>
    <w:p>
      <w:pPr>
        <w:jc w:val="both"/>
        <w:rPr>
          <w:rFonts w:ascii="Times New Roman" w:hAnsi="Times New Roman" w:cs="Times New Roman"/>
          <w:color w:val="000000" w:themeColor="text1"/>
          <w:sz w:val="21"/>
          <w:szCs w:val="21"/>
        </w:rPr>
      </w:pPr>
      <w:r>
        <w:rPr>
          <w:rFonts w:ascii="Times New Roman" w:hAnsi="Times New Roman" w:cs="Times New Roman"/>
          <w:b/>
          <w:bCs/>
          <w:color w:val="000000" w:themeColor="text1"/>
          <w:sz w:val="21"/>
          <w:szCs w:val="21"/>
        </w:rPr>
        <w:t>Supplementary Fig.</w:t>
      </w:r>
      <w:r>
        <w:rPr>
          <w:rFonts w:ascii="Times New Roman" w:eastAsiaTheme="majorEastAsia" w:hAnsi="Times New Roman" w:cs="Times New Roman"/>
          <w:b/>
          <w:bCs/>
          <w:color w:val="000000" w:themeColor="text1"/>
          <w:sz w:val="21"/>
          <w:szCs w:val="21"/>
        </w:rPr>
        <w:t>7:</w:t>
      </w:r>
      <w:r>
        <w:rPr>
          <w:rFonts w:ascii="Times New Roman" w:hAnsi="Times New Roman" w:cs="Times New Roman"/>
          <w:b/>
          <w:bCs/>
          <w:color w:val="000000" w:themeColor="text1"/>
          <w:sz w:val="21"/>
          <w:szCs w:val="21"/>
        </w:rPr>
        <w:t xml:space="preserve"> Comparison of the distributions of daily 2-m air temperature between the WRF simulation output and observation data of </w:t>
      </w:r>
      <w:bookmarkStart w:id="29" w:name="OLE_LINK3"/>
      <w:bookmarkStart w:id="30" w:name="OLE_LINK4"/>
      <w:r>
        <w:rPr>
          <w:rFonts w:ascii="Times New Roman" w:hAnsi="Times New Roman" w:cs="Times New Roman"/>
          <w:b/>
          <w:bCs/>
          <w:color w:val="000000" w:themeColor="text1"/>
          <w:sz w:val="21"/>
          <w:szCs w:val="21"/>
        </w:rPr>
        <w:t>10 urban meteorological observatories</w:t>
      </w:r>
      <w:bookmarkEnd w:id="29"/>
      <w:bookmarkEnd w:id="30"/>
      <w:r>
        <w:rPr>
          <w:rFonts w:ascii="Times New Roman" w:hAnsi="Times New Roman" w:cs="Times New Roman"/>
          <w:b/>
          <w:bCs/>
          <w:color w:val="000000" w:themeColor="text1"/>
          <w:sz w:val="21"/>
          <w:szCs w:val="21"/>
        </w:rPr>
        <w:t xml:space="preserve"> from 1 June 2015 to 31 August 2015. </w:t>
      </w:r>
      <w:r>
        <w:rPr>
          <w:rFonts w:ascii="Times New Roman" w:hAnsi="Times New Roman" w:cs="Times New Roman"/>
          <w:color w:val="000000" w:themeColor="text1"/>
          <w:sz w:val="21"/>
          <w:szCs w:val="21"/>
        </w:rPr>
        <w:t xml:space="preserve">Each dot denotes one city. </w:t>
      </w:r>
      <w:bookmarkStart w:id="31" w:name="OLE_LINK11"/>
      <w:bookmarkStart w:id="32" w:name="OLE_LINK12"/>
      <w:r>
        <w:rPr>
          <w:rFonts w:ascii="Times New Roman" w:hAnsi="Times New Roman" w:cs="Times New Roman"/>
          <w:color w:val="000000" w:themeColor="text1"/>
          <w:sz w:val="21"/>
          <w:szCs w:val="21"/>
        </w:rPr>
        <w:t>The correlation</w:t>
      </w:r>
      <w:r>
        <w:rPr>
          <w:rFonts w:ascii="Times New Roman" w:hAnsi="Times New Roman" w:cs="Times New Roman" w:hint="eastAsia"/>
          <w:color w:val="000000" w:themeColor="text1"/>
          <w:sz w:val="21"/>
          <w:szCs w:val="21"/>
        </w:rPr>
        <w:t xml:space="preserve"> </w:t>
      </w:r>
      <w:r>
        <w:rPr>
          <w:rFonts w:ascii="Times New Roman" w:hAnsi="Times New Roman" w:cs="Times New Roman"/>
          <w:color w:val="000000" w:themeColor="text1"/>
          <w:sz w:val="21"/>
          <w:szCs w:val="21"/>
        </w:rPr>
        <w:t>coefficients between the WRF outputs and the observational field pass the significance test</w:t>
      </w:r>
      <w:r>
        <w:rPr>
          <w:rFonts w:ascii="Times New Roman" w:hAnsi="Times New Roman" w:cs="Times New Roman" w:hint="eastAsia"/>
          <w:color w:val="000000" w:themeColor="text1"/>
          <w:sz w:val="21"/>
          <w:szCs w:val="21"/>
        </w:rPr>
        <w:t xml:space="preserve"> </w:t>
      </w:r>
      <w:r>
        <w:rPr>
          <w:rFonts w:ascii="Times New Roman" w:hAnsi="Times New Roman" w:cs="Times New Roman"/>
          <w:color w:val="000000" w:themeColor="text1"/>
          <w:sz w:val="21"/>
          <w:szCs w:val="21"/>
        </w:rPr>
        <w:t>(p&lt;0.05)</w:t>
      </w:r>
      <w:bookmarkEnd w:id="31"/>
      <w:bookmarkEnd w:id="32"/>
      <w:r>
        <w:rPr>
          <w:rFonts w:ascii="Times New Roman" w:hAnsi="Times New Roman" w:cs="Times New Roman"/>
          <w:color w:val="000000" w:themeColor="text1"/>
          <w:sz w:val="21"/>
          <w:szCs w:val="21"/>
        </w:rPr>
        <w:t xml:space="preserve"> for each of the 10 urban meteorological observatories, and the standard deviations and RMSE of two series are within 0.5-2.5, indicating that our model is able to depict the temperature situation under the baseline scenario and to simulate climate change under future scenarios.</w:t>
      </w: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jc w:val="both"/>
        <w:rPr>
          <w:rFonts w:ascii="Times New Roman" w:eastAsiaTheme="majorEastAsia" w:hAnsi="Times New Roman" w:cs="Times New Roman"/>
          <w:b/>
          <w:bCs/>
          <w:color w:val="000000" w:themeColor="text1"/>
          <w:sz w:val="21"/>
          <w:szCs w:val="21"/>
        </w:rPr>
      </w:pPr>
    </w:p>
    <w:p>
      <w:pPr>
        <w:rPr>
          <w:rFonts w:ascii="Times New Roman" w:hAnsi="Times New Roman" w:cs="Times New Roman"/>
          <w:color w:val="000000" w:themeColor="text1"/>
        </w:rPr>
      </w:pPr>
      <w:r>
        <w:rPr>
          <w:rFonts w:ascii="Times New Roman" w:hAnsi="Times New Roman" w:cs="Times New Roman"/>
          <w:color w:val="000000" w:themeColor="text1"/>
        </w:rPr>
        <w:br w:type="page"/>
      </w:r>
    </w:p>
    <w:p>
      <w:pPr>
        <w:jc w:val="both"/>
        <w:rPr>
          <w:rFonts w:ascii="Times New Roman" w:hAnsi="Times New Roman" w:cs="Times New Roman"/>
          <w:color w:val="000000" w:themeColor="text1"/>
        </w:rPr>
        <w:sectPr>
          <w:pgSz w:w="11900" w:h="16840"/>
          <w:pgMar w:top="1440" w:right="1800" w:bottom="1440" w:left="1800" w:header="851" w:footer="992" w:gutter="0"/>
          <w:cols w:space="425"/>
          <w:docGrid w:type="lines" w:linePitch="423"/>
        </w:sectPr>
      </w:pPr>
    </w:p>
    <w:p>
      <w:pPr>
        <w:jc w:val="center"/>
        <w:rPr>
          <w:rFonts w:ascii="Times New Roman" w:hAnsi="Times New Roman" w:cs="Times New Roman"/>
          <w:b/>
          <w:bCs/>
          <w:color w:val="000000" w:themeColor="text1"/>
        </w:rPr>
      </w:pPr>
      <w:bookmarkStart w:id="33" w:name="OLE_LINK31"/>
      <w:bookmarkStart w:id="34" w:name="OLE_LINK32"/>
      <w:r>
        <w:rPr>
          <w:rFonts w:ascii="Times New Roman" w:hAnsi="Times New Roman" w:cs="Times New Roman"/>
          <w:b/>
          <w:bCs/>
          <w:color w:val="000000" w:themeColor="text1"/>
        </w:rPr>
        <w:t>Supplementary</w:t>
      </w:r>
      <w:bookmarkEnd w:id="33"/>
      <w:bookmarkEnd w:id="34"/>
      <w:r>
        <w:rPr>
          <w:rFonts w:ascii="Times New Roman" w:hAnsi="Times New Roman" w:cs="Times New Roman"/>
          <w:b/>
          <w:bCs/>
          <w:color w:val="000000" w:themeColor="text1"/>
        </w:rPr>
        <w:t xml:space="preserve"> Tables</w:t>
      </w:r>
    </w:p>
    <w:p>
      <w:pPr>
        <w:jc w:val="center"/>
        <w:rPr>
          <w:rFonts w:ascii="Times New Roman" w:hAnsi="Times New Roman" w:cs="Times New Roman"/>
          <w:b/>
          <w:bCs/>
          <w:color w:val="000000" w:themeColor="text1"/>
        </w:rPr>
      </w:pPr>
    </w:p>
    <w:p>
      <w:pPr>
        <w:jc w:val="center"/>
        <w:rPr>
          <w:rFonts w:ascii="Times New Roman" w:hAnsi="Times New Roman" w:cs="Times New Roman"/>
          <w:b/>
          <w:bCs/>
          <w:color w:val="000000" w:themeColor="text1"/>
        </w:rPr>
      </w:pPr>
    </w:p>
    <w:p>
      <w:pPr>
        <w:jc w:val="both"/>
        <w:rPr>
          <w:rFonts w:ascii="Times New Roman" w:hAnsi="Times New Roman" w:cs="Times New Roman"/>
          <w:color w:val="000000" w:themeColor="text1"/>
          <w:sz w:val="21"/>
          <w:szCs w:val="21"/>
        </w:rPr>
      </w:pPr>
      <w:r>
        <w:rPr>
          <w:rFonts w:ascii="Times New Roman" w:hAnsi="Times New Roman" w:cs="Times New Roman"/>
          <w:b/>
          <w:bCs/>
          <w:color w:val="000000" w:themeColor="text1"/>
        </w:rPr>
        <w:t>Supplementary</w:t>
      </w:r>
      <w:r>
        <w:rPr>
          <w:rFonts w:ascii="Times New Roman" w:hAnsi="Times New Roman" w:cs="Times New Roman"/>
          <w:b/>
          <w:bCs/>
          <w:color w:val="000000" w:themeColor="text1"/>
          <w:kern w:val="32"/>
          <w:sz w:val="20"/>
          <w:szCs w:val="22"/>
        </w:rPr>
        <w:t xml:space="preserve"> Table 1. </w:t>
      </w:r>
      <w:r>
        <w:rPr>
          <w:rFonts w:ascii="Times New Roman" w:hAnsi="Times New Roman" w:cs="Times New Roman"/>
          <w:b/>
          <w:bCs/>
          <w:color w:val="000000" w:themeColor="text1"/>
          <w:sz w:val="21"/>
          <w:szCs w:val="21"/>
        </w:rPr>
        <w:t xml:space="preserve">Annual economic losses from reduced labor due to extreme warming in different sectors under baseline and future scenarios (units: million US dollars). </w:t>
      </w:r>
      <w:r>
        <w:rPr>
          <w:rFonts w:ascii="Times New Roman" w:hAnsi="Times New Roman" w:cs="Times New Roman"/>
          <w:color w:val="000000" w:themeColor="text1"/>
          <w:sz w:val="21"/>
          <w:szCs w:val="21"/>
        </w:rPr>
        <w:t>We only account for the data from all urban grids of all possible working hours (08:00–20:00) in summer.</w:t>
      </w:r>
    </w:p>
    <w:tbl>
      <w:tblPr>
        <w:tblW w:w="12336" w:type="dxa"/>
        <w:jc w:val="center"/>
        <w:tblLayout w:type="fixed"/>
        <w:tblLook w:val="04A0" w:firstRow="1" w:lastRow="0" w:firstColumn="1" w:lastColumn="0" w:noHBand="0" w:noVBand="1"/>
      </w:tblPr>
      <w:tblGrid>
        <w:gridCol w:w="709"/>
        <w:gridCol w:w="851"/>
        <w:gridCol w:w="850"/>
        <w:gridCol w:w="1276"/>
        <w:gridCol w:w="850"/>
        <w:gridCol w:w="851"/>
        <w:gridCol w:w="850"/>
        <w:gridCol w:w="1134"/>
        <w:gridCol w:w="993"/>
        <w:gridCol w:w="993"/>
        <w:gridCol w:w="993"/>
        <w:gridCol w:w="993"/>
        <w:gridCol w:w="993"/>
      </w:tblGrid>
      <w:tr>
        <w:trPr>
          <w:trHeight w:hRule="exact" w:val="454"/>
          <w:jc w:val="center"/>
        </w:trPr>
        <w:tc>
          <w:tcPr>
            <w:tcW w:w="709" w:type="dxa"/>
            <w:vMerge w:val="restart"/>
            <w:shd w:val="clear" w:color="auto" w:fill="auto"/>
          </w:tcPr>
          <w:p>
            <w:pPr>
              <w:spacing w:after="100" w:afterAutospacing="1"/>
              <w:rPr>
                <w:rFonts w:ascii="Times New Roman" w:eastAsia="Times New Roman" w:hAnsi="Times New Roman" w:cs="Times New Roman"/>
                <w:b/>
                <w:bCs/>
                <w:color w:val="000000" w:themeColor="text1"/>
                <w:sz w:val="20"/>
                <w:szCs w:val="20"/>
                <w:lang w:eastAsia="en-US"/>
              </w:rPr>
            </w:pPr>
          </w:p>
        </w:tc>
        <w:tc>
          <w:tcPr>
            <w:tcW w:w="3827" w:type="dxa"/>
            <w:gridSpan w:val="4"/>
            <w:tcBorders>
              <w:bottom w:val="single" w:sz="8" w:space="0" w:color="auto"/>
            </w:tcBorders>
          </w:tcPr>
          <w:p>
            <w:pPr>
              <w:spacing w:after="100" w:afterAutospacing="1"/>
              <w:jc w:val="center"/>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Baseline (2010-2020)</w:t>
            </w:r>
          </w:p>
          <w:p>
            <w:pPr>
              <w:spacing w:after="100" w:afterAutospacing="1"/>
              <w:jc w:val="center"/>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Future</w:t>
            </w:r>
          </w:p>
        </w:tc>
        <w:tc>
          <w:tcPr>
            <w:tcW w:w="3828" w:type="dxa"/>
            <w:gridSpan w:val="4"/>
            <w:tcBorders>
              <w:bottom w:val="single" w:sz="8" w:space="0" w:color="auto"/>
            </w:tcBorders>
          </w:tcPr>
          <w:p>
            <w:pPr>
              <w:spacing w:after="100" w:afterAutospacing="1"/>
              <w:jc w:val="center"/>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RCP6.0 (2050-2060)</w:t>
            </w:r>
          </w:p>
        </w:tc>
        <w:tc>
          <w:tcPr>
            <w:tcW w:w="3972" w:type="dxa"/>
            <w:gridSpan w:val="4"/>
            <w:tcBorders>
              <w:bottom w:val="single" w:sz="8" w:space="0" w:color="auto"/>
            </w:tcBorders>
          </w:tcPr>
          <w:p>
            <w:pPr>
              <w:spacing w:after="100" w:afterAutospacing="1"/>
              <w:jc w:val="center"/>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RCP8.5 (2050-2060)</w:t>
            </w:r>
          </w:p>
        </w:tc>
      </w:tr>
      <w:tr>
        <w:trPr>
          <w:trHeight w:hRule="exact" w:val="433"/>
          <w:jc w:val="center"/>
        </w:trPr>
        <w:tc>
          <w:tcPr>
            <w:tcW w:w="709" w:type="dxa"/>
            <w:vMerge/>
            <w:tcBorders>
              <w:bottom w:val="single" w:sz="8" w:space="0" w:color="auto"/>
            </w:tcBorders>
            <w:shd w:val="clear" w:color="auto" w:fill="auto"/>
          </w:tcPr>
          <w:p>
            <w:pPr>
              <w:spacing w:after="100" w:afterAutospacing="1"/>
              <w:rPr>
                <w:rFonts w:ascii="Times New Roman" w:eastAsia="Times New Roman" w:hAnsi="Times New Roman" w:cs="Times New Roman"/>
                <w:b/>
                <w:bCs/>
                <w:color w:val="000000" w:themeColor="text1"/>
                <w:sz w:val="20"/>
                <w:szCs w:val="20"/>
                <w:lang w:eastAsia="en-US"/>
              </w:rPr>
            </w:pPr>
          </w:p>
        </w:tc>
        <w:tc>
          <w:tcPr>
            <w:tcW w:w="851"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Total</w:t>
            </w:r>
          </w:p>
        </w:tc>
        <w:tc>
          <w:tcPr>
            <w:tcW w:w="850" w:type="dxa"/>
            <w:tcBorders>
              <w:top w:val="single" w:sz="8" w:space="0" w:color="auto"/>
              <w:bottom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M&amp;T*</w:t>
            </w:r>
          </w:p>
        </w:tc>
        <w:tc>
          <w:tcPr>
            <w:tcW w:w="1276" w:type="dxa"/>
            <w:tcBorders>
              <w:top w:val="single" w:sz="8" w:space="0" w:color="auto"/>
              <w:bottom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Construction</w:t>
            </w:r>
          </w:p>
        </w:tc>
        <w:tc>
          <w:tcPr>
            <w:tcW w:w="850" w:type="dxa"/>
            <w:tcBorders>
              <w:top w:val="single" w:sz="8" w:space="0" w:color="auto"/>
              <w:bottom w:val="single" w:sz="8" w:space="0" w:color="auto"/>
              <w:right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Services</w:t>
            </w:r>
          </w:p>
        </w:tc>
        <w:tc>
          <w:tcPr>
            <w:tcW w:w="851" w:type="dxa"/>
            <w:tcBorders>
              <w:top w:val="single" w:sz="8" w:space="0" w:color="auto"/>
              <w:left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Total</w:t>
            </w:r>
          </w:p>
        </w:tc>
        <w:tc>
          <w:tcPr>
            <w:tcW w:w="850"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M&amp;T</w:t>
            </w:r>
          </w:p>
        </w:tc>
        <w:tc>
          <w:tcPr>
            <w:tcW w:w="1134"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Construction</w:t>
            </w:r>
          </w:p>
        </w:tc>
        <w:tc>
          <w:tcPr>
            <w:tcW w:w="993" w:type="dxa"/>
            <w:tcBorders>
              <w:top w:val="single" w:sz="8" w:space="0" w:color="auto"/>
              <w:bottom w:val="single" w:sz="8" w:space="0" w:color="auto"/>
              <w:right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Services</w:t>
            </w:r>
          </w:p>
        </w:tc>
        <w:tc>
          <w:tcPr>
            <w:tcW w:w="993" w:type="dxa"/>
            <w:tcBorders>
              <w:top w:val="single" w:sz="8" w:space="0" w:color="auto"/>
              <w:left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Total</w:t>
            </w:r>
          </w:p>
        </w:tc>
        <w:tc>
          <w:tcPr>
            <w:tcW w:w="993"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M&amp;T</w:t>
            </w:r>
          </w:p>
        </w:tc>
        <w:tc>
          <w:tcPr>
            <w:tcW w:w="993"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Construction</w:t>
            </w:r>
          </w:p>
        </w:tc>
        <w:tc>
          <w:tcPr>
            <w:tcW w:w="993"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Services</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YRD</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1013.76</w:t>
            </w:r>
          </w:p>
        </w:tc>
        <w:tc>
          <w:tcPr>
            <w:tcW w:w="850" w:type="dxa"/>
            <w:shd w:val="clear" w:color="auto" w:fill="auto"/>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111.85</w:t>
            </w:r>
          </w:p>
        </w:tc>
        <w:tc>
          <w:tcPr>
            <w:tcW w:w="1276" w:type="dxa"/>
            <w:shd w:val="clear" w:color="auto" w:fill="auto"/>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881.50</w:t>
            </w:r>
          </w:p>
        </w:tc>
        <w:tc>
          <w:tcPr>
            <w:tcW w:w="850" w:type="dxa"/>
            <w:tcBorders>
              <w:right w:val="single" w:sz="8" w:space="0" w:color="auto"/>
            </w:tcBorders>
            <w:shd w:val="clear" w:color="auto" w:fill="auto"/>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20.40</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1990.79</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241.49</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1692.68</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56.62</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2378.18</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283.83</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2032.93</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61.42</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PRD</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382.82</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97.46</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270.88</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14.49</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518.28</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132.77</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365.50</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20.01</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628.86</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161.44</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442.87</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24.55</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JJJ</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299.04</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63.36</w:t>
            </w:r>
          </w:p>
        </w:tc>
        <w:tc>
          <w:tcPr>
            <w:tcW w:w="1276" w:type="dxa"/>
          </w:tcPr>
          <w:p>
            <w:pPr>
              <w:spacing w:after="100" w:afterAutospacing="1"/>
              <w:jc w:val="center"/>
              <w:rPr>
                <w:rFonts w:ascii="Times New Roman" w:hAnsi="Times New Roman" w:cs="Times New Roman"/>
                <w:color w:val="000000" w:themeColor="text1"/>
                <w:sz w:val="18"/>
                <w:szCs w:val="16"/>
              </w:rPr>
            </w:pPr>
            <w:r>
              <w:rPr>
                <w:rFonts w:ascii="Times New Roman" w:hAnsi="Times New Roman" w:cs="Times New Roman"/>
                <w:color w:val="000000" w:themeColor="text1"/>
                <w:sz w:val="18"/>
              </w:rPr>
              <w:t>221.55</w:t>
            </w:r>
          </w:p>
        </w:tc>
        <w:tc>
          <w:tcPr>
            <w:tcW w:w="850" w:type="dxa"/>
            <w:tcBorders>
              <w:right w:val="single" w:sz="8" w:space="0" w:color="auto"/>
            </w:tcBorders>
            <w:shd w:val="clear" w:color="auto" w:fill="auto"/>
          </w:tcPr>
          <w:p>
            <w:pPr>
              <w:spacing w:after="100" w:afterAutospacing="1"/>
              <w:jc w:val="center"/>
              <w:rPr>
                <w:rFonts w:ascii="Times New Roman" w:hAnsi="Times New Roman" w:cs="Times New Roman"/>
                <w:color w:val="000000" w:themeColor="text1"/>
                <w:sz w:val="18"/>
                <w:szCs w:val="16"/>
              </w:rPr>
            </w:pPr>
            <w:r>
              <w:rPr>
                <w:rFonts w:ascii="Times New Roman" w:hAnsi="Times New Roman" w:cs="Times New Roman"/>
                <w:color w:val="000000" w:themeColor="text1"/>
                <w:sz w:val="18"/>
              </w:rPr>
              <w:t>14.12</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581.15</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140.16</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394.90</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46.09</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786.13</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177.65</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558.72</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49.76</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CY</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113.99</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26.39</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82.03</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5.57</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202.94</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49.81</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139.92</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13.21</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216.68</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52.33</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151.35</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12.99</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MYR</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188.65</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45.29</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133.82</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9.54</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474.37</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120.96</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323.52</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29.89</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474.16</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117.87</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328.23</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28.06</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BG</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59.89</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9.29</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47.11</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3.50</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80.21</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13.24</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61.69</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5.27</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80.76</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13.26</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62.20</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5.30</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ZY</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7.22</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2.33</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4.48</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0.42</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347.77</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133.41</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182.29</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32.07</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360.17</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131.67</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198.91</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29.59</w:t>
            </w:r>
          </w:p>
        </w:tc>
      </w:tr>
      <w:tr>
        <w:trPr>
          <w:trHeight w:hRule="exact" w:val="454"/>
          <w:jc w:val="center"/>
        </w:trPr>
        <w:tc>
          <w:tcPr>
            <w:tcW w:w="709"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SD</w:t>
            </w:r>
          </w:p>
        </w:tc>
        <w:tc>
          <w:tcPr>
            <w:tcW w:w="851"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118.47</w:t>
            </w:r>
          </w:p>
        </w:tc>
        <w:tc>
          <w:tcPr>
            <w:tcW w:w="850" w:type="dxa"/>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38.45</w:t>
            </w:r>
          </w:p>
        </w:tc>
        <w:tc>
          <w:tcPr>
            <w:tcW w:w="1276" w:type="dxa"/>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73.46</w:t>
            </w:r>
          </w:p>
        </w:tc>
        <w:tc>
          <w:tcPr>
            <w:tcW w:w="850" w:type="dxa"/>
            <w:tcBorders>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6.56</w:t>
            </w:r>
          </w:p>
        </w:tc>
        <w:tc>
          <w:tcPr>
            <w:tcW w:w="851"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212.73</w:t>
            </w:r>
          </w:p>
        </w:tc>
        <w:tc>
          <w:tcPr>
            <w:tcW w:w="850"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73.24</w:t>
            </w:r>
          </w:p>
        </w:tc>
        <w:tc>
          <w:tcPr>
            <w:tcW w:w="1134"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120.53</w:t>
            </w:r>
          </w:p>
        </w:tc>
        <w:tc>
          <w:tcPr>
            <w:tcW w:w="993" w:type="dxa"/>
            <w:tcBorders>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18.97</w:t>
            </w:r>
          </w:p>
        </w:tc>
        <w:tc>
          <w:tcPr>
            <w:tcW w:w="993" w:type="dxa"/>
            <w:tcBorders>
              <w:lef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267.80</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90.39</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155.75</w:t>
            </w:r>
          </w:p>
        </w:tc>
        <w:tc>
          <w:tcPr>
            <w:tcW w:w="993" w:type="dxa"/>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21.65</w:t>
            </w:r>
          </w:p>
        </w:tc>
      </w:tr>
      <w:tr>
        <w:trPr>
          <w:trHeight w:hRule="exact" w:val="454"/>
          <w:jc w:val="center"/>
        </w:trPr>
        <w:tc>
          <w:tcPr>
            <w:tcW w:w="709" w:type="dxa"/>
            <w:tcBorders>
              <w:bottom w:val="single" w:sz="8" w:space="0" w:color="auto"/>
            </w:tcBorders>
            <w:shd w:val="clear" w:color="auto" w:fill="auto"/>
          </w:tcPr>
          <w:p>
            <w:pPr>
              <w:spacing w:after="100" w:afterAutospacing="1"/>
              <w:rPr>
                <w:rFonts w:ascii="Times New Roman" w:eastAsiaTheme="minorEastAsia" w:hAnsi="Times New Roman" w:cs="Times New Roman"/>
                <w:b/>
                <w:color w:val="000000" w:themeColor="text1"/>
                <w:sz w:val="20"/>
                <w:szCs w:val="20"/>
              </w:rPr>
            </w:pPr>
            <w:r>
              <w:rPr>
                <w:rFonts w:ascii="Times New Roman" w:eastAsiaTheme="minorEastAsia" w:hAnsi="Times New Roman" w:cs="Times New Roman"/>
                <w:b/>
                <w:color w:val="000000" w:themeColor="text1"/>
                <w:sz w:val="20"/>
                <w:szCs w:val="20"/>
              </w:rPr>
              <w:t>ALL</w:t>
            </w:r>
          </w:p>
        </w:tc>
        <w:tc>
          <w:tcPr>
            <w:tcW w:w="851"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2569.58</w:t>
            </w:r>
          </w:p>
        </w:tc>
        <w:tc>
          <w:tcPr>
            <w:tcW w:w="850" w:type="dxa"/>
            <w:tcBorders>
              <w:bottom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509.70</w:t>
            </w:r>
          </w:p>
        </w:tc>
        <w:tc>
          <w:tcPr>
            <w:tcW w:w="1276" w:type="dxa"/>
            <w:tcBorders>
              <w:bottom w:val="single" w:sz="8" w:space="0" w:color="auto"/>
            </w:tcBorders>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1967.13</w:t>
            </w:r>
          </w:p>
        </w:tc>
        <w:tc>
          <w:tcPr>
            <w:tcW w:w="850" w:type="dxa"/>
            <w:tcBorders>
              <w:bottom w:val="single" w:sz="8" w:space="0" w:color="auto"/>
              <w:right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18"/>
                <w:szCs w:val="16"/>
                <w:lang w:eastAsia="en-US"/>
              </w:rPr>
            </w:pPr>
            <w:r>
              <w:rPr>
                <w:rFonts w:ascii="Times New Roman" w:hAnsi="Times New Roman" w:cs="Times New Roman"/>
                <w:color w:val="000000" w:themeColor="text1"/>
                <w:sz w:val="18"/>
              </w:rPr>
              <w:t>92.75</w:t>
            </w:r>
          </w:p>
        </w:tc>
        <w:tc>
          <w:tcPr>
            <w:tcW w:w="851" w:type="dxa"/>
            <w:tcBorders>
              <w:left w:val="single" w:sz="8" w:space="0" w:color="auto"/>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5110.00</w:t>
            </w:r>
          </w:p>
        </w:tc>
        <w:tc>
          <w:tcPr>
            <w:tcW w:w="850"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1087.13</w:t>
            </w:r>
          </w:p>
        </w:tc>
        <w:tc>
          <w:tcPr>
            <w:tcW w:w="1134"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3760.95</w:t>
            </w:r>
          </w:p>
        </w:tc>
        <w:tc>
          <w:tcPr>
            <w:tcW w:w="993" w:type="dxa"/>
            <w:tcBorders>
              <w:bottom w:val="single" w:sz="8" w:space="0" w:color="auto"/>
              <w:right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261.92</w:t>
            </w:r>
          </w:p>
        </w:tc>
        <w:tc>
          <w:tcPr>
            <w:tcW w:w="993" w:type="dxa"/>
            <w:tcBorders>
              <w:left w:val="single" w:sz="8" w:space="0" w:color="auto"/>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5815.13</w:t>
            </w:r>
          </w:p>
        </w:tc>
        <w:tc>
          <w:tcPr>
            <w:tcW w:w="993"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1199.24</w:t>
            </w:r>
          </w:p>
        </w:tc>
        <w:tc>
          <w:tcPr>
            <w:tcW w:w="993"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4357.25</w:t>
            </w:r>
          </w:p>
        </w:tc>
        <w:tc>
          <w:tcPr>
            <w:tcW w:w="993" w:type="dxa"/>
            <w:tcBorders>
              <w:bottom w:val="single" w:sz="8" w:space="0" w:color="auto"/>
            </w:tcBorders>
          </w:tcPr>
          <w:p>
            <w:pPr>
              <w:spacing w:after="100" w:afterAutospacing="1"/>
              <w:jc w:val="center"/>
              <w:rPr>
                <w:rFonts w:ascii="Times New Roman" w:eastAsia="DengXian" w:hAnsi="Times New Roman" w:cs="Times New Roman"/>
                <w:color w:val="000000" w:themeColor="text1"/>
                <w:sz w:val="18"/>
                <w:szCs w:val="16"/>
              </w:rPr>
            </w:pPr>
            <w:r>
              <w:rPr>
                <w:rFonts w:ascii="Times New Roman" w:hAnsi="Times New Roman" w:cs="Times New Roman"/>
                <w:color w:val="000000" w:themeColor="text1"/>
                <w:sz w:val="18"/>
              </w:rPr>
              <w:t>258.64</w:t>
            </w:r>
          </w:p>
        </w:tc>
      </w:tr>
    </w:tbl>
    <w:p>
      <w:pPr>
        <w:jc w:val="both"/>
        <w:rPr>
          <w:rFonts w:ascii="Times New Roman" w:hAnsi="Times New Roman" w:cs="Times New Roman"/>
          <w:b/>
          <w:bCs/>
          <w:color w:val="000000" w:themeColor="text1"/>
          <w:kern w:val="32"/>
          <w:sz w:val="20"/>
          <w:szCs w:val="22"/>
        </w:rPr>
      </w:pPr>
      <w:r>
        <w:rPr>
          <w:rFonts w:ascii="Times New Roman" w:eastAsia="Times New Roman" w:hAnsi="Times New Roman" w:cs="Times New Roman"/>
          <w:color w:val="000000" w:themeColor="text1"/>
          <w:sz w:val="18"/>
          <w:szCs w:val="18"/>
          <w:lang w:eastAsia="en-US"/>
        </w:rPr>
        <w:t>* Manufacturing and transportation</w:t>
      </w: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rPr>
          <w:rFonts w:ascii="Times New Roman" w:hAnsi="Times New Roman" w:cs="Times New Roman"/>
          <w:color w:val="000000" w:themeColor="text1"/>
        </w:rPr>
        <w:sectPr>
          <w:pgSz w:w="16840" w:h="11900" w:orient="landscape"/>
          <w:pgMar w:top="1800" w:right="1440" w:bottom="1800" w:left="1440" w:header="851" w:footer="992" w:gutter="0"/>
          <w:cols w:space="425"/>
          <w:docGrid w:type="lines" w:linePitch="423"/>
        </w:sect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sz w:val="21"/>
          <w:szCs w:val="21"/>
        </w:rPr>
      </w:pPr>
      <w:r>
        <w:rPr>
          <w:rFonts w:ascii="Times New Roman" w:hAnsi="Times New Roman" w:cs="Times New Roman"/>
          <w:b/>
          <w:bCs/>
          <w:color w:val="000000" w:themeColor="text1"/>
        </w:rPr>
        <w:t>Supplementary</w:t>
      </w:r>
      <w:r>
        <w:rPr>
          <w:rFonts w:ascii="Times New Roman" w:hAnsi="Times New Roman" w:cs="Times New Roman"/>
          <w:b/>
          <w:bCs/>
          <w:color w:val="000000" w:themeColor="text1"/>
          <w:kern w:val="32"/>
          <w:sz w:val="20"/>
          <w:szCs w:val="22"/>
        </w:rPr>
        <w:t xml:space="preserve"> Table 2. </w:t>
      </w:r>
      <w:bookmarkStart w:id="35" w:name="OLE_LINK1"/>
      <w:bookmarkStart w:id="36" w:name="OLE_LINK2"/>
      <w:r>
        <w:rPr>
          <w:rFonts w:ascii="Times New Roman" w:hAnsi="Times New Roman" w:cs="Times New Roman"/>
          <w:b/>
          <w:bCs/>
          <w:color w:val="000000" w:themeColor="text1"/>
          <w:sz w:val="21"/>
          <w:szCs w:val="21"/>
        </w:rPr>
        <w:t>The annually recovered economic losses from reacquired labor support due to cooling from the implementation of infrastructure-related urban adaptation strategies</w:t>
      </w:r>
      <w:bookmarkEnd w:id="35"/>
      <w:bookmarkEnd w:id="36"/>
      <w:r>
        <w:rPr>
          <w:rFonts w:ascii="Times New Roman" w:hAnsi="Times New Roman" w:cs="Times New Roman"/>
          <w:b/>
          <w:bCs/>
          <w:color w:val="000000" w:themeColor="text1"/>
          <w:sz w:val="21"/>
          <w:szCs w:val="21"/>
        </w:rPr>
        <w:t xml:space="preserve"> under RCP6.0 scenario </w:t>
      </w:r>
      <w:r>
        <w:rPr>
          <w:rFonts w:ascii="Times New Roman" w:hAnsi="Times New Roman" w:cs="Times New Roman"/>
          <w:color w:val="000000" w:themeColor="text1"/>
          <w:sz w:val="21"/>
          <w:szCs w:val="21"/>
        </w:rPr>
        <w:t>(</w:t>
      </w:r>
      <w:r>
        <w:rPr>
          <w:rFonts w:ascii="Times New Roman" w:hAnsi="Times New Roman" w:cs="Times New Roman"/>
          <w:b/>
          <w:bCs/>
          <w:color w:val="000000" w:themeColor="text1"/>
          <w:sz w:val="21"/>
          <w:szCs w:val="21"/>
        </w:rPr>
        <w:t>units: million US dollars</w:t>
      </w:r>
      <w:r>
        <w:rPr>
          <w:rFonts w:ascii="Times New Roman" w:hAnsi="Times New Roman" w:cs="Times New Roman"/>
          <w:color w:val="000000" w:themeColor="text1"/>
          <w:sz w:val="21"/>
          <w:szCs w:val="21"/>
        </w:rPr>
        <w:t>).</w:t>
      </w:r>
    </w:p>
    <w:tbl>
      <w:tblPr>
        <w:tblW w:w="6238" w:type="dxa"/>
        <w:jc w:val="center"/>
        <w:tblLayout w:type="fixed"/>
        <w:tblLook w:val="04A0" w:firstRow="1" w:lastRow="0" w:firstColumn="1" w:lastColumn="0" w:noHBand="0" w:noVBand="1"/>
      </w:tblPr>
      <w:tblGrid>
        <w:gridCol w:w="956"/>
        <w:gridCol w:w="1313"/>
        <w:gridCol w:w="992"/>
        <w:gridCol w:w="1276"/>
        <w:gridCol w:w="1701"/>
      </w:tblGrid>
      <w:tr>
        <w:trPr>
          <w:trHeight w:hRule="exact" w:val="433"/>
          <w:jc w:val="center"/>
        </w:trPr>
        <w:tc>
          <w:tcPr>
            <w:tcW w:w="956" w:type="dxa"/>
            <w:tcBorders>
              <w:bottom w:val="single" w:sz="8" w:space="0" w:color="auto"/>
            </w:tcBorders>
            <w:shd w:val="clear" w:color="auto" w:fill="auto"/>
          </w:tcPr>
          <w:p>
            <w:pPr>
              <w:spacing w:after="100" w:afterAutospacing="1"/>
              <w:rPr>
                <w:rFonts w:ascii="Times New Roman" w:eastAsia="Times New Roman" w:hAnsi="Times New Roman" w:cs="Times New Roman"/>
                <w:b/>
                <w:bCs/>
                <w:color w:val="000000" w:themeColor="text1"/>
                <w:sz w:val="20"/>
                <w:szCs w:val="20"/>
                <w:lang w:eastAsia="en-US"/>
              </w:rPr>
            </w:pPr>
          </w:p>
        </w:tc>
        <w:tc>
          <w:tcPr>
            <w:tcW w:w="1313" w:type="dxa"/>
            <w:tcBorders>
              <w:top w:val="single" w:sz="8" w:space="0" w:color="auto"/>
              <w:bottom w:val="single" w:sz="8" w:space="0" w:color="auto"/>
            </w:tcBorders>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Green Roof</w:t>
            </w:r>
          </w:p>
        </w:tc>
        <w:tc>
          <w:tcPr>
            <w:tcW w:w="992" w:type="dxa"/>
            <w:tcBorders>
              <w:top w:val="single" w:sz="8" w:space="0" w:color="auto"/>
              <w:bottom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Cool Wall</w:t>
            </w:r>
          </w:p>
        </w:tc>
        <w:tc>
          <w:tcPr>
            <w:tcW w:w="1276" w:type="dxa"/>
            <w:tcBorders>
              <w:top w:val="single" w:sz="8" w:space="0" w:color="auto"/>
              <w:bottom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Cool Ground</w:t>
            </w:r>
          </w:p>
        </w:tc>
        <w:tc>
          <w:tcPr>
            <w:tcW w:w="1701" w:type="dxa"/>
            <w:tcBorders>
              <w:top w:val="single" w:sz="8" w:space="0" w:color="auto"/>
              <w:bottom w:val="single" w:sz="8" w:space="0" w:color="auto"/>
            </w:tcBorders>
            <w:shd w:val="clear" w:color="auto" w:fill="auto"/>
          </w:tcPr>
          <w:p>
            <w:pPr>
              <w:spacing w:after="100" w:afterAutospacing="1"/>
              <w:jc w:val="center"/>
              <w:rPr>
                <w:rFonts w:ascii="Times New Roman" w:eastAsia="Times New Roman" w:hAnsi="Times New Roman" w:cs="Times New Roman"/>
                <w:b/>
                <w:color w:val="000000" w:themeColor="text1"/>
                <w:sz w:val="18"/>
                <w:szCs w:val="18"/>
                <w:lang w:eastAsia="en-US"/>
              </w:rPr>
            </w:pPr>
            <w:r>
              <w:rPr>
                <w:rFonts w:ascii="Times New Roman" w:eastAsia="Times New Roman" w:hAnsi="Times New Roman" w:cs="Times New Roman"/>
                <w:b/>
                <w:color w:val="000000" w:themeColor="text1"/>
                <w:sz w:val="18"/>
                <w:szCs w:val="18"/>
                <w:lang w:eastAsia="en-US"/>
              </w:rPr>
              <w:t>Full Adaptation</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All</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212.63</w:t>
            </w:r>
          </w:p>
        </w:tc>
        <w:tc>
          <w:tcPr>
            <w:tcW w:w="992" w:type="dxa"/>
            <w:shd w:val="clear" w:color="auto" w:fill="auto"/>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259.89</w:t>
            </w:r>
          </w:p>
        </w:tc>
        <w:tc>
          <w:tcPr>
            <w:tcW w:w="1276" w:type="dxa"/>
            <w:shd w:val="clear" w:color="auto" w:fill="auto"/>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191.80</w:t>
            </w:r>
          </w:p>
        </w:tc>
        <w:tc>
          <w:tcPr>
            <w:tcW w:w="1701" w:type="dxa"/>
            <w:shd w:val="clear" w:color="auto" w:fill="auto"/>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265.73</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YRD</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160.13</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194.92</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183.49</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198.04</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PRD</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20.82</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33.95</w:t>
            </w:r>
          </w:p>
        </w:tc>
        <w:tc>
          <w:tcPr>
            <w:tcW w:w="1276" w:type="dxa"/>
          </w:tcPr>
          <w:p>
            <w:pPr>
              <w:spacing w:after="100" w:afterAutospacing="1"/>
              <w:jc w:val="center"/>
              <w:rPr>
                <w:rFonts w:ascii="Times New Roman" w:hAnsi="Times New Roman" w:cs="Times New Roman"/>
                <w:color w:val="000000" w:themeColor="text1"/>
                <w:sz w:val="20"/>
                <w:szCs w:val="16"/>
              </w:rPr>
            </w:pPr>
            <w:r>
              <w:rPr>
                <w:rFonts w:ascii="Times New Roman" w:hAnsi="Times New Roman" w:cs="Times New Roman"/>
                <w:color w:val="000000" w:themeColor="text1"/>
                <w:sz w:val="20"/>
              </w:rPr>
              <w:t>26.29</w:t>
            </w:r>
          </w:p>
        </w:tc>
        <w:tc>
          <w:tcPr>
            <w:tcW w:w="1701" w:type="dxa"/>
            <w:shd w:val="clear" w:color="auto" w:fill="auto"/>
          </w:tcPr>
          <w:p>
            <w:pPr>
              <w:spacing w:after="100" w:afterAutospacing="1"/>
              <w:jc w:val="center"/>
              <w:rPr>
                <w:rFonts w:ascii="Times New Roman" w:hAnsi="Times New Roman" w:cs="Times New Roman"/>
                <w:color w:val="000000" w:themeColor="text1"/>
                <w:sz w:val="20"/>
                <w:szCs w:val="16"/>
              </w:rPr>
            </w:pPr>
            <w:r>
              <w:rPr>
                <w:rFonts w:ascii="Times New Roman" w:hAnsi="Times New Roman" w:cs="Times New Roman"/>
                <w:color w:val="000000" w:themeColor="text1"/>
                <w:sz w:val="20"/>
              </w:rPr>
              <w:t>65.04</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JJJ</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46.18</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42.77</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28.07</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40.96</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CY</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9.37</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7.61</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1.17</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10.26</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MYR</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38.86</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30.29</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7.54</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32.06</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BG</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3.13</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6.52</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3.06</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7.54</w:t>
            </w:r>
          </w:p>
        </w:tc>
      </w:tr>
      <w:tr>
        <w:trPr>
          <w:trHeight w:hRule="exact" w:val="454"/>
          <w:jc w:val="center"/>
        </w:trPr>
        <w:tc>
          <w:tcPr>
            <w:tcW w:w="956" w:type="dxa"/>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SD</w:t>
            </w:r>
          </w:p>
        </w:tc>
        <w:tc>
          <w:tcPr>
            <w:tcW w:w="1313" w:type="dxa"/>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51.59</w:t>
            </w:r>
          </w:p>
        </w:tc>
        <w:tc>
          <w:tcPr>
            <w:tcW w:w="992"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55.68</w:t>
            </w:r>
          </w:p>
        </w:tc>
        <w:tc>
          <w:tcPr>
            <w:tcW w:w="1276" w:type="dxa"/>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41.04</w:t>
            </w:r>
          </w:p>
        </w:tc>
        <w:tc>
          <w:tcPr>
            <w:tcW w:w="1701" w:type="dxa"/>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27.14</w:t>
            </w:r>
          </w:p>
        </w:tc>
      </w:tr>
      <w:tr>
        <w:trPr>
          <w:trHeight w:hRule="exact" w:val="454"/>
          <w:jc w:val="center"/>
        </w:trPr>
        <w:tc>
          <w:tcPr>
            <w:tcW w:w="956" w:type="dxa"/>
            <w:tcBorders>
              <w:bottom w:val="single" w:sz="8" w:space="0" w:color="auto"/>
            </w:tcBorders>
            <w:shd w:val="clear" w:color="auto" w:fill="auto"/>
          </w:tcPr>
          <w:p>
            <w:pPr>
              <w:spacing w:after="100" w:afterAutospacing="1"/>
              <w:rPr>
                <w:rFonts w:ascii="Times New Roman" w:eastAsia="Times New Roman" w:hAnsi="Times New Roman" w:cs="Times New Roman"/>
                <w:b/>
                <w:color w:val="000000" w:themeColor="text1"/>
                <w:sz w:val="20"/>
                <w:szCs w:val="20"/>
                <w:lang w:eastAsia="en-US"/>
              </w:rPr>
            </w:pPr>
            <w:r>
              <w:rPr>
                <w:rFonts w:ascii="Times New Roman" w:eastAsia="Times New Roman" w:hAnsi="Times New Roman" w:cs="Times New Roman"/>
                <w:b/>
                <w:color w:val="000000" w:themeColor="text1"/>
                <w:sz w:val="20"/>
                <w:szCs w:val="20"/>
                <w:lang w:eastAsia="en-US"/>
              </w:rPr>
              <w:t>ZY</w:t>
            </w:r>
          </w:p>
        </w:tc>
        <w:tc>
          <w:tcPr>
            <w:tcW w:w="1313" w:type="dxa"/>
            <w:tcBorders>
              <w:bottom w:val="single" w:sz="8" w:space="0" w:color="auto"/>
            </w:tcBorders>
          </w:tcPr>
          <w:p>
            <w:pPr>
              <w:spacing w:after="100" w:afterAutospacing="1"/>
              <w:jc w:val="center"/>
              <w:rPr>
                <w:rFonts w:ascii="Times New Roman" w:eastAsia="DengXian" w:hAnsi="Times New Roman" w:cs="Times New Roman"/>
                <w:color w:val="000000" w:themeColor="text1"/>
                <w:sz w:val="20"/>
                <w:szCs w:val="16"/>
              </w:rPr>
            </w:pPr>
            <w:r>
              <w:rPr>
                <w:rFonts w:ascii="Times New Roman" w:hAnsi="Times New Roman" w:cs="Times New Roman"/>
                <w:color w:val="000000" w:themeColor="text1"/>
                <w:sz w:val="20"/>
              </w:rPr>
              <w:t>11.71</w:t>
            </w:r>
          </w:p>
        </w:tc>
        <w:tc>
          <w:tcPr>
            <w:tcW w:w="992" w:type="dxa"/>
            <w:tcBorders>
              <w:bottom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8.40</w:t>
            </w:r>
          </w:p>
        </w:tc>
        <w:tc>
          <w:tcPr>
            <w:tcW w:w="1276" w:type="dxa"/>
            <w:tcBorders>
              <w:bottom w:val="single" w:sz="8" w:space="0" w:color="auto"/>
            </w:tcBorders>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3.56</w:t>
            </w:r>
          </w:p>
        </w:tc>
        <w:tc>
          <w:tcPr>
            <w:tcW w:w="1701" w:type="dxa"/>
            <w:tcBorders>
              <w:bottom w:val="single" w:sz="8" w:space="0" w:color="auto"/>
            </w:tcBorders>
            <w:shd w:val="clear" w:color="auto" w:fill="auto"/>
          </w:tcPr>
          <w:p>
            <w:pPr>
              <w:spacing w:after="100" w:afterAutospacing="1"/>
              <w:jc w:val="center"/>
              <w:rPr>
                <w:rFonts w:ascii="Times New Roman" w:eastAsia="Times New Roman" w:hAnsi="Times New Roman" w:cs="Times New Roman"/>
                <w:color w:val="000000" w:themeColor="text1"/>
                <w:sz w:val="20"/>
                <w:szCs w:val="16"/>
                <w:lang w:eastAsia="en-US"/>
              </w:rPr>
            </w:pPr>
            <w:r>
              <w:rPr>
                <w:rFonts w:ascii="Times New Roman" w:hAnsi="Times New Roman" w:cs="Times New Roman"/>
                <w:color w:val="000000" w:themeColor="text1"/>
                <w:sz w:val="20"/>
              </w:rPr>
              <w:t>2.61</w:t>
            </w:r>
          </w:p>
        </w:tc>
      </w:tr>
    </w:tbl>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rPr>
      </w:pPr>
    </w:p>
    <w:p>
      <w:pPr>
        <w:jc w:val="both"/>
        <w:rPr>
          <w:rFonts w:ascii="Times New Roman" w:hAnsi="Times New Roman" w:cs="Times New Roman"/>
          <w:b/>
          <w:bCs/>
          <w:color w:val="000000" w:themeColor="text1"/>
          <w:kern w:val="32"/>
          <w:sz w:val="20"/>
          <w:szCs w:val="22"/>
          <w:lang w:eastAsia="en-US"/>
        </w:rPr>
      </w:pPr>
      <w:bookmarkStart w:id="37" w:name="OLE_LINK189"/>
      <w:bookmarkStart w:id="38" w:name="OLE_LINK190"/>
      <w:r>
        <w:rPr>
          <w:rFonts w:ascii="Times New Roman" w:hAnsi="Times New Roman" w:cs="Times New Roman"/>
          <w:b/>
          <w:bCs/>
          <w:color w:val="000000" w:themeColor="text1"/>
        </w:rPr>
        <w:t>Supplementary</w:t>
      </w:r>
      <w:r>
        <w:rPr>
          <w:rFonts w:ascii="Times New Roman" w:hAnsi="Times New Roman" w:cs="Times New Roman"/>
          <w:b/>
          <w:bCs/>
          <w:color w:val="000000" w:themeColor="text1"/>
          <w:kern w:val="32"/>
          <w:sz w:val="20"/>
          <w:szCs w:val="22"/>
          <w:lang w:eastAsia="en-US"/>
        </w:rPr>
        <w:t xml:space="preserve"> Table 3. WRF physics options.</w:t>
      </w:r>
    </w:p>
    <w:tbl>
      <w:tblPr>
        <w:tblW w:w="8080" w:type="dxa"/>
        <w:jc w:val="center"/>
        <w:tblLook w:val="04A0" w:firstRow="1" w:lastRow="0" w:firstColumn="1" w:lastColumn="0" w:noHBand="0" w:noVBand="1"/>
      </w:tblPr>
      <w:tblGrid>
        <w:gridCol w:w="2694"/>
        <w:gridCol w:w="3260"/>
        <w:gridCol w:w="2126"/>
      </w:tblGrid>
      <w:tr>
        <w:trPr>
          <w:trHeight w:hRule="exact" w:val="454"/>
          <w:jc w:val="center"/>
        </w:trPr>
        <w:tc>
          <w:tcPr>
            <w:tcW w:w="2694" w:type="dxa"/>
            <w:tcBorders>
              <w:bottom w:val="single" w:sz="8" w:space="0" w:color="auto"/>
            </w:tcBorders>
            <w:shd w:val="clear" w:color="auto" w:fill="auto"/>
          </w:tcPr>
          <w:bookmarkEnd w:id="37"/>
          <w:bookmarkEnd w:id="38"/>
          <w:p>
            <w:pPr>
              <w:spacing w:after="100" w:afterAutospacing="1"/>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Item</w:t>
            </w:r>
          </w:p>
        </w:tc>
        <w:tc>
          <w:tcPr>
            <w:tcW w:w="3260" w:type="dxa"/>
            <w:tcBorders>
              <w:bottom w:val="single" w:sz="8" w:space="0" w:color="auto"/>
            </w:tcBorders>
            <w:shd w:val="clear" w:color="auto" w:fill="auto"/>
          </w:tcPr>
          <w:p>
            <w:pPr>
              <w:spacing w:after="100" w:afterAutospacing="1"/>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Option</w:t>
            </w:r>
          </w:p>
        </w:tc>
        <w:tc>
          <w:tcPr>
            <w:tcW w:w="2126" w:type="dxa"/>
            <w:tcBorders>
              <w:bottom w:val="single" w:sz="8" w:space="0" w:color="auto"/>
            </w:tcBorders>
            <w:shd w:val="clear" w:color="auto" w:fill="auto"/>
          </w:tcPr>
          <w:p>
            <w:pPr>
              <w:spacing w:after="100" w:afterAutospacing="1"/>
              <w:rPr>
                <w:rFonts w:ascii="Times New Roman" w:eastAsia="Times New Roman" w:hAnsi="Times New Roman" w:cs="Times New Roman"/>
                <w:b/>
                <w:bCs/>
                <w:color w:val="000000" w:themeColor="text1"/>
                <w:sz w:val="20"/>
                <w:szCs w:val="20"/>
                <w:lang w:eastAsia="en-US"/>
              </w:rPr>
            </w:pPr>
            <w:r>
              <w:rPr>
                <w:rFonts w:ascii="Times New Roman" w:eastAsia="Times New Roman" w:hAnsi="Times New Roman" w:cs="Times New Roman"/>
                <w:b/>
                <w:bCs/>
                <w:color w:val="000000" w:themeColor="text1"/>
                <w:sz w:val="20"/>
                <w:szCs w:val="20"/>
                <w:lang w:eastAsia="en-US"/>
              </w:rPr>
              <w:t>Reference</w:t>
            </w:r>
          </w:p>
        </w:tc>
      </w:tr>
      <w:tr>
        <w:trPr>
          <w:trHeight w:hRule="exact" w:val="454"/>
          <w:jc w:val="center"/>
        </w:trPr>
        <w:tc>
          <w:tcPr>
            <w:tcW w:w="2694" w:type="dxa"/>
            <w:tcBorders>
              <w:top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Microphysics</w:t>
            </w:r>
          </w:p>
        </w:tc>
        <w:tc>
          <w:tcPr>
            <w:tcW w:w="3260" w:type="dxa"/>
            <w:tcBorders>
              <w:top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Purdue Lin microphysics scheme</w:t>
            </w:r>
          </w:p>
        </w:tc>
        <w:tc>
          <w:tcPr>
            <w:tcW w:w="2126" w:type="dxa"/>
            <w:tcBorders>
              <w:top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vertAlign w:val="superscript"/>
                <w:lang w:eastAsia="en-US"/>
              </w:rPr>
            </w:pPr>
            <w:r>
              <w:rPr>
                <w:rFonts w:ascii="Times New Roman" w:eastAsia="Times New Roman" w:hAnsi="Times New Roman" w:cs="Times New Roman"/>
                <w:color w:val="000000" w:themeColor="text1"/>
                <w:sz w:val="20"/>
                <w:szCs w:val="20"/>
                <w:lang w:eastAsia="en-US"/>
              </w:rPr>
              <w:t>Lin et al.,</w:t>
            </w:r>
            <w:r>
              <w:rPr>
                <w:rFonts w:ascii="Times New Roman" w:eastAsia="Times New Roman" w:hAnsi="Times New Roman" w:cs="Times New Roman"/>
                <w:color w:val="000000" w:themeColor="text1"/>
                <w:sz w:val="20"/>
                <w:szCs w:val="20"/>
                <w:lang w:eastAsia="en-US"/>
              </w:rPr>
              <w:fldChar w:fldCharType="begin"/>
            </w:r>
            <w:r>
              <w:rPr>
                <w:rFonts w:ascii="Times New Roman" w:eastAsia="Times New Roman" w:hAnsi="Times New Roman" w:cs="Times New Roman"/>
                <w:color w:val="000000" w:themeColor="text1"/>
                <w:sz w:val="20"/>
                <w:szCs w:val="20"/>
                <w:lang w:eastAsia="en-US"/>
              </w:rPr>
              <w:instrText xml:space="preserve"> ADDIN EN.CITE &lt;EndNote&gt;&lt;Cite&gt;&lt;Author&gt;Lin&lt;/Author&gt;&lt;Year&gt;1983&lt;/Year&gt;&lt;RecNum&gt;1337&lt;/RecNum&gt;&lt;DisplayText&gt;&lt;style face="superscript"&gt;8&lt;/style&gt;&lt;/DisplayText&gt;&lt;record&gt;&lt;rec-number&gt;1337&lt;/rec-number&gt;&lt;foreign-keys&gt;&lt;key app="EN" db-id="0vp2p0ptdvdaf4erwesvxax0d5sezasrfx50" timestamp="1647522740"&gt;1337&lt;/key&gt;&lt;/foreign-keys&gt;&lt;ref-type name="Journal Article"&gt;17&lt;/ref-type&gt;&lt;contributors&gt;&lt;authors&gt;&lt;author&gt;Lin, Yuh-Lang&lt;/author&gt;&lt;author&gt;Farley, Richard D.&lt;/author&gt;&lt;author&gt;Orville, Harold D.&lt;/author&gt;&lt;/authors&gt;&lt;/contributors&gt;&lt;titles&gt;&lt;title&gt;Bulk parameterization of the snow field in a cloud model&lt;/title&gt;&lt;secondary-title&gt;Journal of Applied Meteorology and climatology&lt;/secondary-title&gt;&lt;/titles&gt;&lt;periodical&gt;&lt;full-title&gt;Journal of Applied Meteorology and Climatology&lt;/full-title&gt;&lt;abbr-1&gt;J Appl Meteorol Clim&lt;/abbr-1&gt;&lt;/periodical&gt;&lt;pages&gt;1065-1092&lt;/pages&gt;&lt;volume&gt;22&lt;/volume&gt;&lt;number&gt;6&lt;/number&gt;&lt;dates&gt;&lt;year&gt;1983&lt;/year&gt;&lt;/dates&gt;&lt;isbn&gt;0733-3021&lt;/isbn&gt;&lt;urls&gt;&lt;/urls&gt;&lt;/record&gt;&lt;/Cite&gt;&lt;/EndNote&gt;</w:instrText>
            </w:r>
            <w:r>
              <w:rPr>
                <w:rFonts w:ascii="Times New Roman" w:eastAsia="Times New Roman" w:hAnsi="Times New Roman" w:cs="Times New Roman"/>
                <w:color w:val="000000" w:themeColor="text1"/>
                <w:sz w:val="20"/>
                <w:szCs w:val="20"/>
                <w:lang w:eastAsia="en-US"/>
              </w:rPr>
              <w:fldChar w:fldCharType="separate"/>
            </w:r>
            <w:r>
              <w:rPr>
                <w:rFonts w:ascii="Times New Roman" w:eastAsia="Times New Roman" w:hAnsi="Times New Roman" w:cs="Times New Roman"/>
                <w:noProof/>
                <w:color w:val="000000" w:themeColor="text1"/>
                <w:sz w:val="20"/>
                <w:szCs w:val="20"/>
                <w:vertAlign w:val="superscript"/>
                <w:lang w:eastAsia="en-US"/>
              </w:rPr>
              <w:t>8</w:t>
            </w:r>
            <w:r>
              <w:rPr>
                <w:rFonts w:ascii="Times New Roman" w:eastAsia="Times New Roman" w:hAnsi="Times New Roman" w:cs="Times New Roman"/>
                <w:color w:val="000000" w:themeColor="text1"/>
                <w:sz w:val="20"/>
                <w:szCs w:val="20"/>
                <w:lang w:eastAsia="en-US"/>
              </w:rPr>
              <w:fldChar w:fldCharType="end"/>
            </w:r>
          </w:p>
        </w:tc>
      </w:tr>
      <w:tr>
        <w:trPr>
          <w:trHeight w:hRule="exact" w:val="454"/>
          <w:jc w:val="center"/>
        </w:trPr>
        <w:tc>
          <w:tcPr>
            <w:tcW w:w="2694"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Longwave radiation</w:t>
            </w:r>
          </w:p>
        </w:tc>
        <w:tc>
          <w:tcPr>
            <w:tcW w:w="3260"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RRTM scheme</w:t>
            </w:r>
          </w:p>
        </w:tc>
        <w:tc>
          <w:tcPr>
            <w:tcW w:w="2126"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proofErr w:type="spellStart"/>
            <w:r>
              <w:rPr>
                <w:rFonts w:ascii="Times New Roman" w:eastAsia="Times New Roman" w:hAnsi="Times New Roman" w:cs="Times New Roman"/>
                <w:color w:val="000000" w:themeColor="text1"/>
                <w:sz w:val="20"/>
                <w:szCs w:val="20"/>
                <w:lang w:eastAsia="en-US"/>
              </w:rPr>
              <w:t>Mlawer</w:t>
            </w:r>
            <w:proofErr w:type="spellEnd"/>
            <w:r>
              <w:rPr>
                <w:rFonts w:ascii="Times New Roman" w:eastAsia="Times New Roman" w:hAnsi="Times New Roman" w:cs="Times New Roman"/>
                <w:color w:val="000000" w:themeColor="text1"/>
                <w:sz w:val="20"/>
                <w:szCs w:val="20"/>
                <w:lang w:eastAsia="en-US"/>
              </w:rPr>
              <w:t xml:space="preserve"> et al. </w:t>
            </w:r>
            <w:r>
              <w:rPr>
                <w:rFonts w:ascii="Times New Roman" w:eastAsia="Times New Roman" w:hAnsi="Times New Roman" w:cs="Times New Roman"/>
                <w:color w:val="000000" w:themeColor="text1"/>
                <w:sz w:val="20"/>
                <w:szCs w:val="20"/>
                <w:lang w:eastAsia="en-US"/>
              </w:rPr>
              <w:fldChar w:fldCharType="begin"/>
            </w:r>
            <w:r>
              <w:rPr>
                <w:rFonts w:ascii="Times New Roman" w:eastAsia="Times New Roman" w:hAnsi="Times New Roman" w:cs="Times New Roman"/>
                <w:color w:val="000000" w:themeColor="text1"/>
                <w:sz w:val="20"/>
                <w:szCs w:val="20"/>
                <w:lang w:eastAsia="en-US"/>
              </w:rPr>
              <w:instrText xml:space="preserve"> ADDIN EN.CITE &lt;EndNote&gt;&lt;Cite&gt;&lt;Author&gt;Mlawer&lt;/Author&gt;&lt;Year&gt;1997&lt;/Year&gt;&lt;RecNum&gt;1338&lt;/RecNum&gt;&lt;DisplayText&gt;&lt;style face="superscript"&gt;9&lt;/style&gt;&lt;/DisplayText&gt;&lt;record&gt;&lt;rec-number&gt;1338&lt;/rec-number&gt;&lt;foreign-keys&gt;&lt;key app="EN" db-id="0vp2p0ptdvdaf4erwesvxax0d5sezasrfx50" timestamp="1647522769"&gt;1338&lt;/key&gt;&lt;/foreign-keys&gt;&lt;ref-type name="Journal Article"&gt;17&lt;/ref-type&gt;&lt;contributors&gt;&lt;authors&gt;&lt;author&gt;Mlawer, Eli J&lt;/author&gt;&lt;author&gt;Taubman, Steven J&lt;/author&gt;&lt;author&gt;Brown, Patrick D&lt;/author&gt;&lt;author&gt;Iacono, Michael J&lt;/author&gt;&lt;author&gt;Clough, Shepard A&lt;/author&gt;&lt;/authors&gt;&lt;/contributors&gt;&lt;titles&gt;&lt;title&gt;Radiative transfer for inhomogeneous atmospheres: RRTM, a validated correlated‐k model for the longwave&lt;/title&gt;&lt;secondary-title&gt;Journal of Geophysical Research: Atmospheres&lt;/secondary-title&gt;&lt;/titles&gt;&lt;periodical&gt;&lt;full-title&gt;Journal of Geophysical Research: Atmospheres&lt;/full-title&gt;&lt;/periodical&gt;&lt;pages&gt;16663-16682&lt;/pages&gt;&lt;volume&gt;102&lt;/volume&gt;&lt;number&gt;D14&lt;/number&gt;&lt;dates&gt;&lt;year&gt;1997&lt;/year&gt;&lt;/dates&gt;&lt;isbn&gt;0148-0227&lt;/isbn&gt;&lt;urls&gt;&lt;/urls&gt;&lt;/record&gt;&lt;/Cite&gt;&lt;/EndNote&gt;</w:instrText>
            </w:r>
            <w:r>
              <w:rPr>
                <w:rFonts w:ascii="Times New Roman" w:eastAsia="Times New Roman" w:hAnsi="Times New Roman" w:cs="Times New Roman"/>
                <w:color w:val="000000" w:themeColor="text1"/>
                <w:sz w:val="20"/>
                <w:szCs w:val="20"/>
                <w:lang w:eastAsia="en-US"/>
              </w:rPr>
              <w:fldChar w:fldCharType="separate"/>
            </w:r>
            <w:r>
              <w:rPr>
                <w:rFonts w:ascii="Times New Roman" w:eastAsia="Times New Roman" w:hAnsi="Times New Roman" w:cs="Times New Roman"/>
                <w:noProof/>
                <w:color w:val="000000" w:themeColor="text1"/>
                <w:sz w:val="20"/>
                <w:szCs w:val="20"/>
                <w:vertAlign w:val="superscript"/>
                <w:lang w:eastAsia="en-US"/>
              </w:rPr>
              <w:t>9</w:t>
            </w:r>
            <w:r>
              <w:rPr>
                <w:rFonts w:ascii="Times New Roman" w:eastAsia="Times New Roman" w:hAnsi="Times New Roman" w:cs="Times New Roman"/>
                <w:color w:val="000000" w:themeColor="text1"/>
                <w:sz w:val="20"/>
                <w:szCs w:val="20"/>
                <w:lang w:eastAsia="en-US"/>
              </w:rPr>
              <w:fldChar w:fldCharType="end"/>
            </w:r>
          </w:p>
        </w:tc>
      </w:tr>
      <w:tr>
        <w:trPr>
          <w:trHeight w:hRule="exact" w:val="454"/>
          <w:jc w:val="center"/>
        </w:trPr>
        <w:tc>
          <w:tcPr>
            <w:tcW w:w="2694"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Shortwave radiation</w:t>
            </w:r>
          </w:p>
        </w:tc>
        <w:tc>
          <w:tcPr>
            <w:tcW w:w="3260"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proofErr w:type="spellStart"/>
            <w:r>
              <w:rPr>
                <w:rFonts w:ascii="Times New Roman" w:eastAsia="Times New Roman" w:hAnsi="Times New Roman" w:cs="Times New Roman"/>
                <w:color w:val="000000" w:themeColor="text1"/>
                <w:sz w:val="20"/>
                <w:szCs w:val="20"/>
                <w:lang w:eastAsia="en-US"/>
              </w:rPr>
              <w:t>Dudhia</w:t>
            </w:r>
            <w:proofErr w:type="spellEnd"/>
          </w:p>
        </w:tc>
        <w:tc>
          <w:tcPr>
            <w:tcW w:w="2126" w:type="dxa"/>
            <w:shd w:val="clear" w:color="auto" w:fill="auto"/>
          </w:tcPr>
          <w:p>
            <w:pPr>
              <w:spacing w:after="100" w:afterAutospacing="1"/>
              <w:rPr>
                <w:rFonts w:ascii="Times New Roman" w:hAnsi="Times New Roman" w:cs="Times New Roman"/>
                <w:color w:val="000000" w:themeColor="text1"/>
                <w:sz w:val="20"/>
                <w:szCs w:val="20"/>
              </w:rPr>
            </w:pPr>
            <w:proofErr w:type="spellStart"/>
            <w:r>
              <w:rPr>
                <w:rFonts w:ascii="Times New Roman" w:eastAsia="Times New Roman" w:hAnsi="Times New Roman" w:cs="Times New Roman"/>
                <w:color w:val="000000" w:themeColor="text1"/>
                <w:sz w:val="20"/>
                <w:szCs w:val="20"/>
                <w:lang w:eastAsia="en-US"/>
              </w:rPr>
              <w:t>Dudia</w:t>
            </w:r>
            <w:proofErr w:type="spellEnd"/>
            <w:r>
              <w:rPr>
                <w:rFonts w:ascii="Times New Roman" w:hAnsi="Times New Roman" w:cs="Times New Roman"/>
                <w:color w:val="000000" w:themeColor="text1"/>
                <w:sz w:val="20"/>
                <w:szCs w:val="20"/>
                <w:lang w:eastAsia="en-US"/>
              </w:rPr>
              <w:t xml:space="preserve"> </w:t>
            </w:r>
            <w:r>
              <w:rPr>
                <w:rFonts w:ascii="Times New Roman" w:hAnsi="Times New Roman" w:cs="Times New Roman"/>
                <w:color w:val="000000" w:themeColor="text1"/>
                <w:sz w:val="20"/>
                <w:szCs w:val="20"/>
                <w:lang w:eastAsia="en-US"/>
              </w:rPr>
              <w:fldChar w:fldCharType="begin"/>
            </w:r>
            <w:r>
              <w:rPr>
                <w:rFonts w:ascii="Times New Roman" w:hAnsi="Times New Roman" w:cs="Times New Roman"/>
                <w:color w:val="000000" w:themeColor="text1"/>
                <w:sz w:val="20"/>
                <w:szCs w:val="20"/>
                <w:lang w:eastAsia="en-US"/>
              </w:rPr>
              <w:instrText xml:space="preserve"> ADDIN EN.CITE &lt;EndNote&gt;&lt;Cite&gt;&lt;Author&gt;Dudhia&lt;/Author&gt;&lt;Year&gt;1989&lt;/Year&gt;&lt;RecNum&gt;1339&lt;/RecNum&gt;&lt;DisplayText&gt;&lt;style face="superscript"&gt;10&lt;/style&gt;&lt;/DisplayText&gt;&lt;record&gt;&lt;rec-number&gt;1339&lt;/rec-number&gt;&lt;foreign-keys&gt;&lt;key app="EN" db-id="0vp2p0ptdvdaf4erwesvxax0d5sezasrfx50" timestamp="1647522796"&gt;1339&lt;/key&gt;&lt;/foreign-keys&gt;&lt;ref-type name="Journal Article"&gt;17&lt;/ref-type&gt;&lt;contributors&gt;&lt;authors&gt;&lt;author&gt;Dudhia, Jimy&lt;/author&gt;&lt;/authors&gt;&lt;/contributors&gt;&lt;titles&gt;&lt;title&gt;Numerical study of convection observed during the winter monsoon experiment using a mesoscale two-dimensional model&lt;/title&gt;&lt;secondary-title&gt;Journal of Atmospheric Sciences&lt;/secondary-title&gt;&lt;/titles&gt;&lt;periodical&gt;&lt;full-title&gt;Journal of Atmospheric Sciences&lt;/full-title&gt;&lt;/periodical&gt;&lt;pages&gt;3077-3107&lt;/pages&gt;&lt;volume&gt;46&lt;/volume&gt;&lt;number&gt;20&lt;/number&gt;&lt;dates&gt;&lt;year&gt;1989&lt;/year&gt;&lt;/dates&gt;&lt;isbn&gt;1520-0469&lt;/isbn&gt;&lt;urls&gt;&lt;/urls&gt;&lt;/record&gt;&lt;/Cite&gt;&lt;/EndNote&gt;</w:instrText>
            </w:r>
            <w:r>
              <w:rPr>
                <w:rFonts w:ascii="Times New Roman" w:hAnsi="Times New Roman" w:cs="Times New Roman"/>
                <w:color w:val="000000" w:themeColor="text1"/>
                <w:sz w:val="20"/>
                <w:szCs w:val="20"/>
                <w:lang w:eastAsia="en-US"/>
              </w:rPr>
              <w:fldChar w:fldCharType="separate"/>
            </w:r>
            <w:r>
              <w:rPr>
                <w:rFonts w:ascii="Times New Roman" w:hAnsi="Times New Roman" w:cs="Times New Roman"/>
                <w:noProof/>
                <w:color w:val="000000" w:themeColor="text1"/>
                <w:sz w:val="20"/>
                <w:szCs w:val="20"/>
                <w:vertAlign w:val="superscript"/>
                <w:lang w:eastAsia="en-US"/>
              </w:rPr>
              <w:t>10</w:t>
            </w:r>
            <w:r>
              <w:rPr>
                <w:rFonts w:ascii="Times New Roman" w:hAnsi="Times New Roman" w:cs="Times New Roman"/>
                <w:color w:val="000000" w:themeColor="text1"/>
                <w:sz w:val="20"/>
                <w:szCs w:val="20"/>
                <w:lang w:eastAsia="en-US"/>
              </w:rPr>
              <w:fldChar w:fldCharType="end"/>
            </w:r>
          </w:p>
        </w:tc>
      </w:tr>
      <w:tr>
        <w:trPr>
          <w:trHeight w:hRule="exact" w:val="454"/>
          <w:jc w:val="center"/>
        </w:trPr>
        <w:tc>
          <w:tcPr>
            <w:tcW w:w="2694"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Land surface</w:t>
            </w:r>
          </w:p>
        </w:tc>
        <w:tc>
          <w:tcPr>
            <w:tcW w:w="3260"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Noah land surface model</w:t>
            </w:r>
          </w:p>
        </w:tc>
        <w:tc>
          <w:tcPr>
            <w:tcW w:w="2126"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 xml:space="preserve">Chen and </w:t>
            </w:r>
            <w:proofErr w:type="spellStart"/>
            <w:r>
              <w:rPr>
                <w:rFonts w:ascii="Times New Roman" w:eastAsia="Times New Roman" w:hAnsi="Times New Roman" w:cs="Times New Roman"/>
                <w:color w:val="000000" w:themeColor="text1"/>
                <w:sz w:val="20"/>
                <w:szCs w:val="20"/>
                <w:lang w:eastAsia="en-US"/>
              </w:rPr>
              <w:t>Dudhia</w:t>
            </w:r>
            <w:proofErr w:type="spellEnd"/>
            <w:r>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fldChar w:fldCharType="begin"/>
            </w:r>
            <w:r>
              <w:rPr>
                <w:rFonts w:ascii="Times New Roman" w:eastAsia="Times New Roman" w:hAnsi="Times New Roman" w:cs="Times New Roman"/>
                <w:color w:val="000000" w:themeColor="text1"/>
                <w:sz w:val="20"/>
                <w:szCs w:val="20"/>
                <w:lang w:eastAsia="en-US"/>
              </w:rPr>
              <w:instrText xml:space="preserve"> ADDIN EN.CITE &lt;EndNote&gt;&lt;Cite&gt;&lt;Author&gt;Chen&lt;/Author&gt;&lt;Year&gt;2001&lt;/Year&gt;&lt;RecNum&gt;1340&lt;/RecNum&gt;&lt;DisplayText&gt;&lt;style face="superscript"&gt;11&lt;/style&gt;&lt;/DisplayText&gt;&lt;record&gt;&lt;rec-number&gt;1340&lt;/rec-number&gt;&lt;foreign-keys&gt;&lt;key app="EN" db-id="0vp2p0ptdvdaf4erwesvxax0d5sezasrfx50" timestamp="1647522839"&gt;1340&lt;/key&gt;&lt;/foreign-keys&gt;&lt;ref-type name="Journal Article"&gt;17&lt;/ref-type&gt;&lt;contributors&gt;&lt;authors&gt;&lt;author&gt;Chen, Fei&lt;/author&gt;&lt;author&gt;Dudhia, Jimy&lt;/author&gt;&lt;/authors&gt;&lt;/contributors&gt;&lt;titles&gt;&lt;title&gt;Coupling an advanced land surface–hydrology model with the Penn State–NCAR MM5 modeling system. Part I: Model implementation and sensitivity&lt;/title&gt;&lt;secondary-title&gt;Monthly weather review&lt;/secondary-title&gt;&lt;/titles&gt;&lt;periodical&gt;&lt;full-title&gt;Monthly Weather Review&lt;/full-title&gt;&lt;/periodical&gt;&lt;pages&gt;569-585&lt;/pages&gt;&lt;volume&gt;129&lt;/volume&gt;&lt;number&gt;4&lt;/number&gt;&lt;dates&gt;&lt;year&gt;2001&lt;/year&gt;&lt;/dates&gt;&lt;isbn&gt;1520-0493&lt;/isbn&gt;&lt;urls&gt;&lt;/urls&gt;&lt;/record&gt;&lt;/Cite&gt;&lt;/EndNote&gt;</w:instrText>
            </w:r>
            <w:r>
              <w:rPr>
                <w:rFonts w:ascii="Times New Roman" w:eastAsia="Times New Roman" w:hAnsi="Times New Roman" w:cs="Times New Roman"/>
                <w:color w:val="000000" w:themeColor="text1"/>
                <w:sz w:val="20"/>
                <w:szCs w:val="20"/>
                <w:lang w:eastAsia="en-US"/>
              </w:rPr>
              <w:fldChar w:fldCharType="separate"/>
            </w:r>
            <w:r>
              <w:rPr>
                <w:rFonts w:ascii="Times New Roman" w:eastAsia="Times New Roman" w:hAnsi="Times New Roman" w:cs="Times New Roman"/>
                <w:noProof/>
                <w:color w:val="000000" w:themeColor="text1"/>
                <w:sz w:val="20"/>
                <w:szCs w:val="20"/>
                <w:vertAlign w:val="superscript"/>
                <w:lang w:eastAsia="en-US"/>
              </w:rPr>
              <w:t>11</w:t>
            </w:r>
            <w:r>
              <w:rPr>
                <w:rFonts w:ascii="Times New Roman" w:eastAsia="Times New Roman" w:hAnsi="Times New Roman" w:cs="Times New Roman"/>
                <w:color w:val="000000" w:themeColor="text1"/>
                <w:sz w:val="20"/>
                <w:szCs w:val="20"/>
                <w:lang w:eastAsia="en-US"/>
              </w:rPr>
              <w:fldChar w:fldCharType="end"/>
            </w:r>
          </w:p>
        </w:tc>
      </w:tr>
      <w:tr>
        <w:trPr>
          <w:trHeight w:hRule="exact" w:val="454"/>
          <w:jc w:val="center"/>
        </w:trPr>
        <w:tc>
          <w:tcPr>
            <w:tcW w:w="2694"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Surface layer</w:t>
            </w:r>
          </w:p>
        </w:tc>
        <w:tc>
          <w:tcPr>
            <w:tcW w:w="3260"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MM5/</w:t>
            </w:r>
            <w:proofErr w:type="spellStart"/>
            <w:r>
              <w:rPr>
                <w:rFonts w:ascii="Times New Roman" w:eastAsia="Times New Roman" w:hAnsi="Times New Roman" w:cs="Times New Roman"/>
                <w:color w:val="000000" w:themeColor="text1"/>
                <w:sz w:val="20"/>
                <w:szCs w:val="20"/>
                <w:lang w:eastAsia="en-US"/>
              </w:rPr>
              <w:t>Monin-Obukhov</w:t>
            </w:r>
            <w:proofErr w:type="spellEnd"/>
          </w:p>
        </w:tc>
        <w:tc>
          <w:tcPr>
            <w:tcW w:w="2126" w:type="dxa"/>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proofErr w:type="spellStart"/>
            <w:r>
              <w:rPr>
                <w:rFonts w:ascii="Times New Roman" w:eastAsia="Times New Roman" w:hAnsi="Times New Roman" w:cs="Times New Roman"/>
                <w:color w:val="000000" w:themeColor="text1"/>
                <w:sz w:val="20"/>
                <w:szCs w:val="20"/>
                <w:lang w:eastAsia="en-US"/>
              </w:rPr>
              <w:t>Janjic</w:t>
            </w:r>
            <w:proofErr w:type="spellEnd"/>
            <w:r>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fldChar w:fldCharType="begin"/>
            </w:r>
            <w:r>
              <w:rPr>
                <w:rFonts w:ascii="Times New Roman" w:eastAsia="Times New Roman" w:hAnsi="Times New Roman" w:cs="Times New Roman"/>
                <w:color w:val="000000" w:themeColor="text1"/>
                <w:sz w:val="20"/>
                <w:szCs w:val="20"/>
                <w:lang w:eastAsia="en-US"/>
              </w:rPr>
              <w:instrText xml:space="preserve"> ADDIN EN.CITE &lt;EndNote&gt;&lt;Cite&gt;&lt;Author&gt;Janjić&lt;/Author&gt;&lt;Year&gt;1990&lt;/Year&gt;&lt;RecNum&gt;1341&lt;/RecNum&gt;&lt;DisplayText&gt;&lt;style face="superscript"&gt;12&lt;/style&gt;&lt;/DisplayText&gt;&lt;record&gt;&lt;rec-number&gt;1341&lt;/rec-number&gt;&lt;foreign-keys&gt;&lt;key app="EN" db-id="0vp2p0ptdvdaf4erwesvxax0d5sezasrfx50" timestamp="1647522920"&gt;1341&lt;/key&gt;&lt;/foreign-keys&gt;&lt;ref-type name="Journal Article"&gt;17&lt;/ref-type&gt;&lt;contributors&gt;&lt;authors&gt;&lt;author&gt;Janjić, Zaviša I&lt;/author&gt;&lt;/authors&gt;&lt;/contributors&gt;&lt;titles&gt;&lt;title&gt;The step-mountain coordinate: Physical package&lt;/title&gt;&lt;secondary-title&gt;Monthly weather review&lt;/secondary-title&gt;&lt;/titles&gt;&lt;periodical&gt;&lt;full-title&gt;Monthly Weather Review&lt;/full-title&gt;&lt;/periodical&gt;&lt;pages&gt;1429-1443&lt;/pages&gt;&lt;volume&gt;118&lt;/volume&gt;&lt;number&gt;7&lt;/number&gt;&lt;dates&gt;&lt;year&gt;1990&lt;/year&gt;&lt;/dates&gt;&lt;isbn&gt;1520-0493&lt;/isbn&gt;&lt;urls&gt;&lt;/urls&gt;&lt;/record&gt;&lt;/Cite&gt;&lt;/EndNote&gt;</w:instrText>
            </w:r>
            <w:r>
              <w:rPr>
                <w:rFonts w:ascii="Times New Roman" w:eastAsia="Times New Roman" w:hAnsi="Times New Roman" w:cs="Times New Roman"/>
                <w:color w:val="000000" w:themeColor="text1"/>
                <w:sz w:val="20"/>
                <w:szCs w:val="20"/>
                <w:lang w:eastAsia="en-US"/>
              </w:rPr>
              <w:fldChar w:fldCharType="separate"/>
            </w:r>
            <w:r>
              <w:rPr>
                <w:rFonts w:ascii="Times New Roman" w:eastAsia="Times New Roman" w:hAnsi="Times New Roman" w:cs="Times New Roman"/>
                <w:noProof/>
                <w:color w:val="000000" w:themeColor="text1"/>
                <w:sz w:val="20"/>
                <w:szCs w:val="20"/>
                <w:vertAlign w:val="superscript"/>
                <w:lang w:eastAsia="en-US"/>
              </w:rPr>
              <w:t>12</w:t>
            </w:r>
            <w:r>
              <w:rPr>
                <w:rFonts w:ascii="Times New Roman" w:eastAsia="Times New Roman" w:hAnsi="Times New Roman" w:cs="Times New Roman"/>
                <w:color w:val="000000" w:themeColor="text1"/>
                <w:sz w:val="20"/>
                <w:szCs w:val="20"/>
                <w:lang w:eastAsia="en-US"/>
              </w:rPr>
              <w:fldChar w:fldCharType="end"/>
            </w:r>
          </w:p>
        </w:tc>
      </w:tr>
      <w:tr>
        <w:trPr>
          <w:trHeight w:hRule="exact" w:val="454"/>
          <w:jc w:val="center"/>
        </w:trPr>
        <w:tc>
          <w:tcPr>
            <w:tcW w:w="2694" w:type="dxa"/>
            <w:tcBorders>
              <w:bottom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r>
              <w:rPr>
                <w:rFonts w:ascii="Times New Roman" w:eastAsia="Times New Roman" w:hAnsi="Times New Roman" w:cs="Times New Roman"/>
                <w:color w:val="000000" w:themeColor="text1"/>
                <w:sz w:val="20"/>
                <w:szCs w:val="20"/>
                <w:lang w:eastAsia="en-US"/>
              </w:rPr>
              <w:t>Cumulus parameterization</w:t>
            </w:r>
          </w:p>
        </w:tc>
        <w:tc>
          <w:tcPr>
            <w:tcW w:w="3260" w:type="dxa"/>
            <w:tcBorders>
              <w:bottom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proofErr w:type="spellStart"/>
            <w:r>
              <w:rPr>
                <w:rFonts w:ascii="Times New Roman" w:eastAsia="Times New Roman" w:hAnsi="Times New Roman" w:cs="Times New Roman"/>
                <w:color w:val="000000" w:themeColor="text1"/>
                <w:sz w:val="20"/>
                <w:szCs w:val="20"/>
                <w:lang w:eastAsia="en-US"/>
              </w:rPr>
              <w:t>Grell</w:t>
            </w:r>
            <w:proofErr w:type="spellEnd"/>
            <w:r>
              <w:rPr>
                <w:rFonts w:ascii="Times New Roman" w:eastAsia="Times New Roman" w:hAnsi="Times New Roman" w:cs="Times New Roman"/>
                <w:color w:val="000000" w:themeColor="text1"/>
                <w:sz w:val="20"/>
                <w:szCs w:val="20"/>
                <w:lang w:eastAsia="en-US"/>
              </w:rPr>
              <w:t xml:space="preserve"> 3-D</w:t>
            </w:r>
          </w:p>
        </w:tc>
        <w:tc>
          <w:tcPr>
            <w:tcW w:w="2126" w:type="dxa"/>
            <w:tcBorders>
              <w:bottom w:val="single" w:sz="8" w:space="0" w:color="auto"/>
            </w:tcBorders>
            <w:shd w:val="clear" w:color="auto" w:fill="auto"/>
          </w:tcPr>
          <w:p>
            <w:pPr>
              <w:spacing w:after="100" w:afterAutospacing="1"/>
              <w:rPr>
                <w:rFonts w:ascii="Times New Roman" w:eastAsia="Times New Roman" w:hAnsi="Times New Roman" w:cs="Times New Roman"/>
                <w:color w:val="000000" w:themeColor="text1"/>
                <w:sz w:val="20"/>
                <w:szCs w:val="20"/>
                <w:lang w:eastAsia="en-US"/>
              </w:rPr>
            </w:pPr>
            <w:proofErr w:type="spellStart"/>
            <w:r>
              <w:rPr>
                <w:rFonts w:ascii="Times New Roman" w:eastAsia="Times New Roman" w:hAnsi="Times New Roman" w:cs="Times New Roman"/>
                <w:color w:val="000000" w:themeColor="text1"/>
                <w:sz w:val="20"/>
                <w:szCs w:val="20"/>
                <w:lang w:eastAsia="en-US"/>
              </w:rPr>
              <w:t>Grell</w:t>
            </w:r>
            <w:proofErr w:type="spellEnd"/>
            <w:r>
              <w:rPr>
                <w:rFonts w:ascii="Times New Roman" w:eastAsia="Times New Roman" w:hAnsi="Times New Roman" w:cs="Times New Roman"/>
                <w:color w:val="000000" w:themeColor="text1"/>
                <w:sz w:val="20"/>
                <w:szCs w:val="20"/>
                <w:lang w:eastAsia="en-US"/>
              </w:rPr>
              <w:t xml:space="preserve"> and </w:t>
            </w:r>
            <w:proofErr w:type="spellStart"/>
            <w:r>
              <w:rPr>
                <w:rFonts w:ascii="Times New Roman" w:eastAsia="Times New Roman" w:hAnsi="Times New Roman" w:cs="Times New Roman"/>
                <w:color w:val="000000" w:themeColor="text1"/>
                <w:sz w:val="20"/>
                <w:szCs w:val="20"/>
                <w:lang w:eastAsia="en-US"/>
              </w:rPr>
              <w:t>Devenyi</w:t>
            </w:r>
            <w:proofErr w:type="spellEnd"/>
            <w:r>
              <w:rPr>
                <w:rFonts w:ascii="Times New Roman" w:eastAsia="Times New Roman" w:hAnsi="Times New Roman" w:cs="Times New Roman"/>
                <w:color w:val="000000" w:themeColor="text1"/>
                <w:sz w:val="20"/>
                <w:szCs w:val="20"/>
                <w:lang w:eastAsia="en-US"/>
              </w:rPr>
              <w:t xml:space="preserve"> </w:t>
            </w:r>
            <w:r>
              <w:rPr>
                <w:rFonts w:ascii="Times New Roman" w:eastAsia="Times New Roman" w:hAnsi="Times New Roman" w:cs="Times New Roman"/>
                <w:color w:val="000000" w:themeColor="text1"/>
                <w:sz w:val="20"/>
                <w:szCs w:val="20"/>
                <w:lang w:eastAsia="en-US"/>
              </w:rPr>
              <w:fldChar w:fldCharType="begin"/>
            </w:r>
            <w:r>
              <w:rPr>
                <w:rFonts w:ascii="Times New Roman" w:eastAsia="Times New Roman" w:hAnsi="Times New Roman" w:cs="Times New Roman"/>
                <w:color w:val="000000" w:themeColor="text1"/>
                <w:sz w:val="20"/>
                <w:szCs w:val="20"/>
                <w:lang w:eastAsia="en-US"/>
              </w:rPr>
              <w:instrText xml:space="preserve"> ADDIN EN.CITE &lt;EndNote&gt;&lt;Cite&gt;&lt;Author&gt;Grell&lt;/Author&gt;&lt;Year&gt;2002&lt;/Year&gt;&lt;RecNum&gt;1342&lt;/RecNum&gt;&lt;DisplayText&gt;&lt;style face="superscript"&gt;13&lt;/style&gt;&lt;/DisplayText&gt;&lt;record&gt;&lt;rec-number&gt;1342&lt;/rec-number&gt;&lt;foreign-keys&gt;&lt;key app="EN" db-id="0vp2p0ptdvdaf4erwesvxax0d5sezasrfx50" timestamp="1647522956"&gt;1342&lt;/key&gt;&lt;/foreign-keys&gt;&lt;ref-type name="Journal Article"&gt;17&lt;/ref-type&gt;&lt;contributors&gt;&lt;authors&gt;&lt;author&gt;Grell, Georg A&lt;/author&gt;&lt;author&gt;Dévényi, Dezső&lt;/author&gt;&lt;/authors&gt;&lt;/contributors&gt;&lt;titles&gt;&lt;title&gt;A generalized approach to parameterizing convection combining ensemble and data assimilation techniques&lt;/title&gt;&lt;secondary-title&gt;Geophysical Research Letters&lt;/secondary-title&gt;&lt;/titles&gt;&lt;periodical&gt;&lt;full-title&gt;Geophysical Research Letters&lt;/full-title&gt;&lt;abbr-1&gt;Geophys Res Lett&lt;/abbr-1&gt;&lt;/periodical&gt;&lt;pages&gt;38-1-38-4&lt;/pages&gt;&lt;volume&gt;29&lt;/volume&gt;&lt;number&gt;14&lt;/number&gt;&lt;dates&gt;&lt;year&gt;2002&lt;/year&gt;&lt;/dates&gt;&lt;isbn&gt;0094-8276&lt;/isbn&gt;&lt;urls&gt;&lt;/urls&gt;&lt;/record&gt;&lt;/Cite&gt;&lt;/EndNote&gt;</w:instrText>
            </w:r>
            <w:r>
              <w:rPr>
                <w:rFonts w:ascii="Times New Roman" w:eastAsia="Times New Roman" w:hAnsi="Times New Roman" w:cs="Times New Roman"/>
                <w:color w:val="000000" w:themeColor="text1"/>
                <w:sz w:val="20"/>
                <w:szCs w:val="20"/>
                <w:lang w:eastAsia="en-US"/>
              </w:rPr>
              <w:fldChar w:fldCharType="separate"/>
            </w:r>
            <w:r>
              <w:rPr>
                <w:rFonts w:ascii="Times New Roman" w:eastAsia="Times New Roman" w:hAnsi="Times New Roman" w:cs="Times New Roman"/>
                <w:noProof/>
                <w:color w:val="000000" w:themeColor="text1"/>
                <w:sz w:val="20"/>
                <w:szCs w:val="20"/>
                <w:vertAlign w:val="superscript"/>
                <w:lang w:eastAsia="en-US"/>
              </w:rPr>
              <w:t>13</w:t>
            </w:r>
            <w:r>
              <w:rPr>
                <w:rFonts w:ascii="Times New Roman" w:eastAsia="Times New Roman" w:hAnsi="Times New Roman" w:cs="Times New Roman"/>
                <w:color w:val="000000" w:themeColor="text1"/>
                <w:sz w:val="20"/>
                <w:szCs w:val="20"/>
                <w:lang w:eastAsia="en-US"/>
              </w:rPr>
              <w:fldChar w:fldCharType="end"/>
            </w:r>
          </w:p>
        </w:tc>
      </w:tr>
    </w:tbl>
    <w:p>
      <w:pPr>
        <w:jc w:val="both"/>
        <w:rPr>
          <w:rFonts w:ascii="Times New Roman" w:hAnsi="Times New Roman" w:cs="Times New Roman"/>
          <w:b/>
          <w:bCs/>
          <w:color w:val="000000" w:themeColor="text1"/>
          <w:kern w:val="32"/>
          <w:sz w:val="16"/>
          <w:szCs w:val="20"/>
          <w:lang w:eastAsia="en-US"/>
        </w:rPr>
      </w:pPr>
    </w:p>
    <w:p>
      <w:pPr>
        <w:jc w:val="both"/>
        <w:rPr>
          <w:rFonts w:ascii="Times New Roman" w:hAnsi="Times New Roman" w:cs="Times New Roman"/>
          <w:b/>
          <w:bCs/>
          <w:color w:val="000000" w:themeColor="text1"/>
          <w:kern w:val="32"/>
          <w:sz w:val="16"/>
          <w:szCs w:val="20"/>
          <w:lang w:eastAsia="en-US"/>
        </w:rPr>
      </w:pPr>
    </w:p>
    <w:p>
      <w:pPr>
        <w:jc w:val="both"/>
        <w:rPr>
          <w:rFonts w:ascii="Times New Roman" w:hAnsi="Times New Roman" w:cs="Times New Roman"/>
          <w:b/>
          <w:bCs/>
          <w:color w:val="000000" w:themeColor="text1"/>
          <w:kern w:val="32"/>
          <w:sz w:val="16"/>
          <w:szCs w:val="20"/>
          <w:lang w:eastAsia="en-US"/>
        </w:rPr>
      </w:pPr>
    </w:p>
    <w:p>
      <w:pPr>
        <w:jc w:val="both"/>
        <w:rPr>
          <w:rFonts w:ascii="Times New Roman" w:hAnsi="Times New Roman" w:cs="Times New Roman"/>
          <w:b/>
          <w:bCs/>
          <w:color w:val="000000" w:themeColor="text1"/>
          <w:kern w:val="32"/>
          <w:sz w:val="16"/>
          <w:szCs w:val="20"/>
          <w:lang w:eastAsia="en-US"/>
        </w:rPr>
      </w:pPr>
    </w:p>
    <w:p>
      <w:pPr>
        <w:jc w:val="both"/>
        <w:rPr>
          <w:rFonts w:ascii="Times New Roman" w:hAnsi="Times New Roman" w:cs="Times New Roman"/>
          <w:color w:val="000000" w:themeColor="text1"/>
          <w:kern w:val="32"/>
          <w:sz w:val="20"/>
          <w:szCs w:val="22"/>
        </w:rPr>
      </w:pPr>
      <w:r>
        <w:rPr>
          <w:rFonts w:ascii="Times New Roman" w:hAnsi="Times New Roman" w:cs="Times New Roman"/>
          <w:b/>
          <w:bCs/>
          <w:color w:val="000000" w:themeColor="text1"/>
        </w:rPr>
        <w:t>Supplementary</w:t>
      </w:r>
      <w:r>
        <w:rPr>
          <w:rFonts w:ascii="Times New Roman" w:hAnsi="Times New Roman" w:cs="Times New Roman"/>
          <w:b/>
          <w:bCs/>
          <w:color w:val="000000" w:themeColor="text1"/>
          <w:kern w:val="32"/>
          <w:sz w:val="20"/>
          <w:szCs w:val="22"/>
          <w:lang w:eastAsia="en-US"/>
        </w:rPr>
        <w:t xml:space="preserve"> Table 4. WRF-UCM input parameters.</w:t>
      </w:r>
    </w:p>
    <w:tbl>
      <w:tblPr>
        <w:tblStyle w:val="GridTable1Light1"/>
        <w:tblW w:w="7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1417"/>
        <w:gridCol w:w="1276"/>
        <w:gridCol w:w="1467"/>
        <w:gridCol w:w="1075"/>
      </w:tblGrid>
      <w:tr>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96" w:type="dxa"/>
            <w:tcBorders>
              <w:bottom w:val="single" w:sz="12" w:space="0" w:color="auto"/>
            </w:tcBorders>
            <w:noWrap/>
            <w:vAlign w:val="center"/>
            <w:hideMark/>
          </w:tcPr>
          <w:p>
            <w:pPr>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Parameter</w:t>
            </w:r>
          </w:p>
        </w:tc>
        <w:tc>
          <w:tcPr>
            <w:tcW w:w="1417" w:type="dxa"/>
            <w:tcBorders>
              <w:bottom w:val="single" w:sz="12" w:space="0" w:color="auto"/>
            </w:tcBorders>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Units</w:t>
            </w:r>
          </w:p>
        </w:tc>
        <w:tc>
          <w:tcPr>
            <w:tcW w:w="1276" w:type="dxa"/>
            <w:tcBorders>
              <w:bottom w:val="single" w:sz="12" w:space="0" w:color="auto"/>
            </w:tcBorders>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Low-intensity</w:t>
            </w:r>
          </w:p>
          <w:p>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Residential</w:t>
            </w:r>
          </w:p>
        </w:tc>
        <w:tc>
          <w:tcPr>
            <w:tcW w:w="1467" w:type="dxa"/>
            <w:tcBorders>
              <w:bottom w:val="single" w:sz="12" w:space="0" w:color="auto"/>
            </w:tcBorders>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High-intensity</w:t>
            </w:r>
          </w:p>
          <w:p>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Residential</w:t>
            </w:r>
          </w:p>
        </w:tc>
        <w:tc>
          <w:tcPr>
            <w:tcW w:w="1075" w:type="dxa"/>
            <w:tcBorders>
              <w:bottom w:val="single" w:sz="12" w:space="0" w:color="auto"/>
            </w:tcBorders>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Commercial</w:t>
            </w:r>
          </w:p>
          <w:p>
            <w:pPr>
              <w:jc w:val="cente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DengXian" w:hAnsi="Times New Roman" w:cs="Times New Roman"/>
                <w:color w:val="000000" w:themeColor="text1"/>
                <w:sz w:val="16"/>
                <w:szCs w:val="16"/>
              </w:rPr>
              <w:t>Center</w:t>
            </w:r>
          </w:p>
        </w:tc>
      </w:tr>
      <w:tr>
        <w:trPr>
          <w:trHeight w:val="320"/>
          <w:jc w:val="center"/>
        </w:trPr>
        <w:tc>
          <w:tcPr>
            <w:cnfStyle w:val="001000000000" w:firstRow="0" w:lastRow="0" w:firstColumn="1" w:lastColumn="0" w:oddVBand="0" w:evenVBand="0" w:oddHBand="0" w:evenHBand="0" w:firstRowFirstColumn="0" w:firstRowLastColumn="0" w:lastRowFirstColumn="0" w:lastRowLastColumn="0"/>
            <w:tcW w:w="2396" w:type="dxa"/>
            <w:noWrap/>
            <w:vAlign w:val="center"/>
            <w:hideMark/>
          </w:tcPr>
          <w:p>
            <w:pPr>
              <w:jc w:val="center"/>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Building plan fraction</w:t>
            </w:r>
          </w:p>
        </w:tc>
        <w:tc>
          <w:tcPr>
            <w:tcW w:w="141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276"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0.33</w:t>
            </w:r>
          </w:p>
        </w:tc>
        <w:tc>
          <w:tcPr>
            <w:tcW w:w="146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0.50</w:t>
            </w:r>
          </w:p>
        </w:tc>
        <w:tc>
          <w:tcPr>
            <w:tcW w:w="107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0.55</w:t>
            </w:r>
          </w:p>
        </w:tc>
      </w:tr>
      <w:tr>
        <w:trPr>
          <w:trHeight w:val="320"/>
          <w:jc w:val="center"/>
        </w:trPr>
        <w:tc>
          <w:tcPr>
            <w:cnfStyle w:val="001000000000" w:firstRow="0" w:lastRow="0" w:firstColumn="1" w:lastColumn="0" w:oddVBand="0" w:evenVBand="0" w:oddHBand="0" w:evenHBand="0" w:firstRowFirstColumn="0" w:firstRowLastColumn="0" w:lastRowFirstColumn="0" w:lastRowLastColumn="0"/>
            <w:tcW w:w="2396" w:type="dxa"/>
            <w:noWrap/>
            <w:vAlign w:val="center"/>
            <w:hideMark/>
          </w:tcPr>
          <w:p>
            <w:pPr>
              <w:jc w:val="center"/>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Anthropogenic heat</w:t>
            </w:r>
          </w:p>
        </w:tc>
        <w:tc>
          <w:tcPr>
            <w:tcW w:w="141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Wm</w:t>
            </w:r>
            <w:r>
              <w:rPr>
                <w:rFonts w:ascii="Times New Roman" w:eastAsia="Times New Roman" w:hAnsi="Times New Roman" w:cs="Times New Roman"/>
                <w:color w:val="000000" w:themeColor="text1"/>
                <w:sz w:val="16"/>
                <w:szCs w:val="16"/>
                <w:vertAlign w:val="superscript"/>
              </w:rPr>
              <w:t>-2</w:t>
            </w:r>
          </w:p>
        </w:tc>
        <w:tc>
          <w:tcPr>
            <w:tcW w:w="1276"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5</w:t>
            </w:r>
          </w:p>
        </w:tc>
        <w:tc>
          <w:tcPr>
            <w:tcW w:w="146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15</w:t>
            </w:r>
          </w:p>
        </w:tc>
        <w:tc>
          <w:tcPr>
            <w:tcW w:w="107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75</w:t>
            </w:r>
          </w:p>
        </w:tc>
      </w:tr>
      <w:tr>
        <w:trPr>
          <w:trHeight w:val="320"/>
          <w:jc w:val="center"/>
        </w:trPr>
        <w:tc>
          <w:tcPr>
            <w:cnfStyle w:val="001000000000" w:firstRow="0" w:lastRow="0" w:firstColumn="1" w:lastColumn="0" w:oddVBand="0" w:evenVBand="0" w:oddHBand="0" w:evenHBand="0" w:firstRowFirstColumn="0" w:firstRowLastColumn="0" w:lastRowFirstColumn="0" w:lastRowLastColumn="0"/>
            <w:tcW w:w="2396" w:type="dxa"/>
            <w:noWrap/>
            <w:vAlign w:val="center"/>
            <w:hideMark/>
          </w:tcPr>
          <w:p>
            <w:pPr>
              <w:jc w:val="center"/>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Canyon height-to-width ra</w:t>
            </w:r>
            <w:r>
              <w:rPr>
                <w:rFonts w:ascii="Times New Roman" w:eastAsia="Times New Roman" w:hAnsi="Times New Roman" w:cs="Times New Roman"/>
                <w:color w:val="000000" w:themeColor="text1"/>
                <w:sz w:val="16"/>
                <w:szCs w:val="16"/>
                <w:lang w:eastAsia="en-US"/>
              </w:rPr>
              <w:t>tio</w:t>
            </w:r>
          </w:p>
        </w:tc>
        <w:tc>
          <w:tcPr>
            <w:tcW w:w="141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w:t>
            </w:r>
          </w:p>
        </w:tc>
        <w:tc>
          <w:tcPr>
            <w:tcW w:w="1276"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0.25</w:t>
            </w:r>
          </w:p>
        </w:tc>
        <w:tc>
          <w:tcPr>
            <w:tcW w:w="1467"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0.5</w:t>
            </w:r>
          </w:p>
        </w:tc>
        <w:tc>
          <w:tcPr>
            <w:tcW w:w="1075" w:type="dxa"/>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2.0</w:t>
            </w:r>
          </w:p>
        </w:tc>
      </w:tr>
      <w:tr>
        <w:trPr>
          <w:trHeight w:val="320"/>
          <w:jc w:val="center"/>
        </w:trPr>
        <w:tc>
          <w:tcPr>
            <w:cnfStyle w:val="001000000000" w:firstRow="0" w:lastRow="0" w:firstColumn="1" w:lastColumn="0" w:oddVBand="0" w:evenVBand="0" w:oddHBand="0" w:evenHBand="0" w:firstRowFirstColumn="0" w:firstRowLastColumn="0" w:lastRowFirstColumn="0" w:lastRowLastColumn="0"/>
            <w:tcW w:w="2396" w:type="dxa"/>
            <w:tcBorders>
              <w:bottom w:val="single" w:sz="12" w:space="0" w:color="auto"/>
            </w:tcBorders>
            <w:noWrap/>
            <w:vAlign w:val="center"/>
            <w:hideMark/>
          </w:tcPr>
          <w:p>
            <w:pPr>
              <w:jc w:val="center"/>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Mean building height</w:t>
            </w:r>
          </w:p>
        </w:tc>
        <w:tc>
          <w:tcPr>
            <w:tcW w:w="1417" w:type="dxa"/>
            <w:tcBorders>
              <w:bottom w:val="single" w:sz="12" w:space="0" w:color="auto"/>
            </w:tcBorders>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m</w:t>
            </w:r>
          </w:p>
        </w:tc>
        <w:tc>
          <w:tcPr>
            <w:tcW w:w="1276" w:type="dxa"/>
            <w:tcBorders>
              <w:bottom w:val="single" w:sz="12" w:space="0" w:color="auto"/>
            </w:tcBorders>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5</w:t>
            </w:r>
          </w:p>
        </w:tc>
        <w:tc>
          <w:tcPr>
            <w:tcW w:w="1467" w:type="dxa"/>
            <w:tcBorders>
              <w:bottom w:val="single" w:sz="12" w:space="0" w:color="auto"/>
            </w:tcBorders>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5</w:t>
            </w:r>
          </w:p>
        </w:tc>
        <w:tc>
          <w:tcPr>
            <w:tcW w:w="1075" w:type="dxa"/>
            <w:tcBorders>
              <w:bottom w:val="single" w:sz="12" w:space="0" w:color="auto"/>
            </w:tcBorders>
            <w:noWrap/>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themeColor="text1"/>
                <w:sz w:val="16"/>
                <w:szCs w:val="16"/>
              </w:rPr>
            </w:pPr>
            <w:r>
              <w:rPr>
                <w:rFonts w:ascii="Times New Roman" w:eastAsia="Times New Roman" w:hAnsi="Times New Roman" w:cs="Times New Roman"/>
                <w:color w:val="000000" w:themeColor="text1"/>
                <w:sz w:val="16"/>
                <w:szCs w:val="16"/>
                <w:lang w:eastAsia="en-US"/>
              </w:rPr>
              <w:t>20</w:t>
            </w:r>
          </w:p>
        </w:tc>
      </w:tr>
    </w:tbl>
    <w:p>
      <w:pPr>
        <w:jc w:val="both"/>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color w:val="000000" w:themeColor="text1"/>
        </w:rPr>
      </w:pPr>
    </w:p>
    <w:p>
      <w:pPr>
        <w:rPr>
          <w:rFonts w:ascii="Times New Roman" w:hAnsi="Times New Roman" w:cs="Times New Roman"/>
          <w:b/>
          <w:bCs/>
          <w:color w:val="000000" w:themeColor="text1"/>
        </w:rPr>
      </w:pPr>
      <w:r>
        <w:rPr>
          <w:rFonts w:ascii="Times New Roman" w:hAnsi="Times New Roman" w:cs="Times New Roman"/>
          <w:b/>
          <w:bCs/>
          <w:color w:val="000000" w:themeColor="text1"/>
        </w:rPr>
        <w:t>Reference</w:t>
      </w:r>
    </w:p>
    <w:p>
      <w:pPr>
        <w:rPr>
          <w:rFonts w:ascii="Times New Roman" w:hAnsi="Times New Roman" w:cs="Times New Roman"/>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EN.REFLIST </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1.</w:t>
      </w:r>
      <w:r>
        <w:rPr>
          <w:rFonts w:ascii="Times New Roman" w:hAnsi="Times New Roman" w:cs="Times New Roman"/>
          <w:noProof/>
          <w:color w:val="000000" w:themeColor="text1"/>
        </w:rPr>
        <w:tab/>
        <w:t xml:space="preserve">Krayenhoff E Scott, Moustaoui Mohamed, Broadbent Ashley M, Gupta Vishesh, Georgescu Matei. Diurnal interaction between urban expansion, climate change and adaptation in US cities. </w:t>
      </w:r>
      <w:r>
        <w:rPr>
          <w:rFonts w:ascii="Times New Roman" w:hAnsi="Times New Roman" w:cs="Times New Roman"/>
          <w:i/>
          <w:noProof/>
          <w:color w:val="000000" w:themeColor="text1"/>
        </w:rPr>
        <w:t>Nature Climate Change</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8</w:t>
      </w:r>
      <w:r>
        <w:rPr>
          <w:rFonts w:ascii="Times New Roman" w:hAnsi="Times New Roman" w:cs="Times New Roman"/>
          <w:noProof/>
          <w:color w:val="000000" w:themeColor="text1"/>
        </w:rPr>
        <w:t>, 1097 (2018).</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2.</w:t>
      </w:r>
      <w:r>
        <w:rPr>
          <w:rFonts w:ascii="Times New Roman" w:hAnsi="Times New Roman" w:cs="Times New Roman"/>
          <w:noProof/>
          <w:color w:val="000000" w:themeColor="text1"/>
        </w:rPr>
        <w:tab/>
        <w:t xml:space="preserve">Broadbent Ashley Mark, Krayenhoff Eric Scott, Georgescu Matei. The motley drivers of heat and cold exposure in 21st century US cities. </w:t>
      </w:r>
      <w:r>
        <w:rPr>
          <w:rFonts w:ascii="Times New Roman" w:hAnsi="Times New Roman" w:cs="Times New Roman"/>
          <w:i/>
          <w:noProof/>
          <w:color w:val="000000" w:themeColor="text1"/>
        </w:rPr>
        <w:t>Proceedings of the National Academy of Sciences</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117</w:t>
      </w:r>
      <w:r>
        <w:rPr>
          <w:rFonts w:ascii="Times New Roman" w:hAnsi="Times New Roman" w:cs="Times New Roman"/>
          <w:noProof/>
          <w:color w:val="000000" w:themeColor="text1"/>
        </w:rPr>
        <w:t>, 21108-21117 (2020).</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3.</w:t>
      </w:r>
      <w:r>
        <w:rPr>
          <w:rFonts w:ascii="Times New Roman" w:hAnsi="Times New Roman" w:cs="Times New Roman"/>
          <w:noProof/>
          <w:color w:val="000000" w:themeColor="text1"/>
        </w:rPr>
        <w:tab/>
        <w:t>Prc The State Council of The. About Adjusting the Criteria for Urban Size Division.  (ed^(eds) (2014).</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4.</w:t>
      </w:r>
      <w:r>
        <w:rPr>
          <w:rFonts w:ascii="Times New Roman" w:hAnsi="Times New Roman" w:cs="Times New Roman"/>
          <w:noProof/>
          <w:color w:val="000000" w:themeColor="text1"/>
        </w:rPr>
        <w:tab/>
        <w:t xml:space="preserve">Andrews Oliver, Le Quéré Corinne, Kjellstrom Tord, Lemke Bruno, Haines Andy. Implications for workability and survivability in populations exposed to extreme heat under climate change: a modelling study. </w:t>
      </w:r>
      <w:r>
        <w:rPr>
          <w:rFonts w:ascii="Times New Roman" w:hAnsi="Times New Roman" w:cs="Times New Roman"/>
          <w:i/>
          <w:noProof/>
          <w:color w:val="000000" w:themeColor="text1"/>
        </w:rPr>
        <w:t>The Lancet Planetary Health</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2</w:t>
      </w:r>
      <w:r>
        <w:rPr>
          <w:rFonts w:ascii="Times New Roman" w:hAnsi="Times New Roman" w:cs="Times New Roman"/>
          <w:noProof/>
          <w:color w:val="000000" w:themeColor="text1"/>
        </w:rPr>
        <w:t>, e540-e547 (2018).</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5.</w:t>
      </w:r>
      <w:r>
        <w:rPr>
          <w:rFonts w:ascii="Times New Roman" w:hAnsi="Times New Roman" w:cs="Times New Roman"/>
          <w:noProof/>
          <w:color w:val="000000" w:themeColor="text1"/>
        </w:rPr>
        <w:tab/>
        <w:t xml:space="preserve">Chen Xi, Shuai Chenyang, Chen Zhenhao, Zhang Yu. What are the root causes hindering the implementation of green roofs in urban China? </w:t>
      </w:r>
      <w:r>
        <w:rPr>
          <w:rFonts w:ascii="Times New Roman" w:hAnsi="Times New Roman" w:cs="Times New Roman"/>
          <w:i/>
          <w:noProof/>
          <w:color w:val="000000" w:themeColor="text1"/>
        </w:rPr>
        <w:t>Science of the Total Environment</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654</w:t>
      </w:r>
      <w:r>
        <w:rPr>
          <w:rFonts w:ascii="Times New Roman" w:hAnsi="Times New Roman" w:cs="Times New Roman"/>
          <w:noProof/>
          <w:color w:val="000000" w:themeColor="text1"/>
        </w:rPr>
        <w:t>, 742-750 (2019).</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6.</w:t>
      </w:r>
      <w:r>
        <w:rPr>
          <w:rFonts w:ascii="Times New Roman" w:hAnsi="Times New Roman" w:cs="Times New Roman"/>
          <w:noProof/>
          <w:color w:val="000000" w:themeColor="text1"/>
        </w:rPr>
        <w:tab/>
        <w:t xml:space="preserve">Kjellstrom Tord, Freyberg Chris, Lemke Bruno, Otto Matthias, Briggs David. Estimating population heat exposure and impacts on working people in conjunction with climate change. </w:t>
      </w:r>
      <w:r>
        <w:rPr>
          <w:rFonts w:ascii="Times New Roman" w:hAnsi="Times New Roman" w:cs="Times New Roman"/>
          <w:i/>
          <w:noProof/>
          <w:color w:val="000000" w:themeColor="text1"/>
        </w:rPr>
        <w:t>International Journal of Biometeorology</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62</w:t>
      </w:r>
      <w:r>
        <w:rPr>
          <w:rFonts w:ascii="Times New Roman" w:hAnsi="Times New Roman" w:cs="Times New Roman"/>
          <w:noProof/>
          <w:color w:val="000000" w:themeColor="text1"/>
        </w:rPr>
        <w:t>, 291-306 (2018).</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7.</w:t>
      </w:r>
      <w:r>
        <w:rPr>
          <w:rFonts w:ascii="Times New Roman" w:hAnsi="Times New Roman" w:cs="Times New Roman"/>
          <w:noProof/>
          <w:color w:val="000000" w:themeColor="text1"/>
        </w:rPr>
        <w:tab/>
        <w:t xml:space="preserve">Bröde Peter, Fiala Dusan, Lemke Bruno, Kjellstrom Tord. Estimated work ability in warm outdoor environments depends on the chosen heat stress assessment metric. </w:t>
      </w:r>
      <w:r>
        <w:rPr>
          <w:rFonts w:ascii="Times New Roman" w:hAnsi="Times New Roman" w:cs="Times New Roman"/>
          <w:i/>
          <w:noProof/>
          <w:color w:val="000000" w:themeColor="text1"/>
        </w:rPr>
        <w:t>International Journal of Biometeorology</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62</w:t>
      </w:r>
      <w:r>
        <w:rPr>
          <w:rFonts w:ascii="Times New Roman" w:hAnsi="Times New Roman" w:cs="Times New Roman"/>
          <w:noProof/>
          <w:color w:val="000000" w:themeColor="text1"/>
        </w:rPr>
        <w:t>, 331-345 (2018).</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8.</w:t>
      </w:r>
      <w:r>
        <w:rPr>
          <w:rFonts w:ascii="Times New Roman" w:hAnsi="Times New Roman" w:cs="Times New Roman"/>
          <w:noProof/>
          <w:color w:val="000000" w:themeColor="text1"/>
        </w:rPr>
        <w:tab/>
        <w:t xml:space="preserve">Lin Yuh-Lang, Farley Richard D., Orville Harold D. Bulk parameterization of the snow field in a cloud model. </w:t>
      </w:r>
      <w:r>
        <w:rPr>
          <w:rFonts w:ascii="Times New Roman" w:hAnsi="Times New Roman" w:cs="Times New Roman"/>
          <w:i/>
          <w:noProof/>
          <w:color w:val="000000" w:themeColor="text1"/>
        </w:rPr>
        <w:t>Journal of Applied Meteorology and Climatology</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22</w:t>
      </w:r>
      <w:r>
        <w:rPr>
          <w:rFonts w:ascii="Times New Roman" w:hAnsi="Times New Roman" w:cs="Times New Roman"/>
          <w:noProof/>
          <w:color w:val="000000" w:themeColor="text1"/>
        </w:rPr>
        <w:t>, 1065-1092 (1983).</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9.</w:t>
      </w:r>
      <w:r>
        <w:rPr>
          <w:rFonts w:ascii="Times New Roman" w:hAnsi="Times New Roman" w:cs="Times New Roman"/>
          <w:noProof/>
          <w:color w:val="000000" w:themeColor="text1"/>
        </w:rPr>
        <w:tab/>
        <w:t xml:space="preserve">Mlawer Eli J, Taubman Steven J, Brown Patrick D, Iacono Michael J, Clough Shepard A. Radiative transfer for inhomogeneous atmospheres: RRTM, a validated correlated‐k model for the longwave. </w:t>
      </w:r>
      <w:r>
        <w:rPr>
          <w:rFonts w:ascii="Times New Roman" w:hAnsi="Times New Roman" w:cs="Times New Roman"/>
          <w:i/>
          <w:noProof/>
          <w:color w:val="000000" w:themeColor="text1"/>
        </w:rPr>
        <w:t>Journal of Geophysical Research: Atmospheres</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102</w:t>
      </w:r>
      <w:r>
        <w:rPr>
          <w:rFonts w:ascii="Times New Roman" w:hAnsi="Times New Roman" w:cs="Times New Roman"/>
          <w:noProof/>
          <w:color w:val="000000" w:themeColor="text1"/>
        </w:rPr>
        <w:t>, 16663-16682 (1997).</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10.</w:t>
      </w:r>
      <w:r>
        <w:rPr>
          <w:rFonts w:ascii="Times New Roman" w:hAnsi="Times New Roman" w:cs="Times New Roman"/>
          <w:noProof/>
          <w:color w:val="000000" w:themeColor="text1"/>
        </w:rPr>
        <w:tab/>
        <w:t xml:space="preserve">Dudhia Jimy. Numerical study of convection observed during the winter monsoon experiment using a mesoscale two-dimensional model. </w:t>
      </w:r>
      <w:r>
        <w:rPr>
          <w:rFonts w:ascii="Times New Roman" w:hAnsi="Times New Roman" w:cs="Times New Roman"/>
          <w:i/>
          <w:noProof/>
          <w:color w:val="000000" w:themeColor="text1"/>
        </w:rPr>
        <w:t>Journal of Atmospheric Sciences</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46</w:t>
      </w:r>
      <w:r>
        <w:rPr>
          <w:rFonts w:ascii="Times New Roman" w:hAnsi="Times New Roman" w:cs="Times New Roman"/>
          <w:noProof/>
          <w:color w:val="000000" w:themeColor="text1"/>
        </w:rPr>
        <w:t>, 3077-3107 (1989).</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11.</w:t>
      </w:r>
      <w:r>
        <w:rPr>
          <w:rFonts w:ascii="Times New Roman" w:hAnsi="Times New Roman" w:cs="Times New Roman"/>
          <w:noProof/>
          <w:color w:val="000000" w:themeColor="text1"/>
        </w:rPr>
        <w:tab/>
        <w:t xml:space="preserve">Chen Fei, Dudhia Jimy. Coupling an advanced land surface–hydrology model with the Penn State–NCAR MM5 modeling system. Part I: Model implementation and sensitivity. </w:t>
      </w:r>
      <w:r>
        <w:rPr>
          <w:rFonts w:ascii="Times New Roman" w:hAnsi="Times New Roman" w:cs="Times New Roman"/>
          <w:i/>
          <w:noProof/>
          <w:color w:val="000000" w:themeColor="text1"/>
        </w:rPr>
        <w:t>Monthly Weather Review</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129</w:t>
      </w:r>
      <w:r>
        <w:rPr>
          <w:rFonts w:ascii="Times New Roman" w:hAnsi="Times New Roman" w:cs="Times New Roman"/>
          <w:noProof/>
          <w:color w:val="000000" w:themeColor="text1"/>
        </w:rPr>
        <w:t>, 569-585 (2001).</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12.</w:t>
      </w:r>
      <w:r>
        <w:rPr>
          <w:rFonts w:ascii="Times New Roman" w:hAnsi="Times New Roman" w:cs="Times New Roman"/>
          <w:noProof/>
          <w:color w:val="000000" w:themeColor="text1"/>
        </w:rPr>
        <w:tab/>
        <w:t xml:space="preserve">Janjić Zaviša I. The step-mountain coordinate: Physical package. </w:t>
      </w:r>
      <w:r>
        <w:rPr>
          <w:rFonts w:ascii="Times New Roman" w:hAnsi="Times New Roman" w:cs="Times New Roman"/>
          <w:i/>
          <w:noProof/>
          <w:color w:val="000000" w:themeColor="text1"/>
        </w:rPr>
        <w:t>Monthly Weather Review</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118</w:t>
      </w:r>
      <w:r>
        <w:rPr>
          <w:rFonts w:ascii="Times New Roman" w:hAnsi="Times New Roman" w:cs="Times New Roman"/>
          <w:noProof/>
          <w:color w:val="000000" w:themeColor="text1"/>
        </w:rPr>
        <w:t>, 1429-1443 (1990).</w:t>
      </w:r>
    </w:p>
    <w:p>
      <w:pPr>
        <w:pStyle w:val="EndNoteBibliography"/>
        <w:rPr>
          <w:rFonts w:ascii="Times New Roman" w:hAnsi="Times New Roman" w:cs="Times New Roman"/>
          <w:noProof/>
          <w:color w:val="000000" w:themeColor="text1"/>
        </w:rPr>
      </w:pPr>
    </w:p>
    <w:p>
      <w:pPr>
        <w:pStyle w:val="EndNoteBibliography"/>
        <w:ind w:left="720" w:hanging="720"/>
        <w:rPr>
          <w:rFonts w:ascii="Times New Roman" w:hAnsi="Times New Roman" w:cs="Times New Roman"/>
          <w:noProof/>
          <w:color w:val="000000" w:themeColor="text1"/>
        </w:rPr>
      </w:pPr>
      <w:r>
        <w:rPr>
          <w:rFonts w:ascii="Times New Roman" w:hAnsi="Times New Roman" w:cs="Times New Roman"/>
          <w:noProof/>
          <w:color w:val="000000" w:themeColor="text1"/>
        </w:rPr>
        <w:t>13.</w:t>
      </w:r>
      <w:r>
        <w:rPr>
          <w:rFonts w:ascii="Times New Roman" w:hAnsi="Times New Roman" w:cs="Times New Roman"/>
          <w:noProof/>
          <w:color w:val="000000" w:themeColor="text1"/>
        </w:rPr>
        <w:tab/>
        <w:t xml:space="preserve">Grell Georg A, Dévényi Dezső. A generalized approach to parameterizing convection combining ensemble and data assimilation techniques. </w:t>
      </w:r>
      <w:r>
        <w:rPr>
          <w:rFonts w:ascii="Times New Roman" w:hAnsi="Times New Roman" w:cs="Times New Roman"/>
          <w:i/>
          <w:noProof/>
          <w:color w:val="000000" w:themeColor="text1"/>
        </w:rPr>
        <w:t>Geophysical Research Letters</w:t>
      </w:r>
      <w:r>
        <w:rPr>
          <w:rFonts w:ascii="Times New Roman" w:hAnsi="Times New Roman" w:cs="Times New Roman"/>
          <w:noProof/>
          <w:color w:val="000000" w:themeColor="text1"/>
        </w:rPr>
        <w:t xml:space="preserve"> </w:t>
      </w:r>
      <w:r>
        <w:rPr>
          <w:rFonts w:ascii="Times New Roman" w:hAnsi="Times New Roman" w:cs="Times New Roman"/>
          <w:b/>
          <w:noProof/>
          <w:color w:val="000000" w:themeColor="text1"/>
        </w:rPr>
        <w:t>29</w:t>
      </w:r>
      <w:r>
        <w:rPr>
          <w:rFonts w:ascii="Times New Roman" w:hAnsi="Times New Roman" w:cs="Times New Roman"/>
          <w:noProof/>
          <w:color w:val="000000" w:themeColor="text1"/>
        </w:rPr>
        <w:t>, 38-31-38-34 (2002).</w:t>
      </w:r>
    </w:p>
    <w:p>
      <w:pPr>
        <w:pStyle w:val="EndNoteBibliography"/>
        <w:rPr>
          <w:rFonts w:ascii="Times New Roman" w:hAnsi="Times New Roman" w:cs="Times New Roman"/>
          <w:noProof/>
          <w:color w:val="000000" w:themeColor="text1"/>
        </w:rPr>
      </w:pPr>
    </w:p>
    <w:p>
      <w:pPr>
        <w:rPr>
          <w:rFonts w:ascii="Times New Roman" w:hAnsi="Times New Roman" w:cs="Times New Roman"/>
          <w:color w:val="000000" w:themeColor="text1"/>
        </w:rPr>
      </w:pPr>
      <w:r>
        <w:rPr>
          <w:rFonts w:ascii="Times New Roman" w:hAnsi="Times New Roman" w:cs="Times New Roman"/>
          <w:color w:val="000000" w:themeColor="text1"/>
        </w:rPr>
        <w:fldChar w:fldCharType="end"/>
      </w:r>
    </w:p>
    <w:sectPr>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Microsoft YaHei"/>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hyphenationZone w:val="425"/>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p2p0ptdvdaf4erwesvxax0d5sezasrfx50&quot;&gt;My EndNote Library-Converted&lt;record-ids&gt;&lt;item&gt;629&lt;/item&gt;&lt;item&gt;1330&lt;/item&gt;&lt;item&gt;1331&lt;/item&gt;&lt;item&gt;1332&lt;/item&gt;&lt;item&gt;1333&lt;/item&gt;&lt;item&gt;1334&lt;/item&gt;&lt;item&gt;1335&lt;/item&gt;&lt;item&gt;1336&lt;/item&gt;&lt;item&gt;1337&lt;/item&gt;&lt;item&gt;1338&lt;/item&gt;&lt;item&gt;1339&lt;/item&gt;&lt;item&gt;1340&lt;/item&gt;&lt;item&gt;1341&lt;/item&gt;&lt;item&gt;1342&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2767"/>
  <w15:chartTrackingRefBased/>
  <w15:docId w15:val="{CA41F54D-54DF-DF4C-8304-3AAF8054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SimSun" w:eastAsia="SimSun" w:hAnsi="SimSun" w:cs="SimSun"/>
      <w:kern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0"/>
    <w:pPr>
      <w:jc w:val="center"/>
    </w:pPr>
  </w:style>
  <w:style w:type="character" w:customStyle="1" w:styleId="EndNoteBibliographyTitle0">
    <w:name w:val="EndNote Bibliography Title 字符"/>
    <w:basedOn w:val="Absatz-Standardschriftart"/>
    <w:link w:val="EndNoteBibliographyTitle"/>
    <w:rPr>
      <w:rFonts w:ascii="SimSun" w:eastAsia="SimSun" w:hAnsi="SimSun" w:cs="SimSun"/>
      <w:kern w:val="0"/>
    </w:rPr>
  </w:style>
  <w:style w:type="paragraph" w:customStyle="1" w:styleId="EndNoteBibliography">
    <w:name w:val="EndNote Bibliography"/>
    <w:basedOn w:val="Standard"/>
    <w:link w:val="EndNoteBibliography0"/>
  </w:style>
  <w:style w:type="character" w:customStyle="1" w:styleId="EndNoteBibliography0">
    <w:name w:val="EndNote Bibliography 字符"/>
    <w:basedOn w:val="Absatz-Standardschriftart"/>
    <w:link w:val="EndNoteBibliography"/>
    <w:rPr>
      <w:rFonts w:ascii="SimSun" w:eastAsia="SimSun" w:hAnsi="SimSun" w:cs="SimSun"/>
      <w:kern w:val="0"/>
    </w:rPr>
  </w:style>
  <w:style w:type="paragraph" w:styleId="StandardWeb">
    <w:name w:val="Normal (Web)"/>
    <w:basedOn w:val="Standard"/>
    <w:uiPriority w:val="99"/>
    <w:unhideWhenUsed/>
    <w:pPr>
      <w:spacing w:before="100" w:beforeAutospacing="1" w:after="100" w:afterAutospacing="1"/>
    </w:pPr>
  </w:style>
  <w:style w:type="table" w:customStyle="1" w:styleId="GridTable1Light1">
    <w:name w:val="Grid Table 1 Light1"/>
    <w:basedOn w:val="NormaleTabelle"/>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572945">
      <w:bodyDiv w:val="1"/>
      <w:marLeft w:val="0"/>
      <w:marRight w:val="0"/>
      <w:marTop w:val="0"/>
      <w:marBottom w:val="0"/>
      <w:divBdr>
        <w:top w:val="none" w:sz="0" w:space="0" w:color="auto"/>
        <w:left w:val="none" w:sz="0" w:space="0" w:color="auto"/>
        <w:bottom w:val="none" w:sz="0" w:space="0" w:color="auto"/>
        <w:right w:val="none" w:sz="0" w:space="0" w:color="auto"/>
      </w:divBdr>
    </w:div>
    <w:div w:id="1407730501">
      <w:bodyDiv w:val="1"/>
      <w:marLeft w:val="0"/>
      <w:marRight w:val="0"/>
      <w:marTop w:val="0"/>
      <w:marBottom w:val="0"/>
      <w:divBdr>
        <w:top w:val="none" w:sz="0" w:space="0" w:color="auto"/>
        <w:left w:val="none" w:sz="0" w:space="0" w:color="auto"/>
        <w:bottom w:val="none" w:sz="0" w:space="0" w:color="auto"/>
        <w:right w:val="none" w:sz="0" w:space="0" w:color="auto"/>
      </w:divBdr>
    </w:div>
    <w:div w:id="1694768440">
      <w:bodyDiv w:val="1"/>
      <w:marLeft w:val="0"/>
      <w:marRight w:val="0"/>
      <w:marTop w:val="0"/>
      <w:marBottom w:val="0"/>
      <w:divBdr>
        <w:top w:val="none" w:sz="0" w:space="0" w:color="auto"/>
        <w:left w:val="none" w:sz="0" w:space="0" w:color="auto"/>
        <w:bottom w:val="none" w:sz="0" w:space="0" w:color="auto"/>
        <w:right w:val="none" w:sz="0" w:space="0" w:color="auto"/>
      </w:divBdr>
    </w:div>
    <w:div w:id="17432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3927</Words>
  <Characters>22389</Characters>
  <Application>Microsoft Office Word</Application>
  <DocSecurity>0</DocSecurity>
  <Lines>186</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何成</dc:creator>
  <cp:keywords/>
  <dc:description/>
  <cp:lastModifiedBy>Paulini, Anna</cp:lastModifiedBy>
  <cp:revision>2</cp:revision>
  <dcterms:created xsi:type="dcterms:W3CDTF">2022-07-20T08:58:00Z</dcterms:created>
  <dcterms:modified xsi:type="dcterms:W3CDTF">2022-07-20T08:58:00Z</dcterms:modified>
</cp:coreProperties>
</file>