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66EF9" w14:textId="77777777" w:rsidR="00134FE2" w:rsidRDefault="00D84D2A">
      <w:pPr>
        <w:pStyle w:val="SupplementaryMaterial"/>
        <w:rPr>
          <w:b w:val="0"/>
        </w:rPr>
      </w:pPr>
      <w:r>
        <w:t>Supplementary Material</w:t>
      </w:r>
    </w:p>
    <w:p w14:paraId="4D0C1462" w14:textId="77777777" w:rsidR="00134FE2" w:rsidRDefault="00D84D2A">
      <w:pPr>
        <w:pStyle w:val="berschrift2"/>
        <w:numPr>
          <w:ilvl w:val="0"/>
          <w:numId w:val="0"/>
        </w:numPr>
        <w:ind w:left="567" w:hanging="567"/>
      </w:pPr>
      <w:r>
        <w:rPr>
          <w:noProof/>
        </w:rPr>
        <w:drawing>
          <wp:inline distT="0" distB="0" distL="0" distR="0" wp14:anchorId="42FA1A11" wp14:editId="0FC6CFED">
            <wp:extent cx="6208255" cy="4650105"/>
            <wp:effectExtent l="0" t="0" r="254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08255" cy="4650105"/>
                    </a:xfrm>
                    <a:prstGeom prst="rect">
                      <a:avLst/>
                    </a:prstGeom>
                  </pic:spPr>
                </pic:pic>
              </a:graphicData>
            </a:graphic>
          </wp:inline>
        </w:drawing>
      </w:r>
    </w:p>
    <w:p w14:paraId="6376C9D8" w14:textId="77777777" w:rsidR="00134FE2" w:rsidRDefault="00D84D2A">
      <w:r>
        <w:rPr>
          <w:rFonts w:cs="Times New Roman"/>
          <w:b/>
          <w:szCs w:val="24"/>
        </w:rPr>
        <w:t>Supplementary Figure 1</w:t>
      </w:r>
      <w:r w:rsidRPr="00FD6419">
        <w:rPr>
          <w:rFonts w:cs="Times New Roman"/>
          <w:bCs/>
          <w:szCs w:val="24"/>
        </w:rPr>
        <w:t xml:space="preserve">. </w:t>
      </w:r>
      <w:r>
        <w:rPr>
          <w:bCs/>
        </w:rPr>
        <w:t>Increased GRP78 expression on the cell surface of additional HNSCC cell lines after irradiation and in EVs derived from respective cells.</w:t>
      </w:r>
      <w:r>
        <w:t xml:space="preserve"> </w:t>
      </w:r>
      <w:r>
        <w:rPr>
          <w:b/>
          <w:bCs/>
        </w:rPr>
        <w:t xml:space="preserve">(A-C) </w:t>
      </w:r>
      <w:r>
        <w:t xml:space="preserve">Western Blot analysis of GRP78 expression in non-irradiated (0 Gy) and irradiated (6 Gy) HNSCC cells harvested with trypsin show no significant difference </w:t>
      </w:r>
      <w:r>
        <w:rPr>
          <w:b/>
          <w:bCs/>
        </w:rPr>
        <w:t xml:space="preserve">(A). </w:t>
      </w:r>
      <w:r>
        <w:t xml:space="preserve">Cells harvested with a cell scraper show an increase in GRP78 after irradiation </w:t>
      </w:r>
      <w:r>
        <w:rPr>
          <w:b/>
          <w:bCs/>
        </w:rPr>
        <w:t>(B)</w:t>
      </w:r>
      <w:r>
        <w:t>. GRP78 expression was normalized to beta-actin and 0 Gy samples served as baseline (n = 3, t-test, * p &lt; 0.05).</w:t>
      </w:r>
      <w:r>
        <w:rPr>
          <w:b/>
          <w:bCs/>
        </w:rPr>
        <w:t xml:space="preserve"> (C) </w:t>
      </w:r>
      <w:r>
        <w:t xml:space="preserve">Representative Western Blot images of GRP78 expression in CAL-33 and SCC131 cells. Beta-actin was used as loading control. </w:t>
      </w:r>
      <w:r>
        <w:rPr>
          <w:b/>
          <w:bCs/>
        </w:rPr>
        <w:t xml:space="preserve">(D) </w:t>
      </w:r>
      <w:r>
        <w:t xml:space="preserve">Flow cytometry (FC) analysis of surface GRP78 in 0 Gy and 6 Gy-irradiated HNSCC cells confirmed increased GRP78 expression after irradiation. Samples were normalized to secondary antibody signal and 0 Gy (n = 3, t-test, * p &lt; 0.05). </w:t>
      </w:r>
      <w:r>
        <w:rPr>
          <w:b/>
          <w:bCs/>
        </w:rPr>
        <w:t xml:space="preserve">(E, F) </w:t>
      </w:r>
      <w:r>
        <w:t xml:space="preserve">Western Blot analysis (EV WB) with representative blot </w:t>
      </w:r>
      <w:r>
        <w:rPr>
          <w:b/>
          <w:bCs/>
        </w:rPr>
        <w:t>(F)</w:t>
      </w:r>
      <w:r>
        <w:t xml:space="preserve"> shows increased amounts of GRP78 in EVs derived from irradiated cells (6 Gy) in comparison to EVs derived from non-irradiated HNSCC cells (0 Gy). GRP78 expression was normalized to Ponceau S staining and 0 Gy served as baseline (n = 3, t-test).</w:t>
      </w:r>
    </w:p>
    <w:p w14:paraId="5F2A3FEE" w14:textId="77E9273F" w:rsidR="00134FE2" w:rsidRDefault="00134FE2" w:rsidP="00FD6419"/>
    <w:p w14:paraId="5485F4A2" w14:textId="77777777" w:rsidR="00D37440" w:rsidRDefault="00D37440" w:rsidP="00D37440">
      <w:pPr>
        <w:spacing w:before="240"/>
      </w:pPr>
      <w:r>
        <w:rPr>
          <w:noProof/>
        </w:rPr>
        <w:lastRenderedPageBreak/>
        <w:drawing>
          <wp:inline distT="0" distB="0" distL="0" distR="0" wp14:anchorId="47CBB673" wp14:editId="6D2327B3">
            <wp:extent cx="4243070" cy="3395980"/>
            <wp:effectExtent l="0" t="0" r="0" b="0"/>
            <wp:docPr id="12" name="Grafik 12" descr="Ein Bild, das Monitor, grün, Quallen, Las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in Bild, das Monitor, grün, Quallen, Laser enthält.&#10;&#10;Automatisch generierte Beschreibu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43070" cy="3395980"/>
                    </a:xfrm>
                    <a:prstGeom prst="rect">
                      <a:avLst/>
                    </a:prstGeom>
                    <a:noFill/>
                  </pic:spPr>
                </pic:pic>
              </a:graphicData>
            </a:graphic>
          </wp:inline>
        </w:drawing>
      </w:r>
      <w:r>
        <w:t xml:space="preserve">   </w:t>
      </w:r>
    </w:p>
    <w:p w14:paraId="3206BE9F" w14:textId="1EB9F564" w:rsidR="00D37440" w:rsidRPr="00FD6419" w:rsidRDefault="00D37440" w:rsidP="00D37440">
      <w:pPr>
        <w:spacing w:before="240"/>
        <w:rPr>
          <w:bCs/>
        </w:rPr>
      </w:pPr>
      <w:r>
        <w:rPr>
          <w:rFonts w:cs="Times New Roman"/>
          <w:b/>
          <w:szCs w:val="24"/>
        </w:rPr>
        <w:t xml:space="preserve">Supplementary Figure </w:t>
      </w:r>
      <w:r>
        <w:rPr>
          <w:rFonts w:cs="Times New Roman"/>
          <w:b/>
          <w:szCs w:val="24"/>
        </w:rPr>
        <w:t>2</w:t>
      </w:r>
      <w:r>
        <w:rPr>
          <w:rFonts w:cs="Times New Roman"/>
          <w:b/>
          <w:szCs w:val="24"/>
        </w:rPr>
        <w:t xml:space="preserve">. </w:t>
      </w:r>
      <w:r w:rsidRPr="00FD6419">
        <w:rPr>
          <w:bCs/>
        </w:rPr>
        <w:t>Fluorescence microscopy images of BHY cells 24 h after irradiation</w:t>
      </w:r>
      <w:r>
        <w:rPr>
          <w:bCs/>
        </w:rPr>
        <w:t xml:space="preserve"> with 0 and 6 Gy</w:t>
      </w:r>
      <w:r w:rsidRPr="00FD6419">
        <w:rPr>
          <w:bCs/>
        </w:rPr>
        <w:t>.</w:t>
      </w:r>
      <w:r>
        <w:rPr>
          <w:b/>
        </w:rPr>
        <w:t xml:space="preserve"> </w:t>
      </w:r>
      <w:r w:rsidRPr="00FD6419">
        <w:rPr>
          <w:bCs/>
        </w:rPr>
        <w:t>Cells were fixed</w:t>
      </w:r>
      <w:r>
        <w:rPr>
          <w:bCs/>
        </w:rPr>
        <w:t xml:space="preserve"> </w:t>
      </w:r>
      <w:r w:rsidRPr="00FD6419">
        <w:rPr>
          <w:bCs/>
        </w:rPr>
        <w:t xml:space="preserve">in 4 % paraformaldehyde </w:t>
      </w:r>
      <w:r>
        <w:rPr>
          <w:bCs/>
        </w:rPr>
        <w:t xml:space="preserve">without permeabilization for appropriate labelling of surface GRP78 </w:t>
      </w:r>
      <w:r w:rsidRPr="00FD6419">
        <w:rPr>
          <w:bCs/>
        </w:rPr>
        <w:t xml:space="preserve">and stained with </w:t>
      </w:r>
      <w:r>
        <w:rPr>
          <w:bCs/>
        </w:rPr>
        <w:t xml:space="preserve">an </w:t>
      </w:r>
      <w:r w:rsidRPr="00FD6419">
        <w:rPr>
          <w:bCs/>
        </w:rPr>
        <w:t>anti-G</w:t>
      </w:r>
      <w:r>
        <w:rPr>
          <w:bCs/>
        </w:rPr>
        <w:t>RP</w:t>
      </w:r>
      <w:r w:rsidRPr="00FD6419">
        <w:rPr>
          <w:bCs/>
        </w:rPr>
        <w:t>78</w:t>
      </w:r>
      <w:r>
        <w:rPr>
          <w:bCs/>
        </w:rPr>
        <w:t xml:space="preserve"> antibody</w:t>
      </w:r>
      <w:r w:rsidRPr="00FD6419">
        <w:rPr>
          <w:bCs/>
        </w:rPr>
        <w:t xml:space="preserve">. </w:t>
      </w:r>
      <w:r>
        <w:rPr>
          <w:bCs/>
        </w:rPr>
        <w:t xml:space="preserve">GRP78 expression is shown in green, cell nuclei are shown in blue. </w:t>
      </w:r>
      <w:r w:rsidRPr="00FD6419">
        <w:rPr>
          <w:bCs/>
        </w:rPr>
        <w:t>White size bar indicates 20 µm.</w:t>
      </w:r>
    </w:p>
    <w:p w14:paraId="46939D36" w14:textId="77777777" w:rsidR="00D37440" w:rsidRDefault="00D37440" w:rsidP="00FD6419"/>
    <w:p w14:paraId="72E36CD8" w14:textId="77777777" w:rsidR="00134FE2" w:rsidRDefault="00D84D2A">
      <w:pPr>
        <w:keepNext/>
        <w:jc w:val="center"/>
        <w:rPr>
          <w:rFonts w:cs="Times New Roman"/>
          <w:szCs w:val="24"/>
        </w:rPr>
      </w:pPr>
      <w:r>
        <w:rPr>
          <w:rFonts w:cs="Times New Roman"/>
          <w:noProof/>
          <w:szCs w:val="24"/>
        </w:rPr>
        <w:lastRenderedPageBreak/>
        <w:drawing>
          <wp:inline distT="0" distB="0" distL="0" distR="0" wp14:anchorId="59237117" wp14:editId="3FB66FD3">
            <wp:extent cx="3873500" cy="48387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0">
                      <a:extLst>
                        <a:ext uri="{28A0092B-C50C-407E-A947-70E740481C1C}">
                          <a14:useLocalDpi xmlns:a14="http://schemas.microsoft.com/office/drawing/2010/main" val="0"/>
                        </a:ext>
                      </a:extLst>
                    </a:blip>
                    <a:stretch>
                      <a:fillRect/>
                    </a:stretch>
                  </pic:blipFill>
                  <pic:spPr>
                    <a:xfrm>
                      <a:off x="0" y="0"/>
                      <a:ext cx="3873500" cy="4838700"/>
                    </a:xfrm>
                    <a:prstGeom prst="rect">
                      <a:avLst/>
                    </a:prstGeom>
                  </pic:spPr>
                </pic:pic>
              </a:graphicData>
            </a:graphic>
          </wp:inline>
        </w:drawing>
      </w:r>
    </w:p>
    <w:p w14:paraId="6AA47A70" w14:textId="723347BD" w:rsidR="00134FE2" w:rsidRPr="00D37440" w:rsidRDefault="00D84D2A" w:rsidP="00D37440">
      <w:pPr>
        <w:keepNext/>
        <w:rPr>
          <w:rFonts w:cs="Times New Roman"/>
          <w:b/>
          <w:szCs w:val="24"/>
        </w:rPr>
      </w:pPr>
      <w:r>
        <w:rPr>
          <w:rFonts w:cs="Times New Roman"/>
          <w:b/>
          <w:szCs w:val="24"/>
        </w:rPr>
        <w:t xml:space="preserve">Supplementary Figure </w:t>
      </w:r>
      <w:r w:rsidR="00D37440">
        <w:rPr>
          <w:rFonts w:cs="Times New Roman"/>
          <w:b/>
          <w:szCs w:val="24"/>
        </w:rPr>
        <w:t>3</w:t>
      </w:r>
      <w:r>
        <w:rPr>
          <w:rFonts w:cs="Times New Roman"/>
          <w:b/>
          <w:szCs w:val="24"/>
        </w:rPr>
        <w:t>.</w:t>
      </w:r>
      <w:r>
        <w:rPr>
          <w:rFonts w:cs="Times New Roman"/>
          <w:szCs w:val="24"/>
        </w:rPr>
        <w:t xml:space="preserve"> Viability of BHY and FaDu cells after treatment with GRP78-inhibitor or overexpression of GRP78. </w:t>
      </w:r>
      <w:r w:rsidRPr="00D37440">
        <w:rPr>
          <w:rFonts w:cs="Times New Roman"/>
          <w:b/>
          <w:bCs/>
          <w:szCs w:val="24"/>
        </w:rPr>
        <w:t>(A, B)</w:t>
      </w:r>
      <w:r>
        <w:rPr>
          <w:rFonts w:cs="Times New Roman"/>
          <w:szCs w:val="24"/>
        </w:rPr>
        <w:t xml:space="preserve"> Cell viability assay of BHY </w:t>
      </w:r>
      <w:r w:rsidRPr="00D37440">
        <w:rPr>
          <w:rFonts w:cs="Times New Roman"/>
          <w:b/>
          <w:bCs/>
          <w:szCs w:val="24"/>
        </w:rPr>
        <w:t>(A)</w:t>
      </w:r>
      <w:r>
        <w:rPr>
          <w:rFonts w:cs="Times New Roman"/>
          <w:szCs w:val="24"/>
        </w:rPr>
        <w:t xml:space="preserve"> and </w:t>
      </w:r>
      <w:r w:rsidRPr="00D37440">
        <w:rPr>
          <w:rFonts w:cs="Times New Roman"/>
          <w:b/>
          <w:bCs/>
          <w:szCs w:val="24"/>
        </w:rPr>
        <w:t>(B)</w:t>
      </w:r>
      <w:r>
        <w:rPr>
          <w:rFonts w:cs="Times New Roman"/>
          <w:szCs w:val="24"/>
        </w:rPr>
        <w:t xml:space="preserve"> FaDu cells show no significant differences in cell viability 24 to 96 h after lipofectamine-mediated overexpression of GRP78 (pGRP78). Vector </w:t>
      </w:r>
      <w:proofErr w:type="spellStart"/>
      <w:r>
        <w:rPr>
          <w:rFonts w:cs="Times New Roman"/>
          <w:szCs w:val="24"/>
        </w:rPr>
        <w:t>pcDNA</w:t>
      </w:r>
      <w:proofErr w:type="spellEnd"/>
      <w:r>
        <w:rPr>
          <w:rFonts w:cs="Times New Roman"/>
          <w:szCs w:val="24"/>
        </w:rPr>
        <w:t xml:space="preserve"> was used as control transfection (n = 3, pairwise t-test). </w:t>
      </w:r>
      <w:r w:rsidRPr="00D37440">
        <w:rPr>
          <w:rFonts w:cs="Times New Roman"/>
          <w:b/>
          <w:bCs/>
          <w:szCs w:val="24"/>
        </w:rPr>
        <w:t>(C, D)</w:t>
      </w:r>
      <w:r>
        <w:rPr>
          <w:rFonts w:cs="Times New Roman"/>
          <w:szCs w:val="24"/>
        </w:rPr>
        <w:t xml:space="preserve"> Cell viability assay of BHY </w:t>
      </w:r>
      <w:r w:rsidRPr="00D37440">
        <w:rPr>
          <w:rFonts w:cs="Times New Roman"/>
          <w:b/>
          <w:bCs/>
          <w:szCs w:val="24"/>
        </w:rPr>
        <w:t>(C)</w:t>
      </w:r>
      <w:r>
        <w:rPr>
          <w:rFonts w:cs="Times New Roman"/>
          <w:szCs w:val="24"/>
        </w:rPr>
        <w:t xml:space="preserve"> and </w:t>
      </w:r>
      <w:r w:rsidRPr="00D37440">
        <w:rPr>
          <w:rFonts w:cs="Times New Roman"/>
          <w:b/>
          <w:bCs/>
          <w:szCs w:val="24"/>
        </w:rPr>
        <w:t>(D)</w:t>
      </w:r>
      <w:r>
        <w:rPr>
          <w:rFonts w:cs="Times New Roman"/>
          <w:szCs w:val="24"/>
        </w:rPr>
        <w:t xml:space="preserve"> FaDu cells after treatment with different concentrations of the GRP78 inhibitor HA15 for up to 72h show no significant differences in cell viability. Values were normalized to the DMSO control (n = 3, pairwise t-test). </w:t>
      </w:r>
    </w:p>
    <w:sectPr w:rsidR="00134FE2" w:rsidRPr="00D37440">
      <w:headerReference w:type="even" r:id="rId11"/>
      <w:footerReference w:type="even" r:id="rId12"/>
      <w:footerReference w:type="default" r:id="rId13"/>
      <w:headerReference w:type="first" r:id="rId14"/>
      <w:pgSz w:w="12240" w:h="15840"/>
      <w:pgMar w:top="1138" w:right="1181" w:bottom="1138" w:left="128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4BBF0" w14:textId="77777777" w:rsidR="00252B4E" w:rsidRDefault="00252B4E">
      <w:pPr>
        <w:spacing w:after="0"/>
      </w:pPr>
      <w:r>
        <w:separator/>
      </w:r>
    </w:p>
  </w:endnote>
  <w:endnote w:type="continuationSeparator" w:id="0">
    <w:p w14:paraId="6C816A50" w14:textId="77777777" w:rsidR="00252B4E" w:rsidRDefault="00252B4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FC9EA" w14:textId="77777777" w:rsidR="00134FE2" w:rsidRDefault="00D84D2A">
    <w:pPr>
      <w:rPr>
        <w:color w:val="C00000"/>
        <w:szCs w:val="24"/>
      </w:rPr>
    </w:pPr>
    <w:r>
      <w:rPr>
        <w:noProof/>
        <w:lang w:val="en-GB" w:eastAsia="en-GB"/>
      </w:rPr>
      <mc:AlternateContent>
        <mc:Choice Requires="wps">
          <w:drawing>
            <wp:anchor distT="0" distB="0" distL="114300" distR="114300" simplePos="0" relativeHeight="251659264" behindDoc="0" locked="0" layoutInCell="1" allowOverlap="1" wp14:anchorId="086A7887" wp14:editId="779E8C5C">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48768CD6" w14:textId="77777777" w:rsidR="00134FE2" w:rsidRDefault="00D84D2A">
                          <w:pPr>
                            <w:jc w:val="right"/>
                            <w:rPr>
                              <w:color w:val="000000" w:themeColor="text1"/>
                              <w:szCs w:val="40"/>
                            </w:rPr>
                          </w:pPr>
                          <w:r>
                            <w:rPr>
                              <w:color w:val="000000" w:themeColor="text1"/>
                              <w:szCs w:val="40"/>
                            </w:rPr>
                            <w:fldChar w:fldCharType="begin"/>
                          </w:r>
                          <w:r>
                            <w:rPr>
                              <w:color w:val="000000" w:themeColor="text1"/>
                              <w:szCs w:val="40"/>
                            </w:rPr>
                            <w:instrText xml:space="preserve"> PAGE  \* Arabic  \* MERGEFORMAT </w:instrText>
                          </w:r>
                          <w:r>
                            <w:rPr>
                              <w:color w:val="000000" w:themeColor="text1"/>
                              <w:szCs w:val="40"/>
                            </w:rPr>
                            <w:fldChar w:fldCharType="separate"/>
                          </w:r>
                          <w:r>
                            <w:rPr>
                              <w:noProof/>
                              <w:color w:val="000000" w:themeColor="text1"/>
                              <w:szCs w:val="40"/>
                            </w:rPr>
                            <w:t>2</w:t>
                          </w:r>
                          <w:r>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82EAD14" id="_x0000_t202" coordsize="21600,21600" o:spt="202" path="m,l,21600r21600,l21600,xe">
              <v:stroke joinstyle="miter"/>
              <v:path gradientshapeok="t" o:connecttype="rect"/>
            </v:shapetype>
            <v:shape id="Text Box 1"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" filled="f" stroked="f" strokeweight=".5pt">
              <v:textbox style="mso-fit-shape-to-text:t">
                <w:txbxContent>
                  <w:p w14:paraId="50BC4D33"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BCB3D" w14:textId="77777777" w:rsidR="00134FE2" w:rsidRDefault="00D84D2A">
    <w:pPr>
      <w:rPr>
        <w:b/>
        <w:sz w:val="20"/>
        <w:szCs w:val="24"/>
      </w:rPr>
    </w:pPr>
    <w:r>
      <w:rPr>
        <w:noProof/>
        <w:lang w:val="en-GB" w:eastAsia="en-GB"/>
      </w:rPr>
      <mc:AlternateContent>
        <mc:Choice Requires="wps">
          <w:drawing>
            <wp:anchor distT="0" distB="0" distL="114300" distR="114300" simplePos="0" relativeHeight="251646976" behindDoc="0" locked="0" layoutInCell="1" allowOverlap="1" wp14:anchorId="187BA3E7" wp14:editId="5A4B9FC5">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03BAF152" w14:textId="77777777" w:rsidR="00134FE2" w:rsidRDefault="00D84D2A">
                          <w:pPr>
                            <w:jc w:val="right"/>
                            <w:rPr>
                              <w:color w:val="000000" w:themeColor="text1"/>
                              <w:szCs w:val="40"/>
                            </w:rPr>
                          </w:pPr>
                          <w:r>
                            <w:rPr>
                              <w:color w:val="000000" w:themeColor="text1"/>
                              <w:szCs w:val="40"/>
                            </w:rPr>
                            <w:fldChar w:fldCharType="begin"/>
                          </w:r>
                          <w:r>
                            <w:rPr>
                              <w:color w:val="000000" w:themeColor="text1"/>
                              <w:szCs w:val="40"/>
                            </w:rPr>
                            <w:instrText xml:space="preserve"> PAGE  \* Arabic  \* MERGEFORMAT </w:instrText>
                          </w:r>
                          <w:r>
                            <w:rPr>
                              <w:color w:val="000000" w:themeColor="text1"/>
                              <w:szCs w:val="40"/>
                            </w:rPr>
                            <w:fldChar w:fldCharType="separate"/>
                          </w:r>
                          <w:r>
                            <w:rPr>
                              <w:noProof/>
                              <w:color w:val="000000" w:themeColor="text1"/>
                              <w:szCs w:val="40"/>
                            </w:rPr>
                            <w:t>3</w:t>
                          </w:r>
                          <w:r>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0F9F55F" id="_x0000_t202" coordsize="21600,21600" o:spt="202" path="m,l,21600r21600,l21600,xe">
              <v:stroke joinstyle="miter"/>
              <v:path gradientshapeok="t" o:connecttype="rect"/>
            </v:shapetype>
            <v:shape id="Text Box 56" o:spid="_x0000_s1027" type="#_x0000_t202" style="position:absolute;margin-left:67.6pt;margin-top:0;width:118.8pt;height:31.1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" filled="f" stroked="f" strokeweight=".5pt">
              <v:textbox style="mso-fit-shape-to-text:t">
                <w:txbxContent>
                  <w:p w14:paraId="570F0D09"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D32F1" w14:textId="77777777" w:rsidR="00252B4E" w:rsidRDefault="00252B4E">
      <w:pPr>
        <w:spacing w:after="0"/>
      </w:pPr>
      <w:r>
        <w:separator/>
      </w:r>
    </w:p>
  </w:footnote>
  <w:footnote w:type="continuationSeparator" w:id="0">
    <w:p w14:paraId="0E3436A9" w14:textId="77777777" w:rsidR="00252B4E" w:rsidRDefault="00252B4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F0664" w14:textId="77777777" w:rsidR="00134FE2" w:rsidRDefault="00D84D2A">
    <w:pPr>
      <w:rPr>
        <w:rFonts w:cs="Times New Roman"/>
      </w:rPr>
    </w:pPr>
    <w:r>
      <w:rPr>
        <w:rFonts w:cs="Times New Roman"/>
      </w:rPr>
      <w:ptab w:relativeTo="margin" w:alignment="center" w:leader="none"/>
    </w:r>
    <w:r>
      <w:rPr>
        <w:rFonts w:cs="Times New Roman"/>
      </w:rPr>
      <w:ptab w:relativeTo="margin" w:alignment="right" w:leader="none"/>
    </w:r>
    <w:r>
      <w:rPr>
        <w:rFonts w:cs="Times New Roman"/>
      </w:rPr>
      <w:t>Supplementary Material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4C25C" w14:textId="77777777" w:rsidR="00134FE2" w:rsidRDefault="00D84D2A">
    <w:r>
      <w:rPr>
        <w:b/>
        <w:noProof/>
        <w:color w:val="A6A6A6" w:themeColor="background1" w:themeShade="A6"/>
        <w:lang w:val="en-GB" w:eastAsia="en-GB"/>
      </w:rPr>
      <w:drawing>
        <wp:inline distT="0" distB="0" distL="0" distR="0" wp14:anchorId="223D3404" wp14:editId="21014310">
          <wp:extent cx="1382534" cy="497091"/>
          <wp:effectExtent l="0" t="0" r="0" b="0"/>
          <wp:docPr id="7" name="Picture 7" descr="C:\Users\Elaine.Scott\Documents\LaTex\____TEST____Frontiers_LaTeX_Templates_V2.5\Frontiers LaTeX (Science, Health and Engineering) V2.5 - with Supplementary material (V1.2)\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aine.Scott\Documents\LaTex\____TEST____Frontiers_LaTeX_Templates_V2.5\Frontiers LaTeX (Science, Health and Engineering) V2.5 - with Supplementary material (V1.2)\logo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4909" cy="551877"/>
                  </a:xfrm>
                  <a:prstGeom prst="rect">
                    <a:avLst/>
                  </a:prstGeom>
                  <a:noFill/>
                  <a:ln>
                    <a:noFill/>
                  </a:ln>
                </pic:spPr>
              </pic:pic>
            </a:graphicData>
          </a:graphic>
        </wp:inline>
      </w:drawing>
    </w:r>
    <w:r>
      <w:rPr>
        <w:b/>
      </w:rPr>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0601A"/>
    <w:multiLevelType w:val="multilevel"/>
    <w:tmpl w:val="2D740DBE"/>
    <w:styleLink w:val="Headings"/>
    <w:lvl w:ilvl="0">
      <w:start w:val="1"/>
      <w:numFmt w:val="decimal"/>
      <w:pStyle w:val="berschrift1"/>
      <w:lvlText w:val="%1"/>
      <w:lvlJc w:val="left"/>
      <w:pPr>
        <w:tabs>
          <w:tab w:val="num" w:pos="567"/>
        </w:tabs>
        <w:ind w:left="567" w:hanging="567"/>
      </w:pPr>
      <w:rPr>
        <w:rFonts w:hint="default"/>
      </w:rPr>
    </w:lvl>
    <w:lvl w:ilvl="1">
      <w:start w:val="1"/>
      <w:numFmt w:val="decimal"/>
      <w:pStyle w:val="berschrift2"/>
      <w:lvlText w:val="%1.%2"/>
      <w:lvlJc w:val="left"/>
      <w:pPr>
        <w:tabs>
          <w:tab w:val="num" w:pos="567"/>
        </w:tabs>
        <w:ind w:left="567" w:hanging="567"/>
      </w:pPr>
      <w:rPr>
        <w:rFonts w:hint="default"/>
      </w:rPr>
    </w:lvl>
    <w:lvl w:ilvl="2">
      <w:start w:val="1"/>
      <w:numFmt w:val="decimal"/>
      <w:pStyle w:val="berschrift3"/>
      <w:lvlText w:val="%1.%2.%3"/>
      <w:lvlJc w:val="left"/>
      <w:pPr>
        <w:tabs>
          <w:tab w:val="num" w:pos="567"/>
        </w:tabs>
        <w:ind w:left="567" w:hanging="567"/>
      </w:pPr>
      <w:rPr>
        <w:rFonts w:hint="default"/>
      </w:rPr>
    </w:lvl>
    <w:lvl w:ilvl="3">
      <w:start w:val="1"/>
      <w:numFmt w:val="decimal"/>
      <w:pStyle w:val="berschrift4"/>
      <w:lvlText w:val="%1.%2.%3.%4"/>
      <w:lvlJc w:val="left"/>
      <w:pPr>
        <w:tabs>
          <w:tab w:val="num" w:pos="567"/>
        </w:tabs>
        <w:ind w:left="567" w:hanging="567"/>
      </w:pPr>
      <w:rPr>
        <w:rFonts w:hint="default"/>
      </w:rPr>
    </w:lvl>
    <w:lvl w:ilvl="4">
      <w:start w:val="1"/>
      <w:numFmt w:val="decimal"/>
      <w:pStyle w:val="berschrift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15:restartNumberingAfterBreak="0">
    <w:nsid w:val="225305B5"/>
    <w:multiLevelType w:val="hybridMultilevel"/>
    <w:tmpl w:val="4F8C24FA"/>
    <w:lvl w:ilvl="0" w:tplc="A9DCD718">
      <w:start w:val="1"/>
      <w:numFmt w:val="bullet"/>
      <w:pStyle w:val="Listenabsatz"/>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abstractNumId w:val="0"/>
  </w:num>
  <w:num w:numId="2">
    <w:abstractNumId w:val="4"/>
  </w:num>
  <w:num w:numId="3">
    <w:abstractNumId w:val="1"/>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num>
  <w:num w:numId="8">
    <w:abstractNumId w:val="6"/>
  </w:num>
  <w:num w:numId="9">
    <w:abstractNumId w:val="6"/>
  </w:num>
  <w:num w:numId="10">
    <w:abstractNumId w:val="6"/>
  </w:num>
  <w:num w:numId="11">
    <w:abstractNumId w:val="6"/>
  </w:num>
  <w:num w:numId="12">
    <w:abstractNumId w:val="6"/>
  </w:num>
  <w:num w:numId="13">
    <w:abstractNumId w:val="3"/>
  </w:num>
  <w:num w:numId="14">
    <w:abstractNumId w:val="2"/>
  </w:num>
  <w:num w:numId="15">
    <w:abstractNumId w:val="2"/>
  </w:num>
  <w:num w:numId="16">
    <w:abstractNumId w:val="2"/>
  </w:num>
  <w:num w:numId="17">
    <w:abstractNumId w:val="2"/>
  </w:num>
  <w:num w:numId="18">
    <w:abstractNumId w:val="2"/>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attachedTemplate r:id="rId1"/>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LAwNzc0MDW0MDK0MLFU0lEKTi0uzszPAykwrAUA3vQYMywAAAA="/>
  </w:docVars>
  <w:rsids>
    <w:rsidRoot w:val="00134FE2"/>
    <w:rsid w:val="00134FE2"/>
    <w:rsid w:val="00252B4E"/>
    <w:rsid w:val="00D37440"/>
    <w:rsid w:val="00D84D2A"/>
    <w:rsid w:val="00FD64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41A64"/>
  <w15:docId w15:val="{88748FF8-5D22-488D-A39B-60AD93690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120" w:after="240" w:line="240" w:lineRule="auto"/>
    </w:pPr>
    <w:rPr>
      <w:rFonts w:ascii="Times New Roman" w:hAnsi="Times New Roman"/>
      <w:sz w:val="24"/>
    </w:rPr>
  </w:style>
  <w:style w:type="paragraph" w:styleId="berschrift1">
    <w:name w:val="heading 1"/>
    <w:basedOn w:val="Listenabsatz"/>
    <w:next w:val="Standard"/>
    <w:link w:val="berschrift1Zchn"/>
    <w:uiPriority w:val="2"/>
    <w:qFormat/>
    <w:pPr>
      <w:numPr>
        <w:numId w:val="19"/>
      </w:numPr>
      <w:spacing w:before="240"/>
      <w:contextualSpacing w:val="0"/>
      <w:outlineLvl w:val="0"/>
    </w:pPr>
    <w:rPr>
      <w:b/>
    </w:rPr>
  </w:style>
  <w:style w:type="paragraph" w:styleId="berschrift2">
    <w:name w:val="heading 2"/>
    <w:basedOn w:val="berschrift1"/>
    <w:next w:val="Standard"/>
    <w:link w:val="berschrift2Zchn"/>
    <w:uiPriority w:val="2"/>
    <w:qFormat/>
    <w:pPr>
      <w:numPr>
        <w:ilvl w:val="1"/>
      </w:numPr>
      <w:spacing w:after="200"/>
      <w:outlineLvl w:val="1"/>
    </w:pPr>
  </w:style>
  <w:style w:type="paragraph" w:styleId="berschrift3">
    <w:name w:val="heading 3"/>
    <w:basedOn w:val="Standard"/>
    <w:next w:val="Standard"/>
    <w:link w:val="berschrift3Zchn"/>
    <w:uiPriority w:val="2"/>
    <w:qFormat/>
    <w:pPr>
      <w:keepNext/>
      <w:keepLines/>
      <w:numPr>
        <w:ilvl w:val="2"/>
        <w:numId w:val="19"/>
      </w:numPr>
      <w:spacing w:before="40" w:after="120"/>
      <w:outlineLvl w:val="2"/>
    </w:pPr>
    <w:rPr>
      <w:rFonts w:eastAsiaTheme="majorEastAsia" w:cstheme="majorBidi"/>
      <w:b/>
      <w:szCs w:val="24"/>
    </w:rPr>
  </w:style>
  <w:style w:type="paragraph" w:styleId="berschrift4">
    <w:name w:val="heading 4"/>
    <w:basedOn w:val="berschrift3"/>
    <w:next w:val="Standard"/>
    <w:link w:val="berschrift4Zchn"/>
    <w:uiPriority w:val="2"/>
    <w:qFormat/>
    <w:pPr>
      <w:numPr>
        <w:ilvl w:val="3"/>
      </w:numPr>
      <w:outlineLvl w:val="3"/>
    </w:pPr>
    <w:rPr>
      <w:iCs/>
    </w:rPr>
  </w:style>
  <w:style w:type="paragraph" w:styleId="berschrift5">
    <w:name w:val="heading 5"/>
    <w:basedOn w:val="berschrift4"/>
    <w:next w:val="Standard"/>
    <w:link w:val="berschrift5Zchn"/>
    <w:uiPriority w:val="2"/>
    <w:qFormat/>
    <w:pPr>
      <w:numPr>
        <w:ilvl w:val="4"/>
      </w:numPr>
      <w:outlineLvl w:val="4"/>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2"/>
    <w:rPr>
      <w:rFonts w:ascii="Times New Roman" w:eastAsia="Cambria" w:hAnsi="Times New Roman" w:cs="Times New Roman"/>
      <w:b/>
      <w:sz w:val="24"/>
      <w:szCs w:val="24"/>
    </w:rPr>
  </w:style>
  <w:style w:type="character" w:customStyle="1" w:styleId="berschrift2Zchn">
    <w:name w:val="Überschrift 2 Zchn"/>
    <w:basedOn w:val="Absatz-Standardschriftart"/>
    <w:link w:val="berschrift2"/>
    <w:uiPriority w:val="2"/>
    <w:rPr>
      <w:rFonts w:ascii="Times New Roman" w:eastAsia="Cambria" w:hAnsi="Times New Roman" w:cs="Times New Roman"/>
      <w:b/>
      <w:sz w:val="24"/>
      <w:szCs w:val="24"/>
    </w:rPr>
  </w:style>
  <w:style w:type="paragraph" w:styleId="Untertitel">
    <w:name w:val="Subtitle"/>
    <w:basedOn w:val="Standard"/>
    <w:next w:val="Standard"/>
    <w:link w:val="UntertitelZchn"/>
    <w:uiPriority w:val="99"/>
    <w:unhideWhenUsed/>
    <w:qFormat/>
    <w:pPr>
      <w:spacing w:before="240"/>
    </w:pPr>
    <w:rPr>
      <w:rFonts w:cs="Times New Roman"/>
      <w:b/>
      <w:szCs w:val="24"/>
    </w:rPr>
  </w:style>
  <w:style w:type="character" w:customStyle="1" w:styleId="UntertitelZchn">
    <w:name w:val="Untertitel Zchn"/>
    <w:basedOn w:val="Absatz-Standardschriftart"/>
    <w:link w:val="Untertitel"/>
    <w:uiPriority w:val="99"/>
    <w:rPr>
      <w:rFonts w:ascii="Times New Roman" w:hAnsi="Times New Roman" w:cs="Times New Roman"/>
      <w:b/>
      <w:sz w:val="24"/>
      <w:szCs w:val="24"/>
    </w:rPr>
  </w:style>
  <w:style w:type="paragraph" w:customStyle="1" w:styleId="AuthorList">
    <w:name w:val="Author List"/>
    <w:aliases w:val="Keywords,Abstract"/>
    <w:basedOn w:val="Untertitel"/>
    <w:next w:val="Standard"/>
    <w:uiPriority w:val="1"/>
    <w:qFormat/>
  </w:style>
  <w:style w:type="paragraph" w:styleId="Sprechblasentext">
    <w:name w:val="Balloon Text"/>
    <w:basedOn w:val="Standard"/>
    <w:link w:val="SprechblasentextZchn"/>
    <w:uiPriority w:val="99"/>
    <w:semiHidden/>
    <w:unhideWhenUsed/>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styleId="Buchtitel">
    <w:name w:val="Book Title"/>
    <w:basedOn w:val="Absatz-Standardschriftart"/>
    <w:uiPriority w:val="33"/>
    <w:qFormat/>
    <w:rPr>
      <w:rFonts w:ascii="Times New Roman" w:hAnsi="Times New Roman"/>
      <w:b/>
      <w:bCs/>
      <w:i/>
      <w:iCs/>
      <w:spacing w:val="5"/>
    </w:rPr>
  </w:style>
  <w:style w:type="paragraph" w:styleId="Beschriftung">
    <w:name w:val="caption"/>
    <w:basedOn w:val="Standard"/>
    <w:next w:val="KeinLeerraum"/>
    <w:uiPriority w:val="35"/>
    <w:unhideWhenUsed/>
    <w:qFormat/>
    <w:pPr>
      <w:keepNext/>
    </w:pPr>
    <w:rPr>
      <w:rFonts w:cs="Times New Roman"/>
      <w:b/>
      <w:bCs/>
      <w:szCs w:val="24"/>
    </w:rPr>
  </w:style>
  <w:style w:type="paragraph" w:styleId="KeinLeerraum">
    <w:name w:val="No Spacing"/>
    <w:uiPriority w:val="99"/>
    <w:unhideWhenUsed/>
    <w:qFormat/>
    <w:pPr>
      <w:spacing w:after="0" w:line="240" w:lineRule="auto"/>
    </w:pPr>
    <w:rPr>
      <w:rFonts w:ascii="Times New Roman" w:hAnsi="Times New Roman"/>
      <w:sz w:val="24"/>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basedOn w:val="Absatz-Standardschriftart"/>
    <w:link w:val="Kommentartext"/>
    <w:uiPriority w:val="99"/>
    <w:semiHidden/>
    <w:rPr>
      <w:rFonts w:ascii="Times New Roman" w:hAnsi="Times New Roman"/>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Times New Roman" w:hAnsi="Times New Roman"/>
      <w:b/>
      <w:bCs/>
      <w:sz w:val="20"/>
      <w:szCs w:val="20"/>
    </w:rPr>
  </w:style>
  <w:style w:type="character" w:styleId="Hervorhebung">
    <w:name w:val="Emphasis"/>
    <w:basedOn w:val="Absatz-Standardschriftart"/>
    <w:uiPriority w:val="20"/>
    <w:qFormat/>
    <w:rPr>
      <w:rFonts w:ascii="Times New Roman" w:hAnsi="Times New Roman"/>
      <w:i/>
      <w:iCs/>
    </w:rPr>
  </w:style>
  <w:style w:type="character" w:styleId="Endnotenzeichen">
    <w:name w:val="endnote reference"/>
    <w:basedOn w:val="Absatz-Standardschriftart"/>
    <w:uiPriority w:val="99"/>
    <w:semiHidden/>
    <w:unhideWhenUsed/>
    <w:rPr>
      <w:vertAlign w:val="superscript"/>
    </w:rPr>
  </w:style>
  <w:style w:type="paragraph" w:styleId="Endnotentext">
    <w:name w:val="endnote text"/>
    <w:basedOn w:val="Standard"/>
    <w:link w:val="EndnotentextZchn"/>
    <w:uiPriority w:val="99"/>
    <w:semiHidden/>
    <w:unhideWhenUsed/>
    <w:pPr>
      <w:spacing w:after="0"/>
    </w:pPr>
    <w:rPr>
      <w:sz w:val="20"/>
      <w:szCs w:val="20"/>
    </w:rPr>
  </w:style>
  <w:style w:type="character" w:customStyle="1" w:styleId="EndnotentextZchn">
    <w:name w:val="Endnotentext Zchn"/>
    <w:basedOn w:val="Absatz-Standardschriftart"/>
    <w:link w:val="Endnotentext"/>
    <w:uiPriority w:val="99"/>
    <w:semiHidden/>
    <w:rPr>
      <w:rFonts w:ascii="Times New Roman" w:hAnsi="Times New Roman"/>
      <w:sz w:val="20"/>
      <w:szCs w:val="20"/>
    </w:rPr>
  </w:style>
  <w:style w:type="character" w:styleId="BesuchterLink">
    <w:name w:val="FollowedHyperlink"/>
    <w:basedOn w:val="Absatz-Standardschriftart"/>
    <w:uiPriority w:val="99"/>
    <w:semiHidden/>
    <w:unhideWhenUsed/>
    <w:rPr>
      <w:color w:val="800080" w:themeColor="followedHyperlink"/>
      <w:u w:val="single"/>
    </w:rPr>
  </w:style>
  <w:style w:type="paragraph" w:styleId="Fuzeile">
    <w:name w:val="footer"/>
    <w:basedOn w:val="Standard"/>
    <w:link w:val="FuzeileZchn"/>
    <w:uiPriority w:val="99"/>
    <w:unhideWhenUsed/>
    <w:pPr>
      <w:tabs>
        <w:tab w:val="center" w:pos="4844"/>
        <w:tab w:val="right" w:pos="9689"/>
      </w:tabs>
      <w:spacing w:after="0"/>
    </w:pPr>
  </w:style>
  <w:style w:type="character" w:customStyle="1" w:styleId="FuzeileZchn">
    <w:name w:val="Fußzeile Zchn"/>
    <w:basedOn w:val="Absatz-Standardschriftart"/>
    <w:link w:val="Fuzeile"/>
    <w:uiPriority w:val="99"/>
    <w:rPr>
      <w:rFonts w:ascii="Times New Roman" w:hAnsi="Times New Roman"/>
      <w:sz w:val="24"/>
    </w:rPr>
  </w:style>
  <w:style w:type="character" w:styleId="Funotenzeichen">
    <w:name w:val="footnote reference"/>
    <w:basedOn w:val="Absatz-Standardschriftart"/>
    <w:uiPriority w:val="99"/>
    <w:semiHidden/>
    <w:unhideWhenUsed/>
    <w:rPr>
      <w:vertAlign w:val="superscript"/>
    </w:rPr>
  </w:style>
  <w:style w:type="paragraph" w:styleId="Funotentext">
    <w:name w:val="footnote text"/>
    <w:basedOn w:val="Standard"/>
    <w:link w:val="FunotentextZchn"/>
    <w:uiPriority w:val="99"/>
    <w:semiHidden/>
    <w:unhideWhenUsed/>
    <w:pPr>
      <w:spacing w:after="0"/>
    </w:pPr>
    <w:rPr>
      <w:sz w:val="20"/>
      <w:szCs w:val="20"/>
    </w:rPr>
  </w:style>
  <w:style w:type="character" w:customStyle="1" w:styleId="FunotentextZchn">
    <w:name w:val="Fußnotentext Zchn"/>
    <w:basedOn w:val="Absatz-Standardschriftart"/>
    <w:link w:val="Funotentext"/>
    <w:uiPriority w:val="99"/>
    <w:semiHidden/>
    <w:rPr>
      <w:rFonts w:ascii="Times New Roman" w:hAnsi="Times New Roman"/>
      <w:sz w:val="20"/>
      <w:szCs w:val="20"/>
    </w:rPr>
  </w:style>
  <w:style w:type="paragraph" w:styleId="Kopfzeile">
    <w:name w:val="header"/>
    <w:basedOn w:val="Standard"/>
    <w:link w:val="KopfzeileZchn"/>
    <w:uiPriority w:val="99"/>
    <w:unhideWhenUsed/>
    <w:pPr>
      <w:tabs>
        <w:tab w:val="center" w:pos="4844"/>
        <w:tab w:val="right" w:pos="9689"/>
      </w:tabs>
    </w:pPr>
    <w:rPr>
      <w:b/>
    </w:rPr>
  </w:style>
  <w:style w:type="character" w:customStyle="1" w:styleId="KopfzeileZchn">
    <w:name w:val="Kopfzeile Zchn"/>
    <w:basedOn w:val="Absatz-Standardschriftart"/>
    <w:link w:val="Kopfzeile"/>
    <w:uiPriority w:val="99"/>
    <w:rPr>
      <w:rFonts w:ascii="Times New Roman" w:hAnsi="Times New Roman"/>
      <w:b/>
      <w:sz w:val="24"/>
    </w:rPr>
  </w:style>
  <w:style w:type="paragraph" w:styleId="Listenabsatz">
    <w:name w:val="List Paragraph"/>
    <w:basedOn w:val="Standard"/>
    <w:uiPriority w:val="3"/>
    <w:qFormat/>
    <w:pPr>
      <w:numPr>
        <w:numId w:val="13"/>
      </w:numPr>
      <w:contextualSpacing/>
    </w:pPr>
    <w:rPr>
      <w:rFonts w:eastAsia="Cambria" w:cs="Times New Roman"/>
      <w:szCs w:val="24"/>
    </w:rPr>
  </w:style>
  <w:style w:type="numbering" w:customStyle="1" w:styleId="Headings">
    <w:name w:val="Headings"/>
    <w:uiPriority w:val="99"/>
    <w:pPr>
      <w:numPr>
        <w:numId w:val="14"/>
      </w:numPr>
    </w:pPr>
  </w:style>
  <w:style w:type="character" w:styleId="Hyperlink">
    <w:name w:val="Hyperlink"/>
    <w:basedOn w:val="Absatz-Standardschriftart"/>
    <w:uiPriority w:val="99"/>
    <w:unhideWhenUsed/>
    <w:rPr>
      <w:color w:val="0000FF"/>
      <w:u w:val="single"/>
    </w:rPr>
  </w:style>
  <w:style w:type="character" w:styleId="IntensiveHervorhebung">
    <w:name w:val="Intense Emphasis"/>
    <w:basedOn w:val="Absatz-Standardschriftart"/>
    <w:uiPriority w:val="21"/>
    <w:unhideWhenUsed/>
    <w:rPr>
      <w:rFonts w:ascii="Times New Roman" w:hAnsi="Times New Roman"/>
      <w:i/>
      <w:iCs/>
      <w:color w:val="auto"/>
    </w:rPr>
  </w:style>
  <w:style w:type="character" w:styleId="IntensiverVerweis">
    <w:name w:val="Intense Reference"/>
    <w:basedOn w:val="Absatz-Standardschriftart"/>
    <w:uiPriority w:val="32"/>
    <w:qFormat/>
    <w:rPr>
      <w:b/>
      <w:bCs/>
      <w:smallCaps/>
      <w:color w:val="auto"/>
      <w:spacing w:val="5"/>
    </w:rPr>
  </w:style>
  <w:style w:type="character" w:styleId="Zeilennummer">
    <w:name w:val="line number"/>
    <w:basedOn w:val="Absatz-Standardschriftart"/>
    <w:uiPriority w:val="99"/>
    <w:semiHidden/>
    <w:unhideWhenUsed/>
  </w:style>
  <w:style w:type="character" w:customStyle="1" w:styleId="berschrift3Zchn">
    <w:name w:val="Überschrift 3 Zchn"/>
    <w:basedOn w:val="Absatz-Standardschriftart"/>
    <w:link w:val="berschrift3"/>
    <w:uiPriority w:val="2"/>
    <w:rPr>
      <w:rFonts w:ascii="Times New Roman" w:eastAsiaTheme="majorEastAsia" w:hAnsi="Times New Roman" w:cstheme="majorBidi"/>
      <w:b/>
      <w:sz w:val="24"/>
      <w:szCs w:val="24"/>
    </w:rPr>
  </w:style>
  <w:style w:type="character" w:customStyle="1" w:styleId="berschrift4Zchn">
    <w:name w:val="Überschrift 4 Zchn"/>
    <w:basedOn w:val="Absatz-Standardschriftart"/>
    <w:link w:val="berschrift4"/>
    <w:uiPriority w:val="2"/>
    <w:rPr>
      <w:rFonts w:ascii="Times New Roman" w:eastAsiaTheme="majorEastAsia" w:hAnsi="Times New Roman" w:cstheme="majorBidi"/>
      <w:b/>
      <w:iCs/>
      <w:sz w:val="24"/>
      <w:szCs w:val="24"/>
    </w:rPr>
  </w:style>
  <w:style w:type="character" w:customStyle="1" w:styleId="berschrift5Zchn">
    <w:name w:val="Überschrift 5 Zchn"/>
    <w:basedOn w:val="Absatz-Standardschriftart"/>
    <w:link w:val="berschrift5"/>
    <w:uiPriority w:val="2"/>
    <w:rPr>
      <w:rFonts w:ascii="Times New Roman" w:eastAsiaTheme="majorEastAsia" w:hAnsi="Times New Roman" w:cstheme="majorBidi"/>
      <w:b/>
      <w:iCs/>
      <w:sz w:val="24"/>
      <w:szCs w:val="24"/>
    </w:rPr>
  </w:style>
  <w:style w:type="paragraph" w:styleId="StandardWeb">
    <w:name w:val="Normal (Web)"/>
    <w:basedOn w:val="Standard"/>
    <w:uiPriority w:val="99"/>
    <w:unhideWhenUsed/>
    <w:pPr>
      <w:spacing w:before="100" w:beforeAutospacing="1" w:after="100" w:afterAutospacing="1"/>
    </w:pPr>
    <w:rPr>
      <w:rFonts w:eastAsia="Times New Roman" w:cs="Times New Roman"/>
      <w:szCs w:val="24"/>
    </w:rPr>
  </w:style>
  <w:style w:type="paragraph" w:styleId="Zitat">
    <w:name w:val="Quote"/>
    <w:basedOn w:val="Standard"/>
    <w:next w:val="Standard"/>
    <w:link w:val="ZitatZchn"/>
    <w:uiPriority w:val="29"/>
    <w:qFormat/>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Pr>
      <w:rFonts w:ascii="Times New Roman" w:hAnsi="Times New Roman"/>
      <w:i/>
      <w:iCs/>
      <w:color w:val="404040" w:themeColor="text1" w:themeTint="BF"/>
      <w:sz w:val="24"/>
    </w:rPr>
  </w:style>
  <w:style w:type="character" w:styleId="Fett">
    <w:name w:val="Strong"/>
    <w:basedOn w:val="Absatz-Standardschriftart"/>
    <w:uiPriority w:val="22"/>
    <w:qFormat/>
    <w:rPr>
      <w:rFonts w:ascii="Times New Roman" w:hAnsi="Times New Roman"/>
      <w:b/>
      <w:bCs/>
    </w:rPr>
  </w:style>
  <w:style w:type="character" w:styleId="SchwacheHervorhebung">
    <w:name w:val="Subtle Emphasis"/>
    <w:basedOn w:val="Absatz-Standardschriftart"/>
    <w:uiPriority w:val="19"/>
    <w:qFormat/>
    <w:rPr>
      <w:rFonts w:ascii="Times New Roman" w:hAnsi="Times New Roman"/>
      <w:i/>
      <w:iCs/>
      <w:color w:val="404040" w:themeColor="text1" w:themeTint="BF"/>
    </w:rPr>
  </w:style>
  <w:style w:type="table" w:styleId="Tabellenraster">
    <w:name w:val="Table Grid"/>
    <w:basedOn w:val="NormaleTabelle"/>
    <w:uiPriority w:val="59"/>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qFormat/>
    <w:pPr>
      <w:suppressLineNumbers/>
      <w:spacing w:before="240" w:after="360"/>
      <w:jc w:val="center"/>
    </w:pPr>
    <w:rPr>
      <w:rFonts w:cs="Times New Roman"/>
      <w:b/>
      <w:sz w:val="32"/>
      <w:szCs w:val="32"/>
    </w:rPr>
  </w:style>
  <w:style w:type="character" w:customStyle="1" w:styleId="TitelZchn">
    <w:name w:val="Titel Zchn"/>
    <w:basedOn w:val="Absatz-Standardschriftart"/>
    <w:link w:val="Titel"/>
    <w:rPr>
      <w:rFonts w:ascii="Times New Roman" w:hAnsi="Times New Roman" w:cs="Times New Roman"/>
      <w:b/>
      <w:sz w:val="32"/>
      <w:szCs w:val="32"/>
    </w:rPr>
  </w:style>
  <w:style w:type="paragraph" w:customStyle="1" w:styleId="SupplementaryMaterial">
    <w:name w:val="Supplementary Material"/>
    <w:basedOn w:val="Titel"/>
    <w:next w:val="Titel"/>
    <w:qFormat/>
    <w:pPr>
      <w:spacing w:after="120"/>
    </w:pPr>
    <w:rPr>
      <w:i/>
    </w:rPr>
  </w:style>
  <w:style w:type="paragraph" w:styleId="berarbeitung">
    <w:name w:val="Revision"/>
    <w:hidden/>
    <w:uiPriority w:val="99"/>
    <w:semiHidden/>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hua.stocco\Documents\Templates\Frontiers_Word_Templ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FE870F2A-DD0C-415D-A29F-389ED4362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C:\Users\joshua.stocco\Documents\Templates\Frontiers_Word_Templates\Supplementary_Material.dotx</Template>
  <TotalTime>0</TotalTime>
  <Pages>3</Pages>
  <Words>305</Words>
  <Characters>1927</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Frontiers Media SA</dc:creator>
  <cp:lastModifiedBy>Michael Schneider</cp:lastModifiedBy>
  <cp:revision>4</cp:revision>
  <cp:lastPrinted>2013-10-03T12:51:00Z</cp:lastPrinted>
  <dcterms:created xsi:type="dcterms:W3CDTF">2022-01-28T14:38:00Z</dcterms:created>
  <dcterms:modified xsi:type="dcterms:W3CDTF">2022-02-18T08:23:00Z</dcterms:modified>
</cp:coreProperties>
</file>