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271" w:rsidRPr="0046444F" w:rsidRDefault="00F15271" w:rsidP="0046444F">
      <w:pPr>
        <w:pStyle w:val="Title"/>
        <w:spacing w:line="480" w:lineRule="auto"/>
        <w:jc w:val="center"/>
        <w:rPr>
          <w:rFonts w:ascii="Times New Roman" w:hAnsi="Times New Roman" w:cs="Times New Roman"/>
          <w:b/>
          <w:sz w:val="36"/>
          <w:szCs w:val="36"/>
        </w:rPr>
      </w:pPr>
      <w:bookmarkStart w:id="0" w:name="_GoBack"/>
      <w:bookmarkEnd w:id="0"/>
      <w:r w:rsidRPr="0032151D">
        <w:rPr>
          <w:rFonts w:ascii="Times New Roman" w:hAnsi="Times New Roman" w:cs="Times New Roman"/>
          <w:b/>
          <w:sz w:val="36"/>
          <w:szCs w:val="36"/>
        </w:rPr>
        <w:t>Supplemental materials</w:t>
      </w:r>
    </w:p>
    <w:sdt>
      <w:sdtPr>
        <w:rPr>
          <w:rFonts w:ascii="Times New Roman" w:eastAsia="Times New Roman" w:hAnsi="Times New Roman" w:cs="Times New Roman"/>
          <w:b w:val="0"/>
          <w:bCs w:val="0"/>
          <w:color w:val="auto"/>
          <w:sz w:val="24"/>
          <w:szCs w:val="24"/>
        </w:rPr>
        <w:id w:val="1364325599"/>
        <w:docPartObj>
          <w:docPartGallery w:val="Table of Contents"/>
          <w:docPartUnique/>
        </w:docPartObj>
      </w:sdtPr>
      <w:sdtEndPr>
        <w:rPr>
          <w:noProof/>
        </w:rPr>
      </w:sdtEndPr>
      <w:sdtContent>
        <w:p w:rsidR="0046444F" w:rsidRDefault="0046444F">
          <w:pPr>
            <w:pStyle w:val="TOCHeading"/>
          </w:pPr>
        </w:p>
        <w:p w:rsidR="00B93CAA" w:rsidRDefault="00B93CAA">
          <w:pPr>
            <w:pStyle w:val="TOC1"/>
            <w:tabs>
              <w:tab w:val="right" w:leader="dot" w:pos="9010"/>
            </w:tabs>
            <w:rPr>
              <w:rFonts w:eastAsiaTheme="minorEastAsia" w:cstheme="minorBidi"/>
              <w:b w:val="0"/>
              <w:bCs w:val="0"/>
              <w:i w:val="0"/>
              <w:iCs w:val="0"/>
              <w:noProof/>
            </w:rPr>
          </w:pPr>
          <w:r w:rsidRPr="00857719">
            <w:rPr>
              <w:rFonts w:ascii="Times New Roman" w:hAnsi="Times New Roman"/>
              <w:noProof/>
            </w:rPr>
            <w:t>Supplemental methods</w:t>
          </w:r>
          <w:r>
            <w:rPr>
              <w:noProof/>
              <w:webHidden/>
            </w:rPr>
            <w:tab/>
            <w:t>2</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MR-PRESSO</w:t>
          </w:r>
          <w:r>
            <w:rPr>
              <w:noProof/>
              <w:webHidden/>
            </w:rPr>
            <w:tab/>
            <w:t>2</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Follow-up analyses: GWAS meta-analysis</w:t>
          </w:r>
          <w:r>
            <w:rPr>
              <w:noProof/>
              <w:webHidden/>
            </w:rPr>
            <w:tab/>
            <w:t>2</w:t>
          </w:r>
        </w:p>
        <w:p w:rsidR="00B93CAA" w:rsidRDefault="00B93CAA">
          <w:pPr>
            <w:pStyle w:val="TOC1"/>
            <w:tabs>
              <w:tab w:val="right" w:leader="dot" w:pos="9010"/>
            </w:tabs>
            <w:rPr>
              <w:rFonts w:eastAsiaTheme="minorEastAsia" w:cstheme="minorBidi"/>
              <w:b w:val="0"/>
              <w:bCs w:val="0"/>
              <w:i w:val="0"/>
              <w:iCs w:val="0"/>
              <w:noProof/>
            </w:rPr>
          </w:pPr>
          <w:r w:rsidRPr="00857719">
            <w:rPr>
              <w:rFonts w:ascii="Times New Roman" w:hAnsi="Times New Roman"/>
              <w:noProof/>
            </w:rPr>
            <w:t>Supplemental Tables</w:t>
          </w:r>
          <w:r>
            <w:rPr>
              <w:noProof/>
              <w:webHidden/>
            </w:rPr>
            <w:tab/>
            <w:t>5</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 xml:space="preserve">eTable 1. </w:t>
          </w:r>
          <w:r w:rsidRPr="00857719">
            <w:rPr>
              <w:rFonts w:ascii="Times New Roman" w:hAnsi="Times New Roman"/>
              <w:noProof/>
            </w:rPr>
            <w:t>Selected genetic instruments for acylcarnitines</w:t>
          </w:r>
          <w:r>
            <w:rPr>
              <w:noProof/>
              <w:webHidden/>
            </w:rPr>
            <w:tab/>
            <w:t>5</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 xml:space="preserve">eTable 2. </w:t>
          </w:r>
          <w:r w:rsidRPr="00857719">
            <w:rPr>
              <w:rFonts w:ascii="Times New Roman" w:hAnsi="Times New Roman"/>
              <w:noProof/>
            </w:rPr>
            <w:t>SNP-heritability estimates for acylcarnitines</w:t>
          </w:r>
          <w:r>
            <w:rPr>
              <w:noProof/>
              <w:webHidden/>
            </w:rPr>
            <w:tab/>
            <w:t>6</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 xml:space="preserve">eTable 3. </w:t>
          </w:r>
          <w:r w:rsidRPr="00857719">
            <w:rPr>
              <w:rFonts w:ascii="Times New Roman" w:hAnsi="Times New Roman"/>
              <w:noProof/>
            </w:rPr>
            <w:t>Pairwise genetic correlations between acylcarnitines</w:t>
          </w:r>
          <w:r>
            <w:rPr>
              <w:noProof/>
              <w:webHidden/>
            </w:rPr>
            <w:tab/>
            <w:t>7</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 xml:space="preserve">eTable 4. </w:t>
          </w:r>
          <w:r w:rsidRPr="00857719">
            <w:rPr>
              <w:rFonts w:ascii="Times New Roman" w:hAnsi="Times New Roman"/>
              <w:noProof/>
            </w:rPr>
            <w:t>Univariable Mendelian randomization analyses</w:t>
          </w:r>
          <w:r>
            <w:rPr>
              <w:noProof/>
              <w:webHidden/>
            </w:rPr>
            <w:tab/>
            <w:t>9</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shd w:val="clear" w:color="auto" w:fill="FFFFFF"/>
            </w:rPr>
            <w:t>eTable 5.</w:t>
          </w:r>
          <w:r w:rsidRPr="00857719">
            <w:rPr>
              <w:rFonts w:ascii="Times New Roman" w:hAnsi="Times New Roman"/>
              <w:noProof/>
              <w:shd w:val="clear" w:color="auto" w:fill="FFFFFF"/>
            </w:rPr>
            <w:t xml:space="preserve">  Mendelian randomization sensitivity analyses: heterogeneity</w:t>
          </w:r>
          <w:r>
            <w:rPr>
              <w:noProof/>
              <w:webHidden/>
            </w:rPr>
            <w:tab/>
            <w:t>10</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eTable 6.</w:t>
          </w:r>
          <w:r w:rsidRPr="00857719">
            <w:rPr>
              <w:noProof/>
            </w:rPr>
            <w:t xml:space="preserve"> </w:t>
          </w:r>
          <w:r w:rsidRPr="00857719">
            <w:rPr>
              <w:rFonts w:ascii="Times New Roman" w:hAnsi="Times New Roman"/>
              <w:noProof/>
              <w:shd w:val="clear" w:color="auto" w:fill="FFFFFF"/>
            </w:rPr>
            <w:t>Mendelian randomization sensitivity analyses: horizontal pleiotropy</w:t>
          </w:r>
          <w:r>
            <w:rPr>
              <w:noProof/>
              <w:webHidden/>
            </w:rPr>
            <w:tab/>
            <w:t>10</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 xml:space="preserve">eTable 7. </w:t>
          </w:r>
          <w:r w:rsidRPr="00857719">
            <w:rPr>
              <w:rFonts w:ascii="Times New Roman" w:hAnsi="Times New Roman"/>
              <w:noProof/>
            </w:rPr>
            <w:t xml:space="preserve"> Reversed univariable Mendelian randomization analyses</w:t>
          </w:r>
          <w:r>
            <w:rPr>
              <w:noProof/>
              <w:webHidden/>
            </w:rPr>
            <w:tab/>
            <w:t>11</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 xml:space="preserve">eTable  8. </w:t>
          </w:r>
          <w:r w:rsidRPr="00857719">
            <w:rPr>
              <w:rFonts w:ascii="Times New Roman" w:hAnsi="Times New Roman"/>
              <w:noProof/>
            </w:rPr>
            <w:t>Multivariable Mendelian randomization analyses</w:t>
          </w:r>
          <w:r>
            <w:rPr>
              <w:noProof/>
              <w:webHidden/>
            </w:rPr>
            <w:tab/>
            <w:t>12</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eTable 9.</w:t>
          </w:r>
          <w:r w:rsidRPr="00857719">
            <w:rPr>
              <w:rFonts w:ascii="Times New Roman" w:hAnsi="Times New Roman"/>
              <w:noProof/>
            </w:rPr>
            <w:t xml:space="preserve"> Follow-up analyses: selected genetic instruments for acylcarnitines</w:t>
          </w:r>
          <w:r>
            <w:rPr>
              <w:noProof/>
              <w:webHidden/>
            </w:rPr>
            <w:tab/>
            <w:t>13</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eTable 10.</w:t>
          </w:r>
          <w:r w:rsidRPr="00857719">
            <w:rPr>
              <w:rFonts w:ascii="Times New Roman" w:hAnsi="Times New Roman"/>
              <w:noProof/>
            </w:rPr>
            <w:t xml:space="preserve"> Follow-up analyses: univariable Mendelian randomization analyses</w:t>
          </w:r>
          <w:r>
            <w:rPr>
              <w:noProof/>
              <w:webHidden/>
            </w:rPr>
            <w:tab/>
            <w:t>14</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shd w:val="clear" w:color="auto" w:fill="FFFFFF"/>
            </w:rPr>
            <w:t xml:space="preserve">eTable 11. </w:t>
          </w:r>
          <w:r w:rsidRPr="00857719">
            <w:rPr>
              <w:rFonts w:ascii="Times New Roman" w:hAnsi="Times New Roman"/>
              <w:noProof/>
            </w:rPr>
            <w:t>Follow-up analyses: multivariable Mendelian randomization analyses</w:t>
          </w:r>
          <w:r>
            <w:rPr>
              <w:noProof/>
              <w:webHidden/>
            </w:rPr>
            <w:tab/>
            <w:t>15</w:t>
          </w:r>
        </w:p>
        <w:p w:rsidR="00B93CAA" w:rsidRDefault="00B93CAA">
          <w:pPr>
            <w:pStyle w:val="TOC1"/>
            <w:tabs>
              <w:tab w:val="right" w:leader="dot" w:pos="9010"/>
            </w:tabs>
            <w:rPr>
              <w:rFonts w:eastAsiaTheme="minorEastAsia" w:cstheme="minorBidi"/>
              <w:b w:val="0"/>
              <w:bCs w:val="0"/>
              <w:i w:val="0"/>
              <w:iCs w:val="0"/>
              <w:noProof/>
            </w:rPr>
          </w:pPr>
          <w:r w:rsidRPr="00857719">
            <w:rPr>
              <w:rFonts w:ascii="Times" w:hAnsi="Times"/>
              <w:noProof/>
            </w:rPr>
            <w:t>Supplemental figures</w:t>
          </w:r>
          <w:r>
            <w:rPr>
              <w:noProof/>
              <w:webHidden/>
            </w:rPr>
            <w:tab/>
            <w:t>16</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 xml:space="preserve">eFigure 1. </w:t>
          </w:r>
          <w:r w:rsidRPr="00857719">
            <w:rPr>
              <w:rFonts w:ascii="Times New Roman" w:hAnsi="Times New Roman"/>
              <w:noProof/>
              <w:shd w:val="clear" w:color="auto" w:fill="FFFFFF"/>
            </w:rPr>
            <w:t xml:space="preserve">Mendelian randomization analyses: scatterplot for </w:t>
          </w:r>
          <w:r w:rsidRPr="00857719">
            <w:rPr>
              <w:rFonts w:ascii="Times New Roman" w:hAnsi="Times New Roman"/>
              <w:noProof/>
            </w:rPr>
            <w:t>Acetylcarnitine</w:t>
          </w:r>
          <w:r w:rsidRPr="00857719">
            <w:rPr>
              <w:rFonts w:ascii="Times New Roman" w:hAnsi="Times New Roman"/>
              <w:noProof/>
              <w:shd w:val="clear" w:color="auto" w:fill="FFFFFF"/>
            </w:rPr>
            <w:t xml:space="preserve"> (C2)</w:t>
          </w:r>
          <w:r>
            <w:rPr>
              <w:noProof/>
              <w:webHidden/>
            </w:rPr>
            <w:tab/>
            <w:t>16</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 xml:space="preserve">eFigure 2. </w:t>
          </w:r>
          <w:r w:rsidRPr="00857719">
            <w:rPr>
              <w:rFonts w:ascii="Times New Roman" w:hAnsi="Times New Roman"/>
              <w:noProof/>
              <w:shd w:val="clear" w:color="auto" w:fill="FFFFFF"/>
            </w:rPr>
            <w:t xml:space="preserve">Mendelian randomization analyses: scatterplot for </w:t>
          </w:r>
          <w:r w:rsidRPr="00857719">
            <w:rPr>
              <w:rFonts w:ascii="Times New Roman" w:hAnsi="Times New Roman"/>
              <w:noProof/>
            </w:rPr>
            <w:t>Propionylcarnitine</w:t>
          </w:r>
          <w:r w:rsidRPr="00857719">
            <w:rPr>
              <w:rFonts w:ascii="Times New Roman" w:hAnsi="Times New Roman"/>
              <w:noProof/>
              <w:shd w:val="clear" w:color="auto" w:fill="FFFFFF"/>
            </w:rPr>
            <w:t xml:space="preserve"> (C3)</w:t>
          </w:r>
          <w:r>
            <w:rPr>
              <w:noProof/>
              <w:webHidden/>
            </w:rPr>
            <w:tab/>
            <w:t>17</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 xml:space="preserve">eFigure 3. </w:t>
          </w:r>
          <w:r w:rsidRPr="00857719">
            <w:rPr>
              <w:rFonts w:ascii="Times New Roman" w:hAnsi="Times New Roman"/>
              <w:noProof/>
              <w:shd w:val="clear" w:color="auto" w:fill="FFFFFF"/>
            </w:rPr>
            <w:t xml:space="preserve">Mendelian randomization analyses: scatterplot for </w:t>
          </w:r>
          <w:r w:rsidRPr="00857719">
            <w:rPr>
              <w:rFonts w:ascii="Times New Roman" w:hAnsi="Times New Roman"/>
              <w:noProof/>
            </w:rPr>
            <w:t>Octanoylcarnitine</w:t>
          </w:r>
          <w:r w:rsidRPr="00857719">
            <w:rPr>
              <w:rFonts w:ascii="Times New Roman" w:hAnsi="Times New Roman"/>
              <w:noProof/>
              <w:shd w:val="clear" w:color="auto" w:fill="FFFFFF"/>
            </w:rPr>
            <w:t xml:space="preserve"> (C8)</w:t>
          </w:r>
          <w:r>
            <w:rPr>
              <w:noProof/>
              <w:webHidden/>
            </w:rPr>
            <w:tab/>
            <w:t>18</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 xml:space="preserve">eFigure 4. </w:t>
          </w:r>
          <w:r w:rsidRPr="00857719">
            <w:rPr>
              <w:rFonts w:ascii="Times New Roman" w:hAnsi="Times New Roman"/>
              <w:noProof/>
              <w:shd w:val="clear" w:color="auto" w:fill="FFFFFF"/>
            </w:rPr>
            <w:t xml:space="preserve">Mendelian randomization analyses: scatterplot for </w:t>
          </w:r>
          <w:r w:rsidRPr="00857719">
            <w:rPr>
              <w:rFonts w:ascii="Times New Roman" w:hAnsi="Times New Roman"/>
              <w:noProof/>
            </w:rPr>
            <w:t>Decanoylcarnitine</w:t>
          </w:r>
          <w:r w:rsidRPr="00857719">
            <w:rPr>
              <w:rFonts w:ascii="Times New Roman" w:hAnsi="Times New Roman"/>
              <w:noProof/>
              <w:shd w:val="clear" w:color="auto" w:fill="FFFFFF"/>
            </w:rPr>
            <w:t xml:space="preserve"> (C10)</w:t>
          </w:r>
          <w:r>
            <w:rPr>
              <w:noProof/>
              <w:webHidden/>
            </w:rPr>
            <w:tab/>
            <w:t>19</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 xml:space="preserve">eFigure 5. </w:t>
          </w:r>
          <w:r w:rsidRPr="00857719">
            <w:rPr>
              <w:rFonts w:ascii="Times New Roman" w:hAnsi="Times New Roman"/>
              <w:noProof/>
              <w:shd w:val="clear" w:color="auto" w:fill="FFFFFF"/>
            </w:rPr>
            <w:t>Mendelian randomization sensitivity analyses: single SNP analyses for Octanoylcarnitine (C8)</w:t>
          </w:r>
          <w:r>
            <w:rPr>
              <w:noProof/>
              <w:webHidden/>
            </w:rPr>
            <w:tab/>
            <w:t>20</w:t>
          </w:r>
        </w:p>
        <w:p w:rsidR="00B93CAA" w:rsidRDefault="00B93CAA">
          <w:pPr>
            <w:pStyle w:val="TOC2"/>
            <w:tabs>
              <w:tab w:val="right" w:leader="dot" w:pos="9010"/>
            </w:tabs>
            <w:rPr>
              <w:rFonts w:eastAsiaTheme="minorEastAsia" w:cstheme="minorBidi"/>
              <w:b w:val="0"/>
              <w:bCs w:val="0"/>
              <w:noProof/>
              <w:sz w:val="24"/>
              <w:szCs w:val="24"/>
            </w:rPr>
          </w:pPr>
          <w:r w:rsidRPr="00857719">
            <w:rPr>
              <w:rFonts w:ascii="Times New Roman" w:hAnsi="Times New Roman"/>
              <w:i/>
              <w:noProof/>
            </w:rPr>
            <w:t xml:space="preserve">eFigure 6. </w:t>
          </w:r>
          <w:r w:rsidRPr="00857719">
            <w:rPr>
              <w:rFonts w:ascii="Times New Roman" w:hAnsi="Times New Roman"/>
              <w:noProof/>
              <w:shd w:val="clear" w:color="auto" w:fill="FFFFFF"/>
            </w:rPr>
            <w:t>Mendelian randomization sensitivity analyses: leave-one-out SNP analyses for Octanoylcarnitine (C8)</w:t>
          </w:r>
          <w:r>
            <w:rPr>
              <w:noProof/>
              <w:webHidden/>
            </w:rPr>
            <w:tab/>
            <w:t>21</w:t>
          </w:r>
        </w:p>
        <w:p w:rsidR="00B93CAA" w:rsidRDefault="00B93CAA">
          <w:pPr>
            <w:pStyle w:val="TOC1"/>
            <w:tabs>
              <w:tab w:val="right" w:leader="dot" w:pos="9010"/>
            </w:tabs>
            <w:rPr>
              <w:rFonts w:eastAsiaTheme="minorEastAsia" w:cstheme="minorBidi"/>
              <w:b w:val="0"/>
              <w:bCs w:val="0"/>
              <w:i w:val="0"/>
              <w:iCs w:val="0"/>
              <w:noProof/>
            </w:rPr>
          </w:pPr>
          <w:r w:rsidRPr="00857719">
            <w:rPr>
              <w:rFonts w:ascii="Times New Roman" w:hAnsi="Times New Roman"/>
              <w:noProof/>
            </w:rPr>
            <w:t>Data availability</w:t>
          </w:r>
          <w:r>
            <w:rPr>
              <w:noProof/>
              <w:webHidden/>
            </w:rPr>
            <w:tab/>
            <w:t>22</w:t>
          </w:r>
        </w:p>
        <w:p w:rsidR="00B93CAA" w:rsidRDefault="00B93CAA">
          <w:pPr>
            <w:pStyle w:val="TOC1"/>
            <w:tabs>
              <w:tab w:val="right" w:leader="dot" w:pos="9010"/>
            </w:tabs>
            <w:rPr>
              <w:rFonts w:eastAsiaTheme="minorEastAsia" w:cstheme="minorBidi"/>
              <w:b w:val="0"/>
              <w:bCs w:val="0"/>
              <w:i w:val="0"/>
              <w:iCs w:val="0"/>
              <w:noProof/>
            </w:rPr>
          </w:pPr>
          <w:r w:rsidRPr="00857719">
            <w:rPr>
              <w:rFonts w:ascii="Times New Roman" w:hAnsi="Times New Roman"/>
              <w:noProof/>
            </w:rPr>
            <w:t>References</w:t>
          </w:r>
          <w:r>
            <w:rPr>
              <w:noProof/>
              <w:webHidden/>
            </w:rPr>
            <w:tab/>
            <w:t>23</w:t>
          </w:r>
        </w:p>
        <w:p w:rsidR="0046444F" w:rsidRDefault="00434CF6"/>
      </w:sdtContent>
    </w:sdt>
    <w:p w:rsidR="002C0DD2" w:rsidRPr="00167D7B" w:rsidRDefault="002C0DD2" w:rsidP="00E77BCB">
      <w:pPr>
        <w:spacing w:line="480" w:lineRule="auto"/>
        <w:sectPr w:rsidR="002C0DD2" w:rsidRPr="00167D7B" w:rsidSect="00CF21BE">
          <w:footerReference w:type="even" r:id="rId8"/>
          <w:footerReference w:type="default" r:id="rId9"/>
          <w:pgSz w:w="11900" w:h="16840"/>
          <w:pgMar w:top="1440" w:right="1440" w:bottom="1440" w:left="1440" w:header="708" w:footer="708" w:gutter="0"/>
          <w:cols w:space="708"/>
          <w:docGrid w:linePitch="360"/>
        </w:sectPr>
      </w:pPr>
    </w:p>
    <w:p w:rsidR="00C02EA4" w:rsidRPr="00167D7B" w:rsidRDefault="003E7471" w:rsidP="00E77BCB">
      <w:pPr>
        <w:pStyle w:val="Heading1"/>
        <w:spacing w:line="480" w:lineRule="auto"/>
        <w:rPr>
          <w:rFonts w:ascii="Times New Roman" w:hAnsi="Times New Roman" w:cs="Times New Roman"/>
          <w:b/>
          <w:color w:val="000000" w:themeColor="text1"/>
          <w:sz w:val="24"/>
          <w:szCs w:val="24"/>
        </w:rPr>
      </w:pPr>
      <w:bookmarkStart w:id="1" w:name="_Toc97882868"/>
      <w:r w:rsidRPr="00167D7B">
        <w:rPr>
          <w:rFonts w:ascii="Times New Roman" w:hAnsi="Times New Roman" w:cs="Times New Roman"/>
          <w:b/>
          <w:color w:val="000000" w:themeColor="text1"/>
          <w:sz w:val="24"/>
          <w:szCs w:val="24"/>
        </w:rPr>
        <w:lastRenderedPageBreak/>
        <w:t>Supplemental methods</w:t>
      </w:r>
      <w:bookmarkEnd w:id="1"/>
    </w:p>
    <w:p w:rsidR="00E90719" w:rsidRPr="00167D7B" w:rsidRDefault="00E90719" w:rsidP="00E77BCB">
      <w:pPr>
        <w:pStyle w:val="Heading2"/>
        <w:spacing w:line="480" w:lineRule="auto"/>
        <w:rPr>
          <w:rFonts w:ascii="Times New Roman" w:hAnsi="Times New Roman" w:cs="Times New Roman"/>
          <w:b/>
          <w:i/>
          <w:color w:val="000000" w:themeColor="text1"/>
          <w:sz w:val="24"/>
          <w:szCs w:val="24"/>
        </w:rPr>
      </w:pPr>
      <w:bookmarkStart w:id="2" w:name="_Toc97882869"/>
      <w:r w:rsidRPr="00167D7B">
        <w:rPr>
          <w:rFonts w:ascii="Times New Roman" w:hAnsi="Times New Roman" w:cs="Times New Roman"/>
          <w:b/>
          <w:i/>
          <w:color w:val="000000" w:themeColor="text1"/>
          <w:sz w:val="24"/>
          <w:szCs w:val="24"/>
        </w:rPr>
        <w:t>MR-PRESSO</w:t>
      </w:r>
      <w:bookmarkEnd w:id="2"/>
    </w:p>
    <w:p w:rsidR="00AD4FF7" w:rsidRPr="00170877" w:rsidRDefault="00CF791A" w:rsidP="00E77BCB">
      <w:pPr>
        <w:autoSpaceDE w:val="0"/>
        <w:autoSpaceDN w:val="0"/>
        <w:adjustRightInd w:val="0"/>
        <w:spacing w:line="480" w:lineRule="auto"/>
      </w:pPr>
      <w:r w:rsidRPr="00167D7B">
        <w:rPr>
          <w:color w:val="000000"/>
          <w:shd w:val="clear" w:color="auto" w:fill="FFFFFF"/>
        </w:rPr>
        <w:t>T</w:t>
      </w:r>
      <w:r w:rsidR="00A273AB" w:rsidRPr="00167D7B">
        <w:rPr>
          <w:color w:val="000000"/>
          <w:shd w:val="clear" w:color="auto" w:fill="FFFFFF"/>
        </w:rPr>
        <w:t xml:space="preserve">he </w:t>
      </w:r>
      <w:r w:rsidR="00140F06" w:rsidRPr="00167D7B">
        <w:rPr>
          <w:color w:val="000000"/>
          <w:shd w:val="clear" w:color="auto" w:fill="FFFFFF"/>
        </w:rPr>
        <w:t xml:space="preserve">Mendelian randomization </w:t>
      </w:r>
      <w:r w:rsidR="00A273AB" w:rsidRPr="00167D7B">
        <w:rPr>
          <w:color w:val="000000"/>
          <w:shd w:val="clear" w:color="auto" w:fill="FFFFFF"/>
        </w:rPr>
        <w:t xml:space="preserve">pleiotropy residual sum and outlier </w:t>
      </w:r>
      <w:r w:rsidR="00140F06" w:rsidRPr="00167D7B">
        <w:rPr>
          <w:color w:val="000000"/>
          <w:shd w:val="clear" w:color="auto" w:fill="FFFFFF"/>
        </w:rPr>
        <w:t xml:space="preserve">(MR-PRESSO) </w:t>
      </w:r>
      <w:r w:rsidR="00A273AB" w:rsidRPr="00167D7B">
        <w:rPr>
          <w:color w:val="000000"/>
          <w:shd w:val="clear" w:color="auto" w:fill="FFFFFF"/>
        </w:rPr>
        <w:t>method</w:t>
      </w:r>
      <w:r w:rsidR="00967671" w:rsidRPr="00967671">
        <w:rPr>
          <w:noProof/>
          <w:color w:val="000000"/>
          <w:shd w:val="clear" w:color="auto" w:fill="FFFFFF"/>
        </w:rPr>
        <w:t>(</w:t>
      </w:r>
      <w:proofErr w:type="spellStart"/>
      <w:r w:rsidR="00967671" w:rsidRPr="00967671">
        <w:rPr>
          <w:noProof/>
          <w:color w:val="000000"/>
          <w:shd w:val="clear" w:color="auto" w:fill="FFFFFF"/>
        </w:rPr>
        <w:t>Verbanck</w:t>
      </w:r>
      <w:proofErr w:type="spellEnd"/>
      <w:r w:rsidR="00967671" w:rsidRPr="00967671">
        <w:rPr>
          <w:noProof/>
          <w:color w:val="000000"/>
          <w:shd w:val="clear" w:color="auto" w:fill="FFFFFF"/>
        </w:rPr>
        <w:t xml:space="preserve"> et al., 2018)</w:t>
      </w:r>
      <w:r w:rsidR="00140F06" w:rsidRPr="00167D7B">
        <w:rPr>
          <w:color w:val="000000"/>
          <w:shd w:val="clear" w:color="auto" w:fill="FFFFFF"/>
        </w:rPr>
        <w:t xml:space="preserve"> </w:t>
      </w:r>
      <w:r w:rsidR="00140F06" w:rsidRPr="00167D7B">
        <w:t>relies on a regression framework where the variants’ effects on the outcome are</w:t>
      </w:r>
      <w:r w:rsidR="00170877">
        <w:t xml:space="preserve"> </w:t>
      </w:r>
      <w:r w:rsidR="00140F06" w:rsidRPr="00167D7B">
        <w:t>regressed on the same variants’ effects on exposure</w:t>
      </w:r>
      <w:r w:rsidR="00513380">
        <w:t>;</w:t>
      </w:r>
      <w:r w:rsidR="00140F06" w:rsidRPr="00167D7B">
        <w:t xml:space="preserve"> the slope of the regression provid</w:t>
      </w:r>
      <w:r w:rsidR="00513380">
        <w:t>es</w:t>
      </w:r>
      <w:r w:rsidR="00140F06" w:rsidRPr="00167D7B">
        <w:t xml:space="preserve"> an estimate of the causal effect of the exposure on the outcome. </w:t>
      </w:r>
      <w:r w:rsidR="00AD4FF7" w:rsidRPr="00167D7B">
        <w:rPr>
          <w:color w:val="000000"/>
          <w:shd w:val="clear" w:color="auto" w:fill="FFFFFF"/>
        </w:rPr>
        <w:t xml:space="preserve">The MR-PRESSO procedure includes several tests: </w:t>
      </w:r>
      <w:r w:rsidR="00140F06" w:rsidRPr="00167D7B">
        <w:rPr>
          <w:color w:val="000000"/>
          <w:shd w:val="clear" w:color="auto" w:fill="FFFFFF"/>
        </w:rPr>
        <w:t xml:space="preserve">1) </w:t>
      </w:r>
      <w:r w:rsidR="00AD4FF7" w:rsidRPr="00167D7B">
        <w:rPr>
          <w:color w:val="000000"/>
          <w:shd w:val="clear" w:color="auto" w:fill="FFFFFF"/>
        </w:rPr>
        <w:t>a global test evaluating overall horizontal pleiotropy among all instruments</w:t>
      </w:r>
      <w:r w:rsidR="00140F06" w:rsidRPr="00167D7B">
        <w:rPr>
          <w:color w:val="000000"/>
          <w:shd w:val="clear" w:color="auto" w:fill="FFFFFF"/>
        </w:rPr>
        <w:t xml:space="preserve"> </w:t>
      </w:r>
      <w:r w:rsidR="00140F06" w:rsidRPr="00167D7B">
        <w:t xml:space="preserve">by comparing the observed residual sum of squares </w:t>
      </w:r>
      <w:r w:rsidR="00844D7B">
        <w:t xml:space="preserve">(RSS) </w:t>
      </w:r>
      <w:r w:rsidR="00140F06" w:rsidRPr="00167D7B">
        <w:t>with those expected under the null of no horizontal pleiotropy</w:t>
      </w:r>
      <w:r w:rsidR="00AD4FF7" w:rsidRPr="00167D7B">
        <w:rPr>
          <w:color w:val="000000"/>
          <w:shd w:val="clear" w:color="auto" w:fill="FFFFFF"/>
        </w:rPr>
        <w:t xml:space="preserve">; </w:t>
      </w:r>
      <w:r w:rsidR="00140F06" w:rsidRPr="00167D7B">
        <w:rPr>
          <w:color w:val="000000"/>
          <w:shd w:val="clear" w:color="auto" w:fill="FFFFFF"/>
        </w:rPr>
        <w:t xml:space="preserve">2) </w:t>
      </w:r>
      <w:r w:rsidR="00AD4FF7" w:rsidRPr="00167D7B">
        <w:rPr>
          <w:color w:val="000000"/>
          <w:shd w:val="clear" w:color="auto" w:fill="FFFFFF"/>
        </w:rPr>
        <w:t>an outlier test evaluating the presence of specific outlier variants</w:t>
      </w:r>
      <w:r w:rsidR="00A3655F" w:rsidRPr="00167D7B">
        <w:t xml:space="preserve"> by using observed and</w:t>
      </w:r>
      <w:r w:rsidR="0017200D" w:rsidRPr="00167D7B">
        <w:t xml:space="preserve"> </w:t>
      </w:r>
      <w:r w:rsidR="00A3655F" w:rsidRPr="00167D7B">
        <w:t>expected distributions of the tested variants</w:t>
      </w:r>
      <w:r w:rsidR="00AD4FF7" w:rsidRPr="00167D7B">
        <w:rPr>
          <w:color w:val="000000"/>
          <w:shd w:val="clear" w:color="auto" w:fill="FFFFFF"/>
        </w:rPr>
        <w:t>;</w:t>
      </w:r>
      <w:r w:rsidR="00A3655F" w:rsidRPr="00167D7B">
        <w:rPr>
          <w:color w:val="000000"/>
          <w:shd w:val="clear" w:color="auto" w:fill="FFFFFF"/>
        </w:rPr>
        <w:t xml:space="preserve"> 3)</w:t>
      </w:r>
      <w:r w:rsidR="00AD4FF7" w:rsidRPr="00167D7B">
        <w:rPr>
          <w:color w:val="000000"/>
          <w:shd w:val="clear" w:color="auto" w:fill="FFFFFF"/>
        </w:rPr>
        <w:t xml:space="preserve"> a distortion test evaluating the significance of the distortion in causal estimates before/after removal of outlier variants.</w:t>
      </w:r>
    </w:p>
    <w:p w:rsidR="00DC5762" w:rsidRPr="00167D7B" w:rsidRDefault="00DC5762" w:rsidP="00E77BCB">
      <w:pPr>
        <w:autoSpaceDE w:val="0"/>
        <w:autoSpaceDN w:val="0"/>
        <w:adjustRightInd w:val="0"/>
        <w:spacing w:line="480" w:lineRule="auto"/>
      </w:pPr>
    </w:p>
    <w:p w:rsidR="00DC5762" w:rsidRPr="00167D7B" w:rsidRDefault="00B843E3" w:rsidP="00E77BCB">
      <w:pPr>
        <w:pStyle w:val="Heading2"/>
        <w:spacing w:line="480" w:lineRule="auto"/>
        <w:rPr>
          <w:rFonts w:ascii="Times New Roman" w:hAnsi="Times New Roman" w:cs="Times New Roman"/>
          <w:b/>
          <w:i/>
          <w:color w:val="000000" w:themeColor="text1"/>
          <w:sz w:val="24"/>
          <w:szCs w:val="24"/>
        </w:rPr>
      </w:pPr>
      <w:bookmarkStart w:id="3" w:name="_Toc97882870"/>
      <w:r>
        <w:rPr>
          <w:rFonts w:ascii="Times New Roman" w:hAnsi="Times New Roman" w:cs="Times New Roman"/>
          <w:b/>
          <w:i/>
          <w:color w:val="000000" w:themeColor="text1"/>
          <w:sz w:val="24"/>
          <w:szCs w:val="24"/>
        </w:rPr>
        <w:t>Follow-up</w:t>
      </w:r>
      <w:r w:rsidR="007C6108" w:rsidRPr="00167D7B">
        <w:rPr>
          <w:rFonts w:ascii="Times New Roman" w:hAnsi="Times New Roman" w:cs="Times New Roman"/>
          <w:b/>
          <w:i/>
          <w:color w:val="000000" w:themeColor="text1"/>
          <w:sz w:val="24"/>
          <w:szCs w:val="24"/>
        </w:rPr>
        <w:t xml:space="preserve"> analyses: GWAS meta-analysis</w:t>
      </w:r>
      <w:bookmarkEnd w:id="3"/>
    </w:p>
    <w:p w:rsidR="00167D7B" w:rsidRDefault="00C06B98" w:rsidP="00E77BCB">
      <w:pPr>
        <w:spacing w:line="480" w:lineRule="auto"/>
      </w:pPr>
      <w:r w:rsidRPr="00167D7B">
        <w:rPr>
          <w:color w:val="000000"/>
          <w:shd w:val="clear" w:color="auto" w:fill="FFFFFF"/>
        </w:rPr>
        <w:t>In</w:t>
      </w:r>
      <w:r w:rsidR="00526F84" w:rsidRPr="00167D7B">
        <w:rPr>
          <w:color w:val="000000"/>
          <w:shd w:val="clear" w:color="auto" w:fill="FFFFFF"/>
        </w:rPr>
        <w:t xml:space="preserve"> </w:t>
      </w:r>
      <w:r w:rsidR="00B843E3">
        <w:rPr>
          <w:color w:val="000000"/>
          <w:shd w:val="clear" w:color="auto" w:fill="FFFFFF"/>
        </w:rPr>
        <w:t>follow-up</w:t>
      </w:r>
      <w:r w:rsidR="00526F84" w:rsidRPr="00167D7B">
        <w:rPr>
          <w:color w:val="000000"/>
          <w:shd w:val="clear" w:color="auto" w:fill="FFFFFF"/>
        </w:rPr>
        <w:t xml:space="preserve"> analyses evaluating the impact of the strength of genetic instruments on </w:t>
      </w:r>
      <w:r w:rsidR="00B843E3">
        <w:rPr>
          <w:color w:val="000000"/>
          <w:shd w:val="clear" w:color="auto" w:fill="FFFFFF"/>
        </w:rPr>
        <w:t>previous results</w:t>
      </w:r>
      <w:r w:rsidRPr="00167D7B">
        <w:rPr>
          <w:color w:val="000000"/>
          <w:shd w:val="clear" w:color="auto" w:fill="FFFFFF"/>
        </w:rPr>
        <w:t>,</w:t>
      </w:r>
      <w:r w:rsidR="00526F84" w:rsidRPr="00167D7B">
        <w:rPr>
          <w:color w:val="000000"/>
          <w:shd w:val="clear" w:color="auto" w:fill="FFFFFF"/>
        </w:rPr>
        <w:t xml:space="preserve"> all 2SMR analyses </w:t>
      </w:r>
      <w:r w:rsidRPr="00167D7B">
        <w:rPr>
          <w:color w:val="000000"/>
          <w:shd w:val="clear" w:color="auto" w:fill="FFFFFF"/>
        </w:rPr>
        <w:t xml:space="preserve">were repeated </w:t>
      </w:r>
      <w:r w:rsidR="00526F84" w:rsidRPr="00167D7B">
        <w:rPr>
          <w:color w:val="000000"/>
          <w:shd w:val="clear" w:color="auto" w:fill="FFFFFF"/>
        </w:rPr>
        <w:t xml:space="preserve">for a subset of </w:t>
      </w:r>
      <w:proofErr w:type="spellStart"/>
      <w:r w:rsidR="00D32A51" w:rsidRPr="00167D7B">
        <w:rPr>
          <w:color w:val="000000"/>
          <w:shd w:val="clear" w:color="auto" w:fill="FFFFFF"/>
        </w:rPr>
        <w:t>acylcarinites</w:t>
      </w:r>
      <w:proofErr w:type="spellEnd"/>
      <w:r w:rsidR="00D32A51" w:rsidRPr="00167D7B">
        <w:rPr>
          <w:color w:val="000000"/>
          <w:shd w:val="clear" w:color="auto" w:fill="FFFFFF"/>
        </w:rPr>
        <w:t xml:space="preserve"> (ACs)</w:t>
      </w:r>
      <w:r w:rsidR="00526F84" w:rsidRPr="00167D7B">
        <w:rPr>
          <w:color w:val="000000"/>
          <w:shd w:val="clear" w:color="auto" w:fill="FFFFFF"/>
        </w:rPr>
        <w:t xml:space="preserve"> with stronger </w:t>
      </w:r>
      <w:r w:rsidRPr="00167D7B">
        <w:rPr>
          <w:color w:val="000000"/>
          <w:shd w:val="clear" w:color="auto" w:fill="FFFFFF"/>
        </w:rPr>
        <w:t xml:space="preserve">genetic </w:t>
      </w:r>
      <w:r w:rsidR="00526F84" w:rsidRPr="00167D7B">
        <w:rPr>
          <w:color w:val="000000"/>
          <w:shd w:val="clear" w:color="auto" w:fill="FFFFFF"/>
        </w:rPr>
        <w:t xml:space="preserve">instruments derived from larger discovery GWAS summary statistic. For this we meta-analyzed results for the Fenland Study </w:t>
      </w:r>
      <w:r w:rsidR="00967671" w:rsidRPr="00967671">
        <w:rPr>
          <w:noProof/>
        </w:rPr>
        <w:t>(Lotta et al., 2020)</w:t>
      </w:r>
      <w:r w:rsidR="00735F5A" w:rsidRPr="00167D7B">
        <w:t xml:space="preserve"> </w:t>
      </w:r>
      <w:r w:rsidR="00526F84" w:rsidRPr="00167D7B">
        <w:rPr>
          <w:color w:val="000000"/>
          <w:shd w:val="clear" w:color="auto" w:fill="FFFFFF"/>
        </w:rPr>
        <w:t>with those from a previous</w:t>
      </w:r>
      <w:r w:rsidR="00F06145">
        <w:rPr>
          <w:color w:val="000000"/>
          <w:shd w:val="clear" w:color="auto" w:fill="FFFFFF"/>
        </w:rPr>
        <w:t xml:space="preserve"> </w:t>
      </w:r>
      <w:r w:rsidR="00526F84" w:rsidRPr="00167D7B">
        <w:rPr>
          <w:color w:val="000000"/>
          <w:shd w:val="clear" w:color="auto" w:fill="FFFFFF"/>
        </w:rPr>
        <w:t>GWAS</w:t>
      </w:r>
      <w:r w:rsidRPr="00167D7B">
        <w:rPr>
          <w:color w:val="000000"/>
          <w:shd w:val="clear" w:color="auto" w:fill="FFFFFF"/>
        </w:rPr>
        <w:t xml:space="preserve"> meta-analysis </w:t>
      </w:r>
      <w:r w:rsidR="009F2C6C" w:rsidRPr="00167D7B">
        <w:rPr>
          <w:color w:val="000000"/>
          <w:shd w:val="clear" w:color="auto" w:fill="FFFFFF"/>
        </w:rPr>
        <w:t xml:space="preserve">by </w:t>
      </w:r>
      <w:proofErr w:type="spellStart"/>
      <w:r w:rsidR="009F2C6C" w:rsidRPr="00167D7B">
        <w:rPr>
          <w:color w:val="000000"/>
          <w:shd w:val="clear" w:color="auto" w:fill="FFFFFF"/>
        </w:rPr>
        <w:t>Draisma</w:t>
      </w:r>
      <w:proofErr w:type="spellEnd"/>
      <w:r w:rsidR="009F2C6C" w:rsidRPr="00167D7B">
        <w:rPr>
          <w:color w:val="000000"/>
          <w:shd w:val="clear" w:color="auto" w:fill="FFFFFF"/>
        </w:rPr>
        <w:t xml:space="preserve"> et al.</w:t>
      </w:r>
      <w:r w:rsidR="00967671" w:rsidRPr="00967671">
        <w:rPr>
          <w:noProof/>
          <w:color w:val="000000"/>
          <w:shd w:val="clear" w:color="auto" w:fill="FFFFFF"/>
        </w:rPr>
        <w:t>(</w:t>
      </w:r>
      <w:proofErr w:type="spellStart"/>
      <w:r w:rsidR="00967671" w:rsidRPr="00967671">
        <w:rPr>
          <w:noProof/>
          <w:color w:val="000000"/>
          <w:shd w:val="clear" w:color="auto" w:fill="FFFFFF"/>
        </w:rPr>
        <w:t>Draisma</w:t>
      </w:r>
      <w:proofErr w:type="spellEnd"/>
      <w:r w:rsidR="00967671" w:rsidRPr="00967671">
        <w:rPr>
          <w:noProof/>
          <w:color w:val="000000"/>
          <w:shd w:val="clear" w:color="auto" w:fill="FFFFFF"/>
        </w:rPr>
        <w:t xml:space="preserve"> et al., 2015)</w:t>
      </w:r>
      <w:r w:rsidR="00526F84" w:rsidRPr="00167D7B">
        <w:rPr>
          <w:color w:val="000000"/>
          <w:shd w:val="clear" w:color="auto" w:fill="FFFFFF"/>
        </w:rPr>
        <w:t xml:space="preserve"> on 7,478 samples</w:t>
      </w:r>
      <w:r w:rsidRPr="00167D7B">
        <w:rPr>
          <w:color w:val="000000"/>
          <w:shd w:val="clear" w:color="auto" w:fill="FFFFFF"/>
        </w:rPr>
        <w:t xml:space="preserve"> </w:t>
      </w:r>
      <w:r w:rsidR="00375E8D">
        <w:rPr>
          <w:color w:val="000000"/>
          <w:shd w:val="clear" w:color="auto" w:fill="FFFFFF"/>
        </w:rPr>
        <w:t xml:space="preserve">from 7 European cohorts </w:t>
      </w:r>
      <w:r w:rsidRPr="00167D7B">
        <w:rPr>
          <w:color w:val="000000"/>
          <w:shd w:val="clear" w:color="auto" w:fill="FFFFFF"/>
        </w:rPr>
        <w:t xml:space="preserve">with AC measures performed on </w:t>
      </w:r>
      <w:r w:rsidRPr="00167D7B">
        <w:rPr>
          <w:rFonts w:ascii="Courier New" w:hAnsi="Courier New" w:cs="Courier New"/>
          <w:color w:val="000000"/>
          <w:shd w:val="clear" w:color="auto" w:fill="FFFFFF"/>
        </w:rPr>
        <w:t>﻿</w:t>
      </w:r>
      <w:r w:rsidRPr="00167D7B">
        <w:rPr>
          <w:color w:val="000000"/>
          <w:shd w:val="clear" w:color="auto" w:fill="FFFFFF"/>
        </w:rPr>
        <w:t xml:space="preserve">the </w:t>
      </w:r>
      <w:proofErr w:type="spellStart"/>
      <w:r w:rsidRPr="00167D7B">
        <w:rPr>
          <w:color w:val="000000"/>
          <w:shd w:val="clear" w:color="auto" w:fill="FFFFFF"/>
        </w:rPr>
        <w:t>Biocrates</w:t>
      </w:r>
      <w:proofErr w:type="spellEnd"/>
      <w:r w:rsidRPr="00167D7B">
        <w:rPr>
          <w:color w:val="000000"/>
          <w:shd w:val="clear" w:color="auto" w:fill="FFFFFF"/>
        </w:rPr>
        <w:t xml:space="preserve"> </w:t>
      </w:r>
      <w:proofErr w:type="spellStart"/>
      <w:r w:rsidRPr="00167D7B">
        <w:rPr>
          <w:color w:val="000000"/>
          <w:shd w:val="clear" w:color="auto" w:fill="FFFFFF"/>
        </w:rPr>
        <w:t>AbsoluteIDQ</w:t>
      </w:r>
      <w:proofErr w:type="spellEnd"/>
      <w:r w:rsidRPr="00167D7B">
        <w:rPr>
          <w:color w:val="000000"/>
          <w:shd w:val="clear" w:color="auto" w:fill="FFFFFF"/>
        </w:rPr>
        <w:t xml:space="preserve"> p150 kit platform (</w:t>
      </w:r>
      <w:proofErr w:type="spellStart"/>
      <w:r w:rsidRPr="00167D7B">
        <w:t>Biocrates</w:t>
      </w:r>
      <w:proofErr w:type="spellEnd"/>
      <w:r w:rsidRPr="00167D7B">
        <w:t xml:space="preserve"> Life Sciences AG, Innsbruck, Austria). </w:t>
      </w:r>
      <w:r w:rsidR="00375D02" w:rsidRPr="00167D7B">
        <w:t>Genetic association</w:t>
      </w:r>
      <w:r w:rsidR="00D32A51" w:rsidRPr="00167D7B">
        <w:t xml:space="preserve"> results for 10 of the 15 </w:t>
      </w:r>
      <w:r w:rsidR="000C73F6">
        <w:t>metabolites</w:t>
      </w:r>
      <w:r w:rsidR="00D32A51" w:rsidRPr="00167D7B">
        <w:t xml:space="preserve"> examined in Fenland were available</w:t>
      </w:r>
      <w:r w:rsidR="00656707">
        <w:t>, including</w:t>
      </w:r>
      <w:r w:rsidR="00D32A51" w:rsidRPr="00167D7B">
        <w:t xml:space="preserve"> </w:t>
      </w:r>
      <w:r w:rsidR="00656707">
        <w:rPr>
          <w:color w:val="000000"/>
          <w:shd w:val="clear" w:color="auto" w:fill="FFFFFF"/>
        </w:rPr>
        <w:t xml:space="preserve">free carnitine (C0), </w:t>
      </w:r>
      <w:r w:rsidR="00D32A51" w:rsidRPr="00167D7B">
        <w:t>short-chain</w:t>
      </w:r>
      <w:r w:rsidR="00656707">
        <w:t xml:space="preserve"> (</w:t>
      </w:r>
      <w:r w:rsidR="00D32A51" w:rsidRPr="00167D7B">
        <w:t>C2, C3</w:t>
      </w:r>
      <w:r w:rsidR="00656707">
        <w:t>),</w:t>
      </w:r>
      <w:r w:rsidR="00D32A51" w:rsidRPr="00167D7B">
        <w:t xml:space="preserve"> medium-chain</w:t>
      </w:r>
      <w:r w:rsidR="00656707">
        <w:t xml:space="preserve"> (</w:t>
      </w:r>
      <w:r w:rsidR="00D32A51" w:rsidRPr="00167D7B">
        <w:t>C8, C9, C10; C10:1</w:t>
      </w:r>
      <w:r w:rsidR="00656707">
        <w:t>) and</w:t>
      </w:r>
      <w:r w:rsidR="00D32A51" w:rsidRPr="00167D7B">
        <w:t xml:space="preserve"> long-chain</w:t>
      </w:r>
      <w:r w:rsidR="00656707">
        <w:t xml:space="preserve"> (</w:t>
      </w:r>
      <w:r w:rsidR="00D32A51" w:rsidRPr="00167D7B">
        <w:t>C14:</w:t>
      </w:r>
      <w:proofErr w:type="gramStart"/>
      <w:r w:rsidR="00D32A51" w:rsidRPr="00167D7B">
        <w:t>1</w:t>
      </w:r>
      <w:proofErr w:type="gramEnd"/>
      <w:r w:rsidR="00D32A51" w:rsidRPr="00167D7B">
        <w:t>, C18:1, C18:2)</w:t>
      </w:r>
      <w:r w:rsidR="00656707">
        <w:t xml:space="preserve"> ACs</w:t>
      </w:r>
      <w:r w:rsidR="00D32A51" w:rsidRPr="00167D7B">
        <w:t xml:space="preserve">. </w:t>
      </w:r>
      <w:r w:rsidR="002036AB" w:rsidRPr="00167D7B">
        <w:t xml:space="preserve">These GWAS summary statics </w:t>
      </w:r>
      <w:r w:rsidR="00C32D94" w:rsidRPr="00167D7B">
        <w:t xml:space="preserve">were pooled with those from the Fenland Study using a fixed-effects, inverse-weighted meta-analysis </w:t>
      </w:r>
      <w:r w:rsidR="001D27BE">
        <w:t>using</w:t>
      </w:r>
      <w:r w:rsidR="00C32D94" w:rsidRPr="00167D7B">
        <w:t xml:space="preserve"> METAL</w:t>
      </w:r>
      <w:r w:rsidR="00A31AB1">
        <w:t xml:space="preserve"> </w:t>
      </w:r>
      <w:proofErr w:type="gramStart"/>
      <w:r w:rsidR="00A31AB1">
        <w:t>software</w:t>
      </w:r>
      <w:r w:rsidR="00967671" w:rsidRPr="00967671">
        <w:rPr>
          <w:noProof/>
        </w:rPr>
        <w:t>(</w:t>
      </w:r>
      <w:proofErr w:type="spellStart"/>
      <w:proofErr w:type="gramEnd"/>
      <w:r w:rsidR="00967671" w:rsidRPr="00967671">
        <w:rPr>
          <w:noProof/>
        </w:rPr>
        <w:t>Willer</w:t>
      </w:r>
      <w:proofErr w:type="spellEnd"/>
      <w:r w:rsidR="00967671" w:rsidRPr="00967671">
        <w:rPr>
          <w:noProof/>
        </w:rPr>
        <w:t xml:space="preserve"> et al., </w:t>
      </w:r>
      <w:r w:rsidR="00967671" w:rsidRPr="00967671">
        <w:rPr>
          <w:noProof/>
        </w:rPr>
        <w:lastRenderedPageBreak/>
        <w:t>2010)</w:t>
      </w:r>
      <w:r w:rsidR="00085606" w:rsidRPr="00167D7B">
        <w:t xml:space="preserve">. </w:t>
      </w:r>
      <w:r w:rsidR="00167D7B" w:rsidRPr="00167D7B">
        <w:t>To address differences in the included sets of genetic varian</w:t>
      </w:r>
      <w:r w:rsidR="004C1AA9">
        <w:t>ts</w:t>
      </w:r>
      <w:r w:rsidR="00167D7B" w:rsidRPr="00167D7B">
        <w:t xml:space="preserve"> due to differing imputation panels (HapMap phase 2 in </w:t>
      </w:r>
      <w:proofErr w:type="spellStart"/>
      <w:r w:rsidR="00167D7B" w:rsidRPr="00167D7B">
        <w:t>Draisma</w:t>
      </w:r>
      <w:proofErr w:type="spellEnd"/>
      <w:r w:rsidR="00167D7B" w:rsidRPr="00167D7B">
        <w:t xml:space="preserve"> et al., 1000 genomes phase 3 in Fenland</w:t>
      </w:r>
      <w:r w:rsidR="00FF3186">
        <w:t xml:space="preserve"> Study</w:t>
      </w:r>
      <w:r w:rsidR="00167D7B" w:rsidRPr="00167D7B">
        <w:t xml:space="preserve">), we first matched SNPs based on their identifiers and genomic locations. SNPs reported with differing alleles in Fenland and the </w:t>
      </w:r>
      <w:proofErr w:type="spellStart"/>
      <w:r w:rsidR="00167D7B" w:rsidRPr="00167D7B">
        <w:t>Draisma</w:t>
      </w:r>
      <w:proofErr w:type="spellEnd"/>
      <w:r w:rsidR="00167D7B" w:rsidRPr="00167D7B">
        <w:t xml:space="preserve"> et al. </w:t>
      </w:r>
      <w:proofErr w:type="gramStart"/>
      <w:r w:rsidR="00167D7B" w:rsidRPr="00167D7B">
        <w:t>study were</w:t>
      </w:r>
      <w:proofErr w:type="gramEnd"/>
      <w:r w:rsidR="00167D7B" w:rsidRPr="00167D7B">
        <w:t xml:space="preserve"> disregarded. In addition, AC levels were centered and scaled to zero mean and unit variance in the Fenland study but not in the </w:t>
      </w:r>
      <w:proofErr w:type="spellStart"/>
      <w:r w:rsidR="00167D7B" w:rsidRPr="00167D7B">
        <w:t>Draisma</w:t>
      </w:r>
      <w:proofErr w:type="spellEnd"/>
      <w:r w:rsidR="00167D7B" w:rsidRPr="00167D7B">
        <w:t xml:space="preserve"> et al. study, leading to inflated heterogeneity estimates in our meta-analysis of the two studies. To account for that, we rescaled genome-wide effect estimate distributions reported by </w:t>
      </w:r>
      <w:proofErr w:type="spellStart"/>
      <w:r w:rsidR="00167D7B" w:rsidRPr="00167D7B">
        <w:t>Draisma</w:t>
      </w:r>
      <w:proofErr w:type="spellEnd"/>
      <w:r w:rsidR="00167D7B" w:rsidRPr="00167D7B">
        <w:t xml:space="preserve"> et al. to the effect estimate distributions reported for Fenland, and centered standard error intervals to the thus derived, rescaled effect estimates. This led to substantially decreased, mostly insignificant heterogeneity across the vast majority of associations investigated in our meta-analysis. Exceptions were effect estimates at the extremes of the effect distributions (i.e., the most significant associations), which is expected from this statistical procedure. We therefore manually investigated genetic associations showing significant heterogeneity between the two studies. This identified the greater heterogeneity of the studies (n = 7 cohorts) underlying the initial </w:t>
      </w:r>
      <w:proofErr w:type="spellStart"/>
      <w:r w:rsidR="00167D7B" w:rsidRPr="00167D7B">
        <w:t>Draisma</w:t>
      </w:r>
      <w:proofErr w:type="spellEnd"/>
      <w:r w:rsidR="00167D7B" w:rsidRPr="00167D7B">
        <w:t xml:space="preserve"> et al. meta-analysis as the most likely cause, as it resulted overall in significantly lower reported effect estimates than those observed in the Fenland study, despite the similar sample sizes included in each of the studies.</w:t>
      </w:r>
    </w:p>
    <w:p w:rsidR="0032151D" w:rsidRDefault="00D36B00" w:rsidP="00E77BCB">
      <w:pPr>
        <w:spacing w:line="480" w:lineRule="auto"/>
        <w:sectPr w:rsidR="0032151D" w:rsidSect="00CF21BE">
          <w:pgSz w:w="11900" w:h="16840"/>
          <w:pgMar w:top="1440" w:right="1440" w:bottom="1440" w:left="1440" w:header="708" w:footer="708" w:gutter="0"/>
          <w:cols w:space="708"/>
          <w:docGrid w:linePitch="360"/>
        </w:sectPr>
      </w:pPr>
      <w:r w:rsidRPr="00751543">
        <w:t xml:space="preserve">In order to select genetic instruments for two-sample Mendelian randomization (2SMR) analyses, the pooled GWAS summary statistics were processed through similar steps as compared to those previously applied to Fenland Study results. </w:t>
      </w:r>
      <w:r w:rsidR="00751543" w:rsidRPr="00751543">
        <w:t xml:space="preserve">AC summary </w:t>
      </w:r>
      <w:proofErr w:type="gramStart"/>
      <w:r w:rsidR="00751543" w:rsidRPr="00751543">
        <w:t>statistics  (</w:t>
      </w:r>
      <w:proofErr w:type="gramEnd"/>
      <w:r w:rsidR="00751543" w:rsidRPr="00751543">
        <w:t>~</w:t>
      </w:r>
      <w:r w:rsidR="00217057">
        <w:t>2</w:t>
      </w:r>
      <w:r w:rsidR="00751543" w:rsidRPr="00751543">
        <w:t>M SNPs</w:t>
      </w:r>
      <w:r w:rsidR="000C0C76">
        <w:t>)</w:t>
      </w:r>
      <w:r w:rsidR="00751543" w:rsidRPr="00751543">
        <w:t xml:space="preserve"> were processed by removing strand ambiguous SNPs and with MAF&lt;1%. Variants overlapping with those reported in depression GWAS were clumped (10,000 kb window, </w:t>
      </w:r>
      <w:r w:rsidR="00751543" w:rsidRPr="00751543">
        <w:rPr>
          <w:i/>
        </w:rPr>
        <w:t>r</w:t>
      </w:r>
      <w:r w:rsidR="00751543" w:rsidRPr="00751543">
        <w:rPr>
          <w:i/>
          <w:vertAlign w:val="superscript"/>
        </w:rPr>
        <w:t>2</w:t>
      </w:r>
      <w:r w:rsidR="00751543" w:rsidRPr="00751543">
        <w:t xml:space="preserve">=0.01, EUR population of 1000Genomes used as linkage disequilibrium reference) to </w:t>
      </w:r>
      <w:r w:rsidR="00751543" w:rsidRPr="00751543">
        <w:lastRenderedPageBreak/>
        <w:t xml:space="preserve">identify independent significantly (p&lt;5.0e-8) associated SNPs. </w:t>
      </w:r>
      <w:r w:rsidR="00217057">
        <w:t>Genetic instruments selected for</w:t>
      </w:r>
      <w:r w:rsidR="00751543" w:rsidRPr="00751543">
        <w:t xml:space="preserve"> ACs </w:t>
      </w:r>
      <w:r w:rsidR="00217057">
        <w:t xml:space="preserve">and their strength is reported in </w:t>
      </w:r>
      <w:proofErr w:type="spellStart"/>
      <w:r w:rsidR="00751543" w:rsidRPr="00E66C86">
        <w:t>eTable</w:t>
      </w:r>
      <w:proofErr w:type="spellEnd"/>
      <w:r w:rsidR="00751543" w:rsidRPr="00E66C86">
        <w:t xml:space="preserve"> </w:t>
      </w:r>
      <w:r w:rsidR="00E66C86">
        <w:t>9</w:t>
      </w:r>
      <w:r w:rsidR="00751543" w:rsidRPr="00E66C86">
        <w:t>.</w:t>
      </w:r>
      <w:r w:rsidR="00751543" w:rsidRPr="00751543">
        <w:t xml:space="preserve"> </w:t>
      </w:r>
    </w:p>
    <w:p w:rsidR="00751543" w:rsidRDefault="00E77BCB" w:rsidP="00E77BCB">
      <w:pPr>
        <w:pStyle w:val="Heading1"/>
        <w:spacing w:line="480" w:lineRule="auto"/>
        <w:rPr>
          <w:rFonts w:ascii="Times New Roman" w:hAnsi="Times New Roman" w:cs="Times New Roman"/>
          <w:b/>
          <w:color w:val="000000" w:themeColor="text1"/>
          <w:sz w:val="24"/>
          <w:szCs w:val="24"/>
        </w:rPr>
      </w:pPr>
      <w:bookmarkStart w:id="4" w:name="_Toc97882871"/>
      <w:r w:rsidRPr="00E77BCB">
        <w:rPr>
          <w:rFonts w:ascii="Times New Roman" w:hAnsi="Times New Roman" w:cs="Times New Roman"/>
          <w:b/>
          <w:color w:val="000000" w:themeColor="text1"/>
          <w:sz w:val="24"/>
          <w:szCs w:val="24"/>
        </w:rPr>
        <w:lastRenderedPageBreak/>
        <w:t>Supplemental Tables</w:t>
      </w:r>
      <w:bookmarkEnd w:id="4"/>
    </w:p>
    <w:p w:rsidR="00E77BCB" w:rsidRPr="00E77BCB" w:rsidRDefault="00E77BCB" w:rsidP="00E77BCB">
      <w:pPr>
        <w:pStyle w:val="Heading2"/>
        <w:spacing w:line="480" w:lineRule="auto"/>
        <w:rPr>
          <w:rFonts w:ascii="Times New Roman" w:hAnsi="Times New Roman" w:cs="Times New Roman"/>
          <w:color w:val="000000" w:themeColor="text1"/>
          <w:sz w:val="24"/>
          <w:szCs w:val="24"/>
        </w:rPr>
      </w:pPr>
      <w:bookmarkStart w:id="5" w:name="_Toc97882872"/>
      <w:proofErr w:type="spellStart"/>
      <w:proofErr w:type="gramStart"/>
      <w:r w:rsidRPr="00E77BCB">
        <w:rPr>
          <w:rFonts w:ascii="Times New Roman" w:hAnsi="Times New Roman" w:cs="Times New Roman"/>
          <w:b/>
          <w:i/>
          <w:color w:val="000000" w:themeColor="text1"/>
          <w:sz w:val="24"/>
          <w:szCs w:val="24"/>
        </w:rPr>
        <w:t>eTable</w:t>
      </w:r>
      <w:proofErr w:type="spellEnd"/>
      <w:proofErr w:type="gramEnd"/>
      <w:r w:rsidRPr="00E77BCB">
        <w:rPr>
          <w:rFonts w:ascii="Times New Roman" w:hAnsi="Times New Roman" w:cs="Times New Roman"/>
          <w:b/>
          <w:i/>
          <w:color w:val="000000" w:themeColor="text1"/>
          <w:sz w:val="24"/>
          <w:szCs w:val="24"/>
        </w:rPr>
        <w:t xml:space="preserve"> 1. </w:t>
      </w:r>
      <w:r w:rsidRPr="00E77BCB">
        <w:rPr>
          <w:rFonts w:ascii="Times New Roman" w:hAnsi="Times New Roman" w:cs="Times New Roman"/>
          <w:color w:val="000000" w:themeColor="text1"/>
          <w:sz w:val="24"/>
          <w:szCs w:val="24"/>
        </w:rPr>
        <w:t>Se</w:t>
      </w:r>
      <w:r>
        <w:rPr>
          <w:rFonts w:ascii="Times New Roman" w:hAnsi="Times New Roman" w:cs="Times New Roman"/>
          <w:color w:val="000000" w:themeColor="text1"/>
          <w:sz w:val="24"/>
          <w:szCs w:val="24"/>
        </w:rPr>
        <w:t xml:space="preserve">lected genetic instruments for </w:t>
      </w:r>
      <w:proofErr w:type="spellStart"/>
      <w:r>
        <w:rPr>
          <w:rFonts w:ascii="Times New Roman" w:hAnsi="Times New Roman" w:cs="Times New Roman"/>
          <w:color w:val="000000" w:themeColor="text1"/>
          <w:sz w:val="24"/>
          <w:szCs w:val="24"/>
        </w:rPr>
        <w:t>acylcarnitines</w:t>
      </w:r>
      <w:bookmarkEnd w:id="5"/>
      <w:proofErr w:type="spellEnd"/>
    </w:p>
    <w:tbl>
      <w:tblPr>
        <w:tblW w:w="8267" w:type="dxa"/>
        <w:tblLook w:val="04A0" w:firstRow="1" w:lastRow="0" w:firstColumn="1" w:lastColumn="0" w:noHBand="0" w:noVBand="1"/>
      </w:tblPr>
      <w:tblGrid>
        <w:gridCol w:w="1418"/>
        <w:gridCol w:w="2713"/>
        <w:gridCol w:w="774"/>
        <w:gridCol w:w="271"/>
        <w:gridCol w:w="940"/>
        <w:gridCol w:w="271"/>
        <w:gridCol w:w="742"/>
        <w:gridCol w:w="1138"/>
      </w:tblGrid>
      <w:tr w:rsidR="00E4037F" w:rsidRPr="00E4037F" w:rsidTr="00E3162C">
        <w:trPr>
          <w:trHeight w:val="340"/>
        </w:trPr>
        <w:tc>
          <w:tcPr>
            <w:tcW w:w="4905" w:type="dxa"/>
            <w:gridSpan w:val="3"/>
            <w:tcBorders>
              <w:top w:val="nil"/>
              <w:left w:val="nil"/>
              <w:bottom w:val="nil"/>
              <w:right w:val="nil"/>
            </w:tcBorders>
            <w:shd w:val="clear" w:color="auto" w:fill="auto"/>
            <w:noWrap/>
            <w:vAlign w:val="bottom"/>
            <w:hideMark/>
          </w:tcPr>
          <w:p w:rsidR="00E4037F" w:rsidRPr="00E4037F" w:rsidRDefault="00E4037F" w:rsidP="00E4037F"/>
        </w:tc>
        <w:tc>
          <w:tcPr>
            <w:tcW w:w="271" w:type="dxa"/>
            <w:tcBorders>
              <w:top w:val="nil"/>
              <w:left w:val="nil"/>
              <w:bottom w:val="nil"/>
              <w:right w:val="nil"/>
            </w:tcBorders>
            <w:shd w:val="clear" w:color="auto" w:fill="auto"/>
            <w:noWrap/>
            <w:vAlign w:val="bottom"/>
            <w:hideMark/>
          </w:tcPr>
          <w:p w:rsidR="00E4037F" w:rsidRPr="00E4037F" w:rsidRDefault="00E4037F" w:rsidP="00E4037F">
            <w:pPr>
              <w:rPr>
                <w:sz w:val="20"/>
                <w:szCs w:val="2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rPr>
                <w:sz w:val="20"/>
                <w:szCs w:val="20"/>
              </w:rPr>
            </w:pPr>
          </w:p>
        </w:tc>
        <w:tc>
          <w:tcPr>
            <w:tcW w:w="271" w:type="dxa"/>
            <w:tcBorders>
              <w:top w:val="nil"/>
              <w:left w:val="nil"/>
              <w:bottom w:val="nil"/>
              <w:right w:val="nil"/>
            </w:tcBorders>
            <w:shd w:val="clear" w:color="auto" w:fill="auto"/>
            <w:noWrap/>
            <w:vAlign w:val="bottom"/>
            <w:hideMark/>
          </w:tcPr>
          <w:p w:rsidR="00E4037F" w:rsidRPr="00E4037F" w:rsidRDefault="00E4037F" w:rsidP="00E4037F">
            <w:pPr>
              <w:rPr>
                <w:sz w:val="20"/>
                <w:szCs w:val="20"/>
              </w:rPr>
            </w:pPr>
          </w:p>
        </w:tc>
        <w:tc>
          <w:tcPr>
            <w:tcW w:w="1880" w:type="dxa"/>
            <w:gridSpan w:val="2"/>
            <w:tcBorders>
              <w:top w:val="nil"/>
              <w:left w:val="nil"/>
              <w:bottom w:val="single" w:sz="8" w:space="0" w:color="auto"/>
              <w:right w:val="nil"/>
            </w:tcBorders>
            <w:shd w:val="clear" w:color="auto" w:fill="auto"/>
            <w:noWrap/>
            <w:vAlign w:val="bottom"/>
            <w:hideMark/>
          </w:tcPr>
          <w:p w:rsidR="00E4037F" w:rsidRPr="00E4037F" w:rsidRDefault="00E4037F" w:rsidP="00E4037F">
            <w:pPr>
              <w:jc w:val="center"/>
              <w:rPr>
                <w:rFonts w:ascii="Calibri" w:hAnsi="Calibri" w:cs="Calibri"/>
                <w:b/>
                <w:bCs/>
                <w:color w:val="000000"/>
              </w:rPr>
            </w:pPr>
            <w:r w:rsidRPr="00E4037F">
              <w:rPr>
                <w:rFonts w:ascii="Calibri" w:hAnsi="Calibri" w:cs="Calibri"/>
                <w:b/>
                <w:bCs/>
                <w:color w:val="000000"/>
              </w:rPr>
              <w:t>F-statistic</w:t>
            </w:r>
          </w:p>
        </w:tc>
      </w:tr>
      <w:tr w:rsidR="00E4037F" w:rsidRPr="00E4037F" w:rsidTr="00E3162C">
        <w:trPr>
          <w:trHeight w:val="340"/>
        </w:trPr>
        <w:tc>
          <w:tcPr>
            <w:tcW w:w="4905" w:type="dxa"/>
            <w:gridSpan w:val="3"/>
            <w:tcBorders>
              <w:top w:val="nil"/>
              <w:left w:val="nil"/>
              <w:bottom w:val="single" w:sz="8" w:space="0" w:color="auto"/>
              <w:right w:val="nil"/>
            </w:tcBorders>
            <w:shd w:val="clear" w:color="auto" w:fill="auto"/>
            <w:noWrap/>
            <w:vAlign w:val="bottom"/>
            <w:hideMark/>
          </w:tcPr>
          <w:p w:rsidR="00E4037F" w:rsidRPr="00E4037F" w:rsidRDefault="00E4037F" w:rsidP="00E4037F">
            <w:pPr>
              <w:jc w:val="center"/>
              <w:rPr>
                <w:rFonts w:ascii="Calibri" w:hAnsi="Calibri" w:cs="Calibri"/>
                <w:b/>
                <w:bCs/>
                <w:color w:val="000000"/>
              </w:rPr>
            </w:pPr>
            <w:r w:rsidRPr="00E4037F">
              <w:rPr>
                <w:rFonts w:ascii="Calibri" w:hAnsi="Calibri" w:cs="Calibri"/>
                <w:b/>
                <w:bCs/>
                <w:color w:val="000000"/>
              </w:rPr>
              <w:t>﻿</w:t>
            </w:r>
            <w:proofErr w:type="spellStart"/>
            <w:r w:rsidRPr="00E4037F">
              <w:rPr>
                <w:rFonts w:ascii="Calibri" w:hAnsi="Calibri" w:cs="Calibri"/>
                <w:b/>
                <w:bCs/>
                <w:color w:val="000000"/>
              </w:rPr>
              <w:t>Acylcarnitines</w:t>
            </w:r>
            <w:proofErr w:type="spellEnd"/>
          </w:p>
        </w:tc>
        <w:tc>
          <w:tcPr>
            <w:tcW w:w="271" w:type="dxa"/>
            <w:tcBorders>
              <w:top w:val="nil"/>
              <w:left w:val="nil"/>
              <w:bottom w:val="single" w:sz="8" w:space="0" w:color="auto"/>
              <w:right w:val="nil"/>
            </w:tcBorders>
            <w:shd w:val="clear" w:color="auto" w:fill="auto"/>
            <w:noWrap/>
            <w:vAlign w:val="bottom"/>
            <w:hideMark/>
          </w:tcPr>
          <w:p w:rsidR="00E4037F" w:rsidRPr="00E4037F" w:rsidRDefault="00E4037F" w:rsidP="00E4037F">
            <w:pPr>
              <w:jc w:val="center"/>
              <w:rPr>
                <w:rFonts w:ascii="Calibri" w:hAnsi="Calibri" w:cs="Calibri"/>
                <w:b/>
                <w:bCs/>
                <w:color w:val="000000"/>
              </w:rPr>
            </w:pPr>
            <w:r w:rsidRPr="00E4037F">
              <w:rPr>
                <w:rFonts w:ascii="Calibri" w:hAnsi="Calibri" w:cs="Calibri"/>
                <w:b/>
                <w:bCs/>
                <w:color w:val="000000"/>
              </w:rPr>
              <w:t> </w:t>
            </w:r>
          </w:p>
        </w:tc>
        <w:tc>
          <w:tcPr>
            <w:tcW w:w="940" w:type="dxa"/>
            <w:tcBorders>
              <w:top w:val="nil"/>
              <w:left w:val="nil"/>
              <w:bottom w:val="single" w:sz="8" w:space="0" w:color="auto"/>
              <w:right w:val="nil"/>
            </w:tcBorders>
            <w:shd w:val="clear" w:color="auto" w:fill="auto"/>
            <w:noWrap/>
            <w:vAlign w:val="bottom"/>
            <w:hideMark/>
          </w:tcPr>
          <w:p w:rsidR="00E4037F" w:rsidRPr="00E4037F" w:rsidRDefault="00E4037F" w:rsidP="00E4037F">
            <w:pPr>
              <w:jc w:val="center"/>
              <w:rPr>
                <w:rFonts w:ascii="Calibri" w:hAnsi="Calibri" w:cs="Calibri"/>
                <w:b/>
                <w:bCs/>
                <w:color w:val="000000"/>
              </w:rPr>
            </w:pPr>
            <w:r w:rsidRPr="00E4037F">
              <w:rPr>
                <w:rFonts w:ascii="Calibri" w:hAnsi="Calibri" w:cs="Calibri"/>
                <w:b/>
                <w:bCs/>
                <w:color w:val="000000"/>
              </w:rPr>
              <w:t>N SNPs</w:t>
            </w:r>
          </w:p>
        </w:tc>
        <w:tc>
          <w:tcPr>
            <w:tcW w:w="271" w:type="dxa"/>
            <w:tcBorders>
              <w:top w:val="nil"/>
              <w:left w:val="nil"/>
              <w:bottom w:val="single" w:sz="8" w:space="0" w:color="auto"/>
              <w:right w:val="nil"/>
            </w:tcBorders>
            <w:shd w:val="clear" w:color="auto" w:fill="auto"/>
            <w:noWrap/>
            <w:vAlign w:val="bottom"/>
            <w:hideMark/>
          </w:tcPr>
          <w:p w:rsidR="00E4037F" w:rsidRPr="00E4037F" w:rsidRDefault="00E4037F" w:rsidP="00E4037F">
            <w:pPr>
              <w:rPr>
                <w:rFonts w:ascii="Calibri" w:hAnsi="Calibri" w:cs="Calibri"/>
                <w:color w:val="000000"/>
              </w:rPr>
            </w:pPr>
            <w:r w:rsidRPr="00E4037F">
              <w:rPr>
                <w:rFonts w:ascii="Calibri" w:hAnsi="Calibri" w:cs="Calibri"/>
                <w:color w:val="000000"/>
              </w:rPr>
              <w:t> </w:t>
            </w:r>
          </w:p>
        </w:tc>
        <w:tc>
          <w:tcPr>
            <w:tcW w:w="742" w:type="dxa"/>
            <w:tcBorders>
              <w:top w:val="nil"/>
              <w:left w:val="nil"/>
              <w:bottom w:val="single" w:sz="8" w:space="0" w:color="auto"/>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min</w:t>
            </w:r>
          </w:p>
        </w:tc>
        <w:tc>
          <w:tcPr>
            <w:tcW w:w="1138" w:type="dxa"/>
            <w:tcBorders>
              <w:top w:val="nil"/>
              <w:left w:val="nil"/>
              <w:bottom w:val="single" w:sz="8" w:space="0" w:color="auto"/>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max</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845EF6" w:rsidP="00E4037F">
            <w:pPr>
              <w:jc w:val="center"/>
              <w:rPr>
                <w:rFonts w:ascii="Calibri" w:hAnsi="Calibri" w:cs="Calibri"/>
                <w:i/>
                <w:iCs/>
                <w:color w:val="000000"/>
                <w:sz w:val="20"/>
                <w:szCs w:val="20"/>
              </w:rPr>
            </w:pPr>
            <w:r>
              <w:rPr>
                <w:rFonts w:ascii="Calibri" w:hAnsi="Calibri" w:cs="Calibri"/>
                <w:i/>
                <w:iCs/>
                <w:color w:val="000000"/>
                <w:sz w:val="20"/>
                <w:szCs w:val="20"/>
              </w:rPr>
              <w:t>free carnitine</w:t>
            </w:r>
          </w:p>
        </w:tc>
        <w:tc>
          <w:tcPr>
            <w:tcW w:w="2713"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Carnitine</w:t>
            </w:r>
          </w:p>
        </w:tc>
        <w:tc>
          <w:tcPr>
            <w:tcW w:w="774"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C0</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10</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31.1</w:t>
            </w:r>
          </w:p>
        </w:tc>
        <w:tc>
          <w:tcPr>
            <w:tcW w:w="113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698.1</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845EF6" w:rsidP="00E4037F">
            <w:pPr>
              <w:jc w:val="center"/>
              <w:rPr>
                <w:rFonts w:ascii="Calibri" w:hAnsi="Calibri" w:cs="Calibri"/>
                <w:color w:val="000000"/>
              </w:rPr>
            </w:pPr>
            <w:r w:rsidRPr="00E4037F">
              <w:rPr>
                <w:rFonts w:ascii="Calibri" w:hAnsi="Calibri" w:cs="Calibri"/>
                <w:i/>
                <w:iCs/>
                <w:color w:val="000000"/>
                <w:sz w:val="20"/>
                <w:szCs w:val="20"/>
              </w:rPr>
              <w:t>short-chain</w:t>
            </w:r>
          </w:p>
        </w:tc>
        <w:tc>
          <w:tcPr>
            <w:tcW w:w="2713"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Acetylcarnitine</w:t>
            </w:r>
          </w:p>
        </w:tc>
        <w:tc>
          <w:tcPr>
            <w:tcW w:w="774"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C2</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5</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31.2</w:t>
            </w:r>
          </w:p>
        </w:tc>
        <w:tc>
          <w:tcPr>
            <w:tcW w:w="113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297.1</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2713"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Propionylcarnitine</w:t>
            </w:r>
          </w:p>
        </w:tc>
        <w:tc>
          <w:tcPr>
            <w:tcW w:w="774"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C3</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9</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29.8</w:t>
            </w:r>
          </w:p>
        </w:tc>
        <w:tc>
          <w:tcPr>
            <w:tcW w:w="113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326.9</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2713"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roofErr w:type="spellStart"/>
            <w:r w:rsidRPr="00E4037F">
              <w:rPr>
                <w:rFonts w:ascii="Calibri" w:hAnsi="Calibri" w:cs="Calibri"/>
                <w:color w:val="000000"/>
              </w:rPr>
              <w:t>Butyrylcarnitine</w:t>
            </w:r>
            <w:proofErr w:type="spellEnd"/>
          </w:p>
        </w:tc>
        <w:tc>
          <w:tcPr>
            <w:tcW w:w="774"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C4</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17</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30.6</w:t>
            </w:r>
          </w:p>
        </w:tc>
        <w:tc>
          <w:tcPr>
            <w:tcW w:w="113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1312.6</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2713"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roofErr w:type="spellStart"/>
            <w:r w:rsidRPr="00E4037F">
              <w:rPr>
                <w:rFonts w:ascii="Calibri" w:hAnsi="Calibri" w:cs="Calibri"/>
                <w:color w:val="000000"/>
              </w:rPr>
              <w:t>Valerylcarnitine</w:t>
            </w:r>
            <w:proofErr w:type="spellEnd"/>
          </w:p>
        </w:tc>
        <w:tc>
          <w:tcPr>
            <w:tcW w:w="774"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C5</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5</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32.2</w:t>
            </w:r>
          </w:p>
        </w:tc>
        <w:tc>
          <w:tcPr>
            <w:tcW w:w="113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160.8</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i/>
                <w:iCs/>
                <w:color w:val="000000"/>
                <w:sz w:val="20"/>
                <w:szCs w:val="20"/>
              </w:rPr>
            </w:pPr>
            <w:r w:rsidRPr="00E4037F">
              <w:rPr>
                <w:rFonts w:ascii="Calibri" w:hAnsi="Calibri" w:cs="Calibri"/>
                <w:i/>
                <w:iCs/>
                <w:color w:val="000000"/>
                <w:sz w:val="20"/>
                <w:szCs w:val="20"/>
              </w:rPr>
              <w:t>medium-chain</w:t>
            </w:r>
          </w:p>
        </w:tc>
        <w:tc>
          <w:tcPr>
            <w:tcW w:w="2713"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roofErr w:type="spellStart"/>
            <w:r w:rsidRPr="00E4037F">
              <w:rPr>
                <w:rFonts w:ascii="Calibri" w:hAnsi="Calibri" w:cs="Calibri"/>
                <w:color w:val="000000"/>
              </w:rPr>
              <w:t>Hexanoylcarnitine</w:t>
            </w:r>
            <w:proofErr w:type="spellEnd"/>
          </w:p>
        </w:tc>
        <w:tc>
          <w:tcPr>
            <w:tcW w:w="774"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C6</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6</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31.3</w:t>
            </w:r>
          </w:p>
        </w:tc>
        <w:tc>
          <w:tcPr>
            <w:tcW w:w="113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348.2</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2713"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Octanoylcarnitine</w:t>
            </w:r>
          </w:p>
        </w:tc>
        <w:tc>
          <w:tcPr>
            <w:tcW w:w="774"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C8</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7</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31.1</w:t>
            </w:r>
          </w:p>
        </w:tc>
        <w:tc>
          <w:tcPr>
            <w:tcW w:w="113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271.2</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2713"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roofErr w:type="spellStart"/>
            <w:r w:rsidRPr="00E4037F">
              <w:rPr>
                <w:rFonts w:ascii="Calibri" w:hAnsi="Calibri" w:cs="Calibri"/>
                <w:color w:val="000000"/>
              </w:rPr>
              <w:t>Nonaylcarnitine</w:t>
            </w:r>
            <w:proofErr w:type="spellEnd"/>
          </w:p>
        </w:tc>
        <w:tc>
          <w:tcPr>
            <w:tcW w:w="774"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C9</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2</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48.1</w:t>
            </w:r>
          </w:p>
        </w:tc>
        <w:tc>
          <w:tcPr>
            <w:tcW w:w="113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275.3</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2713"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Decanoylcarnitine</w:t>
            </w:r>
          </w:p>
        </w:tc>
        <w:tc>
          <w:tcPr>
            <w:tcW w:w="774"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C10</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5</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33.4</w:t>
            </w:r>
          </w:p>
        </w:tc>
        <w:tc>
          <w:tcPr>
            <w:tcW w:w="113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242.8</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2713"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roofErr w:type="spellStart"/>
            <w:r w:rsidRPr="00E4037F">
              <w:rPr>
                <w:rFonts w:ascii="Calibri" w:hAnsi="Calibri" w:cs="Calibri"/>
                <w:color w:val="000000"/>
              </w:rPr>
              <w:t>Decenoylcarnitine</w:t>
            </w:r>
            <w:proofErr w:type="spellEnd"/>
          </w:p>
        </w:tc>
        <w:tc>
          <w:tcPr>
            <w:tcW w:w="774"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C10:1</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5</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30.0</w:t>
            </w:r>
          </w:p>
        </w:tc>
        <w:tc>
          <w:tcPr>
            <w:tcW w:w="113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128.7</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2713"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roofErr w:type="spellStart"/>
            <w:r w:rsidRPr="00E4037F">
              <w:rPr>
                <w:rFonts w:ascii="Calibri" w:hAnsi="Calibri" w:cs="Calibri"/>
                <w:color w:val="000000"/>
              </w:rPr>
              <w:t>Dodecanoylcarnitine</w:t>
            </w:r>
            <w:proofErr w:type="spellEnd"/>
          </w:p>
        </w:tc>
        <w:tc>
          <w:tcPr>
            <w:tcW w:w="774"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C12</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2</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46.9</w:t>
            </w:r>
          </w:p>
        </w:tc>
        <w:tc>
          <w:tcPr>
            <w:tcW w:w="113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94.0</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i/>
                <w:iCs/>
                <w:color w:val="000000"/>
                <w:sz w:val="20"/>
                <w:szCs w:val="20"/>
              </w:rPr>
            </w:pPr>
            <w:r w:rsidRPr="00E4037F">
              <w:rPr>
                <w:rFonts w:ascii="Calibri" w:hAnsi="Calibri" w:cs="Calibri"/>
                <w:i/>
                <w:iCs/>
                <w:color w:val="000000"/>
                <w:sz w:val="20"/>
                <w:szCs w:val="20"/>
              </w:rPr>
              <w:t>long-chain</w:t>
            </w:r>
          </w:p>
        </w:tc>
        <w:tc>
          <w:tcPr>
            <w:tcW w:w="2713"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roofErr w:type="spellStart"/>
            <w:r w:rsidRPr="00E4037F">
              <w:rPr>
                <w:rFonts w:ascii="Calibri" w:hAnsi="Calibri" w:cs="Calibri"/>
                <w:color w:val="000000"/>
              </w:rPr>
              <w:t>Tetradecenoylcarnitine</w:t>
            </w:r>
            <w:proofErr w:type="spellEnd"/>
          </w:p>
        </w:tc>
        <w:tc>
          <w:tcPr>
            <w:tcW w:w="774"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C14:1</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2</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35.6</w:t>
            </w:r>
          </w:p>
        </w:tc>
        <w:tc>
          <w:tcPr>
            <w:tcW w:w="113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55.1</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2713" w:type="dxa"/>
            <w:tcBorders>
              <w:top w:val="nil"/>
              <w:left w:val="nil"/>
              <w:bottom w:val="nil"/>
              <w:right w:val="nil"/>
            </w:tcBorders>
            <w:shd w:val="clear" w:color="auto" w:fill="auto"/>
            <w:noWrap/>
            <w:vAlign w:val="bottom"/>
            <w:hideMark/>
          </w:tcPr>
          <w:p w:rsidR="00E4037F" w:rsidRPr="00E4037F" w:rsidRDefault="00E4037F" w:rsidP="00E4037F">
            <w:pPr>
              <w:rPr>
                <w:rFonts w:ascii="Calibri" w:hAnsi="Calibri" w:cs="Calibri"/>
                <w:color w:val="000000"/>
              </w:rPr>
            </w:pPr>
            <w:proofErr w:type="spellStart"/>
            <w:r w:rsidRPr="00E4037F">
              <w:rPr>
                <w:rFonts w:ascii="Calibri" w:hAnsi="Calibri" w:cs="Calibri"/>
                <w:color w:val="000000"/>
              </w:rPr>
              <w:t>Hexadecanoylcarnitine</w:t>
            </w:r>
            <w:proofErr w:type="spellEnd"/>
          </w:p>
        </w:tc>
        <w:tc>
          <w:tcPr>
            <w:tcW w:w="774"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C16</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2</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59.3</w:t>
            </w:r>
          </w:p>
        </w:tc>
        <w:tc>
          <w:tcPr>
            <w:tcW w:w="113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70.3</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2713"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roofErr w:type="spellStart"/>
            <w:r w:rsidRPr="00E4037F">
              <w:rPr>
                <w:rFonts w:ascii="Calibri" w:hAnsi="Calibri" w:cs="Calibri"/>
                <w:color w:val="000000"/>
              </w:rPr>
              <w:t>Octadecenoylcarnitine</w:t>
            </w:r>
            <w:proofErr w:type="spellEnd"/>
          </w:p>
        </w:tc>
        <w:tc>
          <w:tcPr>
            <w:tcW w:w="774"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C18:1</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2</w:t>
            </w: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52.9</w:t>
            </w:r>
          </w:p>
        </w:tc>
        <w:tc>
          <w:tcPr>
            <w:tcW w:w="113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118.9</w:t>
            </w:r>
          </w:p>
        </w:tc>
      </w:tr>
      <w:tr w:rsidR="00E4037F" w:rsidRPr="00E4037F" w:rsidTr="00E3162C">
        <w:trPr>
          <w:trHeight w:val="340"/>
        </w:trPr>
        <w:tc>
          <w:tcPr>
            <w:tcW w:w="1418" w:type="dxa"/>
            <w:tcBorders>
              <w:top w:val="nil"/>
              <w:left w:val="nil"/>
              <w:bottom w:val="single" w:sz="8" w:space="0" w:color="auto"/>
              <w:right w:val="nil"/>
            </w:tcBorders>
            <w:shd w:val="clear" w:color="auto" w:fill="auto"/>
            <w:noWrap/>
            <w:vAlign w:val="bottom"/>
            <w:hideMark/>
          </w:tcPr>
          <w:p w:rsidR="00E4037F" w:rsidRPr="00E4037F" w:rsidRDefault="00E4037F" w:rsidP="00E4037F">
            <w:pPr>
              <w:rPr>
                <w:rFonts w:ascii="Calibri" w:hAnsi="Calibri" w:cs="Calibri"/>
                <w:color w:val="000000"/>
              </w:rPr>
            </w:pPr>
            <w:r w:rsidRPr="00E4037F">
              <w:rPr>
                <w:rFonts w:ascii="Calibri" w:hAnsi="Calibri" w:cs="Calibri"/>
                <w:color w:val="000000"/>
              </w:rPr>
              <w:t> </w:t>
            </w:r>
          </w:p>
        </w:tc>
        <w:tc>
          <w:tcPr>
            <w:tcW w:w="2713" w:type="dxa"/>
            <w:tcBorders>
              <w:top w:val="nil"/>
              <w:left w:val="nil"/>
              <w:bottom w:val="single" w:sz="8" w:space="0" w:color="auto"/>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roofErr w:type="spellStart"/>
            <w:r w:rsidRPr="00E4037F">
              <w:rPr>
                <w:rFonts w:ascii="Calibri" w:hAnsi="Calibri" w:cs="Calibri"/>
                <w:color w:val="000000"/>
              </w:rPr>
              <w:t>Octadecandienylcarnitine</w:t>
            </w:r>
            <w:proofErr w:type="spellEnd"/>
          </w:p>
        </w:tc>
        <w:tc>
          <w:tcPr>
            <w:tcW w:w="774" w:type="dxa"/>
            <w:tcBorders>
              <w:top w:val="nil"/>
              <w:left w:val="nil"/>
              <w:bottom w:val="single" w:sz="8" w:space="0" w:color="auto"/>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C18:2</w:t>
            </w:r>
          </w:p>
        </w:tc>
        <w:tc>
          <w:tcPr>
            <w:tcW w:w="271" w:type="dxa"/>
            <w:tcBorders>
              <w:top w:val="nil"/>
              <w:left w:val="nil"/>
              <w:bottom w:val="single" w:sz="8" w:space="0" w:color="auto"/>
              <w:right w:val="nil"/>
            </w:tcBorders>
            <w:shd w:val="clear" w:color="auto" w:fill="auto"/>
            <w:noWrap/>
            <w:vAlign w:val="bottom"/>
            <w:hideMark/>
          </w:tcPr>
          <w:p w:rsidR="00E4037F" w:rsidRPr="00E4037F" w:rsidRDefault="00E4037F" w:rsidP="00E4037F">
            <w:pPr>
              <w:rPr>
                <w:rFonts w:ascii="Calibri" w:hAnsi="Calibri" w:cs="Calibri"/>
                <w:color w:val="000000"/>
              </w:rPr>
            </w:pPr>
            <w:r w:rsidRPr="00E4037F">
              <w:rPr>
                <w:rFonts w:ascii="Calibri" w:hAnsi="Calibri" w:cs="Calibri"/>
                <w:color w:val="000000"/>
              </w:rPr>
              <w:t> </w:t>
            </w:r>
          </w:p>
        </w:tc>
        <w:tc>
          <w:tcPr>
            <w:tcW w:w="940" w:type="dxa"/>
            <w:tcBorders>
              <w:top w:val="nil"/>
              <w:left w:val="nil"/>
              <w:bottom w:val="single" w:sz="8" w:space="0" w:color="auto"/>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2</w:t>
            </w:r>
          </w:p>
        </w:tc>
        <w:tc>
          <w:tcPr>
            <w:tcW w:w="271" w:type="dxa"/>
            <w:tcBorders>
              <w:top w:val="nil"/>
              <w:left w:val="nil"/>
              <w:bottom w:val="single" w:sz="8" w:space="0" w:color="auto"/>
              <w:right w:val="nil"/>
            </w:tcBorders>
            <w:shd w:val="clear" w:color="auto" w:fill="auto"/>
            <w:noWrap/>
            <w:vAlign w:val="bottom"/>
            <w:hideMark/>
          </w:tcPr>
          <w:p w:rsidR="00E4037F" w:rsidRPr="00E4037F" w:rsidRDefault="00E4037F" w:rsidP="00E4037F">
            <w:pPr>
              <w:rPr>
                <w:rFonts w:ascii="Calibri" w:hAnsi="Calibri" w:cs="Calibri"/>
                <w:color w:val="000000"/>
              </w:rPr>
            </w:pPr>
            <w:r w:rsidRPr="00E4037F">
              <w:rPr>
                <w:rFonts w:ascii="Calibri" w:hAnsi="Calibri" w:cs="Calibri"/>
                <w:color w:val="000000"/>
              </w:rPr>
              <w:t> </w:t>
            </w:r>
          </w:p>
        </w:tc>
        <w:tc>
          <w:tcPr>
            <w:tcW w:w="742" w:type="dxa"/>
            <w:tcBorders>
              <w:top w:val="nil"/>
              <w:left w:val="nil"/>
              <w:bottom w:val="single" w:sz="8" w:space="0" w:color="auto"/>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32.8</w:t>
            </w:r>
          </w:p>
        </w:tc>
        <w:tc>
          <w:tcPr>
            <w:tcW w:w="1138" w:type="dxa"/>
            <w:tcBorders>
              <w:top w:val="nil"/>
              <w:left w:val="nil"/>
              <w:bottom w:val="single" w:sz="8" w:space="0" w:color="auto"/>
              <w:right w:val="nil"/>
            </w:tcBorders>
            <w:shd w:val="clear" w:color="auto" w:fill="auto"/>
            <w:noWrap/>
            <w:vAlign w:val="bottom"/>
            <w:hideMark/>
          </w:tcPr>
          <w:p w:rsidR="00E4037F" w:rsidRPr="00E4037F" w:rsidRDefault="00E4037F" w:rsidP="00E4037F">
            <w:pPr>
              <w:jc w:val="center"/>
              <w:rPr>
                <w:rFonts w:ascii="Calibri" w:hAnsi="Calibri" w:cs="Calibri"/>
                <w:color w:val="000000"/>
              </w:rPr>
            </w:pPr>
            <w:r w:rsidRPr="00E4037F">
              <w:rPr>
                <w:rFonts w:ascii="Calibri" w:hAnsi="Calibri" w:cs="Calibri"/>
                <w:color w:val="000000"/>
              </w:rPr>
              <w:t>88.1</w:t>
            </w:r>
          </w:p>
        </w:tc>
      </w:tr>
      <w:tr w:rsidR="00E4037F" w:rsidRPr="00E4037F" w:rsidTr="00E3162C">
        <w:trPr>
          <w:trHeight w:val="320"/>
        </w:trPr>
        <w:tc>
          <w:tcPr>
            <w:tcW w:w="1418" w:type="dxa"/>
            <w:tcBorders>
              <w:top w:val="nil"/>
              <w:left w:val="nil"/>
              <w:bottom w:val="nil"/>
              <w:right w:val="nil"/>
            </w:tcBorders>
            <w:shd w:val="clear" w:color="auto" w:fill="auto"/>
            <w:noWrap/>
            <w:vAlign w:val="bottom"/>
            <w:hideMark/>
          </w:tcPr>
          <w:p w:rsidR="00E4037F" w:rsidRPr="00E4037F" w:rsidRDefault="00E4037F" w:rsidP="00E4037F">
            <w:pPr>
              <w:jc w:val="center"/>
              <w:rPr>
                <w:rFonts w:ascii="Calibri" w:hAnsi="Calibri" w:cs="Calibri"/>
                <w:color w:val="000000"/>
              </w:rPr>
            </w:pPr>
          </w:p>
        </w:tc>
        <w:tc>
          <w:tcPr>
            <w:tcW w:w="2713" w:type="dxa"/>
            <w:tcBorders>
              <w:top w:val="nil"/>
              <w:left w:val="nil"/>
              <w:bottom w:val="nil"/>
              <w:right w:val="nil"/>
            </w:tcBorders>
            <w:shd w:val="clear" w:color="auto" w:fill="auto"/>
            <w:noWrap/>
            <w:vAlign w:val="bottom"/>
            <w:hideMark/>
          </w:tcPr>
          <w:p w:rsidR="00E4037F" w:rsidRPr="00E4037F" w:rsidRDefault="00E4037F" w:rsidP="00E4037F">
            <w:pPr>
              <w:rPr>
                <w:sz w:val="20"/>
                <w:szCs w:val="20"/>
              </w:rPr>
            </w:pPr>
          </w:p>
        </w:tc>
        <w:tc>
          <w:tcPr>
            <w:tcW w:w="774" w:type="dxa"/>
            <w:tcBorders>
              <w:top w:val="nil"/>
              <w:left w:val="nil"/>
              <w:bottom w:val="nil"/>
              <w:right w:val="nil"/>
            </w:tcBorders>
            <w:shd w:val="clear" w:color="auto" w:fill="auto"/>
            <w:noWrap/>
            <w:vAlign w:val="bottom"/>
            <w:hideMark/>
          </w:tcPr>
          <w:p w:rsidR="00E4037F" w:rsidRPr="00E4037F" w:rsidRDefault="00E4037F" w:rsidP="00E4037F">
            <w:pPr>
              <w:rPr>
                <w:sz w:val="20"/>
                <w:szCs w:val="20"/>
              </w:rPr>
            </w:pPr>
          </w:p>
        </w:tc>
        <w:tc>
          <w:tcPr>
            <w:tcW w:w="271" w:type="dxa"/>
            <w:tcBorders>
              <w:top w:val="nil"/>
              <w:left w:val="nil"/>
              <w:bottom w:val="nil"/>
              <w:right w:val="nil"/>
            </w:tcBorders>
            <w:shd w:val="clear" w:color="auto" w:fill="auto"/>
            <w:noWrap/>
            <w:vAlign w:val="bottom"/>
            <w:hideMark/>
          </w:tcPr>
          <w:p w:rsidR="00E4037F" w:rsidRPr="00E4037F" w:rsidRDefault="00E4037F" w:rsidP="00E4037F">
            <w:pPr>
              <w:jc w:val="center"/>
              <w:rPr>
                <w:sz w:val="20"/>
                <w:szCs w:val="20"/>
              </w:rPr>
            </w:pPr>
          </w:p>
        </w:tc>
        <w:tc>
          <w:tcPr>
            <w:tcW w:w="940" w:type="dxa"/>
            <w:tcBorders>
              <w:top w:val="nil"/>
              <w:left w:val="nil"/>
              <w:bottom w:val="nil"/>
              <w:right w:val="nil"/>
            </w:tcBorders>
            <w:shd w:val="clear" w:color="auto" w:fill="auto"/>
            <w:noWrap/>
            <w:vAlign w:val="bottom"/>
            <w:hideMark/>
          </w:tcPr>
          <w:p w:rsidR="00E4037F" w:rsidRPr="00E4037F" w:rsidRDefault="00E4037F" w:rsidP="00E4037F">
            <w:pPr>
              <w:rPr>
                <w:sz w:val="20"/>
                <w:szCs w:val="20"/>
              </w:rPr>
            </w:pPr>
          </w:p>
        </w:tc>
        <w:tc>
          <w:tcPr>
            <w:tcW w:w="271" w:type="dxa"/>
            <w:tcBorders>
              <w:top w:val="nil"/>
              <w:left w:val="nil"/>
              <w:bottom w:val="nil"/>
              <w:right w:val="nil"/>
            </w:tcBorders>
            <w:shd w:val="clear" w:color="auto" w:fill="auto"/>
            <w:noWrap/>
            <w:vAlign w:val="bottom"/>
            <w:hideMark/>
          </w:tcPr>
          <w:p w:rsidR="00E4037F" w:rsidRPr="00E4037F" w:rsidRDefault="00E4037F" w:rsidP="00E4037F">
            <w:pPr>
              <w:rPr>
                <w:sz w:val="20"/>
                <w:szCs w:val="20"/>
              </w:rPr>
            </w:pPr>
          </w:p>
        </w:tc>
        <w:tc>
          <w:tcPr>
            <w:tcW w:w="742" w:type="dxa"/>
            <w:tcBorders>
              <w:top w:val="nil"/>
              <w:left w:val="nil"/>
              <w:bottom w:val="nil"/>
              <w:right w:val="nil"/>
            </w:tcBorders>
            <w:shd w:val="clear" w:color="auto" w:fill="auto"/>
            <w:noWrap/>
            <w:vAlign w:val="bottom"/>
            <w:hideMark/>
          </w:tcPr>
          <w:p w:rsidR="00E4037F" w:rsidRPr="00E4037F" w:rsidRDefault="00E4037F" w:rsidP="00E4037F">
            <w:pPr>
              <w:rPr>
                <w:sz w:val="20"/>
                <w:szCs w:val="20"/>
              </w:rPr>
            </w:pPr>
          </w:p>
        </w:tc>
        <w:tc>
          <w:tcPr>
            <w:tcW w:w="1138" w:type="dxa"/>
            <w:tcBorders>
              <w:top w:val="nil"/>
              <w:left w:val="nil"/>
              <w:bottom w:val="nil"/>
              <w:right w:val="nil"/>
            </w:tcBorders>
            <w:shd w:val="clear" w:color="auto" w:fill="auto"/>
            <w:noWrap/>
            <w:vAlign w:val="bottom"/>
            <w:hideMark/>
          </w:tcPr>
          <w:p w:rsidR="00E4037F" w:rsidRPr="00E4037F" w:rsidRDefault="00E4037F" w:rsidP="00E4037F">
            <w:pPr>
              <w:rPr>
                <w:sz w:val="20"/>
                <w:szCs w:val="20"/>
              </w:rPr>
            </w:pPr>
          </w:p>
        </w:tc>
      </w:tr>
    </w:tbl>
    <w:p w:rsidR="00D36B00" w:rsidRDefault="00E3162C" w:rsidP="00E77BCB">
      <w:pPr>
        <w:spacing w:line="480" w:lineRule="auto"/>
        <w:rPr>
          <w:sz w:val="20"/>
          <w:szCs w:val="20"/>
        </w:rPr>
      </w:pPr>
      <w:r w:rsidRPr="00E3162C">
        <w:rPr>
          <w:sz w:val="20"/>
          <w:szCs w:val="20"/>
        </w:rPr>
        <w:t>F</w:t>
      </w:r>
      <w:r>
        <w:rPr>
          <w:sz w:val="20"/>
          <w:szCs w:val="20"/>
        </w:rPr>
        <w:t>-statistic</w:t>
      </w:r>
      <w:r w:rsidRPr="00E3162C">
        <w:rPr>
          <w:sz w:val="20"/>
          <w:szCs w:val="20"/>
        </w:rPr>
        <w:t xml:space="preserve"> approximated as </w:t>
      </w:r>
      <w:r w:rsidRPr="00B075D5">
        <w:rPr>
          <w:i/>
          <w:sz w:val="20"/>
          <w:szCs w:val="20"/>
        </w:rPr>
        <w:t>est</w:t>
      </w:r>
      <w:r w:rsidRPr="00B075D5">
        <w:rPr>
          <w:i/>
          <w:sz w:val="20"/>
          <w:szCs w:val="20"/>
          <w:vertAlign w:val="superscript"/>
        </w:rPr>
        <w:t>2</w:t>
      </w:r>
      <w:r w:rsidRPr="00B075D5">
        <w:rPr>
          <w:i/>
          <w:sz w:val="20"/>
          <w:szCs w:val="20"/>
        </w:rPr>
        <w:t>/se</w:t>
      </w:r>
      <w:r w:rsidRPr="00B075D5">
        <w:rPr>
          <w:i/>
          <w:sz w:val="20"/>
          <w:szCs w:val="20"/>
          <w:vertAlign w:val="superscript"/>
        </w:rPr>
        <w:t>2</w:t>
      </w:r>
      <w:r>
        <w:rPr>
          <w:sz w:val="20"/>
          <w:szCs w:val="20"/>
        </w:rPr>
        <w:t xml:space="preserve"> according to</w:t>
      </w:r>
      <w:r w:rsidRPr="00E3162C">
        <w:rPr>
          <w:sz w:val="20"/>
          <w:szCs w:val="20"/>
        </w:rPr>
        <w:t xml:space="preserve"> Pierce et al</w:t>
      </w:r>
      <w:proofErr w:type="gramStart"/>
      <w:r w:rsidRPr="00E3162C">
        <w:rPr>
          <w:sz w:val="20"/>
          <w:szCs w:val="20"/>
        </w:rPr>
        <w:t>.</w:t>
      </w:r>
      <w:r w:rsidR="00967671" w:rsidRPr="00967671">
        <w:rPr>
          <w:noProof/>
          <w:sz w:val="20"/>
          <w:szCs w:val="20"/>
        </w:rPr>
        <w:t>(</w:t>
      </w:r>
      <w:proofErr w:type="gramEnd"/>
      <w:r w:rsidR="00967671" w:rsidRPr="00967671">
        <w:rPr>
          <w:noProof/>
          <w:sz w:val="20"/>
          <w:szCs w:val="20"/>
        </w:rPr>
        <w:t>Pierce et al., 2011)</w:t>
      </w:r>
    </w:p>
    <w:p w:rsidR="0024263F" w:rsidRDefault="0024263F" w:rsidP="00E77BCB">
      <w:pPr>
        <w:spacing w:line="480" w:lineRule="auto"/>
        <w:rPr>
          <w:sz w:val="20"/>
          <w:szCs w:val="20"/>
        </w:rPr>
        <w:sectPr w:rsidR="0024263F" w:rsidSect="00CF21BE">
          <w:pgSz w:w="11900" w:h="16840"/>
          <w:pgMar w:top="1440" w:right="1440" w:bottom="1440" w:left="1440" w:header="708" w:footer="708" w:gutter="0"/>
          <w:cols w:space="708"/>
          <w:docGrid w:linePitch="360"/>
        </w:sectPr>
      </w:pPr>
    </w:p>
    <w:p w:rsidR="0024263F" w:rsidRDefault="0024263F" w:rsidP="0024263F">
      <w:pPr>
        <w:pStyle w:val="Heading2"/>
        <w:rPr>
          <w:rFonts w:ascii="Times New Roman" w:hAnsi="Times New Roman" w:cs="Times New Roman"/>
          <w:color w:val="000000" w:themeColor="text1"/>
          <w:sz w:val="24"/>
          <w:szCs w:val="24"/>
        </w:rPr>
      </w:pPr>
      <w:bookmarkStart w:id="6" w:name="_Toc97882873"/>
      <w:proofErr w:type="spellStart"/>
      <w:proofErr w:type="gramStart"/>
      <w:r w:rsidRPr="0024263F">
        <w:rPr>
          <w:rFonts w:ascii="Times New Roman" w:hAnsi="Times New Roman" w:cs="Times New Roman"/>
          <w:b/>
          <w:i/>
          <w:color w:val="000000" w:themeColor="text1"/>
          <w:sz w:val="24"/>
          <w:szCs w:val="24"/>
        </w:rPr>
        <w:lastRenderedPageBreak/>
        <w:t>eTable</w:t>
      </w:r>
      <w:proofErr w:type="spellEnd"/>
      <w:proofErr w:type="gramEnd"/>
      <w:r w:rsidRPr="0024263F">
        <w:rPr>
          <w:rFonts w:ascii="Times New Roman" w:hAnsi="Times New Roman" w:cs="Times New Roman"/>
          <w:b/>
          <w:i/>
          <w:color w:val="000000" w:themeColor="text1"/>
          <w:sz w:val="24"/>
          <w:szCs w:val="24"/>
        </w:rPr>
        <w:t xml:space="preserve"> 2.</w:t>
      </w:r>
      <w:r>
        <w:rPr>
          <w:rFonts w:ascii="Times New Roman" w:hAnsi="Times New Roman" w:cs="Times New Roman"/>
          <w:b/>
          <w:i/>
          <w:color w:val="000000" w:themeColor="text1"/>
          <w:sz w:val="24"/>
          <w:szCs w:val="24"/>
        </w:rPr>
        <w:t xml:space="preserve"> </w:t>
      </w:r>
      <w:r>
        <w:rPr>
          <w:rFonts w:ascii="Times New Roman" w:hAnsi="Times New Roman" w:cs="Times New Roman"/>
          <w:color w:val="000000" w:themeColor="text1"/>
          <w:sz w:val="24"/>
          <w:szCs w:val="24"/>
        </w:rPr>
        <w:t xml:space="preserve">SNP-heritability estimates for </w:t>
      </w:r>
      <w:proofErr w:type="spellStart"/>
      <w:r>
        <w:rPr>
          <w:rFonts w:ascii="Times New Roman" w:hAnsi="Times New Roman" w:cs="Times New Roman"/>
          <w:color w:val="000000" w:themeColor="text1"/>
          <w:sz w:val="24"/>
          <w:szCs w:val="24"/>
        </w:rPr>
        <w:t>acylcarnitines</w:t>
      </w:r>
      <w:bookmarkEnd w:id="6"/>
      <w:proofErr w:type="spellEnd"/>
    </w:p>
    <w:p w:rsidR="001F6026" w:rsidRDefault="001F6026" w:rsidP="001F6026"/>
    <w:tbl>
      <w:tblPr>
        <w:tblW w:w="4840" w:type="dxa"/>
        <w:tblLook w:val="04A0" w:firstRow="1" w:lastRow="0" w:firstColumn="1" w:lastColumn="0" w:noHBand="0" w:noVBand="1"/>
      </w:tblPr>
      <w:tblGrid>
        <w:gridCol w:w="820"/>
        <w:gridCol w:w="271"/>
        <w:gridCol w:w="987"/>
        <w:gridCol w:w="987"/>
        <w:gridCol w:w="1926"/>
      </w:tblGrid>
      <w:tr w:rsidR="001F6026" w:rsidRPr="001F6026" w:rsidTr="001F6026">
        <w:trPr>
          <w:trHeight w:val="420"/>
        </w:trPr>
        <w:tc>
          <w:tcPr>
            <w:tcW w:w="820" w:type="dxa"/>
            <w:tcBorders>
              <w:top w:val="nil"/>
              <w:left w:val="nil"/>
              <w:bottom w:val="nil"/>
              <w:right w:val="nil"/>
            </w:tcBorders>
            <w:shd w:val="clear" w:color="auto" w:fill="auto"/>
            <w:noWrap/>
            <w:vAlign w:val="bottom"/>
            <w:hideMark/>
          </w:tcPr>
          <w:p w:rsidR="001F6026" w:rsidRPr="001F6026" w:rsidRDefault="001F6026" w:rsidP="001F6026"/>
        </w:tc>
        <w:tc>
          <w:tcPr>
            <w:tcW w:w="120" w:type="dxa"/>
            <w:tcBorders>
              <w:top w:val="nil"/>
              <w:left w:val="nil"/>
              <w:bottom w:val="nil"/>
              <w:right w:val="nil"/>
            </w:tcBorders>
            <w:shd w:val="clear" w:color="auto" w:fill="auto"/>
            <w:noWrap/>
            <w:vAlign w:val="bottom"/>
            <w:hideMark/>
          </w:tcPr>
          <w:p w:rsidR="001F6026" w:rsidRPr="001F6026" w:rsidRDefault="001F6026" w:rsidP="001F6026">
            <w:pPr>
              <w:rPr>
                <w:sz w:val="20"/>
                <w:szCs w:val="20"/>
              </w:rPr>
            </w:pPr>
          </w:p>
        </w:tc>
        <w:tc>
          <w:tcPr>
            <w:tcW w:w="3900" w:type="dxa"/>
            <w:gridSpan w:val="3"/>
            <w:tcBorders>
              <w:top w:val="nil"/>
              <w:left w:val="nil"/>
              <w:bottom w:val="single" w:sz="8" w:space="0" w:color="auto"/>
              <w:right w:val="nil"/>
            </w:tcBorders>
            <w:shd w:val="clear" w:color="auto" w:fill="auto"/>
            <w:noWrap/>
            <w:vAlign w:val="bottom"/>
            <w:hideMark/>
          </w:tcPr>
          <w:p w:rsidR="001F6026" w:rsidRPr="001F6026" w:rsidRDefault="001F6026" w:rsidP="001F6026">
            <w:pPr>
              <w:jc w:val="center"/>
              <w:rPr>
                <w:rFonts w:ascii="Calibri" w:hAnsi="Calibri" w:cs="Calibri"/>
                <w:b/>
                <w:bCs/>
                <w:color w:val="000000"/>
              </w:rPr>
            </w:pPr>
            <w:r w:rsidRPr="001F6026">
              <w:rPr>
                <w:rFonts w:ascii="Calibri" w:hAnsi="Calibri" w:cs="Calibri"/>
                <w:b/>
                <w:bCs/>
                <w:color w:val="000000"/>
              </w:rPr>
              <w:t>h</w:t>
            </w:r>
            <w:r w:rsidRPr="001F6026">
              <w:rPr>
                <w:rFonts w:ascii="Calibri (Body)" w:hAnsi="Calibri (Body)" w:cs="Calibri"/>
                <w:b/>
                <w:bCs/>
                <w:color w:val="000000"/>
                <w:vertAlign w:val="superscript"/>
              </w:rPr>
              <w:t>2</w:t>
            </w:r>
            <w:r w:rsidRPr="001F6026">
              <w:rPr>
                <w:rFonts w:ascii="Calibri (Body)" w:hAnsi="Calibri (Body)" w:cs="Calibri"/>
                <w:b/>
                <w:bCs/>
                <w:color w:val="000000"/>
                <w:vertAlign w:val="subscript"/>
              </w:rPr>
              <w:t>SNP</w:t>
            </w:r>
          </w:p>
        </w:tc>
      </w:tr>
      <w:tr w:rsidR="001F6026" w:rsidRPr="001F6026" w:rsidTr="001F6026">
        <w:trPr>
          <w:trHeight w:val="340"/>
        </w:trPr>
        <w:tc>
          <w:tcPr>
            <w:tcW w:w="820" w:type="dxa"/>
            <w:tcBorders>
              <w:top w:val="nil"/>
              <w:left w:val="nil"/>
              <w:bottom w:val="single" w:sz="8" w:space="0" w:color="auto"/>
              <w:right w:val="nil"/>
            </w:tcBorders>
            <w:shd w:val="clear" w:color="auto" w:fill="auto"/>
            <w:noWrap/>
            <w:vAlign w:val="bottom"/>
            <w:hideMark/>
          </w:tcPr>
          <w:p w:rsidR="001F6026" w:rsidRPr="001F6026" w:rsidRDefault="001F6026" w:rsidP="001F6026">
            <w:pPr>
              <w:jc w:val="center"/>
              <w:rPr>
                <w:rFonts w:ascii="Calibri" w:hAnsi="Calibri" w:cs="Calibri"/>
                <w:b/>
                <w:bCs/>
                <w:color w:val="000000"/>
              </w:rPr>
            </w:pPr>
            <w:r w:rsidRPr="001F6026">
              <w:rPr>
                <w:rFonts w:ascii="Calibri" w:hAnsi="Calibri" w:cs="Calibri"/>
                <w:b/>
                <w:bCs/>
                <w:color w:val="000000"/>
              </w:rPr>
              <w:t>AC</w:t>
            </w:r>
          </w:p>
        </w:tc>
        <w:tc>
          <w:tcPr>
            <w:tcW w:w="120" w:type="dxa"/>
            <w:tcBorders>
              <w:top w:val="nil"/>
              <w:left w:val="nil"/>
              <w:bottom w:val="single" w:sz="8" w:space="0" w:color="auto"/>
              <w:right w:val="nil"/>
            </w:tcBorders>
            <w:shd w:val="clear" w:color="auto" w:fill="auto"/>
            <w:noWrap/>
            <w:vAlign w:val="bottom"/>
            <w:hideMark/>
          </w:tcPr>
          <w:p w:rsidR="001F6026" w:rsidRPr="001F6026" w:rsidRDefault="001F6026" w:rsidP="001F6026">
            <w:pPr>
              <w:jc w:val="center"/>
              <w:rPr>
                <w:rFonts w:ascii="Calibri" w:hAnsi="Calibri" w:cs="Calibri"/>
                <w:b/>
                <w:bCs/>
                <w:color w:val="000000"/>
              </w:rPr>
            </w:pPr>
            <w:r w:rsidRPr="001F6026">
              <w:rPr>
                <w:rFonts w:ascii="Calibri" w:hAnsi="Calibri" w:cs="Calibri"/>
                <w:b/>
                <w:bCs/>
                <w:color w:val="000000"/>
              </w:rPr>
              <w:t> </w:t>
            </w:r>
          </w:p>
        </w:tc>
        <w:tc>
          <w:tcPr>
            <w:tcW w:w="987" w:type="dxa"/>
            <w:tcBorders>
              <w:top w:val="nil"/>
              <w:left w:val="nil"/>
              <w:bottom w:val="single" w:sz="8" w:space="0" w:color="auto"/>
              <w:right w:val="nil"/>
            </w:tcBorders>
            <w:shd w:val="clear" w:color="auto" w:fill="auto"/>
            <w:noWrap/>
            <w:vAlign w:val="bottom"/>
            <w:hideMark/>
          </w:tcPr>
          <w:p w:rsidR="001F6026" w:rsidRPr="001F6026" w:rsidRDefault="001F6026" w:rsidP="001F6026">
            <w:pPr>
              <w:jc w:val="center"/>
              <w:rPr>
                <w:rFonts w:ascii="Calibri" w:hAnsi="Calibri" w:cs="Calibri"/>
                <w:b/>
                <w:color w:val="000000"/>
              </w:rPr>
            </w:pPr>
            <w:proofErr w:type="spellStart"/>
            <w:r w:rsidRPr="001F6026">
              <w:rPr>
                <w:rFonts w:ascii="Calibri" w:hAnsi="Calibri" w:cs="Calibri"/>
                <w:b/>
                <w:color w:val="000000"/>
              </w:rPr>
              <w:t>est</w:t>
            </w:r>
            <w:proofErr w:type="spellEnd"/>
          </w:p>
        </w:tc>
        <w:tc>
          <w:tcPr>
            <w:tcW w:w="987" w:type="dxa"/>
            <w:tcBorders>
              <w:top w:val="nil"/>
              <w:left w:val="nil"/>
              <w:bottom w:val="single" w:sz="8" w:space="0" w:color="auto"/>
              <w:right w:val="nil"/>
            </w:tcBorders>
            <w:shd w:val="clear" w:color="auto" w:fill="auto"/>
            <w:noWrap/>
            <w:vAlign w:val="bottom"/>
            <w:hideMark/>
          </w:tcPr>
          <w:p w:rsidR="001F6026" w:rsidRPr="001F6026" w:rsidRDefault="001F6026" w:rsidP="001F6026">
            <w:pPr>
              <w:jc w:val="center"/>
              <w:rPr>
                <w:rFonts w:ascii="Calibri" w:hAnsi="Calibri" w:cs="Calibri"/>
                <w:b/>
                <w:color w:val="000000"/>
              </w:rPr>
            </w:pPr>
            <w:r w:rsidRPr="001F6026">
              <w:rPr>
                <w:rFonts w:ascii="Calibri" w:hAnsi="Calibri" w:cs="Calibri"/>
                <w:b/>
                <w:color w:val="000000"/>
              </w:rPr>
              <w:t>se</w:t>
            </w:r>
          </w:p>
        </w:tc>
        <w:tc>
          <w:tcPr>
            <w:tcW w:w="1926" w:type="dxa"/>
            <w:tcBorders>
              <w:top w:val="nil"/>
              <w:left w:val="nil"/>
              <w:bottom w:val="single" w:sz="8" w:space="0" w:color="auto"/>
              <w:right w:val="nil"/>
            </w:tcBorders>
            <w:shd w:val="clear" w:color="auto" w:fill="auto"/>
            <w:noWrap/>
            <w:vAlign w:val="bottom"/>
            <w:hideMark/>
          </w:tcPr>
          <w:p w:rsidR="001F6026" w:rsidRPr="001F6026" w:rsidRDefault="001F6026" w:rsidP="001F6026">
            <w:pPr>
              <w:jc w:val="center"/>
              <w:rPr>
                <w:rFonts w:ascii="Calibri" w:hAnsi="Calibri" w:cs="Calibri"/>
                <w:b/>
                <w:i/>
                <w:color w:val="000000"/>
              </w:rPr>
            </w:pPr>
            <w:r w:rsidRPr="001F6026">
              <w:rPr>
                <w:rFonts w:ascii="Calibri" w:hAnsi="Calibri" w:cs="Calibri"/>
                <w:b/>
                <w:i/>
                <w:color w:val="000000"/>
              </w:rPr>
              <w:t>p</w:t>
            </w:r>
            <w:r w:rsidR="00220347" w:rsidRPr="00220347">
              <w:rPr>
                <w:rFonts w:ascii="Calibri" w:hAnsi="Calibri" w:cs="Calibri"/>
                <w:b/>
                <w:i/>
                <w:color w:val="000000"/>
              </w:rPr>
              <w:t>-value</w:t>
            </w:r>
          </w:p>
        </w:tc>
      </w:tr>
      <w:tr w:rsidR="001F6026" w:rsidRPr="001F6026" w:rsidTr="001F6026">
        <w:trPr>
          <w:trHeight w:val="320"/>
        </w:trPr>
        <w:tc>
          <w:tcPr>
            <w:tcW w:w="8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C0</w:t>
            </w:r>
          </w:p>
        </w:tc>
        <w:tc>
          <w:tcPr>
            <w:tcW w:w="1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0.12</w:t>
            </w: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0.07</w:t>
            </w:r>
          </w:p>
        </w:tc>
        <w:tc>
          <w:tcPr>
            <w:tcW w:w="1926"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7.59E-02</w:t>
            </w:r>
          </w:p>
        </w:tc>
      </w:tr>
      <w:tr w:rsidR="001F6026" w:rsidRPr="001F6026" w:rsidTr="001F6026">
        <w:trPr>
          <w:trHeight w:val="320"/>
        </w:trPr>
        <w:tc>
          <w:tcPr>
            <w:tcW w:w="8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C2</w:t>
            </w:r>
          </w:p>
        </w:tc>
        <w:tc>
          <w:tcPr>
            <w:tcW w:w="1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0.14</w:t>
            </w: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0.07</w:t>
            </w:r>
          </w:p>
        </w:tc>
        <w:tc>
          <w:tcPr>
            <w:tcW w:w="1926"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3.81E-02</w:t>
            </w:r>
          </w:p>
        </w:tc>
      </w:tr>
      <w:tr w:rsidR="001F6026" w:rsidRPr="001F6026" w:rsidTr="001F6026">
        <w:trPr>
          <w:trHeight w:val="320"/>
        </w:trPr>
        <w:tc>
          <w:tcPr>
            <w:tcW w:w="8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C3</w:t>
            </w:r>
          </w:p>
        </w:tc>
        <w:tc>
          <w:tcPr>
            <w:tcW w:w="1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0.15</w:t>
            </w: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0.06</w:t>
            </w:r>
          </w:p>
        </w:tc>
        <w:tc>
          <w:tcPr>
            <w:tcW w:w="1926"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1.84E-02</w:t>
            </w:r>
          </w:p>
        </w:tc>
      </w:tr>
      <w:tr w:rsidR="001F6026" w:rsidRPr="001F6026" w:rsidTr="001F6026">
        <w:trPr>
          <w:trHeight w:val="320"/>
        </w:trPr>
        <w:tc>
          <w:tcPr>
            <w:tcW w:w="8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C4</w:t>
            </w:r>
          </w:p>
        </w:tc>
        <w:tc>
          <w:tcPr>
            <w:tcW w:w="1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0.33</w:t>
            </w: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0.22</w:t>
            </w:r>
          </w:p>
        </w:tc>
        <w:tc>
          <w:tcPr>
            <w:tcW w:w="1926"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1.25E-01</w:t>
            </w:r>
          </w:p>
        </w:tc>
      </w:tr>
      <w:tr w:rsidR="001F6026" w:rsidRPr="001F6026" w:rsidTr="001F6026">
        <w:trPr>
          <w:trHeight w:val="320"/>
        </w:trPr>
        <w:tc>
          <w:tcPr>
            <w:tcW w:w="8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C5</w:t>
            </w:r>
          </w:p>
        </w:tc>
        <w:tc>
          <w:tcPr>
            <w:tcW w:w="1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0.21</w:t>
            </w: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0.09</w:t>
            </w:r>
          </w:p>
        </w:tc>
        <w:tc>
          <w:tcPr>
            <w:tcW w:w="1926"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1.40E-02</w:t>
            </w:r>
          </w:p>
        </w:tc>
      </w:tr>
      <w:tr w:rsidR="001F6026" w:rsidRPr="001F6026" w:rsidTr="001F6026">
        <w:trPr>
          <w:trHeight w:val="320"/>
        </w:trPr>
        <w:tc>
          <w:tcPr>
            <w:tcW w:w="8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C6</w:t>
            </w:r>
          </w:p>
        </w:tc>
        <w:tc>
          <w:tcPr>
            <w:tcW w:w="1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0.30</w:t>
            </w: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0.09</w:t>
            </w:r>
          </w:p>
        </w:tc>
        <w:tc>
          <w:tcPr>
            <w:tcW w:w="1926"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333333"/>
              </w:rPr>
            </w:pPr>
            <w:r w:rsidRPr="001F6026">
              <w:rPr>
                <w:rFonts w:ascii="Calibri" w:hAnsi="Calibri" w:cs="Calibri"/>
                <w:color w:val="333333"/>
              </w:rPr>
              <w:t>1.09E-03</w:t>
            </w:r>
          </w:p>
        </w:tc>
      </w:tr>
      <w:tr w:rsidR="001F6026" w:rsidRPr="001F6026" w:rsidTr="001F6026">
        <w:trPr>
          <w:trHeight w:val="320"/>
        </w:trPr>
        <w:tc>
          <w:tcPr>
            <w:tcW w:w="8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C8</w:t>
            </w:r>
          </w:p>
        </w:tc>
        <w:tc>
          <w:tcPr>
            <w:tcW w:w="1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0.25</w:t>
            </w: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0.08</w:t>
            </w:r>
          </w:p>
        </w:tc>
        <w:tc>
          <w:tcPr>
            <w:tcW w:w="1926"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2.08E-03</w:t>
            </w:r>
          </w:p>
        </w:tc>
      </w:tr>
      <w:tr w:rsidR="001F6026" w:rsidRPr="001F6026" w:rsidTr="001F6026">
        <w:trPr>
          <w:trHeight w:val="320"/>
        </w:trPr>
        <w:tc>
          <w:tcPr>
            <w:tcW w:w="8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C9</w:t>
            </w:r>
          </w:p>
        </w:tc>
        <w:tc>
          <w:tcPr>
            <w:tcW w:w="1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0.10</w:t>
            </w: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0.07</w:t>
            </w:r>
          </w:p>
        </w:tc>
        <w:tc>
          <w:tcPr>
            <w:tcW w:w="1926"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1.50E-01</w:t>
            </w:r>
          </w:p>
        </w:tc>
      </w:tr>
      <w:tr w:rsidR="001F6026" w:rsidRPr="001F6026" w:rsidTr="001F6026">
        <w:trPr>
          <w:trHeight w:val="320"/>
        </w:trPr>
        <w:tc>
          <w:tcPr>
            <w:tcW w:w="8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C10</w:t>
            </w:r>
          </w:p>
        </w:tc>
        <w:tc>
          <w:tcPr>
            <w:tcW w:w="1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0.21</w:t>
            </w: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0.07</w:t>
            </w:r>
          </w:p>
        </w:tc>
        <w:tc>
          <w:tcPr>
            <w:tcW w:w="1926"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1.80E-03</w:t>
            </w:r>
          </w:p>
        </w:tc>
      </w:tr>
      <w:tr w:rsidR="001F6026" w:rsidRPr="001F6026" w:rsidTr="001F6026">
        <w:trPr>
          <w:trHeight w:val="320"/>
        </w:trPr>
        <w:tc>
          <w:tcPr>
            <w:tcW w:w="8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C10:1</w:t>
            </w:r>
          </w:p>
        </w:tc>
        <w:tc>
          <w:tcPr>
            <w:tcW w:w="1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0.19</w:t>
            </w: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0.06</w:t>
            </w:r>
          </w:p>
        </w:tc>
        <w:tc>
          <w:tcPr>
            <w:tcW w:w="1926"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1.35E-03</w:t>
            </w:r>
          </w:p>
        </w:tc>
      </w:tr>
      <w:tr w:rsidR="001F6026" w:rsidRPr="001F6026" w:rsidTr="001F6026">
        <w:trPr>
          <w:trHeight w:val="320"/>
        </w:trPr>
        <w:tc>
          <w:tcPr>
            <w:tcW w:w="8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C12</w:t>
            </w:r>
          </w:p>
        </w:tc>
        <w:tc>
          <w:tcPr>
            <w:tcW w:w="1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0.18</w:t>
            </w: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0.05</w:t>
            </w:r>
          </w:p>
        </w:tc>
        <w:tc>
          <w:tcPr>
            <w:tcW w:w="1926"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2.60E-04</w:t>
            </w:r>
          </w:p>
        </w:tc>
      </w:tr>
      <w:tr w:rsidR="001F6026" w:rsidRPr="001F6026" w:rsidTr="001F6026">
        <w:trPr>
          <w:trHeight w:val="320"/>
        </w:trPr>
        <w:tc>
          <w:tcPr>
            <w:tcW w:w="8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C14:1</w:t>
            </w:r>
          </w:p>
        </w:tc>
        <w:tc>
          <w:tcPr>
            <w:tcW w:w="1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0.20</w:t>
            </w: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0.05</w:t>
            </w:r>
          </w:p>
        </w:tc>
        <w:tc>
          <w:tcPr>
            <w:tcW w:w="1926"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7.64E-05</w:t>
            </w:r>
          </w:p>
        </w:tc>
      </w:tr>
      <w:tr w:rsidR="001F6026" w:rsidRPr="001F6026" w:rsidTr="001F6026">
        <w:trPr>
          <w:trHeight w:val="320"/>
        </w:trPr>
        <w:tc>
          <w:tcPr>
            <w:tcW w:w="8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C16</w:t>
            </w:r>
          </w:p>
        </w:tc>
        <w:tc>
          <w:tcPr>
            <w:tcW w:w="1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0.11</w:t>
            </w: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0.06</w:t>
            </w:r>
          </w:p>
        </w:tc>
        <w:tc>
          <w:tcPr>
            <w:tcW w:w="1926"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7.48E-02</w:t>
            </w:r>
          </w:p>
        </w:tc>
      </w:tr>
      <w:tr w:rsidR="001F6026" w:rsidRPr="001F6026" w:rsidTr="001F6026">
        <w:trPr>
          <w:trHeight w:val="320"/>
        </w:trPr>
        <w:tc>
          <w:tcPr>
            <w:tcW w:w="8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C18:1</w:t>
            </w:r>
          </w:p>
        </w:tc>
        <w:tc>
          <w:tcPr>
            <w:tcW w:w="120"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0.15</w:t>
            </w:r>
          </w:p>
        </w:tc>
        <w:tc>
          <w:tcPr>
            <w:tcW w:w="987"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0.06</w:t>
            </w:r>
          </w:p>
        </w:tc>
        <w:tc>
          <w:tcPr>
            <w:tcW w:w="1926" w:type="dxa"/>
            <w:tcBorders>
              <w:top w:val="nil"/>
              <w:left w:val="nil"/>
              <w:bottom w:val="nil"/>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6.50E-02</w:t>
            </w:r>
          </w:p>
        </w:tc>
      </w:tr>
      <w:tr w:rsidR="001F6026" w:rsidRPr="001F6026" w:rsidTr="001F6026">
        <w:trPr>
          <w:trHeight w:val="340"/>
        </w:trPr>
        <w:tc>
          <w:tcPr>
            <w:tcW w:w="820" w:type="dxa"/>
            <w:tcBorders>
              <w:top w:val="nil"/>
              <w:left w:val="nil"/>
              <w:bottom w:val="single" w:sz="8" w:space="0" w:color="auto"/>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C18:2</w:t>
            </w:r>
          </w:p>
        </w:tc>
        <w:tc>
          <w:tcPr>
            <w:tcW w:w="120" w:type="dxa"/>
            <w:tcBorders>
              <w:top w:val="nil"/>
              <w:left w:val="nil"/>
              <w:bottom w:val="single" w:sz="8" w:space="0" w:color="auto"/>
              <w:right w:val="nil"/>
            </w:tcBorders>
            <w:shd w:val="clear" w:color="auto" w:fill="auto"/>
            <w:noWrap/>
            <w:vAlign w:val="bottom"/>
            <w:hideMark/>
          </w:tcPr>
          <w:p w:rsidR="001F6026" w:rsidRPr="001F6026" w:rsidRDefault="001F6026" w:rsidP="001F6026">
            <w:pPr>
              <w:rPr>
                <w:rFonts w:ascii="Calibri" w:hAnsi="Calibri" w:cs="Calibri"/>
                <w:color w:val="000000"/>
              </w:rPr>
            </w:pPr>
            <w:r w:rsidRPr="001F6026">
              <w:rPr>
                <w:rFonts w:ascii="Calibri" w:hAnsi="Calibri" w:cs="Calibri"/>
                <w:color w:val="000000"/>
              </w:rPr>
              <w:t> </w:t>
            </w:r>
          </w:p>
        </w:tc>
        <w:tc>
          <w:tcPr>
            <w:tcW w:w="987" w:type="dxa"/>
            <w:tcBorders>
              <w:top w:val="nil"/>
              <w:left w:val="nil"/>
              <w:bottom w:val="single" w:sz="8" w:space="0" w:color="auto"/>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0.14</w:t>
            </w:r>
          </w:p>
        </w:tc>
        <w:tc>
          <w:tcPr>
            <w:tcW w:w="987" w:type="dxa"/>
            <w:tcBorders>
              <w:top w:val="nil"/>
              <w:left w:val="nil"/>
              <w:bottom w:val="single" w:sz="8" w:space="0" w:color="auto"/>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0.05</w:t>
            </w:r>
          </w:p>
        </w:tc>
        <w:tc>
          <w:tcPr>
            <w:tcW w:w="1926" w:type="dxa"/>
            <w:tcBorders>
              <w:top w:val="nil"/>
              <w:left w:val="nil"/>
              <w:bottom w:val="single" w:sz="8" w:space="0" w:color="auto"/>
              <w:right w:val="nil"/>
            </w:tcBorders>
            <w:shd w:val="clear" w:color="auto" w:fill="auto"/>
            <w:noWrap/>
            <w:vAlign w:val="bottom"/>
            <w:hideMark/>
          </w:tcPr>
          <w:p w:rsidR="001F6026" w:rsidRPr="001F6026" w:rsidRDefault="001F6026" w:rsidP="001F6026">
            <w:pPr>
              <w:jc w:val="center"/>
              <w:rPr>
                <w:rFonts w:ascii="Calibri" w:hAnsi="Calibri" w:cs="Calibri"/>
                <w:color w:val="000000"/>
              </w:rPr>
            </w:pPr>
            <w:r w:rsidRPr="001F6026">
              <w:rPr>
                <w:rFonts w:ascii="Calibri" w:hAnsi="Calibri" w:cs="Calibri"/>
                <w:color w:val="000000"/>
              </w:rPr>
              <w:t>9.43E-03</w:t>
            </w:r>
          </w:p>
        </w:tc>
      </w:tr>
    </w:tbl>
    <w:p w:rsidR="00CD25B4" w:rsidRDefault="00CD25B4" w:rsidP="00E77BCB">
      <w:pPr>
        <w:spacing w:line="480" w:lineRule="auto"/>
      </w:pPr>
    </w:p>
    <w:p w:rsidR="00E90719" w:rsidRDefault="00CD25B4" w:rsidP="00E77BCB">
      <w:pPr>
        <w:spacing w:line="480" w:lineRule="auto"/>
        <w:rPr>
          <w:sz w:val="20"/>
          <w:szCs w:val="20"/>
        </w:rPr>
      </w:pPr>
      <w:proofErr w:type="gramStart"/>
      <w:r w:rsidRPr="00CD25B4">
        <w:rPr>
          <w:sz w:val="20"/>
          <w:szCs w:val="20"/>
        </w:rPr>
        <w:t>h</w:t>
      </w:r>
      <w:r w:rsidRPr="00CD25B4">
        <w:rPr>
          <w:sz w:val="20"/>
          <w:szCs w:val="20"/>
          <w:vertAlign w:val="superscript"/>
        </w:rPr>
        <w:t>2</w:t>
      </w:r>
      <w:r w:rsidRPr="00CD25B4">
        <w:rPr>
          <w:sz w:val="20"/>
          <w:szCs w:val="20"/>
          <w:vertAlign w:val="subscript"/>
        </w:rPr>
        <w:t>SNP</w:t>
      </w:r>
      <w:proofErr w:type="gramEnd"/>
      <w:r w:rsidRPr="00CD25B4">
        <w:rPr>
          <w:sz w:val="20"/>
          <w:szCs w:val="20"/>
        </w:rPr>
        <w:t xml:space="preserve"> estimated using </w:t>
      </w:r>
      <w:r w:rsidRPr="00CD25B4">
        <w:rPr>
          <w:rFonts w:ascii="Courier New" w:hAnsi="Courier New" w:cs="Courier New"/>
          <w:sz w:val="20"/>
          <w:szCs w:val="20"/>
        </w:rPr>
        <w:t>﻿</w:t>
      </w:r>
      <w:r w:rsidRPr="00CD25B4">
        <w:rPr>
          <w:sz w:val="20"/>
          <w:szCs w:val="20"/>
        </w:rPr>
        <w:t>linkage-disequilibrium score regression</w:t>
      </w:r>
      <w:r w:rsidR="00DC0C6E">
        <w:rPr>
          <w:sz w:val="20"/>
          <w:szCs w:val="20"/>
        </w:rPr>
        <w:t xml:space="preserve"> (LDSC)</w:t>
      </w:r>
      <w:r w:rsidR="00967671" w:rsidRPr="00967671">
        <w:rPr>
          <w:noProof/>
          <w:sz w:val="20"/>
          <w:szCs w:val="20"/>
        </w:rPr>
        <w:t>(</w:t>
      </w:r>
      <w:proofErr w:type="spellStart"/>
      <w:r w:rsidR="00967671" w:rsidRPr="00967671">
        <w:rPr>
          <w:noProof/>
          <w:sz w:val="20"/>
          <w:szCs w:val="20"/>
        </w:rPr>
        <w:t>Bulik</w:t>
      </w:r>
      <w:proofErr w:type="spellEnd"/>
      <w:r w:rsidR="00967671" w:rsidRPr="00967671">
        <w:rPr>
          <w:noProof/>
          <w:sz w:val="20"/>
          <w:szCs w:val="20"/>
        </w:rPr>
        <w:t>-Sullivan et al., 2015)</w:t>
      </w:r>
    </w:p>
    <w:p w:rsidR="00233673" w:rsidRDefault="00233673" w:rsidP="00E77BCB">
      <w:pPr>
        <w:spacing w:line="480" w:lineRule="auto"/>
        <w:rPr>
          <w:sz w:val="20"/>
          <w:szCs w:val="20"/>
        </w:rPr>
        <w:sectPr w:rsidR="00233673" w:rsidSect="00CF21BE">
          <w:pgSz w:w="11900" w:h="16840"/>
          <w:pgMar w:top="1440" w:right="1440" w:bottom="1440" w:left="1440" w:header="708" w:footer="708" w:gutter="0"/>
          <w:cols w:space="708"/>
          <w:docGrid w:linePitch="360"/>
        </w:sectPr>
      </w:pPr>
    </w:p>
    <w:p w:rsidR="00233673" w:rsidRDefault="00DE15A3" w:rsidP="00DE15A3">
      <w:pPr>
        <w:pStyle w:val="Heading2"/>
        <w:rPr>
          <w:rFonts w:ascii="Times New Roman" w:hAnsi="Times New Roman" w:cs="Times New Roman"/>
          <w:color w:val="000000" w:themeColor="text1"/>
          <w:sz w:val="24"/>
          <w:szCs w:val="24"/>
        </w:rPr>
      </w:pPr>
      <w:bookmarkStart w:id="7" w:name="_Toc97882874"/>
      <w:proofErr w:type="spellStart"/>
      <w:proofErr w:type="gramStart"/>
      <w:r w:rsidRPr="00DE15A3">
        <w:rPr>
          <w:rFonts w:ascii="Times New Roman" w:hAnsi="Times New Roman" w:cs="Times New Roman"/>
          <w:b/>
          <w:i/>
          <w:color w:val="000000" w:themeColor="text1"/>
          <w:sz w:val="24"/>
          <w:szCs w:val="24"/>
        </w:rPr>
        <w:lastRenderedPageBreak/>
        <w:t>eTable</w:t>
      </w:r>
      <w:proofErr w:type="spellEnd"/>
      <w:proofErr w:type="gramEnd"/>
      <w:r w:rsidRPr="00DE15A3">
        <w:rPr>
          <w:rFonts w:ascii="Times New Roman" w:hAnsi="Times New Roman" w:cs="Times New Roman"/>
          <w:b/>
          <w:i/>
          <w:color w:val="000000" w:themeColor="text1"/>
          <w:sz w:val="24"/>
          <w:szCs w:val="24"/>
        </w:rPr>
        <w:t xml:space="preserve"> 3. </w:t>
      </w:r>
      <w:r w:rsidR="00EE3F52" w:rsidRPr="00EE3F52">
        <w:rPr>
          <w:rFonts w:ascii="Times New Roman" w:hAnsi="Times New Roman" w:cs="Times New Roman"/>
          <w:color w:val="000000" w:themeColor="text1"/>
          <w:sz w:val="24"/>
          <w:szCs w:val="24"/>
        </w:rPr>
        <w:t>Pairwise g</w:t>
      </w:r>
      <w:r w:rsidRPr="00EE3F52">
        <w:rPr>
          <w:rFonts w:ascii="Times New Roman" w:hAnsi="Times New Roman" w:cs="Times New Roman"/>
          <w:color w:val="000000" w:themeColor="text1"/>
          <w:sz w:val="24"/>
          <w:szCs w:val="24"/>
        </w:rPr>
        <w:t xml:space="preserve">enetic correlations between </w:t>
      </w:r>
      <w:proofErr w:type="spellStart"/>
      <w:r w:rsidRPr="00EE3F52">
        <w:rPr>
          <w:rFonts w:ascii="Times New Roman" w:hAnsi="Times New Roman" w:cs="Times New Roman"/>
          <w:color w:val="000000" w:themeColor="text1"/>
          <w:sz w:val="24"/>
          <w:szCs w:val="24"/>
        </w:rPr>
        <w:t>acylcarnitines</w:t>
      </w:r>
      <w:bookmarkEnd w:id="7"/>
      <w:proofErr w:type="spellEnd"/>
    </w:p>
    <w:p w:rsidR="004E716F" w:rsidRDefault="004E716F" w:rsidP="004E716F"/>
    <w:tbl>
      <w:tblPr>
        <w:tblW w:w="6096" w:type="dxa"/>
        <w:tblLook w:val="04A0" w:firstRow="1" w:lastRow="0" w:firstColumn="1" w:lastColumn="0" w:noHBand="0" w:noVBand="1"/>
      </w:tblPr>
      <w:tblGrid>
        <w:gridCol w:w="774"/>
        <w:gridCol w:w="774"/>
        <w:gridCol w:w="271"/>
        <w:gridCol w:w="1300"/>
        <w:gridCol w:w="1300"/>
        <w:gridCol w:w="1677"/>
      </w:tblGrid>
      <w:tr w:rsidR="004E716F" w:rsidRPr="004E716F" w:rsidTr="004E716F">
        <w:trPr>
          <w:trHeight w:val="340"/>
        </w:trPr>
        <w:tc>
          <w:tcPr>
            <w:tcW w:w="1548" w:type="dxa"/>
            <w:gridSpan w:val="2"/>
            <w:tcBorders>
              <w:top w:val="nil"/>
              <w:left w:val="nil"/>
              <w:bottom w:val="single" w:sz="8" w:space="0" w:color="auto"/>
              <w:right w:val="nil"/>
            </w:tcBorders>
            <w:shd w:val="clear" w:color="auto" w:fill="auto"/>
            <w:noWrap/>
            <w:vAlign w:val="bottom"/>
            <w:hideMark/>
          </w:tcPr>
          <w:p w:rsidR="004E716F" w:rsidRPr="004E716F" w:rsidRDefault="004E716F" w:rsidP="004E716F">
            <w:pPr>
              <w:jc w:val="center"/>
              <w:rPr>
                <w:rFonts w:ascii="Calibri" w:hAnsi="Calibri" w:cs="Calibri"/>
                <w:b/>
                <w:bCs/>
                <w:color w:val="000000"/>
              </w:rPr>
            </w:pPr>
            <w:r w:rsidRPr="004E716F">
              <w:rPr>
                <w:rFonts w:ascii="Calibri" w:hAnsi="Calibri" w:cs="Calibri"/>
                <w:b/>
                <w:bCs/>
                <w:color w:val="000000"/>
              </w:rPr>
              <w:t>ACs</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b/>
                <w:bCs/>
                <w:color w:val="000000"/>
              </w:rPr>
            </w:pPr>
          </w:p>
        </w:tc>
        <w:tc>
          <w:tcPr>
            <w:tcW w:w="1300" w:type="dxa"/>
            <w:tcBorders>
              <w:top w:val="nil"/>
              <w:left w:val="nil"/>
              <w:bottom w:val="single" w:sz="8" w:space="0" w:color="auto"/>
              <w:right w:val="nil"/>
            </w:tcBorders>
            <w:shd w:val="clear" w:color="auto" w:fill="auto"/>
            <w:noWrap/>
            <w:vAlign w:val="bottom"/>
            <w:hideMark/>
          </w:tcPr>
          <w:p w:rsidR="004E716F" w:rsidRPr="004E716F" w:rsidRDefault="004E716F" w:rsidP="004E716F">
            <w:pPr>
              <w:jc w:val="center"/>
              <w:rPr>
                <w:rFonts w:ascii="Calibri" w:hAnsi="Calibri" w:cs="Calibri"/>
                <w:b/>
                <w:bCs/>
                <w:i/>
                <w:color w:val="000000"/>
              </w:rPr>
            </w:pPr>
            <w:proofErr w:type="spellStart"/>
            <w:r w:rsidRPr="004E716F">
              <w:rPr>
                <w:rFonts w:ascii="Calibri" w:hAnsi="Calibri" w:cs="Calibri"/>
                <w:b/>
                <w:bCs/>
                <w:i/>
                <w:color w:val="000000"/>
              </w:rPr>
              <w:t>rg</w:t>
            </w:r>
            <w:proofErr w:type="spellEnd"/>
          </w:p>
        </w:tc>
        <w:tc>
          <w:tcPr>
            <w:tcW w:w="1300" w:type="dxa"/>
            <w:tcBorders>
              <w:top w:val="nil"/>
              <w:left w:val="nil"/>
              <w:bottom w:val="single" w:sz="8" w:space="0" w:color="auto"/>
              <w:right w:val="nil"/>
            </w:tcBorders>
            <w:shd w:val="clear" w:color="auto" w:fill="auto"/>
            <w:noWrap/>
            <w:vAlign w:val="bottom"/>
            <w:hideMark/>
          </w:tcPr>
          <w:p w:rsidR="004E716F" w:rsidRPr="004E716F" w:rsidRDefault="004E716F" w:rsidP="004E716F">
            <w:pPr>
              <w:jc w:val="center"/>
              <w:rPr>
                <w:rFonts w:ascii="Calibri" w:hAnsi="Calibri" w:cs="Calibri"/>
                <w:b/>
                <w:bCs/>
                <w:color w:val="000000"/>
              </w:rPr>
            </w:pPr>
            <w:r w:rsidRPr="004E716F">
              <w:rPr>
                <w:rFonts w:ascii="Calibri" w:hAnsi="Calibri" w:cs="Calibri"/>
                <w:b/>
                <w:bCs/>
                <w:color w:val="000000"/>
              </w:rPr>
              <w:t>se</w:t>
            </w:r>
          </w:p>
        </w:tc>
        <w:tc>
          <w:tcPr>
            <w:tcW w:w="1677" w:type="dxa"/>
            <w:tcBorders>
              <w:top w:val="nil"/>
              <w:left w:val="nil"/>
              <w:bottom w:val="single" w:sz="8" w:space="0" w:color="auto"/>
              <w:right w:val="nil"/>
            </w:tcBorders>
            <w:shd w:val="clear" w:color="auto" w:fill="auto"/>
            <w:noWrap/>
            <w:vAlign w:val="bottom"/>
            <w:hideMark/>
          </w:tcPr>
          <w:p w:rsidR="004E716F" w:rsidRPr="004E716F" w:rsidRDefault="004E716F" w:rsidP="004E716F">
            <w:pPr>
              <w:jc w:val="center"/>
              <w:rPr>
                <w:rFonts w:ascii="Calibri" w:hAnsi="Calibri" w:cs="Calibri"/>
                <w:b/>
                <w:bCs/>
                <w:color w:val="000000"/>
              </w:rPr>
            </w:pPr>
            <w:r w:rsidRPr="004E716F">
              <w:rPr>
                <w:rFonts w:ascii="Calibri" w:hAnsi="Calibri" w:cs="Calibri"/>
                <w:b/>
                <w:bCs/>
                <w:color w:val="000000"/>
              </w:rPr>
              <w:t>p-value</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0.14</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0.07</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3.81E-02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C3</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0.65</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0.08</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6.77E-15</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C5</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0.62</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0.19</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1.41E-03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C6</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0.52</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0.28</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6.12E-02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C8</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0.43</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0.19</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2.28E-02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0.38</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0.13</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2.93E-03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0.39</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6.00E-05</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0.05</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2.05E-27</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C14:1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0.68</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0.05</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6.42E-46</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0.52</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0.04</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1.20E-40</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0.26</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0.04</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1.27E-11</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C3</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C3</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0.15</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0.06</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1.84E-02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C3</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C5</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0.78</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0.09</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1.95E-17</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C3</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C6</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0.59</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0.21</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5.07E-03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C3</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C8</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0.42</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0.12</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3.85E-04</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C3</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0.39</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0.08</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2.34E-06</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C3</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0.31</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0.11</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4.76E-03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C3</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0.35</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0.08</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3.43E-05</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C3</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C14:1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0.39</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0.14</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7.11E-03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C3</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0.35</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0.14</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1.21E-02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C3</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0.29</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0.06</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1.31E-06</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C5</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C5</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0.21</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0.09</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1.40E-02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C5</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C6</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0.59</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0.23</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9.55E-03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C5</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C8</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0.54</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0.16</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5.87E-04</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C5</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0.54</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0.07</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1.22E-13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C5</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0.55</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0.07</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8.41E-16</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C5</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0.55</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0.11</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1.02E-06</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C5</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C14:1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0.51</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2.58E-07</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C5</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0.53</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0.09</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2.21E-08</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C5</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0.39</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0.08</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1.77E-06</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C6</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C6</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0.3</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0.09</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1.09E-03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C6</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C8</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0.93</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0.33</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4.44E-03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C6</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0.9</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0.26</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6.80E-04</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C6</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0.85</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0.23</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1.62E-04</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C6</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0.69</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0.31</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2.51E-02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C6</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C14:1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0.65</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0.32</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4.64E-02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C6</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0.58</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0.28</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3.88E-02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C6</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0.56</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0.28</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4.40E-02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C8</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C8</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0.25</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0.08</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2.08E-03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C8</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0.98</w:t>
            </w:r>
            <w:r w:rsidRPr="004E716F">
              <w:rPr>
                <w:rFonts w:ascii="Calibri" w:hAnsi="Calibri" w:cs="Calibri"/>
                <w:color w:val="000000"/>
                <w:vertAlign w:val="superscript"/>
              </w:rPr>
              <w:t>a</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0.01</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2.32E-1133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lastRenderedPageBreak/>
              <w:t>C8</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0.95</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0.21</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8.25E-06</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C8</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0.76</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0.27</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4.57E-03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C8</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C14:1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0.64</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0.27</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1.63E-02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C8</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0.52</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0.21</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1.34E-02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C8</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0.56</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0.22</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9.95E-03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0.21</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0.07</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1.80E-03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0.98</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0.17</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3.61E-09</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0.84</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0.19</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6.50E-06</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C14:1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0.66</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0.18</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3.16E-04</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0.55</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0.15</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2.72E-04</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0.61</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0.21</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4.30E-03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C10:1</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0.19</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0.06</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1.35E-03</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C10:1</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0.87</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0.14</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7.02E-10</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C10:1</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C14:1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0.71</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0.14</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4.47E-07</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C10:1</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0.6</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0.13</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4.28E-06</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C10:1</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0.64</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0.13</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7.50E-07</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0.18</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0.05</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2.60E-04</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C14:1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0.85</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0.06</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3.58E-52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0.57</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0.08</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4.31E-14</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C12</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0.56</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0.08</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7.30E-12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C14:1</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C14:1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0.2</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0.05</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7.64E-05</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C14:1</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0.69</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0.09</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5.77E-16</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C14:1</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0.53</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0.08</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1.68E-11</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C18:1</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C18:1</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0.15</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0.06</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6.50E-02</w:t>
            </w:r>
          </w:p>
        </w:tc>
      </w:tr>
      <w:tr w:rsidR="004E716F" w:rsidRPr="004E716F" w:rsidTr="004E716F">
        <w:trPr>
          <w:trHeight w:val="320"/>
        </w:trPr>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C18:1</w:t>
            </w:r>
          </w:p>
        </w:tc>
        <w:tc>
          <w:tcPr>
            <w:tcW w:w="774"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C18:2</w:t>
            </w:r>
          </w:p>
        </w:tc>
        <w:tc>
          <w:tcPr>
            <w:tcW w:w="271"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0.69</w:t>
            </w:r>
          </w:p>
        </w:tc>
        <w:tc>
          <w:tcPr>
            <w:tcW w:w="1300"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0.11</w:t>
            </w:r>
          </w:p>
        </w:tc>
        <w:tc>
          <w:tcPr>
            <w:tcW w:w="1677" w:type="dxa"/>
            <w:tcBorders>
              <w:top w:val="nil"/>
              <w:left w:val="nil"/>
              <w:bottom w:val="nil"/>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6.31E-10</w:t>
            </w:r>
          </w:p>
        </w:tc>
      </w:tr>
      <w:tr w:rsidR="004E716F" w:rsidRPr="004E716F" w:rsidTr="004E716F">
        <w:trPr>
          <w:trHeight w:val="340"/>
        </w:trPr>
        <w:tc>
          <w:tcPr>
            <w:tcW w:w="774" w:type="dxa"/>
            <w:tcBorders>
              <w:top w:val="nil"/>
              <w:left w:val="nil"/>
              <w:bottom w:val="single" w:sz="8" w:space="0" w:color="auto"/>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C18:2</w:t>
            </w:r>
          </w:p>
        </w:tc>
        <w:tc>
          <w:tcPr>
            <w:tcW w:w="774" w:type="dxa"/>
            <w:tcBorders>
              <w:top w:val="nil"/>
              <w:left w:val="nil"/>
              <w:bottom w:val="single" w:sz="8" w:space="0" w:color="auto"/>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C18:2</w:t>
            </w:r>
          </w:p>
        </w:tc>
        <w:tc>
          <w:tcPr>
            <w:tcW w:w="271" w:type="dxa"/>
            <w:tcBorders>
              <w:top w:val="nil"/>
              <w:left w:val="nil"/>
              <w:bottom w:val="single" w:sz="8" w:space="0" w:color="auto"/>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 </w:t>
            </w:r>
          </w:p>
        </w:tc>
        <w:tc>
          <w:tcPr>
            <w:tcW w:w="1300" w:type="dxa"/>
            <w:tcBorders>
              <w:top w:val="nil"/>
              <w:left w:val="nil"/>
              <w:bottom w:val="single" w:sz="8" w:space="0" w:color="auto"/>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0.14</w:t>
            </w:r>
          </w:p>
        </w:tc>
        <w:tc>
          <w:tcPr>
            <w:tcW w:w="1300" w:type="dxa"/>
            <w:tcBorders>
              <w:top w:val="nil"/>
              <w:left w:val="nil"/>
              <w:bottom w:val="single" w:sz="8" w:space="0" w:color="auto"/>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0.05</w:t>
            </w:r>
          </w:p>
        </w:tc>
        <w:tc>
          <w:tcPr>
            <w:tcW w:w="1677" w:type="dxa"/>
            <w:tcBorders>
              <w:top w:val="nil"/>
              <w:left w:val="nil"/>
              <w:bottom w:val="single" w:sz="8" w:space="0" w:color="auto"/>
              <w:right w:val="nil"/>
            </w:tcBorders>
            <w:shd w:val="clear" w:color="auto" w:fill="auto"/>
            <w:noWrap/>
            <w:vAlign w:val="bottom"/>
            <w:hideMark/>
          </w:tcPr>
          <w:p w:rsidR="004E716F" w:rsidRPr="004E716F" w:rsidRDefault="004E716F" w:rsidP="004E716F">
            <w:pPr>
              <w:jc w:val="center"/>
              <w:rPr>
                <w:rFonts w:ascii="Calibri" w:hAnsi="Calibri" w:cs="Calibri"/>
                <w:color w:val="000000"/>
              </w:rPr>
            </w:pPr>
            <w:r w:rsidRPr="004E716F">
              <w:rPr>
                <w:rFonts w:ascii="Calibri" w:hAnsi="Calibri" w:cs="Calibri"/>
                <w:color w:val="000000"/>
              </w:rPr>
              <w:t>9.43E-03</w:t>
            </w:r>
          </w:p>
        </w:tc>
      </w:tr>
    </w:tbl>
    <w:p w:rsidR="004E716F" w:rsidRDefault="004E716F" w:rsidP="004E716F"/>
    <w:p w:rsidR="004E716F" w:rsidRDefault="004E716F" w:rsidP="004E716F">
      <w:pPr>
        <w:rPr>
          <w:sz w:val="20"/>
          <w:szCs w:val="20"/>
        </w:rPr>
      </w:pPr>
      <w:proofErr w:type="spellStart"/>
      <w:proofErr w:type="gramStart"/>
      <w:r w:rsidRPr="004E716F">
        <w:rPr>
          <w:i/>
          <w:sz w:val="20"/>
          <w:szCs w:val="20"/>
        </w:rPr>
        <w:t>rg</w:t>
      </w:r>
      <w:proofErr w:type="spellEnd"/>
      <w:proofErr w:type="gramEnd"/>
      <w:r w:rsidRPr="004E716F">
        <w:rPr>
          <w:i/>
          <w:sz w:val="20"/>
          <w:szCs w:val="20"/>
        </w:rPr>
        <w:t xml:space="preserve"> </w:t>
      </w:r>
      <w:r w:rsidRPr="004E716F">
        <w:rPr>
          <w:sz w:val="20"/>
          <w:szCs w:val="20"/>
        </w:rPr>
        <w:t>estimates derive</w:t>
      </w:r>
      <w:r w:rsidRPr="00EE3F52">
        <w:rPr>
          <w:sz w:val="20"/>
          <w:szCs w:val="20"/>
        </w:rPr>
        <w:t xml:space="preserve">d </w:t>
      </w:r>
      <w:r w:rsidRPr="00EE3F52">
        <w:rPr>
          <w:rFonts w:ascii="Courier New" w:hAnsi="Courier New" w:cs="Courier New"/>
          <w:sz w:val="20"/>
          <w:szCs w:val="20"/>
        </w:rPr>
        <w:t>﻿</w:t>
      </w:r>
      <w:r w:rsidR="00EE3F52" w:rsidRPr="00EE3F52">
        <w:rPr>
          <w:sz w:val="20"/>
          <w:szCs w:val="20"/>
        </w:rPr>
        <w:t xml:space="preserve">from </w:t>
      </w:r>
      <w:r w:rsidRPr="004E716F">
        <w:rPr>
          <w:sz w:val="20"/>
          <w:szCs w:val="20"/>
        </w:rPr>
        <w:t>high-definition likelihood (HDL)</w:t>
      </w:r>
      <w:r w:rsidR="00967671" w:rsidRPr="00967671">
        <w:rPr>
          <w:noProof/>
          <w:sz w:val="20"/>
          <w:szCs w:val="20"/>
        </w:rPr>
        <w:t>(Ning et al., 2020)</w:t>
      </w:r>
      <w:r w:rsidR="00DC0C6E">
        <w:rPr>
          <w:sz w:val="20"/>
          <w:szCs w:val="20"/>
        </w:rPr>
        <w:t xml:space="preserve"> and </w:t>
      </w:r>
      <w:r w:rsidR="00DC0C6E" w:rsidRPr="00DC0C6E">
        <w:rPr>
          <w:sz w:val="20"/>
          <w:szCs w:val="20"/>
          <w:vertAlign w:val="superscript"/>
        </w:rPr>
        <w:t>a</w:t>
      </w:r>
      <w:r w:rsidR="00D21683">
        <w:rPr>
          <w:sz w:val="20"/>
          <w:szCs w:val="20"/>
          <w:vertAlign w:val="superscript"/>
        </w:rPr>
        <w:t xml:space="preserve"> </w:t>
      </w:r>
      <w:r w:rsidRPr="004E716F">
        <w:rPr>
          <w:sz w:val="20"/>
          <w:szCs w:val="20"/>
        </w:rPr>
        <w:t>bivariate LDSC</w:t>
      </w:r>
      <w:r w:rsidR="00967671" w:rsidRPr="00967671">
        <w:rPr>
          <w:noProof/>
          <w:sz w:val="20"/>
          <w:szCs w:val="20"/>
        </w:rPr>
        <w:t>(</w:t>
      </w:r>
      <w:proofErr w:type="spellStart"/>
      <w:r w:rsidR="00967671" w:rsidRPr="00967671">
        <w:rPr>
          <w:noProof/>
          <w:sz w:val="20"/>
          <w:szCs w:val="20"/>
        </w:rPr>
        <w:t>Bulik</w:t>
      </w:r>
      <w:proofErr w:type="spellEnd"/>
      <w:r w:rsidR="00967671" w:rsidRPr="00967671">
        <w:rPr>
          <w:noProof/>
          <w:sz w:val="20"/>
          <w:szCs w:val="20"/>
        </w:rPr>
        <w:t>-Sullivan et al., 2015)</w:t>
      </w:r>
      <w:r w:rsidR="00EE3F52">
        <w:rPr>
          <w:sz w:val="20"/>
          <w:szCs w:val="20"/>
        </w:rPr>
        <w:t xml:space="preserve"> methods</w:t>
      </w:r>
    </w:p>
    <w:p w:rsidR="00BD5C57" w:rsidRDefault="00BD5C57" w:rsidP="004E716F">
      <w:pPr>
        <w:rPr>
          <w:i/>
          <w:sz w:val="20"/>
          <w:szCs w:val="20"/>
        </w:rPr>
      </w:pPr>
    </w:p>
    <w:p w:rsidR="00BD5C57" w:rsidRDefault="00BD5C57" w:rsidP="004E716F">
      <w:pPr>
        <w:rPr>
          <w:i/>
          <w:sz w:val="20"/>
          <w:szCs w:val="20"/>
        </w:rPr>
        <w:sectPr w:rsidR="00BD5C57" w:rsidSect="00CF21BE">
          <w:pgSz w:w="11900" w:h="16840"/>
          <w:pgMar w:top="1440" w:right="1440" w:bottom="1440" w:left="1440" w:header="708" w:footer="708" w:gutter="0"/>
          <w:cols w:space="708"/>
          <w:docGrid w:linePitch="360"/>
        </w:sectPr>
      </w:pPr>
    </w:p>
    <w:p w:rsidR="00BD5C57" w:rsidRDefault="00BD5C57" w:rsidP="00845E51">
      <w:pPr>
        <w:pStyle w:val="Heading2"/>
        <w:spacing w:line="480" w:lineRule="auto"/>
        <w:rPr>
          <w:rFonts w:ascii="Times New Roman" w:hAnsi="Times New Roman" w:cs="Times New Roman"/>
          <w:color w:val="000000" w:themeColor="text1"/>
          <w:sz w:val="24"/>
          <w:szCs w:val="24"/>
        </w:rPr>
      </w:pPr>
      <w:bookmarkStart w:id="8" w:name="_Toc97882875"/>
      <w:proofErr w:type="spellStart"/>
      <w:proofErr w:type="gramStart"/>
      <w:r w:rsidRPr="00BD5C57">
        <w:rPr>
          <w:rFonts w:ascii="Times New Roman" w:hAnsi="Times New Roman" w:cs="Times New Roman"/>
          <w:b/>
          <w:i/>
          <w:color w:val="000000" w:themeColor="text1"/>
          <w:sz w:val="24"/>
          <w:szCs w:val="24"/>
        </w:rPr>
        <w:lastRenderedPageBreak/>
        <w:t>eTable</w:t>
      </w:r>
      <w:proofErr w:type="spellEnd"/>
      <w:proofErr w:type="gramEnd"/>
      <w:r w:rsidRPr="00BD5C57">
        <w:rPr>
          <w:rFonts w:ascii="Times New Roman" w:hAnsi="Times New Roman" w:cs="Times New Roman"/>
          <w:b/>
          <w:i/>
          <w:color w:val="000000" w:themeColor="text1"/>
          <w:sz w:val="24"/>
          <w:szCs w:val="24"/>
        </w:rPr>
        <w:t xml:space="preserve"> 4. </w:t>
      </w:r>
      <w:r w:rsidR="00E73E83">
        <w:rPr>
          <w:rFonts w:ascii="Times New Roman" w:hAnsi="Times New Roman" w:cs="Times New Roman"/>
          <w:color w:val="000000" w:themeColor="text1"/>
          <w:sz w:val="24"/>
          <w:szCs w:val="24"/>
        </w:rPr>
        <w:t>Univariable Mendelian randomization analyses</w:t>
      </w:r>
      <w:bookmarkEnd w:id="8"/>
      <w:r w:rsidR="00E73E83">
        <w:rPr>
          <w:rFonts w:ascii="Times New Roman" w:hAnsi="Times New Roman" w:cs="Times New Roman"/>
          <w:color w:val="000000" w:themeColor="text1"/>
          <w:sz w:val="24"/>
          <w:szCs w:val="24"/>
        </w:rPr>
        <w:t xml:space="preserve"> </w:t>
      </w:r>
    </w:p>
    <w:tbl>
      <w:tblPr>
        <w:tblW w:w="9660" w:type="dxa"/>
        <w:tblLook w:val="04A0" w:firstRow="1" w:lastRow="0" w:firstColumn="1" w:lastColumn="0" w:noHBand="0" w:noVBand="1"/>
      </w:tblPr>
      <w:tblGrid>
        <w:gridCol w:w="1132"/>
        <w:gridCol w:w="940"/>
        <w:gridCol w:w="1136"/>
        <w:gridCol w:w="271"/>
        <w:gridCol w:w="1104"/>
        <w:gridCol w:w="1103"/>
        <w:gridCol w:w="1103"/>
        <w:gridCol w:w="1870"/>
        <w:gridCol w:w="1300"/>
      </w:tblGrid>
      <w:tr w:rsidR="00845E51" w:rsidRPr="00845E51" w:rsidTr="00845E51">
        <w:trPr>
          <w:trHeight w:val="340"/>
        </w:trPr>
        <w:tc>
          <w:tcPr>
            <w:tcW w:w="1060" w:type="dxa"/>
            <w:tcBorders>
              <w:top w:val="nil"/>
              <w:left w:val="nil"/>
              <w:bottom w:val="nil"/>
              <w:right w:val="nil"/>
            </w:tcBorders>
            <w:shd w:val="clear" w:color="auto" w:fill="auto"/>
            <w:noWrap/>
            <w:vAlign w:val="bottom"/>
            <w:hideMark/>
          </w:tcPr>
          <w:p w:rsidR="00845E51" w:rsidRPr="00845E51" w:rsidRDefault="00845E51" w:rsidP="00845E51"/>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sz w:val="20"/>
                <w:szCs w:val="20"/>
              </w:rPr>
            </w:pPr>
          </w:p>
        </w:tc>
        <w:tc>
          <w:tcPr>
            <w:tcW w:w="1060" w:type="dxa"/>
            <w:tcBorders>
              <w:top w:val="nil"/>
              <w:left w:val="nil"/>
              <w:bottom w:val="nil"/>
              <w:right w:val="nil"/>
            </w:tcBorders>
            <w:shd w:val="clear" w:color="auto" w:fill="auto"/>
            <w:noWrap/>
            <w:vAlign w:val="bottom"/>
            <w:hideMark/>
          </w:tcPr>
          <w:p w:rsidR="00845E51" w:rsidRPr="00845E51" w:rsidRDefault="00845E51" w:rsidP="00845E51">
            <w:pPr>
              <w:rPr>
                <w:sz w:val="20"/>
                <w:szCs w:val="20"/>
              </w:rPr>
            </w:pPr>
          </w:p>
        </w:tc>
        <w:tc>
          <w:tcPr>
            <w:tcW w:w="120" w:type="dxa"/>
            <w:tcBorders>
              <w:top w:val="nil"/>
              <w:left w:val="nil"/>
              <w:bottom w:val="nil"/>
              <w:right w:val="nil"/>
            </w:tcBorders>
            <w:shd w:val="clear" w:color="auto" w:fill="auto"/>
            <w:noWrap/>
            <w:vAlign w:val="bottom"/>
            <w:hideMark/>
          </w:tcPr>
          <w:p w:rsidR="00845E51" w:rsidRPr="00845E51" w:rsidRDefault="00845E51" w:rsidP="00845E51">
            <w:pPr>
              <w:rPr>
                <w:sz w:val="20"/>
                <w:szCs w:val="20"/>
              </w:rPr>
            </w:pPr>
          </w:p>
        </w:tc>
        <w:tc>
          <w:tcPr>
            <w:tcW w:w="5180" w:type="dxa"/>
            <w:gridSpan w:val="4"/>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b/>
                <w:bCs/>
                <w:color w:val="000000"/>
              </w:rPr>
            </w:pPr>
            <w:r w:rsidRPr="00845E51">
              <w:rPr>
                <w:rFonts w:ascii="Calibri" w:hAnsi="Calibri"/>
                <w:b/>
                <w:bCs/>
                <w:color w:val="000000"/>
              </w:rPr>
              <w:t>Inverse Variance Weighted</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b/>
                <w:bCs/>
                <w:color w:val="000000"/>
              </w:rPr>
            </w:pPr>
          </w:p>
        </w:tc>
      </w:tr>
      <w:tr w:rsidR="00845E51" w:rsidRPr="00845E51" w:rsidTr="00845E51">
        <w:trPr>
          <w:trHeight w:val="340"/>
        </w:trPr>
        <w:tc>
          <w:tcPr>
            <w:tcW w:w="1060"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b/>
                <w:bCs/>
                <w:color w:val="000000"/>
              </w:rPr>
            </w:pPr>
            <w:r w:rsidRPr="00845E51">
              <w:rPr>
                <w:rFonts w:ascii="Calibri" w:hAnsi="Calibri"/>
                <w:b/>
                <w:bCs/>
                <w:color w:val="000000"/>
              </w:rPr>
              <w:t xml:space="preserve">Exposure </w:t>
            </w:r>
          </w:p>
        </w:tc>
        <w:tc>
          <w:tcPr>
            <w:tcW w:w="940"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b/>
                <w:bCs/>
                <w:color w:val="000000"/>
              </w:rPr>
            </w:pPr>
            <w:r w:rsidRPr="00845E51">
              <w:rPr>
                <w:rFonts w:ascii="Calibri" w:hAnsi="Calibri"/>
                <w:b/>
                <w:bCs/>
                <w:color w:val="000000"/>
              </w:rPr>
              <w:t>N SNPs</w:t>
            </w:r>
          </w:p>
        </w:tc>
        <w:tc>
          <w:tcPr>
            <w:tcW w:w="1060"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b/>
                <w:bCs/>
                <w:color w:val="000000"/>
              </w:rPr>
            </w:pPr>
            <w:r w:rsidRPr="00845E51">
              <w:rPr>
                <w:rFonts w:ascii="Calibri" w:hAnsi="Calibri"/>
                <w:b/>
                <w:bCs/>
                <w:color w:val="000000"/>
              </w:rPr>
              <w:t>Outcome</w:t>
            </w:r>
          </w:p>
        </w:tc>
        <w:tc>
          <w:tcPr>
            <w:tcW w:w="120" w:type="dxa"/>
            <w:tcBorders>
              <w:top w:val="nil"/>
              <w:left w:val="nil"/>
              <w:bottom w:val="single" w:sz="8" w:space="0" w:color="auto"/>
              <w:right w:val="nil"/>
            </w:tcBorders>
            <w:shd w:val="clear" w:color="auto" w:fill="auto"/>
            <w:noWrap/>
            <w:vAlign w:val="bottom"/>
            <w:hideMark/>
          </w:tcPr>
          <w:p w:rsidR="00845E51" w:rsidRPr="00845E51" w:rsidRDefault="00845E51" w:rsidP="00845E51">
            <w:pPr>
              <w:rPr>
                <w:rFonts w:ascii="Calibri" w:hAnsi="Calibri"/>
                <w:color w:val="000000"/>
              </w:rPr>
            </w:pPr>
            <w:r w:rsidRPr="00845E51">
              <w:rPr>
                <w:rFonts w:ascii="Calibri" w:hAnsi="Calibri"/>
                <w:color w:val="000000"/>
              </w:rPr>
              <w:t> </w:t>
            </w:r>
          </w:p>
        </w:tc>
        <w:tc>
          <w:tcPr>
            <w:tcW w:w="1104"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b/>
                <w:bCs/>
                <w:color w:val="000000"/>
              </w:rPr>
            </w:pPr>
            <w:r w:rsidRPr="00845E51">
              <w:rPr>
                <w:rFonts w:ascii="Calibri" w:hAnsi="Calibri"/>
                <w:b/>
                <w:bCs/>
                <w:color w:val="000000"/>
              </w:rPr>
              <w:t>OR</w:t>
            </w:r>
          </w:p>
        </w:tc>
        <w:tc>
          <w:tcPr>
            <w:tcW w:w="1103"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b/>
                <w:bCs/>
                <w:color w:val="000000"/>
              </w:rPr>
            </w:pPr>
            <w:proofErr w:type="spellStart"/>
            <w:r w:rsidRPr="00845E51">
              <w:rPr>
                <w:rFonts w:ascii="Calibri" w:hAnsi="Calibri"/>
                <w:b/>
                <w:bCs/>
                <w:color w:val="000000"/>
              </w:rPr>
              <w:t>lCI</w:t>
            </w:r>
            <w:proofErr w:type="spellEnd"/>
          </w:p>
        </w:tc>
        <w:tc>
          <w:tcPr>
            <w:tcW w:w="1103"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b/>
                <w:bCs/>
                <w:color w:val="000000"/>
              </w:rPr>
            </w:pPr>
            <w:proofErr w:type="spellStart"/>
            <w:r w:rsidRPr="00845E51">
              <w:rPr>
                <w:rFonts w:ascii="Calibri" w:hAnsi="Calibri"/>
                <w:b/>
                <w:bCs/>
                <w:color w:val="000000"/>
              </w:rPr>
              <w:t>uCI</w:t>
            </w:r>
            <w:proofErr w:type="spellEnd"/>
          </w:p>
        </w:tc>
        <w:tc>
          <w:tcPr>
            <w:tcW w:w="1870"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b/>
                <w:bCs/>
                <w:i/>
                <w:iCs/>
                <w:color w:val="000000"/>
              </w:rPr>
            </w:pPr>
            <w:r w:rsidRPr="00845E51">
              <w:rPr>
                <w:rFonts w:ascii="Calibri" w:hAnsi="Calibri"/>
                <w:b/>
                <w:bCs/>
                <w:i/>
                <w:iCs/>
                <w:color w:val="000000"/>
              </w:rPr>
              <w:t>p-value</w:t>
            </w:r>
          </w:p>
        </w:tc>
        <w:tc>
          <w:tcPr>
            <w:tcW w:w="1300" w:type="dxa"/>
            <w:tcBorders>
              <w:top w:val="single" w:sz="8" w:space="0" w:color="auto"/>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b/>
                <w:bCs/>
                <w:i/>
                <w:iCs/>
                <w:color w:val="000000"/>
              </w:rPr>
            </w:pPr>
            <w:r w:rsidRPr="00845E51">
              <w:rPr>
                <w:rFonts w:ascii="Calibri" w:hAnsi="Calibri"/>
                <w:b/>
                <w:bCs/>
                <w:i/>
                <w:iCs/>
                <w:color w:val="000000"/>
              </w:rPr>
              <w:t>q-value</w:t>
            </w:r>
          </w:p>
        </w:tc>
      </w:tr>
      <w:tr w:rsidR="00845E51" w:rsidRPr="00845E51" w:rsidTr="00845E51">
        <w:trPr>
          <w:trHeight w:val="320"/>
        </w:trPr>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C0</w:t>
            </w:r>
          </w:p>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w:t>
            </w:r>
          </w:p>
        </w:tc>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p>
        </w:tc>
        <w:tc>
          <w:tcPr>
            <w:tcW w:w="1104"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0.99</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0.97</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1.00</w:t>
            </w:r>
          </w:p>
        </w:tc>
        <w:tc>
          <w:tcPr>
            <w:tcW w:w="187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0.06</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0.18</w:t>
            </w:r>
          </w:p>
        </w:tc>
      </w:tr>
      <w:tr w:rsidR="00845E51" w:rsidRPr="00845E51" w:rsidTr="00845E51">
        <w:trPr>
          <w:trHeight w:val="320"/>
        </w:trPr>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C2</w:t>
            </w:r>
          </w:p>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5</w:t>
            </w:r>
          </w:p>
        </w:tc>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p>
        </w:tc>
        <w:tc>
          <w:tcPr>
            <w:tcW w:w="1104"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0.97</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0.95</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1.00</w:t>
            </w:r>
          </w:p>
        </w:tc>
        <w:tc>
          <w:tcPr>
            <w:tcW w:w="187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1.7E-02</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0.06</w:t>
            </w:r>
          </w:p>
        </w:tc>
      </w:tr>
      <w:tr w:rsidR="00845E51" w:rsidRPr="00845E51" w:rsidTr="00845E51">
        <w:trPr>
          <w:trHeight w:val="320"/>
        </w:trPr>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C3</w:t>
            </w:r>
          </w:p>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9</w:t>
            </w:r>
          </w:p>
        </w:tc>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p>
        </w:tc>
        <w:tc>
          <w:tcPr>
            <w:tcW w:w="1104"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0.97</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0.96</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0.99</w:t>
            </w:r>
          </w:p>
        </w:tc>
        <w:tc>
          <w:tcPr>
            <w:tcW w:w="187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6.1E-03</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0.03</w:t>
            </w:r>
          </w:p>
        </w:tc>
      </w:tr>
      <w:tr w:rsidR="00845E51" w:rsidRPr="00845E51" w:rsidTr="00845E51">
        <w:trPr>
          <w:trHeight w:val="320"/>
        </w:trPr>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C4</w:t>
            </w:r>
          </w:p>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17</w:t>
            </w:r>
          </w:p>
        </w:tc>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p>
        </w:tc>
        <w:tc>
          <w:tcPr>
            <w:tcW w:w="1104"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1.01</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1.00</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1.02</w:t>
            </w:r>
          </w:p>
        </w:tc>
        <w:tc>
          <w:tcPr>
            <w:tcW w:w="187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0.18</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0.27</w:t>
            </w:r>
          </w:p>
        </w:tc>
      </w:tr>
      <w:tr w:rsidR="00845E51" w:rsidRPr="00845E51" w:rsidTr="00845E51">
        <w:trPr>
          <w:trHeight w:val="320"/>
        </w:trPr>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C5</w:t>
            </w:r>
          </w:p>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5</w:t>
            </w:r>
          </w:p>
        </w:tc>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p>
        </w:tc>
        <w:tc>
          <w:tcPr>
            <w:tcW w:w="1104"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1.00</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0.94</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1.07</w:t>
            </w:r>
          </w:p>
        </w:tc>
        <w:tc>
          <w:tcPr>
            <w:tcW w:w="187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0.97</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0.97</w:t>
            </w:r>
          </w:p>
        </w:tc>
      </w:tr>
      <w:tr w:rsidR="00845E51" w:rsidRPr="00845E51" w:rsidTr="00845E51">
        <w:trPr>
          <w:trHeight w:val="320"/>
        </w:trPr>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C6</w:t>
            </w:r>
          </w:p>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6</w:t>
            </w:r>
          </w:p>
        </w:tc>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p>
        </w:tc>
        <w:tc>
          <w:tcPr>
            <w:tcW w:w="1104"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1.01</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0.92</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1.10</w:t>
            </w:r>
          </w:p>
        </w:tc>
        <w:tc>
          <w:tcPr>
            <w:tcW w:w="187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0.85</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0.97</w:t>
            </w:r>
          </w:p>
        </w:tc>
      </w:tr>
      <w:tr w:rsidR="00845E51" w:rsidRPr="00845E51" w:rsidTr="00845E51">
        <w:trPr>
          <w:trHeight w:val="320"/>
        </w:trPr>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C8</w:t>
            </w:r>
          </w:p>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7</w:t>
            </w:r>
          </w:p>
        </w:tc>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p>
        </w:tc>
        <w:tc>
          <w:tcPr>
            <w:tcW w:w="1104"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1.04</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1.01</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1.06</w:t>
            </w:r>
          </w:p>
        </w:tc>
        <w:tc>
          <w:tcPr>
            <w:tcW w:w="187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3.0E-03</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0.02</w:t>
            </w:r>
          </w:p>
        </w:tc>
      </w:tr>
      <w:tr w:rsidR="00845E51" w:rsidRPr="00845E51" w:rsidTr="00845E51">
        <w:trPr>
          <w:trHeight w:val="320"/>
        </w:trPr>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C9</w:t>
            </w:r>
          </w:p>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2</w:t>
            </w:r>
          </w:p>
        </w:tc>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p>
        </w:tc>
        <w:tc>
          <w:tcPr>
            <w:tcW w:w="1104"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1.02</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0.99</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1.05</w:t>
            </w:r>
          </w:p>
        </w:tc>
        <w:tc>
          <w:tcPr>
            <w:tcW w:w="187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0.16</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0.27</w:t>
            </w:r>
          </w:p>
        </w:tc>
      </w:tr>
      <w:tr w:rsidR="00845E51" w:rsidRPr="00845E51" w:rsidTr="00845E51">
        <w:trPr>
          <w:trHeight w:val="320"/>
        </w:trPr>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C10</w:t>
            </w:r>
          </w:p>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5</w:t>
            </w:r>
          </w:p>
        </w:tc>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p>
        </w:tc>
        <w:tc>
          <w:tcPr>
            <w:tcW w:w="1104"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1.04</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1.02</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1.06</w:t>
            </w:r>
          </w:p>
        </w:tc>
        <w:tc>
          <w:tcPr>
            <w:tcW w:w="187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6.7E-04</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0.01</w:t>
            </w:r>
          </w:p>
        </w:tc>
      </w:tr>
      <w:tr w:rsidR="00845E51" w:rsidRPr="00845E51" w:rsidTr="00845E51">
        <w:trPr>
          <w:trHeight w:val="320"/>
        </w:trPr>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C10:1</w:t>
            </w:r>
          </w:p>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5</w:t>
            </w:r>
          </w:p>
        </w:tc>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p>
        </w:tc>
        <w:tc>
          <w:tcPr>
            <w:tcW w:w="1104"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1.04</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0.99</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1.08</w:t>
            </w:r>
          </w:p>
        </w:tc>
        <w:tc>
          <w:tcPr>
            <w:tcW w:w="187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0.11</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0.23</w:t>
            </w:r>
          </w:p>
        </w:tc>
      </w:tr>
      <w:tr w:rsidR="00845E51" w:rsidRPr="00845E51" w:rsidTr="00845E51">
        <w:trPr>
          <w:trHeight w:val="320"/>
        </w:trPr>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C12</w:t>
            </w:r>
          </w:p>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2</w:t>
            </w:r>
          </w:p>
        </w:tc>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p>
        </w:tc>
        <w:tc>
          <w:tcPr>
            <w:tcW w:w="1104"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1.07</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0.99</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1.16</w:t>
            </w:r>
          </w:p>
        </w:tc>
        <w:tc>
          <w:tcPr>
            <w:tcW w:w="187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0.08</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0.20</w:t>
            </w:r>
          </w:p>
        </w:tc>
      </w:tr>
      <w:tr w:rsidR="00845E51" w:rsidRPr="00845E51" w:rsidTr="00845E51">
        <w:trPr>
          <w:trHeight w:val="320"/>
        </w:trPr>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C14:1</w:t>
            </w:r>
          </w:p>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2</w:t>
            </w:r>
          </w:p>
        </w:tc>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p>
        </w:tc>
        <w:tc>
          <w:tcPr>
            <w:tcW w:w="1104"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1.06</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0.91</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1.24</w:t>
            </w:r>
          </w:p>
        </w:tc>
        <w:tc>
          <w:tcPr>
            <w:tcW w:w="187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0.43</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0.59</w:t>
            </w:r>
          </w:p>
        </w:tc>
      </w:tr>
      <w:tr w:rsidR="00845E51" w:rsidRPr="00845E51" w:rsidTr="00845E51">
        <w:trPr>
          <w:trHeight w:val="320"/>
        </w:trPr>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C16</w:t>
            </w:r>
          </w:p>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2</w:t>
            </w:r>
          </w:p>
        </w:tc>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p>
        </w:tc>
        <w:tc>
          <w:tcPr>
            <w:tcW w:w="1104"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1.01</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0.92</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1.10</w:t>
            </w:r>
          </w:p>
        </w:tc>
        <w:tc>
          <w:tcPr>
            <w:tcW w:w="187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0.85</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0.97</w:t>
            </w:r>
          </w:p>
        </w:tc>
      </w:tr>
      <w:tr w:rsidR="00845E51" w:rsidRPr="00845E51" w:rsidTr="00845E51">
        <w:trPr>
          <w:trHeight w:val="320"/>
        </w:trPr>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C18:1</w:t>
            </w:r>
          </w:p>
        </w:tc>
        <w:tc>
          <w:tcPr>
            <w:tcW w:w="94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2</w:t>
            </w:r>
          </w:p>
        </w:tc>
        <w:tc>
          <w:tcPr>
            <w:tcW w:w="106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p>
        </w:tc>
        <w:tc>
          <w:tcPr>
            <w:tcW w:w="1104"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1.00</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0.95</w:t>
            </w:r>
          </w:p>
        </w:tc>
        <w:tc>
          <w:tcPr>
            <w:tcW w:w="1103"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1.05</w:t>
            </w:r>
          </w:p>
        </w:tc>
        <w:tc>
          <w:tcPr>
            <w:tcW w:w="187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0.95</w:t>
            </w:r>
          </w:p>
        </w:tc>
        <w:tc>
          <w:tcPr>
            <w:tcW w:w="1300" w:type="dxa"/>
            <w:tcBorders>
              <w:top w:val="nil"/>
              <w:left w:val="nil"/>
              <w:bottom w:val="nil"/>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0.97</w:t>
            </w:r>
          </w:p>
        </w:tc>
      </w:tr>
      <w:tr w:rsidR="00845E51" w:rsidRPr="00845E51" w:rsidTr="00845E51">
        <w:trPr>
          <w:trHeight w:val="340"/>
        </w:trPr>
        <w:tc>
          <w:tcPr>
            <w:tcW w:w="1060"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C18:2</w:t>
            </w:r>
          </w:p>
        </w:tc>
        <w:tc>
          <w:tcPr>
            <w:tcW w:w="940"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2</w:t>
            </w:r>
          </w:p>
        </w:tc>
        <w:tc>
          <w:tcPr>
            <w:tcW w:w="1060"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DEP</w:t>
            </w:r>
          </w:p>
        </w:tc>
        <w:tc>
          <w:tcPr>
            <w:tcW w:w="120" w:type="dxa"/>
            <w:tcBorders>
              <w:top w:val="nil"/>
              <w:left w:val="nil"/>
              <w:bottom w:val="single" w:sz="8" w:space="0" w:color="auto"/>
              <w:right w:val="nil"/>
            </w:tcBorders>
            <w:shd w:val="clear" w:color="auto" w:fill="auto"/>
            <w:noWrap/>
            <w:vAlign w:val="bottom"/>
            <w:hideMark/>
          </w:tcPr>
          <w:p w:rsidR="00845E51" w:rsidRPr="00845E51" w:rsidRDefault="00845E51" w:rsidP="00845E51">
            <w:pPr>
              <w:rPr>
                <w:rFonts w:ascii="Calibri" w:hAnsi="Calibri"/>
                <w:color w:val="000000"/>
              </w:rPr>
            </w:pPr>
            <w:r w:rsidRPr="00845E51">
              <w:rPr>
                <w:rFonts w:ascii="Calibri" w:hAnsi="Calibri"/>
                <w:color w:val="000000"/>
              </w:rPr>
              <w:t> </w:t>
            </w:r>
          </w:p>
        </w:tc>
        <w:tc>
          <w:tcPr>
            <w:tcW w:w="1104"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1.04</w:t>
            </w:r>
          </w:p>
        </w:tc>
        <w:tc>
          <w:tcPr>
            <w:tcW w:w="1103"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0.99</w:t>
            </w:r>
          </w:p>
        </w:tc>
        <w:tc>
          <w:tcPr>
            <w:tcW w:w="1103"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1.09</w:t>
            </w:r>
          </w:p>
        </w:tc>
        <w:tc>
          <w:tcPr>
            <w:tcW w:w="1870"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0.12</w:t>
            </w:r>
          </w:p>
        </w:tc>
        <w:tc>
          <w:tcPr>
            <w:tcW w:w="1300" w:type="dxa"/>
            <w:tcBorders>
              <w:top w:val="nil"/>
              <w:left w:val="nil"/>
              <w:bottom w:val="single" w:sz="8" w:space="0" w:color="auto"/>
              <w:right w:val="nil"/>
            </w:tcBorders>
            <w:shd w:val="clear" w:color="auto" w:fill="auto"/>
            <w:noWrap/>
            <w:vAlign w:val="bottom"/>
            <w:hideMark/>
          </w:tcPr>
          <w:p w:rsidR="00845E51" w:rsidRPr="00845E51" w:rsidRDefault="00845E51" w:rsidP="00845E51">
            <w:pPr>
              <w:jc w:val="center"/>
              <w:rPr>
                <w:rFonts w:ascii="Calibri" w:hAnsi="Calibri"/>
                <w:color w:val="000000"/>
              </w:rPr>
            </w:pPr>
            <w:r w:rsidRPr="00845E51">
              <w:rPr>
                <w:rFonts w:ascii="Calibri" w:hAnsi="Calibri"/>
                <w:color w:val="000000"/>
              </w:rPr>
              <w:t>0.23</w:t>
            </w:r>
          </w:p>
        </w:tc>
      </w:tr>
    </w:tbl>
    <w:p w:rsidR="00845E51" w:rsidRDefault="00845E51" w:rsidP="00845E51">
      <w:pPr>
        <w:spacing w:line="480" w:lineRule="auto"/>
      </w:pPr>
    </w:p>
    <w:p w:rsidR="00845E51" w:rsidRPr="00C36D2E" w:rsidRDefault="00845E51" w:rsidP="00845E51">
      <w:pPr>
        <w:spacing w:line="360" w:lineRule="auto"/>
        <w:rPr>
          <w:sz w:val="20"/>
          <w:szCs w:val="20"/>
          <w:shd w:val="clear" w:color="auto" w:fill="FFFFFF"/>
        </w:rPr>
      </w:pPr>
      <w:r w:rsidRPr="00C36D2E">
        <w:rPr>
          <w:sz w:val="20"/>
          <w:szCs w:val="20"/>
          <w:shd w:val="clear" w:color="auto" w:fill="FFFFFF"/>
        </w:rPr>
        <w:t>Odds ratios (ORs) and 95% confidence intervals (</w:t>
      </w:r>
      <w:proofErr w:type="spellStart"/>
      <w:r w:rsidRPr="00C36D2E">
        <w:rPr>
          <w:sz w:val="20"/>
          <w:szCs w:val="20"/>
          <w:shd w:val="clear" w:color="auto" w:fill="FFFFFF"/>
        </w:rPr>
        <w:t>lCI</w:t>
      </w:r>
      <w:proofErr w:type="spellEnd"/>
      <w:r w:rsidRPr="00C36D2E">
        <w:rPr>
          <w:sz w:val="20"/>
          <w:szCs w:val="20"/>
          <w:shd w:val="clear" w:color="auto" w:fill="FFFFFF"/>
        </w:rPr>
        <w:t xml:space="preserve">, lower bound; </w:t>
      </w:r>
      <w:proofErr w:type="spellStart"/>
      <w:r w:rsidRPr="00C36D2E">
        <w:rPr>
          <w:sz w:val="20"/>
          <w:szCs w:val="20"/>
          <w:shd w:val="clear" w:color="auto" w:fill="FFFFFF"/>
        </w:rPr>
        <w:t>uCI</w:t>
      </w:r>
      <w:proofErr w:type="spellEnd"/>
      <w:r w:rsidRPr="00C36D2E">
        <w:rPr>
          <w:sz w:val="20"/>
          <w:szCs w:val="20"/>
          <w:shd w:val="clear" w:color="auto" w:fill="FFFFFF"/>
        </w:rPr>
        <w:t xml:space="preserve">, upper bound) per SD increase in genetically-predicted levels of </w:t>
      </w:r>
      <w:r w:rsidRPr="00C36D2E">
        <w:rPr>
          <w:i/>
          <w:sz w:val="20"/>
          <w:szCs w:val="20"/>
          <w:shd w:val="clear" w:color="auto" w:fill="FFFFFF"/>
          <w:vertAlign w:val="subscript"/>
        </w:rPr>
        <w:t>(log</w:t>
      </w:r>
      <w:proofErr w:type="gramStart"/>
      <w:r w:rsidRPr="00C36D2E">
        <w:rPr>
          <w:i/>
          <w:sz w:val="20"/>
          <w:szCs w:val="20"/>
          <w:shd w:val="clear" w:color="auto" w:fill="FFFFFF"/>
          <w:vertAlign w:val="subscript"/>
        </w:rPr>
        <w:t>)</w:t>
      </w:r>
      <w:r w:rsidRPr="00C36D2E">
        <w:rPr>
          <w:sz w:val="20"/>
          <w:szCs w:val="20"/>
          <w:shd w:val="clear" w:color="auto" w:fill="FFFFFF"/>
        </w:rPr>
        <w:t>ACs</w:t>
      </w:r>
      <w:proofErr w:type="gramEnd"/>
    </w:p>
    <w:p w:rsidR="00845E51" w:rsidRDefault="00845E51" w:rsidP="00845E51">
      <w:pPr>
        <w:spacing w:line="360" w:lineRule="auto"/>
        <w:rPr>
          <w:sz w:val="20"/>
          <w:szCs w:val="20"/>
        </w:rPr>
      </w:pPr>
      <w:proofErr w:type="gramStart"/>
      <w:r w:rsidRPr="00C36D2E">
        <w:rPr>
          <w:i/>
          <w:sz w:val="20"/>
          <w:szCs w:val="20"/>
          <w:shd w:val="clear" w:color="auto" w:fill="FFFFFF"/>
        </w:rPr>
        <w:t>q</w:t>
      </w:r>
      <w:r w:rsidRPr="00C36D2E">
        <w:rPr>
          <w:sz w:val="20"/>
          <w:szCs w:val="20"/>
          <w:shd w:val="clear" w:color="auto" w:fill="FFFFFF"/>
        </w:rPr>
        <w:t>-value</w:t>
      </w:r>
      <w:proofErr w:type="gramEnd"/>
      <w:r w:rsidRPr="00C36D2E">
        <w:rPr>
          <w:sz w:val="20"/>
          <w:szCs w:val="20"/>
          <w:shd w:val="clear" w:color="auto" w:fill="FFFFFF"/>
        </w:rPr>
        <w:t xml:space="preserve">: </w:t>
      </w:r>
      <w:r w:rsidR="000E7CA3">
        <w:rPr>
          <w:sz w:val="20"/>
          <w:szCs w:val="20"/>
          <w:shd w:val="clear" w:color="auto" w:fill="FFFFFF"/>
        </w:rPr>
        <w:t>f</w:t>
      </w:r>
      <w:r w:rsidR="00C36D2E" w:rsidRPr="00C36D2E">
        <w:rPr>
          <w:sz w:val="20"/>
          <w:szCs w:val="20"/>
          <w:shd w:val="clear" w:color="auto" w:fill="FFFFFF"/>
        </w:rPr>
        <w:t xml:space="preserve">alse </w:t>
      </w:r>
      <w:r w:rsidR="000E7CA3">
        <w:rPr>
          <w:sz w:val="20"/>
          <w:szCs w:val="20"/>
        </w:rPr>
        <w:t>d</w:t>
      </w:r>
      <w:r w:rsidR="00C36D2E" w:rsidRPr="00C36D2E">
        <w:rPr>
          <w:rFonts w:eastAsiaTheme="minorHAnsi"/>
          <w:sz w:val="20"/>
          <w:szCs w:val="20"/>
        </w:rPr>
        <w:t xml:space="preserve">iscovery </w:t>
      </w:r>
      <w:r w:rsidR="000E7CA3">
        <w:rPr>
          <w:sz w:val="20"/>
          <w:szCs w:val="20"/>
        </w:rPr>
        <w:t>r</w:t>
      </w:r>
      <w:r w:rsidR="00C36D2E" w:rsidRPr="00C36D2E">
        <w:rPr>
          <w:rFonts w:eastAsiaTheme="minorHAnsi"/>
          <w:sz w:val="20"/>
          <w:szCs w:val="20"/>
        </w:rPr>
        <w:t xml:space="preserve">ate (FDR) according to the </w:t>
      </w:r>
      <w:proofErr w:type="spellStart"/>
      <w:r w:rsidR="00C36D2E" w:rsidRPr="00C36D2E">
        <w:rPr>
          <w:rFonts w:eastAsiaTheme="minorHAnsi"/>
          <w:sz w:val="20"/>
          <w:szCs w:val="20"/>
        </w:rPr>
        <w:t>Benjamini</w:t>
      </w:r>
      <w:proofErr w:type="spellEnd"/>
      <w:r w:rsidR="00C36D2E" w:rsidRPr="00C36D2E">
        <w:rPr>
          <w:rFonts w:eastAsiaTheme="minorHAnsi"/>
          <w:sz w:val="20"/>
          <w:szCs w:val="20"/>
        </w:rPr>
        <w:t>-Hochberg</w:t>
      </w:r>
      <w:r w:rsidR="00C36D2E" w:rsidRPr="00C36D2E">
        <w:rPr>
          <w:sz w:val="20"/>
          <w:szCs w:val="20"/>
        </w:rPr>
        <w:t xml:space="preserve"> procedur</w:t>
      </w:r>
      <w:r w:rsidR="00B74332">
        <w:rPr>
          <w:sz w:val="20"/>
          <w:szCs w:val="20"/>
        </w:rPr>
        <w:t xml:space="preserve">e. </w:t>
      </w:r>
    </w:p>
    <w:p w:rsidR="00B74332" w:rsidRDefault="00B74332" w:rsidP="00845E51">
      <w:pPr>
        <w:spacing w:line="360" w:lineRule="auto"/>
        <w:rPr>
          <w:sz w:val="20"/>
          <w:szCs w:val="20"/>
          <w:shd w:val="clear" w:color="auto" w:fill="FFFFFF"/>
        </w:rPr>
      </w:pPr>
    </w:p>
    <w:p w:rsidR="00B74332" w:rsidRDefault="00B74332" w:rsidP="00845E51">
      <w:pPr>
        <w:spacing w:line="360" w:lineRule="auto"/>
        <w:rPr>
          <w:sz w:val="20"/>
          <w:szCs w:val="20"/>
          <w:shd w:val="clear" w:color="auto" w:fill="FFFFFF"/>
        </w:rPr>
        <w:sectPr w:rsidR="00B74332" w:rsidSect="00845E51">
          <w:pgSz w:w="11900" w:h="16840"/>
          <w:pgMar w:top="1440" w:right="1440" w:bottom="1440" w:left="1440" w:header="708" w:footer="708" w:gutter="0"/>
          <w:cols w:space="708"/>
          <w:docGrid w:linePitch="360"/>
        </w:sectPr>
      </w:pPr>
    </w:p>
    <w:p w:rsidR="00B74332" w:rsidRDefault="00B74332" w:rsidP="003F6115">
      <w:pPr>
        <w:pStyle w:val="Heading2"/>
        <w:spacing w:line="480" w:lineRule="auto"/>
        <w:rPr>
          <w:rFonts w:ascii="Times New Roman" w:eastAsia="Times New Roman" w:hAnsi="Times New Roman" w:cs="Times New Roman"/>
          <w:color w:val="000000" w:themeColor="text1"/>
          <w:sz w:val="24"/>
          <w:szCs w:val="24"/>
          <w:shd w:val="clear" w:color="auto" w:fill="FFFFFF"/>
        </w:rPr>
      </w:pPr>
      <w:bookmarkStart w:id="9" w:name="_Toc97882876"/>
      <w:proofErr w:type="spellStart"/>
      <w:r w:rsidRPr="00B74332">
        <w:rPr>
          <w:rFonts w:ascii="Times New Roman" w:eastAsia="Times New Roman" w:hAnsi="Times New Roman" w:cs="Times New Roman"/>
          <w:b/>
          <w:i/>
          <w:color w:val="000000" w:themeColor="text1"/>
          <w:sz w:val="24"/>
          <w:szCs w:val="24"/>
          <w:shd w:val="clear" w:color="auto" w:fill="FFFFFF"/>
        </w:rPr>
        <w:lastRenderedPageBreak/>
        <w:t>eTable</w:t>
      </w:r>
      <w:proofErr w:type="spellEnd"/>
      <w:r w:rsidRPr="00B74332">
        <w:rPr>
          <w:rFonts w:ascii="Times New Roman" w:eastAsia="Times New Roman" w:hAnsi="Times New Roman" w:cs="Times New Roman"/>
          <w:b/>
          <w:i/>
          <w:color w:val="000000" w:themeColor="text1"/>
          <w:sz w:val="24"/>
          <w:szCs w:val="24"/>
          <w:shd w:val="clear" w:color="auto" w:fill="FFFFFF"/>
        </w:rPr>
        <w:t xml:space="preserve"> 5</w:t>
      </w:r>
      <w:proofErr w:type="gramStart"/>
      <w:r w:rsidRPr="00B74332">
        <w:rPr>
          <w:rFonts w:ascii="Times New Roman" w:eastAsia="Times New Roman" w:hAnsi="Times New Roman" w:cs="Times New Roman"/>
          <w:b/>
          <w:i/>
          <w:color w:val="000000" w:themeColor="text1"/>
          <w:sz w:val="24"/>
          <w:szCs w:val="24"/>
          <w:shd w:val="clear" w:color="auto" w:fill="FFFFFF"/>
        </w:rPr>
        <w:t>.</w:t>
      </w:r>
      <w:r>
        <w:rPr>
          <w:rFonts w:ascii="Times New Roman" w:eastAsia="Times New Roman" w:hAnsi="Times New Roman" w:cs="Times New Roman"/>
          <w:color w:val="000000" w:themeColor="text1"/>
          <w:sz w:val="24"/>
          <w:szCs w:val="24"/>
          <w:shd w:val="clear" w:color="auto" w:fill="FFFFFF"/>
        </w:rPr>
        <w:t xml:space="preserve">  </w:t>
      </w:r>
      <w:proofErr w:type="gramEnd"/>
      <w:r w:rsidR="00276759">
        <w:rPr>
          <w:rFonts w:ascii="Times New Roman" w:eastAsia="Times New Roman" w:hAnsi="Times New Roman" w:cs="Times New Roman"/>
          <w:color w:val="000000" w:themeColor="text1"/>
          <w:sz w:val="24"/>
          <w:szCs w:val="24"/>
          <w:shd w:val="clear" w:color="auto" w:fill="FFFFFF"/>
        </w:rPr>
        <w:t xml:space="preserve">Mendelian </w:t>
      </w:r>
      <w:r w:rsidR="00881847">
        <w:rPr>
          <w:rFonts w:ascii="Times New Roman" w:eastAsia="Times New Roman" w:hAnsi="Times New Roman" w:cs="Times New Roman"/>
          <w:color w:val="000000" w:themeColor="text1"/>
          <w:sz w:val="24"/>
          <w:szCs w:val="24"/>
          <w:shd w:val="clear" w:color="auto" w:fill="FFFFFF"/>
        </w:rPr>
        <w:t>r</w:t>
      </w:r>
      <w:r w:rsidR="00276759">
        <w:rPr>
          <w:rFonts w:ascii="Times New Roman" w:eastAsia="Times New Roman" w:hAnsi="Times New Roman" w:cs="Times New Roman"/>
          <w:color w:val="000000" w:themeColor="text1"/>
          <w:sz w:val="24"/>
          <w:szCs w:val="24"/>
          <w:shd w:val="clear" w:color="auto" w:fill="FFFFFF"/>
        </w:rPr>
        <w:t>andomization sensitivity analyses: heterogeneity</w:t>
      </w:r>
      <w:bookmarkEnd w:id="9"/>
    </w:p>
    <w:tbl>
      <w:tblPr>
        <w:tblW w:w="5640" w:type="dxa"/>
        <w:tblLook w:val="04A0" w:firstRow="1" w:lastRow="0" w:firstColumn="1" w:lastColumn="0" w:noHBand="0" w:noVBand="1"/>
      </w:tblPr>
      <w:tblGrid>
        <w:gridCol w:w="1132"/>
        <w:gridCol w:w="940"/>
        <w:gridCol w:w="1136"/>
        <w:gridCol w:w="271"/>
        <w:gridCol w:w="899"/>
        <w:gridCol w:w="421"/>
        <w:gridCol w:w="1203"/>
      </w:tblGrid>
      <w:tr w:rsidR="005B6339" w:rsidRPr="005B6339" w:rsidTr="005B6339">
        <w:trPr>
          <w:trHeight w:val="340"/>
        </w:trPr>
        <w:tc>
          <w:tcPr>
            <w:tcW w:w="1060" w:type="dxa"/>
            <w:tcBorders>
              <w:top w:val="nil"/>
              <w:left w:val="nil"/>
              <w:bottom w:val="nil"/>
              <w:right w:val="nil"/>
            </w:tcBorders>
            <w:shd w:val="clear" w:color="auto" w:fill="auto"/>
            <w:noWrap/>
            <w:vAlign w:val="bottom"/>
            <w:hideMark/>
          </w:tcPr>
          <w:p w:rsidR="005B6339" w:rsidRPr="005B6339" w:rsidRDefault="005B6339" w:rsidP="005B6339"/>
        </w:tc>
        <w:tc>
          <w:tcPr>
            <w:tcW w:w="940" w:type="dxa"/>
            <w:tcBorders>
              <w:top w:val="nil"/>
              <w:left w:val="nil"/>
              <w:bottom w:val="nil"/>
              <w:right w:val="nil"/>
            </w:tcBorders>
            <w:shd w:val="clear" w:color="auto" w:fill="auto"/>
            <w:noWrap/>
            <w:vAlign w:val="bottom"/>
            <w:hideMark/>
          </w:tcPr>
          <w:p w:rsidR="005B6339" w:rsidRPr="005B6339" w:rsidRDefault="005B6339" w:rsidP="005B6339">
            <w:pPr>
              <w:rPr>
                <w:sz w:val="20"/>
                <w:szCs w:val="20"/>
              </w:rPr>
            </w:pPr>
          </w:p>
        </w:tc>
        <w:tc>
          <w:tcPr>
            <w:tcW w:w="1060" w:type="dxa"/>
            <w:tcBorders>
              <w:top w:val="nil"/>
              <w:left w:val="nil"/>
              <w:bottom w:val="nil"/>
              <w:right w:val="nil"/>
            </w:tcBorders>
            <w:shd w:val="clear" w:color="auto" w:fill="auto"/>
            <w:noWrap/>
            <w:vAlign w:val="bottom"/>
            <w:hideMark/>
          </w:tcPr>
          <w:p w:rsidR="005B6339" w:rsidRPr="005B6339" w:rsidRDefault="005B6339" w:rsidP="005B6339">
            <w:pPr>
              <w:rPr>
                <w:sz w:val="20"/>
                <w:szCs w:val="20"/>
              </w:rPr>
            </w:pPr>
          </w:p>
        </w:tc>
        <w:tc>
          <w:tcPr>
            <w:tcW w:w="120" w:type="dxa"/>
            <w:tcBorders>
              <w:top w:val="nil"/>
              <w:left w:val="nil"/>
              <w:bottom w:val="nil"/>
              <w:right w:val="nil"/>
            </w:tcBorders>
            <w:shd w:val="clear" w:color="auto" w:fill="auto"/>
            <w:noWrap/>
            <w:vAlign w:val="bottom"/>
            <w:hideMark/>
          </w:tcPr>
          <w:p w:rsidR="005B6339" w:rsidRPr="005B6339" w:rsidRDefault="005B6339" w:rsidP="005B6339">
            <w:pPr>
              <w:rPr>
                <w:sz w:val="20"/>
                <w:szCs w:val="20"/>
              </w:rPr>
            </w:pPr>
          </w:p>
        </w:tc>
        <w:tc>
          <w:tcPr>
            <w:tcW w:w="2460" w:type="dxa"/>
            <w:gridSpan w:val="3"/>
            <w:tcBorders>
              <w:top w:val="nil"/>
              <w:left w:val="nil"/>
              <w:bottom w:val="single" w:sz="8" w:space="0" w:color="auto"/>
              <w:right w:val="nil"/>
            </w:tcBorders>
            <w:shd w:val="clear" w:color="auto" w:fill="auto"/>
            <w:noWrap/>
            <w:vAlign w:val="bottom"/>
            <w:hideMark/>
          </w:tcPr>
          <w:p w:rsidR="005B6339" w:rsidRPr="005B6339" w:rsidRDefault="005B6339" w:rsidP="005B6339">
            <w:pPr>
              <w:jc w:val="center"/>
              <w:rPr>
                <w:rFonts w:ascii="Calibri" w:hAnsi="Calibri"/>
                <w:b/>
                <w:bCs/>
                <w:color w:val="000000"/>
              </w:rPr>
            </w:pPr>
            <w:r w:rsidRPr="005B6339">
              <w:rPr>
                <w:rFonts w:ascii="Calibri" w:hAnsi="Calibri"/>
                <w:b/>
                <w:bCs/>
                <w:color w:val="000000"/>
              </w:rPr>
              <w:t xml:space="preserve">Cochran's </w:t>
            </w:r>
            <w:r w:rsidRPr="005B6339">
              <w:rPr>
                <w:rFonts w:ascii="Calibri" w:hAnsi="Calibri"/>
                <w:b/>
                <w:bCs/>
                <w:i/>
                <w:iCs/>
                <w:color w:val="000000"/>
              </w:rPr>
              <w:t>Q</w:t>
            </w:r>
          </w:p>
        </w:tc>
      </w:tr>
      <w:tr w:rsidR="005B6339" w:rsidRPr="005B6339" w:rsidTr="005B6339">
        <w:trPr>
          <w:trHeight w:val="340"/>
        </w:trPr>
        <w:tc>
          <w:tcPr>
            <w:tcW w:w="1060" w:type="dxa"/>
            <w:tcBorders>
              <w:top w:val="nil"/>
              <w:left w:val="nil"/>
              <w:bottom w:val="single" w:sz="8" w:space="0" w:color="auto"/>
              <w:right w:val="nil"/>
            </w:tcBorders>
            <w:shd w:val="clear" w:color="auto" w:fill="auto"/>
            <w:noWrap/>
            <w:vAlign w:val="bottom"/>
            <w:hideMark/>
          </w:tcPr>
          <w:p w:rsidR="005B6339" w:rsidRPr="005B6339" w:rsidRDefault="005B6339" w:rsidP="005B6339">
            <w:pPr>
              <w:jc w:val="center"/>
              <w:rPr>
                <w:rFonts w:ascii="Calibri" w:hAnsi="Calibri"/>
                <w:b/>
                <w:bCs/>
                <w:color w:val="000000"/>
              </w:rPr>
            </w:pPr>
            <w:r w:rsidRPr="005B6339">
              <w:rPr>
                <w:rFonts w:ascii="Calibri" w:hAnsi="Calibri"/>
                <w:b/>
                <w:bCs/>
                <w:color w:val="000000"/>
              </w:rPr>
              <w:t>Exposure</w:t>
            </w:r>
          </w:p>
        </w:tc>
        <w:tc>
          <w:tcPr>
            <w:tcW w:w="940" w:type="dxa"/>
            <w:tcBorders>
              <w:top w:val="nil"/>
              <w:left w:val="nil"/>
              <w:bottom w:val="single" w:sz="8" w:space="0" w:color="auto"/>
              <w:right w:val="nil"/>
            </w:tcBorders>
            <w:shd w:val="clear" w:color="auto" w:fill="auto"/>
            <w:noWrap/>
            <w:vAlign w:val="bottom"/>
            <w:hideMark/>
          </w:tcPr>
          <w:p w:rsidR="005B6339" w:rsidRPr="005B6339" w:rsidRDefault="005B6339" w:rsidP="005B6339">
            <w:pPr>
              <w:jc w:val="center"/>
              <w:rPr>
                <w:rFonts w:ascii="Calibri" w:hAnsi="Calibri"/>
                <w:b/>
                <w:bCs/>
                <w:color w:val="000000"/>
              </w:rPr>
            </w:pPr>
            <w:r w:rsidRPr="005B6339">
              <w:rPr>
                <w:rFonts w:ascii="Calibri" w:hAnsi="Calibri"/>
                <w:b/>
                <w:bCs/>
                <w:color w:val="000000"/>
              </w:rPr>
              <w:t>N SNPs</w:t>
            </w:r>
          </w:p>
        </w:tc>
        <w:tc>
          <w:tcPr>
            <w:tcW w:w="1060" w:type="dxa"/>
            <w:tcBorders>
              <w:top w:val="nil"/>
              <w:left w:val="nil"/>
              <w:bottom w:val="single" w:sz="8" w:space="0" w:color="auto"/>
              <w:right w:val="nil"/>
            </w:tcBorders>
            <w:shd w:val="clear" w:color="auto" w:fill="auto"/>
            <w:noWrap/>
            <w:vAlign w:val="bottom"/>
            <w:hideMark/>
          </w:tcPr>
          <w:p w:rsidR="005B6339" w:rsidRPr="005B6339" w:rsidRDefault="005B6339" w:rsidP="005B6339">
            <w:pPr>
              <w:jc w:val="center"/>
              <w:rPr>
                <w:rFonts w:ascii="Calibri" w:hAnsi="Calibri"/>
                <w:b/>
                <w:bCs/>
                <w:color w:val="000000"/>
              </w:rPr>
            </w:pPr>
            <w:r w:rsidRPr="005B6339">
              <w:rPr>
                <w:rFonts w:ascii="Calibri" w:hAnsi="Calibri"/>
                <w:b/>
                <w:bCs/>
                <w:color w:val="000000"/>
              </w:rPr>
              <w:t>Outcome</w:t>
            </w:r>
          </w:p>
        </w:tc>
        <w:tc>
          <w:tcPr>
            <w:tcW w:w="120"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b/>
                <w:bCs/>
                <w:color w:val="000000"/>
              </w:rPr>
            </w:pPr>
          </w:p>
        </w:tc>
        <w:tc>
          <w:tcPr>
            <w:tcW w:w="899" w:type="dxa"/>
            <w:tcBorders>
              <w:top w:val="nil"/>
              <w:left w:val="nil"/>
              <w:bottom w:val="single" w:sz="8" w:space="0" w:color="auto"/>
              <w:right w:val="nil"/>
            </w:tcBorders>
            <w:shd w:val="clear" w:color="auto" w:fill="auto"/>
            <w:noWrap/>
            <w:vAlign w:val="bottom"/>
            <w:hideMark/>
          </w:tcPr>
          <w:p w:rsidR="005B6339" w:rsidRPr="005B6339" w:rsidRDefault="005B6339" w:rsidP="005B6339">
            <w:pPr>
              <w:jc w:val="center"/>
              <w:rPr>
                <w:rFonts w:ascii="Calibri" w:hAnsi="Calibri"/>
                <w:b/>
                <w:bCs/>
                <w:i/>
                <w:iCs/>
                <w:color w:val="000000"/>
              </w:rPr>
            </w:pPr>
            <w:r w:rsidRPr="005B6339">
              <w:rPr>
                <w:rFonts w:ascii="Calibri" w:hAnsi="Calibri"/>
                <w:b/>
                <w:bCs/>
                <w:i/>
                <w:iCs/>
                <w:color w:val="000000"/>
              </w:rPr>
              <w:t>Q</w:t>
            </w:r>
          </w:p>
        </w:tc>
        <w:tc>
          <w:tcPr>
            <w:tcW w:w="358" w:type="dxa"/>
            <w:tcBorders>
              <w:top w:val="nil"/>
              <w:left w:val="nil"/>
              <w:bottom w:val="single" w:sz="8" w:space="0" w:color="auto"/>
              <w:right w:val="nil"/>
            </w:tcBorders>
            <w:shd w:val="clear" w:color="auto" w:fill="auto"/>
            <w:noWrap/>
            <w:vAlign w:val="bottom"/>
            <w:hideMark/>
          </w:tcPr>
          <w:p w:rsidR="005B6339" w:rsidRPr="005B6339" w:rsidRDefault="005B6339" w:rsidP="005B6339">
            <w:pPr>
              <w:jc w:val="center"/>
              <w:rPr>
                <w:rFonts w:ascii="Calibri" w:hAnsi="Calibri"/>
                <w:b/>
                <w:color w:val="000000"/>
              </w:rPr>
            </w:pPr>
            <w:proofErr w:type="spellStart"/>
            <w:r w:rsidRPr="005B6339">
              <w:rPr>
                <w:rFonts w:ascii="Calibri" w:hAnsi="Calibri"/>
                <w:b/>
                <w:color w:val="000000"/>
              </w:rPr>
              <w:t>df</w:t>
            </w:r>
            <w:proofErr w:type="spellEnd"/>
          </w:p>
        </w:tc>
        <w:tc>
          <w:tcPr>
            <w:tcW w:w="1203" w:type="dxa"/>
            <w:tcBorders>
              <w:top w:val="nil"/>
              <w:left w:val="nil"/>
              <w:bottom w:val="single" w:sz="8" w:space="0" w:color="auto"/>
              <w:right w:val="nil"/>
            </w:tcBorders>
            <w:shd w:val="clear" w:color="auto" w:fill="auto"/>
            <w:noWrap/>
            <w:vAlign w:val="bottom"/>
            <w:hideMark/>
          </w:tcPr>
          <w:p w:rsidR="005B6339" w:rsidRPr="005B6339" w:rsidRDefault="005B6339" w:rsidP="005B6339">
            <w:pPr>
              <w:jc w:val="center"/>
              <w:rPr>
                <w:rFonts w:ascii="Calibri" w:hAnsi="Calibri"/>
                <w:b/>
                <w:bCs/>
                <w:i/>
                <w:iCs/>
                <w:color w:val="000000"/>
              </w:rPr>
            </w:pPr>
            <w:r w:rsidRPr="005B6339">
              <w:rPr>
                <w:rFonts w:ascii="Calibri" w:hAnsi="Calibri"/>
                <w:b/>
                <w:bCs/>
                <w:i/>
                <w:iCs/>
                <w:color w:val="000000"/>
              </w:rPr>
              <w:t>p-value</w:t>
            </w:r>
          </w:p>
        </w:tc>
      </w:tr>
      <w:tr w:rsidR="005B6339" w:rsidRPr="005B6339" w:rsidTr="005B6339">
        <w:trPr>
          <w:trHeight w:val="320"/>
        </w:trPr>
        <w:tc>
          <w:tcPr>
            <w:tcW w:w="1060"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C2</w:t>
            </w:r>
          </w:p>
        </w:tc>
        <w:tc>
          <w:tcPr>
            <w:tcW w:w="940"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5</w:t>
            </w:r>
          </w:p>
        </w:tc>
        <w:tc>
          <w:tcPr>
            <w:tcW w:w="1060"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p>
        </w:tc>
        <w:tc>
          <w:tcPr>
            <w:tcW w:w="899"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1.34</w:t>
            </w:r>
          </w:p>
        </w:tc>
        <w:tc>
          <w:tcPr>
            <w:tcW w:w="358"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4</w:t>
            </w:r>
          </w:p>
        </w:tc>
        <w:tc>
          <w:tcPr>
            <w:tcW w:w="1203"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0.85</w:t>
            </w:r>
          </w:p>
        </w:tc>
      </w:tr>
      <w:tr w:rsidR="005B6339" w:rsidRPr="005B6339" w:rsidTr="005B6339">
        <w:trPr>
          <w:trHeight w:val="320"/>
        </w:trPr>
        <w:tc>
          <w:tcPr>
            <w:tcW w:w="1060"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C3</w:t>
            </w:r>
          </w:p>
        </w:tc>
        <w:tc>
          <w:tcPr>
            <w:tcW w:w="940"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9</w:t>
            </w:r>
          </w:p>
        </w:tc>
        <w:tc>
          <w:tcPr>
            <w:tcW w:w="1060"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p>
        </w:tc>
        <w:tc>
          <w:tcPr>
            <w:tcW w:w="899"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4.46</w:t>
            </w:r>
          </w:p>
        </w:tc>
        <w:tc>
          <w:tcPr>
            <w:tcW w:w="358"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8</w:t>
            </w:r>
          </w:p>
        </w:tc>
        <w:tc>
          <w:tcPr>
            <w:tcW w:w="1203"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0.81</w:t>
            </w:r>
          </w:p>
        </w:tc>
      </w:tr>
      <w:tr w:rsidR="005B6339" w:rsidRPr="005B6339" w:rsidTr="005B6339">
        <w:trPr>
          <w:trHeight w:val="320"/>
        </w:trPr>
        <w:tc>
          <w:tcPr>
            <w:tcW w:w="1060"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C8</w:t>
            </w:r>
          </w:p>
        </w:tc>
        <w:tc>
          <w:tcPr>
            <w:tcW w:w="940"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7</w:t>
            </w:r>
          </w:p>
        </w:tc>
        <w:tc>
          <w:tcPr>
            <w:tcW w:w="1060"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p>
        </w:tc>
        <w:tc>
          <w:tcPr>
            <w:tcW w:w="899"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12.66</w:t>
            </w:r>
          </w:p>
        </w:tc>
        <w:tc>
          <w:tcPr>
            <w:tcW w:w="358"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6</w:t>
            </w:r>
          </w:p>
        </w:tc>
        <w:tc>
          <w:tcPr>
            <w:tcW w:w="1203" w:type="dxa"/>
            <w:tcBorders>
              <w:top w:val="nil"/>
              <w:left w:val="nil"/>
              <w:bottom w:val="nil"/>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0.05</w:t>
            </w:r>
          </w:p>
        </w:tc>
      </w:tr>
      <w:tr w:rsidR="005B6339" w:rsidRPr="005B6339" w:rsidTr="005B6339">
        <w:trPr>
          <w:trHeight w:val="340"/>
        </w:trPr>
        <w:tc>
          <w:tcPr>
            <w:tcW w:w="1060" w:type="dxa"/>
            <w:tcBorders>
              <w:top w:val="nil"/>
              <w:left w:val="nil"/>
              <w:bottom w:val="single" w:sz="8" w:space="0" w:color="auto"/>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C10</w:t>
            </w:r>
          </w:p>
        </w:tc>
        <w:tc>
          <w:tcPr>
            <w:tcW w:w="940" w:type="dxa"/>
            <w:tcBorders>
              <w:top w:val="nil"/>
              <w:left w:val="nil"/>
              <w:bottom w:val="single" w:sz="8" w:space="0" w:color="auto"/>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5</w:t>
            </w:r>
          </w:p>
        </w:tc>
        <w:tc>
          <w:tcPr>
            <w:tcW w:w="1060" w:type="dxa"/>
            <w:tcBorders>
              <w:top w:val="nil"/>
              <w:left w:val="nil"/>
              <w:bottom w:val="single" w:sz="8" w:space="0" w:color="auto"/>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DEP</w:t>
            </w:r>
          </w:p>
        </w:tc>
        <w:tc>
          <w:tcPr>
            <w:tcW w:w="120" w:type="dxa"/>
            <w:tcBorders>
              <w:top w:val="nil"/>
              <w:left w:val="nil"/>
              <w:bottom w:val="single" w:sz="8" w:space="0" w:color="auto"/>
              <w:right w:val="nil"/>
            </w:tcBorders>
            <w:shd w:val="clear" w:color="auto" w:fill="auto"/>
            <w:noWrap/>
            <w:vAlign w:val="bottom"/>
            <w:hideMark/>
          </w:tcPr>
          <w:p w:rsidR="005B6339" w:rsidRPr="005B6339" w:rsidRDefault="005B6339" w:rsidP="005B6339">
            <w:pPr>
              <w:rPr>
                <w:rFonts w:ascii="Calibri" w:hAnsi="Calibri"/>
                <w:color w:val="000000"/>
              </w:rPr>
            </w:pPr>
            <w:r w:rsidRPr="005B6339">
              <w:rPr>
                <w:rFonts w:ascii="Calibri" w:hAnsi="Calibri"/>
                <w:color w:val="000000"/>
              </w:rPr>
              <w:t> </w:t>
            </w:r>
          </w:p>
        </w:tc>
        <w:tc>
          <w:tcPr>
            <w:tcW w:w="899" w:type="dxa"/>
            <w:tcBorders>
              <w:top w:val="nil"/>
              <w:left w:val="nil"/>
              <w:bottom w:val="single" w:sz="8" w:space="0" w:color="auto"/>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5.28</w:t>
            </w:r>
          </w:p>
        </w:tc>
        <w:tc>
          <w:tcPr>
            <w:tcW w:w="358" w:type="dxa"/>
            <w:tcBorders>
              <w:top w:val="nil"/>
              <w:left w:val="nil"/>
              <w:bottom w:val="single" w:sz="8" w:space="0" w:color="auto"/>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4</w:t>
            </w:r>
          </w:p>
        </w:tc>
        <w:tc>
          <w:tcPr>
            <w:tcW w:w="1203" w:type="dxa"/>
            <w:tcBorders>
              <w:top w:val="nil"/>
              <w:left w:val="nil"/>
              <w:bottom w:val="single" w:sz="8" w:space="0" w:color="auto"/>
              <w:right w:val="nil"/>
            </w:tcBorders>
            <w:shd w:val="clear" w:color="auto" w:fill="auto"/>
            <w:noWrap/>
            <w:vAlign w:val="bottom"/>
            <w:hideMark/>
          </w:tcPr>
          <w:p w:rsidR="005B6339" w:rsidRPr="005B6339" w:rsidRDefault="005B6339" w:rsidP="005B6339">
            <w:pPr>
              <w:jc w:val="center"/>
              <w:rPr>
                <w:rFonts w:ascii="Calibri" w:hAnsi="Calibri"/>
                <w:color w:val="000000"/>
              </w:rPr>
            </w:pPr>
            <w:r w:rsidRPr="005B6339">
              <w:rPr>
                <w:rFonts w:ascii="Calibri" w:hAnsi="Calibri"/>
                <w:color w:val="000000"/>
              </w:rPr>
              <w:t>0.26</w:t>
            </w:r>
          </w:p>
        </w:tc>
      </w:tr>
    </w:tbl>
    <w:p w:rsidR="003F6115" w:rsidRDefault="003F6115" w:rsidP="003F6115">
      <w:pPr>
        <w:spacing w:line="480" w:lineRule="auto"/>
      </w:pPr>
    </w:p>
    <w:p w:rsidR="00844D7B" w:rsidRDefault="00844D7B" w:rsidP="00844D7B">
      <w:pPr>
        <w:pStyle w:val="Heading2"/>
        <w:spacing w:line="480" w:lineRule="auto"/>
        <w:rPr>
          <w:rFonts w:ascii="Times New Roman" w:hAnsi="Times New Roman" w:cs="Times New Roman"/>
          <w:b/>
          <w:i/>
          <w:color w:val="000000" w:themeColor="text1"/>
          <w:sz w:val="24"/>
          <w:szCs w:val="24"/>
        </w:rPr>
      </w:pPr>
    </w:p>
    <w:p w:rsidR="00844D7B" w:rsidRDefault="00844D7B" w:rsidP="00844D7B">
      <w:pPr>
        <w:pStyle w:val="Heading2"/>
        <w:spacing w:line="480" w:lineRule="auto"/>
        <w:rPr>
          <w:rFonts w:ascii="Times New Roman" w:eastAsia="Times New Roman" w:hAnsi="Times New Roman" w:cs="Times New Roman"/>
          <w:color w:val="000000" w:themeColor="text1"/>
          <w:sz w:val="24"/>
          <w:szCs w:val="24"/>
          <w:shd w:val="clear" w:color="auto" w:fill="FFFFFF"/>
        </w:rPr>
      </w:pPr>
      <w:bookmarkStart w:id="10" w:name="_Toc97882877"/>
      <w:proofErr w:type="spellStart"/>
      <w:proofErr w:type="gramStart"/>
      <w:r w:rsidRPr="00844D7B">
        <w:rPr>
          <w:rFonts w:ascii="Times New Roman" w:hAnsi="Times New Roman" w:cs="Times New Roman"/>
          <w:b/>
          <w:i/>
          <w:color w:val="000000" w:themeColor="text1"/>
          <w:sz w:val="24"/>
          <w:szCs w:val="24"/>
        </w:rPr>
        <w:t>eTable</w:t>
      </w:r>
      <w:proofErr w:type="spellEnd"/>
      <w:proofErr w:type="gramEnd"/>
      <w:r w:rsidRPr="00844D7B">
        <w:rPr>
          <w:rFonts w:ascii="Times New Roman" w:hAnsi="Times New Roman" w:cs="Times New Roman"/>
          <w:b/>
          <w:i/>
          <w:color w:val="000000" w:themeColor="text1"/>
          <w:sz w:val="24"/>
          <w:szCs w:val="24"/>
        </w:rPr>
        <w:t xml:space="preserve"> 6.</w:t>
      </w:r>
      <w:r w:rsidRPr="00844D7B">
        <w:rPr>
          <w:color w:val="000000" w:themeColor="text1"/>
        </w:rPr>
        <w:t xml:space="preserve"> </w:t>
      </w:r>
      <w:r>
        <w:rPr>
          <w:rFonts w:ascii="Times New Roman" w:eastAsia="Times New Roman" w:hAnsi="Times New Roman" w:cs="Times New Roman"/>
          <w:color w:val="000000" w:themeColor="text1"/>
          <w:sz w:val="24"/>
          <w:szCs w:val="24"/>
          <w:shd w:val="clear" w:color="auto" w:fill="FFFFFF"/>
        </w:rPr>
        <w:t xml:space="preserve">Mendelian </w:t>
      </w:r>
      <w:r w:rsidR="00881847">
        <w:rPr>
          <w:rFonts w:ascii="Times New Roman" w:eastAsia="Times New Roman" w:hAnsi="Times New Roman" w:cs="Times New Roman"/>
          <w:color w:val="000000" w:themeColor="text1"/>
          <w:sz w:val="24"/>
          <w:szCs w:val="24"/>
          <w:shd w:val="clear" w:color="auto" w:fill="FFFFFF"/>
        </w:rPr>
        <w:t>r</w:t>
      </w:r>
      <w:r>
        <w:rPr>
          <w:rFonts w:ascii="Times New Roman" w:eastAsia="Times New Roman" w:hAnsi="Times New Roman" w:cs="Times New Roman"/>
          <w:color w:val="000000" w:themeColor="text1"/>
          <w:sz w:val="24"/>
          <w:szCs w:val="24"/>
          <w:shd w:val="clear" w:color="auto" w:fill="FFFFFF"/>
        </w:rPr>
        <w:t xml:space="preserve">andomization sensitivity analyses: horizontal </w:t>
      </w:r>
      <w:r w:rsidR="00744D3E">
        <w:rPr>
          <w:rFonts w:ascii="Times New Roman" w:eastAsia="Times New Roman" w:hAnsi="Times New Roman" w:cs="Times New Roman"/>
          <w:color w:val="000000" w:themeColor="text1"/>
          <w:sz w:val="24"/>
          <w:szCs w:val="24"/>
          <w:shd w:val="clear" w:color="auto" w:fill="FFFFFF"/>
        </w:rPr>
        <w:t>pleiotropy</w:t>
      </w:r>
      <w:bookmarkEnd w:id="10"/>
    </w:p>
    <w:tbl>
      <w:tblPr>
        <w:tblW w:w="13656" w:type="dxa"/>
        <w:tblLook w:val="04A0" w:firstRow="1" w:lastRow="0" w:firstColumn="1" w:lastColumn="0" w:noHBand="0" w:noVBand="1"/>
      </w:tblPr>
      <w:tblGrid>
        <w:gridCol w:w="1132"/>
        <w:gridCol w:w="940"/>
        <w:gridCol w:w="1136"/>
        <w:gridCol w:w="271"/>
        <w:gridCol w:w="1127"/>
        <w:gridCol w:w="1007"/>
        <w:gridCol w:w="1077"/>
        <w:gridCol w:w="271"/>
        <w:gridCol w:w="867"/>
        <w:gridCol w:w="1160"/>
        <w:gridCol w:w="271"/>
        <w:gridCol w:w="550"/>
        <w:gridCol w:w="550"/>
        <w:gridCol w:w="1160"/>
        <w:gridCol w:w="222"/>
        <w:gridCol w:w="839"/>
        <w:gridCol w:w="1160"/>
      </w:tblGrid>
      <w:tr w:rsidR="00844D7B" w:rsidTr="00844D7B">
        <w:trPr>
          <w:trHeight w:val="340"/>
        </w:trPr>
        <w:tc>
          <w:tcPr>
            <w:tcW w:w="1132" w:type="dxa"/>
            <w:tcBorders>
              <w:top w:val="nil"/>
              <w:left w:val="nil"/>
              <w:bottom w:val="nil"/>
              <w:right w:val="nil"/>
            </w:tcBorders>
            <w:shd w:val="clear" w:color="auto" w:fill="auto"/>
            <w:noWrap/>
            <w:vAlign w:val="bottom"/>
            <w:hideMark/>
          </w:tcPr>
          <w:p w:rsidR="00844D7B" w:rsidRDefault="00844D7B"/>
        </w:tc>
        <w:tc>
          <w:tcPr>
            <w:tcW w:w="940" w:type="dxa"/>
            <w:tcBorders>
              <w:top w:val="nil"/>
              <w:left w:val="nil"/>
              <w:bottom w:val="nil"/>
              <w:right w:val="nil"/>
            </w:tcBorders>
            <w:shd w:val="clear" w:color="auto" w:fill="auto"/>
            <w:noWrap/>
            <w:vAlign w:val="bottom"/>
            <w:hideMark/>
          </w:tcPr>
          <w:p w:rsidR="00844D7B" w:rsidRDefault="00844D7B">
            <w:pPr>
              <w:jc w:val="center"/>
              <w:rPr>
                <w:sz w:val="20"/>
                <w:szCs w:val="20"/>
              </w:rPr>
            </w:pPr>
          </w:p>
        </w:tc>
        <w:tc>
          <w:tcPr>
            <w:tcW w:w="1136" w:type="dxa"/>
            <w:tcBorders>
              <w:top w:val="nil"/>
              <w:left w:val="nil"/>
              <w:bottom w:val="nil"/>
              <w:right w:val="nil"/>
            </w:tcBorders>
            <w:shd w:val="clear" w:color="auto" w:fill="auto"/>
            <w:noWrap/>
            <w:vAlign w:val="bottom"/>
            <w:hideMark/>
          </w:tcPr>
          <w:p w:rsidR="00844D7B" w:rsidRDefault="00844D7B">
            <w:pPr>
              <w:rPr>
                <w:sz w:val="20"/>
                <w:szCs w:val="20"/>
              </w:rPr>
            </w:pPr>
          </w:p>
        </w:tc>
        <w:tc>
          <w:tcPr>
            <w:tcW w:w="271" w:type="dxa"/>
            <w:tcBorders>
              <w:top w:val="nil"/>
              <w:left w:val="nil"/>
              <w:bottom w:val="nil"/>
              <w:right w:val="nil"/>
            </w:tcBorders>
            <w:shd w:val="clear" w:color="auto" w:fill="auto"/>
            <w:noWrap/>
            <w:vAlign w:val="bottom"/>
            <w:hideMark/>
          </w:tcPr>
          <w:p w:rsidR="00844D7B" w:rsidRDefault="00844D7B">
            <w:pPr>
              <w:rPr>
                <w:sz w:val="20"/>
                <w:szCs w:val="20"/>
              </w:rPr>
            </w:pPr>
          </w:p>
        </w:tc>
        <w:tc>
          <w:tcPr>
            <w:tcW w:w="1127" w:type="dxa"/>
            <w:tcBorders>
              <w:top w:val="nil"/>
              <w:left w:val="nil"/>
              <w:bottom w:val="nil"/>
              <w:right w:val="nil"/>
            </w:tcBorders>
            <w:shd w:val="clear" w:color="auto" w:fill="auto"/>
            <w:noWrap/>
            <w:vAlign w:val="bottom"/>
            <w:hideMark/>
          </w:tcPr>
          <w:p w:rsidR="00844D7B" w:rsidRDefault="00844D7B">
            <w:pPr>
              <w:rPr>
                <w:sz w:val="20"/>
                <w:szCs w:val="20"/>
              </w:rPr>
            </w:pPr>
          </w:p>
        </w:tc>
        <w:tc>
          <w:tcPr>
            <w:tcW w:w="923" w:type="dxa"/>
            <w:tcBorders>
              <w:top w:val="nil"/>
              <w:left w:val="nil"/>
              <w:bottom w:val="nil"/>
              <w:right w:val="nil"/>
            </w:tcBorders>
            <w:shd w:val="clear" w:color="auto" w:fill="auto"/>
            <w:noWrap/>
            <w:vAlign w:val="bottom"/>
            <w:hideMark/>
          </w:tcPr>
          <w:p w:rsidR="00844D7B" w:rsidRDefault="00844D7B">
            <w:pPr>
              <w:jc w:val="center"/>
              <w:rPr>
                <w:sz w:val="20"/>
                <w:szCs w:val="20"/>
              </w:rPr>
            </w:pPr>
          </w:p>
        </w:tc>
        <w:tc>
          <w:tcPr>
            <w:tcW w:w="1077" w:type="dxa"/>
            <w:tcBorders>
              <w:top w:val="nil"/>
              <w:left w:val="nil"/>
              <w:bottom w:val="nil"/>
              <w:right w:val="nil"/>
            </w:tcBorders>
            <w:shd w:val="clear" w:color="auto" w:fill="auto"/>
            <w:noWrap/>
            <w:vAlign w:val="bottom"/>
            <w:hideMark/>
          </w:tcPr>
          <w:p w:rsidR="00844D7B" w:rsidRDefault="00844D7B">
            <w:pPr>
              <w:jc w:val="center"/>
              <w:rPr>
                <w:sz w:val="20"/>
                <w:szCs w:val="20"/>
              </w:rPr>
            </w:pPr>
          </w:p>
        </w:tc>
        <w:tc>
          <w:tcPr>
            <w:tcW w:w="271" w:type="dxa"/>
            <w:tcBorders>
              <w:top w:val="nil"/>
              <w:left w:val="nil"/>
              <w:bottom w:val="nil"/>
              <w:right w:val="nil"/>
            </w:tcBorders>
            <w:shd w:val="clear" w:color="auto" w:fill="auto"/>
            <w:noWrap/>
            <w:vAlign w:val="bottom"/>
            <w:hideMark/>
          </w:tcPr>
          <w:p w:rsidR="00844D7B" w:rsidRDefault="00844D7B">
            <w:pPr>
              <w:jc w:val="center"/>
              <w:rPr>
                <w:sz w:val="20"/>
                <w:szCs w:val="20"/>
              </w:rPr>
            </w:pPr>
          </w:p>
        </w:tc>
        <w:tc>
          <w:tcPr>
            <w:tcW w:w="6779" w:type="dxa"/>
            <w:gridSpan w:val="9"/>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color w:val="000000"/>
              </w:rPr>
            </w:pPr>
            <w:r>
              <w:rPr>
                <w:rFonts w:ascii="Calibri" w:hAnsi="Calibri"/>
                <w:b/>
                <w:bCs/>
                <w:color w:val="000000"/>
              </w:rPr>
              <w:t>MR-PRESSO</w:t>
            </w:r>
          </w:p>
        </w:tc>
      </w:tr>
      <w:tr w:rsidR="00844D7B" w:rsidTr="00844D7B">
        <w:trPr>
          <w:trHeight w:val="340"/>
        </w:trPr>
        <w:tc>
          <w:tcPr>
            <w:tcW w:w="1132" w:type="dxa"/>
            <w:tcBorders>
              <w:top w:val="nil"/>
              <w:left w:val="nil"/>
              <w:bottom w:val="nil"/>
              <w:right w:val="nil"/>
            </w:tcBorders>
            <w:shd w:val="clear" w:color="auto" w:fill="auto"/>
            <w:noWrap/>
            <w:vAlign w:val="bottom"/>
            <w:hideMark/>
          </w:tcPr>
          <w:p w:rsidR="00844D7B" w:rsidRDefault="00844D7B">
            <w:pPr>
              <w:jc w:val="center"/>
              <w:rPr>
                <w:rFonts w:ascii="Calibri" w:hAnsi="Calibri"/>
                <w:b/>
                <w:bCs/>
                <w:color w:val="000000"/>
              </w:rPr>
            </w:pPr>
          </w:p>
        </w:tc>
        <w:tc>
          <w:tcPr>
            <w:tcW w:w="940" w:type="dxa"/>
            <w:tcBorders>
              <w:top w:val="nil"/>
              <w:left w:val="nil"/>
              <w:bottom w:val="nil"/>
              <w:right w:val="nil"/>
            </w:tcBorders>
            <w:shd w:val="clear" w:color="auto" w:fill="auto"/>
            <w:noWrap/>
            <w:vAlign w:val="bottom"/>
            <w:hideMark/>
          </w:tcPr>
          <w:p w:rsidR="00844D7B" w:rsidRDefault="00844D7B">
            <w:pPr>
              <w:rPr>
                <w:sz w:val="20"/>
                <w:szCs w:val="20"/>
              </w:rPr>
            </w:pPr>
          </w:p>
        </w:tc>
        <w:tc>
          <w:tcPr>
            <w:tcW w:w="1136" w:type="dxa"/>
            <w:tcBorders>
              <w:top w:val="nil"/>
              <w:left w:val="nil"/>
              <w:bottom w:val="nil"/>
              <w:right w:val="nil"/>
            </w:tcBorders>
            <w:shd w:val="clear" w:color="auto" w:fill="auto"/>
            <w:noWrap/>
            <w:vAlign w:val="bottom"/>
            <w:hideMark/>
          </w:tcPr>
          <w:p w:rsidR="00844D7B" w:rsidRDefault="00844D7B">
            <w:pPr>
              <w:rPr>
                <w:sz w:val="20"/>
                <w:szCs w:val="20"/>
              </w:rPr>
            </w:pPr>
          </w:p>
        </w:tc>
        <w:tc>
          <w:tcPr>
            <w:tcW w:w="271" w:type="dxa"/>
            <w:tcBorders>
              <w:top w:val="nil"/>
              <w:left w:val="nil"/>
              <w:bottom w:val="nil"/>
              <w:right w:val="nil"/>
            </w:tcBorders>
            <w:shd w:val="clear" w:color="auto" w:fill="auto"/>
            <w:noWrap/>
            <w:vAlign w:val="bottom"/>
            <w:hideMark/>
          </w:tcPr>
          <w:p w:rsidR="00844D7B" w:rsidRDefault="00844D7B">
            <w:pPr>
              <w:rPr>
                <w:sz w:val="20"/>
                <w:szCs w:val="20"/>
              </w:rPr>
            </w:pPr>
          </w:p>
        </w:tc>
        <w:tc>
          <w:tcPr>
            <w:tcW w:w="3127" w:type="dxa"/>
            <w:gridSpan w:val="3"/>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color w:val="000000"/>
              </w:rPr>
            </w:pPr>
            <w:r>
              <w:rPr>
                <w:rFonts w:ascii="Calibri" w:hAnsi="Calibri"/>
                <w:b/>
                <w:bCs/>
                <w:color w:val="000000"/>
              </w:rPr>
              <w:t xml:space="preserve">MR-Egger </w:t>
            </w:r>
            <w:r w:rsidR="00744D3E">
              <w:rPr>
                <w:rFonts w:ascii="Calibri" w:hAnsi="Calibri"/>
                <w:b/>
                <w:bCs/>
                <w:color w:val="000000"/>
              </w:rPr>
              <w:t>intercept</w:t>
            </w:r>
          </w:p>
        </w:tc>
        <w:tc>
          <w:tcPr>
            <w:tcW w:w="271" w:type="dxa"/>
            <w:tcBorders>
              <w:top w:val="nil"/>
              <w:left w:val="nil"/>
              <w:bottom w:val="nil"/>
              <w:right w:val="nil"/>
            </w:tcBorders>
            <w:shd w:val="clear" w:color="auto" w:fill="auto"/>
            <w:noWrap/>
            <w:vAlign w:val="bottom"/>
            <w:hideMark/>
          </w:tcPr>
          <w:p w:rsidR="00844D7B" w:rsidRDefault="00844D7B">
            <w:pPr>
              <w:jc w:val="center"/>
              <w:rPr>
                <w:rFonts w:ascii="Calibri" w:hAnsi="Calibri"/>
                <w:b/>
                <w:bCs/>
                <w:color w:val="000000"/>
              </w:rPr>
            </w:pPr>
          </w:p>
        </w:tc>
        <w:tc>
          <w:tcPr>
            <w:tcW w:w="2027" w:type="dxa"/>
            <w:gridSpan w:val="2"/>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color w:val="000000"/>
              </w:rPr>
            </w:pPr>
            <w:r>
              <w:rPr>
                <w:rFonts w:ascii="Calibri" w:hAnsi="Calibri"/>
                <w:b/>
                <w:bCs/>
                <w:color w:val="000000"/>
              </w:rPr>
              <w:t>Global Test</w:t>
            </w:r>
          </w:p>
        </w:tc>
        <w:tc>
          <w:tcPr>
            <w:tcW w:w="271" w:type="dxa"/>
            <w:tcBorders>
              <w:top w:val="nil"/>
              <w:left w:val="nil"/>
              <w:bottom w:val="nil"/>
              <w:right w:val="nil"/>
            </w:tcBorders>
            <w:shd w:val="clear" w:color="auto" w:fill="auto"/>
            <w:noWrap/>
            <w:vAlign w:val="bottom"/>
            <w:hideMark/>
          </w:tcPr>
          <w:p w:rsidR="00844D7B" w:rsidRDefault="00844D7B">
            <w:pPr>
              <w:jc w:val="center"/>
              <w:rPr>
                <w:rFonts w:ascii="Calibri" w:hAnsi="Calibri"/>
                <w:b/>
                <w:bCs/>
                <w:color w:val="000000"/>
              </w:rPr>
            </w:pPr>
          </w:p>
        </w:tc>
        <w:tc>
          <w:tcPr>
            <w:tcW w:w="2260" w:type="dxa"/>
            <w:gridSpan w:val="3"/>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color w:val="000000"/>
              </w:rPr>
            </w:pPr>
            <w:r>
              <w:rPr>
                <w:rFonts w:ascii="Calibri" w:hAnsi="Calibri"/>
                <w:b/>
                <w:bCs/>
                <w:color w:val="000000"/>
              </w:rPr>
              <w:t xml:space="preserve">Outlier corrected </w:t>
            </w:r>
          </w:p>
        </w:tc>
        <w:tc>
          <w:tcPr>
            <w:tcW w:w="222" w:type="dxa"/>
            <w:tcBorders>
              <w:top w:val="nil"/>
              <w:left w:val="nil"/>
              <w:bottom w:val="nil"/>
              <w:right w:val="nil"/>
            </w:tcBorders>
            <w:shd w:val="clear" w:color="auto" w:fill="auto"/>
            <w:noWrap/>
            <w:vAlign w:val="bottom"/>
            <w:hideMark/>
          </w:tcPr>
          <w:p w:rsidR="00844D7B" w:rsidRDefault="00844D7B">
            <w:pPr>
              <w:jc w:val="center"/>
              <w:rPr>
                <w:rFonts w:ascii="Calibri" w:hAnsi="Calibri"/>
                <w:b/>
                <w:bCs/>
                <w:color w:val="000000"/>
              </w:rPr>
            </w:pPr>
          </w:p>
        </w:tc>
        <w:tc>
          <w:tcPr>
            <w:tcW w:w="1999" w:type="dxa"/>
            <w:gridSpan w:val="2"/>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color w:val="000000"/>
              </w:rPr>
            </w:pPr>
            <w:r>
              <w:rPr>
                <w:rFonts w:ascii="Calibri" w:hAnsi="Calibri"/>
                <w:b/>
                <w:bCs/>
                <w:color w:val="000000"/>
              </w:rPr>
              <w:t>Distortion Test</w:t>
            </w:r>
          </w:p>
        </w:tc>
      </w:tr>
      <w:tr w:rsidR="00844D7B" w:rsidTr="00844D7B">
        <w:trPr>
          <w:trHeight w:val="340"/>
        </w:trPr>
        <w:tc>
          <w:tcPr>
            <w:tcW w:w="1132"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color w:val="000000"/>
              </w:rPr>
            </w:pPr>
            <w:r>
              <w:rPr>
                <w:rFonts w:ascii="Calibri" w:hAnsi="Calibri"/>
                <w:b/>
                <w:bCs/>
                <w:color w:val="000000"/>
              </w:rPr>
              <w:t>Exposure</w:t>
            </w:r>
          </w:p>
        </w:tc>
        <w:tc>
          <w:tcPr>
            <w:tcW w:w="940"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color w:val="000000"/>
              </w:rPr>
            </w:pPr>
            <w:r>
              <w:rPr>
                <w:rFonts w:ascii="Calibri" w:hAnsi="Calibri"/>
                <w:b/>
                <w:bCs/>
                <w:color w:val="000000"/>
              </w:rPr>
              <w:t>N SNPs</w:t>
            </w:r>
          </w:p>
        </w:tc>
        <w:tc>
          <w:tcPr>
            <w:tcW w:w="1136"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color w:val="000000"/>
              </w:rPr>
            </w:pPr>
            <w:r>
              <w:rPr>
                <w:rFonts w:ascii="Calibri" w:hAnsi="Calibri"/>
                <w:b/>
                <w:bCs/>
                <w:color w:val="000000"/>
              </w:rPr>
              <w:t>Outcome</w:t>
            </w:r>
          </w:p>
        </w:tc>
        <w:tc>
          <w:tcPr>
            <w:tcW w:w="271" w:type="dxa"/>
            <w:tcBorders>
              <w:top w:val="nil"/>
              <w:left w:val="nil"/>
              <w:bottom w:val="nil"/>
              <w:right w:val="nil"/>
            </w:tcBorders>
            <w:shd w:val="clear" w:color="auto" w:fill="auto"/>
            <w:noWrap/>
            <w:vAlign w:val="bottom"/>
            <w:hideMark/>
          </w:tcPr>
          <w:p w:rsidR="00844D7B" w:rsidRDefault="00844D7B">
            <w:pPr>
              <w:jc w:val="center"/>
              <w:rPr>
                <w:rFonts w:ascii="Calibri" w:hAnsi="Calibri"/>
                <w:b/>
                <w:bCs/>
                <w:color w:val="000000"/>
              </w:rPr>
            </w:pPr>
          </w:p>
        </w:tc>
        <w:tc>
          <w:tcPr>
            <w:tcW w:w="1127"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color w:val="000000"/>
              </w:rPr>
            </w:pPr>
            <w:r>
              <w:rPr>
                <w:rFonts w:ascii="Calibri" w:hAnsi="Calibri"/>
                <w:b/>
                <w:bCs/>
                <w:color w:val="000000"/>
              </w:rPr>
              <w:t>intercept</w:t>
            </w:r>
          </w:p>
        </w:tc>
        <w:tc>
          <w:tcPr>
            <w:tcW w:w="923"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color w:val="000000"/>
              </w:rPr>
            </w:pPr>
            <w:r>
              <w:rPr>
                <w:rFonts w:ascii="Calibri" w:hAnsi="Calibri"/>
                <w:b/>
                <w:bCs/>
                <w:color w:val="000000"/>
              </w:rPr>
              <w:t>se</w:t>
            </w:r>
          </w:p>
        </w:tc>
        <w:tc>
          <w:tcPr>
            <w:tcW w:w="1077"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i/>
                <w:iCs/>
                <w:color w:val="000000"/>
              </w:rPr>
            </w:pPr>
            <w:r>
              <w:rPr>
                <w:rFonts w:ascii="Calibri" w:hAnsi="Calibri"/>
                <w:b/>
                <w:bCs/>
                <w:i/>
                <w:iCs/>
                <w:color w:val="000000"/>
              </w:rPr>
              <w:t>p-value</w:t>
            </w:r>
          </w:p>
        </w:tc>
        <w:tc>
          <w:tcPr>
            <w:tcW w:w="271" w:type="dxa"/>
            <w:tcBorders>
              <w:top w:val="nil"/>
              <w:left w:val="nil"/>
              <w:bottom w:val="nil"/>
              <w:right w:val="nil"/>
            </w:tcBorders>
            <w:shd w:val="clear" w:color="auto" w:fill="auto"/>
            <w:noWrap/>
            <w:vAlign w:val="bottom"/>
            <w:hideMark/>
          </w:tcPr>
          <w:p w:rsidR="00844D7B" w:rsidRDefault="00844D7B">
            <w:pPr>
              <w:jc w:val="center"/>
              <w:rPr>
                <w:rFonts w:ascii="Calibri" w:hAnsi="Calibri"/>
                <w:b/>
                <w:bCs/>
                <w:i/>
                <w:iCs/>
                <w:color w:val="000000"/>
              </w:rPr>
            </w:pPr>
          </w:p>
        </w:tc>
        <w:tc>
          <w:tcPr>
            <w:tcW w:w="867"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color w:val="000000"/>
              </w:rPr>
            </w:pPr>
            <w:r>
              <w:rPr>
                <w:rFonts w:ascii="Calibri" w:hAnsi="Calibri"/>
                <w:b/>
                <w:bCs/>
                <w:color w:val="000000"/>
              </w:rPr>
              <w:t>RSS</w:t>
            </w:r>
          </w:p>
        </w:tc>
        <w:tc>
          <w:tcPr>
            <w:tcW w:w="1160"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i/>
                <w:iCs/>
                <w:color w:val="000000"/>
              </w:rPr>
            </w:pPr>
            <w:r>
              <w:rPr>
                <w:rFonts w:ascii="Calibri" w:hAnsi="Calibri"/>
                <w:b/>
                <w:bCs/>
                <w:i/>
                <w:iCs/>
                <w:color w:val="000000"/>
              </w:rPr>
              <w:t>p-value</w:t>
            </w:r>
          </w:p>
        </w:tc>
        <w:tc>
          <w:tcPr>
            <w:tcW w:w="271" w:type="dxa"/>
            <w:tcBorders>
              <w:top w:val="nil"/>
              <w:left w:val="nil"/>
              <w:bottom w:val="nil"/>
              <w:right w:val="nil"/>
            </w:tcBorders>
            <w:shd w:val="clear" w:color="auto" w:fill="auto"/>
            <w:noWrap/>
            <w:vAlign w:val="bottom"/>
            <w:hideMark/>
          </w:tcPr>
          <w:p w:rsidR="00844D7B" w:rsidRDefault="00844D7B">
            <w:pPr>
              <w:jc w:val="center"/>
              <w:rPr>
                <w:rFonts w:ascii="Calibri" w:hAnsi="Calibri"/>
                <w:b/>
                <w:bCs/>
                <w:i/>
                <w:iCs/>
                <w:color w:val="000000"/>
              </w:rPr>
            </w:pPr>
          </w:p>
        </w:tc>
        <w:tc>
          <w:tcPr>
            <w:tcW w:w="550"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color w:val="000000"/>
              </w:rPr>
            </w:pPr>
            <w:proofErr w:type="spellStart"/>
            <w:r>
              <w:rPr>
                <w:rFonts w:ascii="Calibri" w:hAnsi="Calibri"/>
                <w:b/>
                <w:bCs/>
                <w:color w:val="000000"/>
              </w:rPr>
              <w:t>est</w:t>
            </w:r>
            <w:proofErr w:type="spellEnd"/>
          </w:p>
        </w:tc>
        <w:tc>
          <w:tcPr>
            <w:tcW w:w="550"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color w:val="000000"/>
              </w:rPr>
            </w:pPr>
            <w:r>
              <w:rPr>
                <w:rFonts w:ascii="Calibri" w:hAnsi="Calibri"/>
                <w:b/>
                <w:bCs/>
                <w:color w:val="000000"/>
              </w:rPr>
              <w:t>se</w:t>
            </w:r>
          </w:p>
        </w:tc>
        <w:tc>
          <w:tcPr>
            <w:tcW w:w="1160"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i/>
                <w:iCs/>
                <w:color w:val="000000"/>
              </w:rPr>
            </w:pPr>
            <w:r>
              <w:rPr>
                <w:rFonts w:ascii="Calibri" w:hAnsi="Calibri"/>
                <w:b/>
                <w:bCs/>
                <w:i/>
                <w:iCs/>
                <w:color w:val="000000"/>
              </w:rPr>
              <w:t>p-value</w:t>
            </w:r>
          </w:p>
        </w:tc>
        <w:tc>
          <w:tcPr>
            <w:tcW w:w="222" w:type="dxa"/>
            <w:tcBorders>
              <w:top w:val="nil"/>
              <w:left w:val="nil"/>
              <w:bottom w:val="nil"/>
              <w:right w:val="nil"/>
            </w:tcBorders>
            <w:shd w:val="clear" w:color="auto" w:fill="auto"/>
            <w:noWrap/>
            <w:vAlign w:val="bottom"/>
            <w:hideMark/>
          </w:tcPr>
          <w:p w:rsidR="00844D7B" w:rsidRDefault="00844D7B">
            <w:pPr>
              <w:jc w:val="center"/>
              <w:rPr>
                <w:rFonts w:ascii="Calibri" w:hAnsi="Calibri"/>
                <w:b/>
                <w:bCs/>
                <w:i/>
                <w:iCs/>
                <w:color w:val="000000"/>
              </w:rPr>
            </w:pPr>
          </w:p>
        </w:tc>
        <w:tc>
          <w:tcPr>
            <w:tcW w:w="839"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color w:val="000000"/>
              </w:rPr>
            </w:pPr>
            <w:proofErr w:type="spellStart"/>
            <w:r>
              <w:rPr>
                <w:rFonts w:ascii="Calibri" w:hAnsi="Calibri"/>
                <w:b/>
                <w:bCs/>
                <w:color w:val="000000"/>
              </w:rPr>
              <w:t>Coeff</w:t>
            </w:r>
            <w:proofErr w:type="spellEnd"/>
          </w:p>
        </w:tc>
        <w:tc>
          <w:tcPr>
            <w:tcW w:w="1160"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b/>
                <w:bCs/>
                <w:i/>
                <w:iCs/>
                <w:color w:val="000000"/>
              </w:rPr>
            </w:pPr>
            <w:r>
              <w:rPr>
                <w:rFonts w:ascii="Calibri" w:hAnsi="Calibri"/>
                <w:b/>
                <w:bCs/>
                <w:i/>
                <w:iCs/>
                <w:color w:val="000000"/>
              </w:rPr>
              <w:t>p-value</w:t>
            </w:r>
          </w:p>
        </w:tc>
      </w:tr>
      <w:tr w:rsidR="00844D7B" w:rsidTr="00844D7B">
        <w:trPr>
          <w:trHeight w:val="320"/>
        </w:trPr>
        <w:tc>
          <w:tcPr>
            <w:tcW w:w="1132"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C2</w:t>
            </w:r>
          </w:p>
        </w:tc>
        <w:tc>
          <w:tcPr>
            <w:tcW w:w="94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5</w:t>
            </w:r>
          </w:p>
        </w:tc>
        <w:tc>
          <w:tcPr>
            <w:tcW w:w="1136"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DEP</w:t>
            </w:r>
          </w:p>
        </w:tc>
        <w:tc>
          <w:tcPr>
            <w:tcW w:w="271"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p>
        </w:tc>
        <w:tc>
          <w:tcPr>
            <w:tcW w:w="1127"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0.00003</w:t>
            </w:r>
          </w:p>
        </w:tc>
        <w:tc>
          <w:tcPr>
            <w:tcW w:w="923"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0.00569</w:t>
            </w:r>
          </w:p>
        </w:tc>
        <w:tc>
          <w:tcPr>
            <w:tcW w:w="1077"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1.00</w:t>
            </w:r>
          </w:p>
        </w:tc>
        <w:tc>
          <w:tcPr>
            <w:tcW w:w="271"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p>
        </w:tc>
        <w:tc>
          <w:tcPr>
            <w:tcW w:w="867"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2.29</w:t>
            </w:r>
          </w:p>
        </w:tc>
        <w:tc>
          <w:tcPr>
            <w:tcW w:w="116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0.83</w:t>
            </w:r>
          </w:p>
        </w:tc>
        <w:tc>
          <w:tcPr>
            <w:tcW w:w="271"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p>
        </w:tc>
        <w:tc>
          <w:tcPr>
            <w:tcW w:w="55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55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116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222"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p>
        </w:tc>
        <w:tc>
          <w:tcPr>
            <w:tcW w:w="839"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116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r>
      <w:tr w:rsidR="00844D7B" w:rsidTr="00844D7B">
        <w:trPr>
          <w:trHeight w:val="320"/>
        </w:trPr>
        <w:tc>
          <w:tcPr>
            <w:tcW w:w="1132"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C3</w:t>
            </w:r>
          </w:p>
        </w:tc>
        <w:tc>
          <w:tcPr>
            <w:tcW w:w="94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9</w:t>
            </w:r>
          </w:p>
        </w:tc>
        <w:tc>
          <w:tcPr>
            <w:tcW w:w="1136"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DEP</w:t>
            </w:r>
          </w:p>
        </w:tc>
        <w:tc>
          <w:tcPr>
            <w:tcW w:w="271"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p>
        </w:tc>
        <w:tc>
          <w:tcPr>
            <w:tcW w:w="1127"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-0.00477</w:t>
            </w:r>
          </w:p>
        </w:tc>
        <w:tc>
          <w:tcPr>
            <w:tcW w:w="923"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0.00572</w:t>
            </w:r>
          </w:p>
        </w:tc>
        <w:tc>
          <w:tcPr>
            <w:tcW w:w="1077"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0.43</w:t>
            </w:r>
          </w:p>
        </w:tc>
        <w:tc>
          <w:tcPr>
            <w:tcW w:w="271"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p>
        </w:tc>
        <w:tc>
          <w:tcPr>
            <w:tcW w:w="867"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5.49</w:t>
            </w:r>
          </w:p>
        </w:tc>
        <w:tc>
          <w:tcPr>
            <w:tcW w:w="116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0.84</w:t>
            </w:r>
          </w:p>
        </w:tc>
        <w:tc>
          <w:tcPr>
            <w:tcW w:w="271"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p>
        </w:tc>
        <w:tc>
          <w:tcPr>
            <w:tcW w:w="55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55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116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222"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p>
        </w:tc>
        <w:tc>
          <w:tcPr>
            <w:tcW w:w="839"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116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r>
      <w:tr w:rsidR="00844D7B" w:rsidTr="00844D7B">
        <w:trPr>
          <w:trHeight w:val="320"/>
        </w:trPr>
        <w:tc>
          <w:tcPr>
            <w:tcW w:w="1132"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C8</w:t>
            </w:r>
          </w:p>
        </w:tc>
        <w:tc>
          <w:tcPr>
            <w:tcW w:w="94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7</w:t>
            </w:r>
          </w:p>
        </w:tc>
        <w:tc>
          <w:tcPr>
            <w:tcW w:w="1136"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DEP</w:t>
            </w:r>
          </w:p>
        </w:tc>
        <w:tc>
          <w:tcPr>
            <w:tcW w:w="271"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p>
        </w:tc>
        <w:tc>
          <w:tcPr>
            <w:tcW w:w="1127"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0.00332</w:t>
            </w:r>
          </w:p>
        </w:tc>
        <w:tc>
          <w:tcPr>
            <w:tcW w:w="923"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0.00575</w:t>
            </w:r>
          </w:p>
        </w:tc>
        <w:tc>
          <w:tcPr>
            <w:tcW w:w="1077"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0.59</w:t>
            </w:r>
          </w:p>
        </w:tc>
        <w:tc>
          <w:tcPr>
            <w:tcW w:w="271"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p>
        </w:tc>
        <w:tc>
          <w:tcPr>
            <w:tcW w:w="867"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19.19</w:t>
            </w:r>
          </w:p>
        </w:tc>
        <w:tc>
          <w:tcPr>
            <w:tcW w:w="116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0.11</w:t>
            </w:r>
          </w:p>
        </w:tc>
        <w:tc>
          <w:tcPr>
            <w:tcW w:w="271"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p>
        </w:tc>
        <w:tc>
          <w:tcPr>
            <w:tcW w:w="55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55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116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222"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p>
        </w:tc>
        <w:tc>
          <w:tcPr>
            <w:tcW w:w="839"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1160"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r>
      <w:tr w:rsidR="00844D7B" w:rsidTr="00844D7B">
        <w:trPr>
          <w:trHeight w:val="340"/>
        </w:trPr>
        <w:tc>
          <w:tcPr>
            <w:tcW w:w="1132"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C10</w:t>
            </w:r>
          </w:p>
        </w:tc>
        <w:tc>
          <w:tcPr>
            <w:tcW w:w="940"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5</w:t>
            </w:r>
          </w:p>
        </w:tc>
        <w:tc>
          <w:tcPr>
            <w:tcW w:w="1136"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DEP</w:t>
            </w:r>
          </w:p>
        </w:tc>
        <w:tc>
          <w:tcPr>
            <w:tcW w:w="271" w:type="dxa"/>
            <w:tcBorders>
              <w:top w:val="nil"/>
              <w:left w:val="nil"/>
              <w:bottom w:val="single" w:sz="8" w:space="0" w:color="auto"/>
              <w:right w:val="nil"/>
            </w:tcBorders>
            <w:shd w:val="clear" w:color="auto" w:fill="auto"/>
            <w:noWrap/>
            <w:vAlign w:val="bottom"/>
            <w:hideMark/>
          </w:tcPr>
          <w:p w:rsidR="00844D7B" w:rsidRDefault="00844D7B">
            <w:pPr>
              <w:rPr>
                <w:rFonts w:ascii="Calibri" w:hAnsi="Calibri"/>
                <w:color w:val="000000"/>
              </w:rPr>
            </w:pPr>
            <w:r>
              <w:rPr>
                <w:rFonts w:ascii="Calibri" w:hAnsi="Calibri"/>
                <w:color w:val="000000"/>
              </w:rPr>
              <w:t> </w:t>
            </w:r>
          </w:p>
        </w:tc>
        <w:tc>
          <w:tcPr>
            <w:tcW w:w="1127"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color w:val="333333"/>
              </w:rPr>
            </w:pPr>
            <w:r>
              <w:rPr>
                <w:rFonts w:ascii="Calibri" w:hAnsi="Calibri"/>
                <w:color w:val="333333"/>
              </w:rPr>
              <w:t>0.00005</w:t>
            </w:r>
          </w:p>
        </w:tc>
        <w:tc>
          <w:tcPr>
            <w:tcW w:w="923"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0.00603</w:t>
            </w:r>
          </w:p>
        </w:tc>
        <w:tc>
          <w:tcPr>
            <w:tcW w:w="1077"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0.99</w:t>
            </w:r>
          </w:p>
        </w:tc>
        <w:tc>
          <w:tcPr>
            <w:tcW w:w="271" w:type="dxa"/>
            <w:tcBorders>
              <w:top w:val="nil"/>
              <w:left w:val="nil"/>
              <w:bottom w:val="single" w:sz="8" w:space="0" w:color="auto"/>
              <w:right w:val="nil"/>
            </w:tcBorders>
            <w:shd w:val="clear" w:color="auto" w:fill="auto"/>
            <w:noWrap/>
            <w:vAlign w:val="bottom"/>
            <w:hideMark/>
          </w:tcPr>
          <w:p w:rsidR="00844D7B" w:rsidRDefault="00844D7B">
            <w:pPr>
              <w:rPr>
                <w:rFonts w:ascii="Calibri" w:hAnsi="Calibri"/>
                <w:color w:val="000000"/>
              </w:rPr>
            </w:pPr>
            <w:r>
              <w:rPr>
                <w:rFonts w:ascii="Calibri" w:hAnsi="Calibri"/>
                <w:color w:val="000000"/>
              </w:rPr>
              <w:t> </w:t>
            </w:r>
          </w:p>
        </w:tc>
        <w:tc>
          <w:tcPr>
            <w:tcW w:w="867"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10.76</w:t>
            </w:r>
          </w:p>
        </w:tc>
        <w:tc>
          <w:tcPr>
            <w:tcW w:w="1160"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0.33</w:t>
            </w:r>
          </w:p>
        </w:tc>
        <w:tc>
          <w:tcPr>
            <w:tcW w:w="271" w:type="dxa"/>
            <w:tcBorders>
              <w:top w:val="nil"/>
              <w:left w:val="nil"/>
              <w:bottom w:val="single" w:sz="8" w:space="0" w:color="auto"/>
              <w:right w:val="nil"/>
            </w:tcBorders>
            <w:shd w:val="clear" w:color="auto" w:fill="auto"/>
            <w:noWrap/>
            <w:vAlign w:val="bottom"/>
            <w:hideMark/>
          </w:tcPr>
          <w:p w:rsidR="00844D7B" w:rsidRDefault="00844D7B">
            <w:pPr>
              <w:rPr>
                <w:rFonts w:ascii="Calibri" w:hAnsi="Calibri"/>
                <w:color w:val="000000"/>
              </w:rPr>
            </w:pPr>
            <w:r>
              <w:rPr>
                <w:rFonts w:ascii="Calibri" w:hAnsi="Calibri"/>
                <w:color w:val="000000"/>
              </w:rPr>
              <w:t> </w:t>
            </w:r>
          </w:p>
        </w:tc>
        <w:tc>
          <w:tcPr>
            <w:tcW w:w="550"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550"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1160"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222" w:type="dxa"/>
            <w:tcBorders>
              <w:top w:val="nil"/>
              <w:left w:val="nil"/>
              <w:bottom w:val="nil"/>
              <w:right w:val="nil"/>
            </w:tcBorders>
            <w:shd w:val="clear" w:color="auto" w:fill="auto"/>
            <w:noWrap/>
            <w:vAlign w:val="bottom"/>
            <w:hideMark/>
          </w:tcPr>
          <w:p w:rsidR="00844D7B" w:rsidRDefault="00844D7B">
            <w:pPr>
              <w:jc w:val="center"/>
              <w:rPr>
                <w:rFonts w:ascii="Calibri" w:hAnsi="Calibri"/>
                <w:color w:val="000000"/>
              </w:rPr>
            </w:pPr>
          </w:p>
        </w:tc>
        <w:tc>
          <w:tcPr>
            <w:tcW w:w="839"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c>
          <w:tcPr>
            <w:tcW w:w="1160" w:type="dxa"/>
            <w:tcBorders>
              <w:top w:val="nil"/>
              <w:left w:val="nil"/>
              <w:bottom w:val="single" w:sz="8" w:space="0" w:color="auto"/>
              <w:right w:val="nil"/>
            </w:tcBorders>
            <w:shd w:val="clear" w:color="auto" w:fill="auto"/>
            <w:noWrap/>
            <w:vAlign w:val="bottom"/>
            <w:hideMark/>
          </w:tcPr>
          <w:p w:rsidR="00844D7B" w:rsidRDefault="00844D7B">
            <w:pPr>
              <w:jc w:val="center"/>
              <w:rPr>
                <w:rFonts w:ascii="Calibri" w:hAnsi="Calibri"/>
                <w:color w:val="000000"/>
              </w:rPr>
            </w:pPr>
            <w:r>
              <w:rPr>
                <w:rFonts w:ascii="Calibri" w:hAnsi="Calibri"/>
                <w:color w:val="000000"/>
              </w:rPr>
              <w:t>n/a</w:t>
            </w:r>
          </w:p>
        </w:tc>
      </w:tr>
    </w:tbl>
    <w:p w:rsidR="00844D7B" w:rsidRDefault="00844D7B" w:rsidP="00844D7B">
      <w:pPr>
        <w:spacing w:line="480" w:lineRule="auto"/>
      </w:pPr>
    </w:p>
    <w:p w:rsidR="00744D3E" w:rsidRDefault="00744D3E" w:rsidP="00844D7B">
      <w:pPr>
        <w:spacing w:line="480" w:lineRule="auto"/>
        <w:sectPr w:rsidR="00744D3E" w:rsidSect="00844D7B">
          <w:pgSz w:w="16840" w:h="11900" w:orient="landscape"/>
          <w:pgMar w:top="1440" w:right="1440" w:bottom="1440" w:left="1440" w:header="708" w:footer="708" w:gutter="0"/>
          <w:cols w:space="708"/>
          <w:docGrid w:linePitch="360"/>
        </w:sectPr>
      </w:pPr>
    </w:p>
    <w:p w:rsidR="00844D7B" w:rsidRDefault="005704A2" w:rsidP="005704A2">
      <w:pPr>
        <w:pStyle w:val="Heading2"/>
        <w:rPr>
          <w:rFonts w:ascii="Times New Roman" w:hAnsi="Times New Roman" w:cs="Times New Roman"/>
          <w:color w:val="000000" w:themeColor="text1"/>
          <w:sz w:val="24"/>
          <w:szCs w:val="24"/>
        </w:rPr>
      </w:pPr>
      <w:bookmarkStart w:id="11" w:name="_Toc97882878"/>
      <w:proofErr w:type="spellStart"/>
      <w:r w:rsidRPr="005704A2">
        <w:rPr>
          <w:rFonts w:ascii="Times New Roman" w:hAnsi="Times New Roman" w:cs="Times New Roman"/>
          <w:b/>
          <w:i/>
          <w:color w:val="000000" w:themeColor="text1"/>
          <w:sz w:val="24"/>
          <w:szCs w:val="24"/>
        </w:rPr>
        <w:lastRenderedPageBreak/>
        <w:t>eTable</w:t>
      </w:r>
      <w:proofErr w:type="spellEnd"/>
      <w:r w:rsidRPr="005704A2">
        <w:rPr>
          <w:rFonts w:ascii="Times New Roman" w:hAnsi="Times New Roman" w:cs="Times New Roman"/>
          <w:b/>
          <w:i/>
          <w:color w:val="000000" w:themeColor="text1"/>
          <w:sz w:val="24"/>
          <w:szCs w:val="24"/>
        </w:rPr>
        <w:t xml:space="preserve"> 7</w:t>
      </w:r>
      <w:proofErr w:type="gramStart"/>
      <w:r w:rsidRPr="005704A2">
        <w:rPr>
          <w:rFonts w:ascii="Times New Roman" w:hAnsi="Times New Roman" w:cs="Times New Roman"/>
          <w:b/>
          <w:i/>
          <w:color w:val="000000" w:themeColor="text1"/>
          <w:sz w:val="24"/>
          <w:szCs w:val="24"/>
        </w:rPr>
        <w:t xml:space="preserve">. </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Reversed univariable Mendelian randomization analyses</w:t>
      </w:r>
      <w:bookmarkEnd w:id="11"/>
    </w:p>
    <w:p w:rsidR="001468F1" w:rsidRDefault="001468F1" w:rsidP="001468F1"/>
    <w:tbl>
      <w:tblPr>
        <w:tblW w:w="8380" w:type="dxa"/>
        <w:tblLook w:val="04A0" w:firstRow="1" w:lastRow="0" w:firstColumn="1" w:lastColumn="0" w:noHBand="0" w:noVBand="1"/>
      </w:tblPr>
      <w:tblGrid>
        <w:gridCol w:w="1132"/>
        <w:gridCol w:w="940"/>
        <w:gridCol w:w="1136"/>
        <w:gridCol w:w="271"/>
        <w:gridCol w:w="1616"/>
        <w:gridCol w:w="1165"/>
        <w:gridCol w:w="1035"/>
        <w:gridCol w:w="1384"/>
      </w:tblGrid>
      <w:tr w:rsidR="001468F1" w:rsidTr="001468F1">
        <w:trPr>
          <w:trHeight w:val="340"/>
        </w:trPr>
        <w:tc>
          <w:tcPr>
            <w:tcW w:w="1060" w:type="dxa"/>
            <w:tcBorders>
              <w:top w:val="nil"/>
              <w:left w:val="nil"/>
              <w:bottom w:val="nil"/>
              <w:right w:val="nil"/>
            </w:tcBorders>
            <w:shd w:val="clear" w:color="auto" w:fill="auto"/>
            <w:noWrap/>
            <w:vAlign w:val="bottom"/>
            <w:hideMark/>
          </w:tcPr>
          <w:p w:rsidR="001468F1" w:rsidRDefault="001468F1"/>
        </w:tc>
        <w:tc>
          <w:tcPr>
            <w:tcW w:w="940" w:type="dxa"/>
            <w:tcBorders>
              <w:top w:val="nil"/>
              <w:left w:val="nil"/>
              <w:bottom w:val="nil"/>
              <w:right w:val="nil"/>
            </w:tcBorders>
            <w:shd w:val="clear" w:color="auto" w:fill="auto"/>
            <w:noWrap/>
            <w:vAlign w:val="bottom"/>
            <w:hideMark/>
          </w:tcPr>
          <w:p w:rsidR="001468F1" w:rsidRDefault="001468F1">
            <w:pPr>
              <w:jc w:val="center"/>
              <w:rPr>
                <w:sz w:val="20"/>
                <w:szCs w:val="20"/>
              </w:rPr>
            </w:pPr>
          </w:p>
        </w:tc>
        <w:tc>
          <w:tcPr>
            <w:tcW w:w="1060" w:type="dxa"/>
            <w:tcBorders>
              <w:top w:val="nil"/>
              <w:left w:val="nil"/>
              <w:bottom w:val="nil"/>
              <w:right w:val="nil"/>
            </w:tcBorders>
            <w:shd w:val="clear" w:color="auto" w:fill="auto"/>
            <w:noWrap/>
            <w:vAlign w:val="bottom"/>
            <w:hideMark/>
          </w:tcPr>
          <w:p w:rsidR="001468F1" w:rsidRDefault="001468F1">
            <w:pPr>
              <w:rPr>
                <w:sz w:val="20"/>
                <w:szCs w:val="20"/>
              </w:rPr>
            </w:pPr>
          </w:p>
        </w:tc>
        <w:tc>
          <w:tcPr>
            <w:tcW w:w="120" w:type="dxa"/>
            <w:tcBorders>
              <w:top w:val="nil"/>
              <w:left w:val="nil"/>
              <w:bottom w:val="nil"/>
              <w:right w:val="nil"/>
            </w:tcBorders>
            <w:shd w:val="clear" w:color="auto" w:fill="auto"/>
            <w:noWrap/>
            <w:vAlign w:val="bottom"/>
            <w:hideMark/>
          </w:tcPr>
          <w:p w:rsidR="001468F1" w:rsidRDefault="001468F1">
            <w:pPr>
              <w:rPr>
                <w:sz w:val="20"/>
                <w:szCs w:val="20"/>
              </w:rPr>
            </w:pPr>
          </w:p>
        </w:tc>
        <w:tc>
          <w:tcPr>
            <w:tcW w:w="5200" w:type="dxa"/>
            <w:gridSpan w:val="4"/>
            <w:tcBorders>
              <w:top w:val="nil"/>
              <w:left w:val="nil"/>
              <w:bottom w:val="single" w:sz="8" w:space="0" w:color="auto"/>
              <w:right w:val="nil"/>
            </w:tcBorders>
            <w:shd w:val="clear" w:color="auto" w:fill="auto"/>
            <w:noWrap/>
            <w:vAlign w:val="bottom"/>
            <w:hideMark/>
          </w:tcPr>
          <w:p w:rsidR="001468F1" w:rsidRDefault="001468F1">
            <w:pPr>
              <w:jc w:val="center"/>
              <w:rPr>
                <w:rFonts w:ascii="Calibri" w:hAnsi="Calibri"/>
                <w:b/>
                <w:bCs/>
                <w:color w:val="000000"/>
              </w:rPr>
            </w:pPr>
            <w:r>
              <w:rPr>
                <w:rFonts w:ascii="Calibri" w:hAnsi="Calibri"/>
                <w:b/>
                <w:bCs/>
                <w:color w:val="000000"/>
              </w:rPr>
              <w:t>Inverse Variance Weighted</w:t>
            </w:r>
          </w:p>
        </w:tc>
      </w:tr>
      <w:tr w:rsidR="001468F1" w:rsidTr="001468F1">
        <w:trPr>
          <w:trHeight w:val="340"/>
        </w:trPr>
        <w:tc>
          <w:tcPr>
            <w:tcW w:w="1060" w:type="dxa"/>
            <w:tcBorders>
              <w:top w:val="nil"/>
              <w:left w:val="nil"/>
              <w:bottom w:val="single" w:sz="8" w:space="0" w:color="auto"/>
              <w:right w:val="nil"/>
            </w:tcBorders>
            <w:shd w:val="clear" w:color="auto" w:fill="auto"/>
            <w:noWrap/>
            <w:vAlign w:val="bottom"/>
            <w:hideMark/>
          </w:tcPr>
          <w:p w:rsidR="001468F1" w:rsidRDefault="001468F1">
            <w:pPr>
              <w:jc w:val="center"/>
              <w:rPr>
                <w:rFonts w:ascii="Calibri" w:hAnsi="Calibri"/>
                <w:b/>
                <w:bCs/>
                <w:color w:val="000000"/>
              </w:rPr>
            </w:pPr>
            <w:r>
              <w:rPr>
                <w:rFonts w:ascii="Calibri" w:hAnsi="Calibri"/>
                <w:b/>
                <w:bCs/>
                <w:color w:val="000000"/>
              </w:rPr>
              <w:t xml:space="preserve">Exposure </w:t>
            </w:r>
          </w:p>
        </w:tc>
        <w:tc>
          <w:tcPr>
            <w:tcW w:w="940" w:type="dxa"/>
            <w:tcBorders>
              <w:top w:val="nil"/>
              <w:left w:val="nil"/>
              <w:bottom w:val="single" w:sz="8" w:space="0" w:color="auto"/>
              <w:right w:val="nil"/>
            </w:tcBorders>
            <w:shd w:val="clear" w:color="auto" w:fill="auto"/>
            <w:noWrap/>
            <w:vAlign w:val="bottom"/>
            <w:hideMark/>
          </w:tcPr>
          <w:p w:rsidR="001468F1" w:rsidRDefault="001468F1">
            <w:pPr>
              <w:jc w:val="center"/>
              <w:rPr>
                <w:rFonts w:ascii="Calibri" w:hAnsi="Calibri"/>
                <w:b/>
                <w:bCs/>
                <w:color w:val="000000"/>
              </w:rPr>
            </w:pPr>
            <w:r>
              <w:rPr>
                <w:rFonts w:ascii="Calibri" w:hAnsi="Calibri"/>
                <w:b/>
                <w:bCs/>
                <w:color w:val="000000"/>
              </w:rPr>
              <w:t>N SNPs</w:t>
            </w:r>
          </w:p>
        </w:tc>
        <w:tc>
          <w:tcPr>
            <w:tcW w:w="1060" w:type="dxa"/>
            <w:tcBorders>
              <w:top w:val="nil"/>
              <w:left w:val="nil"/>
              <w:bottom w:val="single" w:sz="8" w:space="0" w:color="auto"/>
              <w:right w:val="nil"/>
            </w:tcBorders>
            <w:shd w:val="clear" w:color="auto" w:fill="auto"/>
            <w:noWrap/>
            <w:vAlign w:val="bottom"/>
            <w:hideMark/>
          </w:tcPr>
          <w:p w:rsidR="001468F1" w:rsidRDefault="001468F1">
            <w:pPr>
              <w:jc w:val="center"/>
              <w:rPr>
                <w:rFonts w:ascii="Calibri" w:hAnsi="Calibri"/>
                <w:b/>
                <w:bCs/>
                <w:color w:val="000000"/>
              </w:rPr>
            </w:pPr>
            <w:r>
              <w:rPr>
                <w:rFonts w:ascii="Calibri" w:hAnsi="Calibri"/>
                <w:b/>
                <w:bCs/>
                <w:color w:val="000000"/>
              </w:rPr>
              <w:t>Outcome</w:t>
            </w:r>
          </w:p>
        </w:tc>
        <w:tc>
          <w:tcPr>
            <w:tcW w:w="120" w:type="dxa"/>
            <w:tcBorders>
              <w:top w:val="nil"/>
              <w:left w:val="nil"/>
              <w:bottom w:val="single" w:sz="8" w:space="0" w:color="auto"/>
              <w:right w:val="nil"/>
            </w:tcBorders>
            <w:shd w:val="clear" w:color="auto" w:fill="auto"/>
            <w:noWrap/>
            <w:vAlign w:val="bottom"/>
            <w:hideMark/>
          </w:tcPr>
          <w:p w:rsidR="001468F1" w:rsidRDefault="001468F1">
            <w:pPr>
              <w:rPr>
                <w:rFonts w:ascii="Calibri" w:hAnsi="Calibri"/>
                <w:color w:val="000000"/>
              </w:rPr>
            </w:pPr>
            <w:r>
              <w:rPr>
                <w:rFonts w:ascii="Calibri" w:hAnsi="Calibri"/>
                <w:color w:val="000000"/>
              </w:rPr>
              <w:t> </w:t>
            </w:r>
          </w:p>
        </w:tc>
        <w:tc>
          <w:tcPr>
            <w:tcW w:w="1616" w:type="dxa"/>
            <w:tcBorders>
              <w:top w:val="nil"/>
              <w:left w:val="nil"/>
              <w:bottom w:val="single" w:sz="8" w:space="0" w:color="auto"/>
              <w:right w:val="nil"/>
            </w:tcBorders>
            <w:shd w:val="clear" w:color="auto" w:fill="auto"/>
            <w:noWrap/>
            <w:vAlign w:val="bottom"/>
            <w:hideMark/>
          </w:tcPr>
          <w:p w:rsidR="001468F1" w:rsidRDefault="001468F1">
            <w:pPr>
              <w:jc w:val="center"/>
              <w:rPr>
                <w:rFonts w:ascii="Calibri" w:hAnsi="Calibri"/>
                <w:b/>
                <w:bCs/>
                <w:color w:val="000000"/>
              </w:rPr>
            </w:pPr>
            <w:r>
              <w:rPr>
                <w:rFonts w:ascii="Calibri" w:hAnsi="Calibri"/>
                <w:b/>
                <w:bCs/>
                <w:color w:val="000000"/>
              </w:rPr>
              <w:t>Estimate</w:t>
            </w:r>
          </w:p>
        </w:tc>
        <w:tc>
          <w:tcPr>
            <w:tcW w:w="1165" w:type="dxa"/>
            <w:tcBorders>
              <w:top w:val="nil"/>
              <w:left w:val="nil"/>
              <w:bottom w:val="single" w:sz="8" w:space="0" w:color="auto"/>
              <w:right w:val="nil"/>
            </w:tcBorders>
            <w:shd w:val="clear" w:color="auto" w:fill="auto"/>
            <w:noWrap/>
            <w:vAlign w:val="bottom"/>
            <w:hideMark/>
          </w:tcPr>
          <w:p w:rsidR="001468F1" w:rsidRDefault="00B970C8">
            <w:pPr>
              <w:jc w:val="center"/>
              <w:rPr>
                <w:rFonts w:ascii="Calibri" w:hAnsi="Calibri"/>
                <w:b/>
                <w:bCs/>
                <w:color w:val="000000"/>
              </w:rPr>
            </w:pPr>
            <w:proofErr w:type="spellStart"/>
            <w:r>
              <w:rPr>
                <w:rFonts w:ascii="Calibri" w:hAnsi="Calibri"/>
                <w:b/>
                <w:bCs/>
                <w:color w:val="000000"/>
              </w:rPr>
              <w:t>l</w:t>
            </w:r>
            <w:r w:rsidR="001468F1">
              <w:rPr>
                <w:rFonts w:ascii="Calibri" w:hAnsi="Calibri"/>
                <w:b/>
                <w:bCs/>
                <w:color w:val="000000"/>
              </w:rPr>
              <w:t>CI</w:t>
            </w:r>
            <w:proofErr w:type="spellEnd"/>
          </w:p>
        </w:tc>
        <w:tc>
          <w:tcPr>
            <w:tcW w:w="1035" w:type="dxa"/>
            <w:tcBorders>
              <w:top w:val="nil"/>
              <w:left w:val="nil"/>
              <w:bottom w:val="single" w:sz="8" w:space="0" w:color="auto"/>
              <w:right w:val="nil"/>
            </w:tcBorders>
            <w:shd w:val="clear" w:color="auto" w:fill="auto"/>
            <w:noWrap/>
            <w:vAlign w:val="bottom"/>
            <w:hideMark/>
          </w:tcPr>
          <w:p w:rsidR="001468F1" w:rsidRDefault="00B970C8">
            <w:pPr>
              <w:jc w:val="center"/>
              <w:rPr>
                <w:rFonts w:ascii="Calibri" w:hAnsi="Calibri"/>
                <w:b/>
                <w:bCs/>
                <w:color w:val="000000"/>
              </w:rPr>
            </w:pPr>
            <w:proofErr w:type="spellStart"/>
            <w:r>
              <w:rPr>
                <w:rFonts w:ascii="Calibri" w:hAnsi="Calibri"/>
                <w:b/>
                <w:bCs/>
                <w:color w:val="000000"/>
              </w:rPr>
              <w:t>u</w:t>
            </w:r>
            <w:r w:rsidR="001468F1">
              <w:rPr>
                <w:rFonts w:ascii="Calibri" w:hAnsi="Calibri"/>
                <w:b/>
                <w:bCs/>
                <w:color w:val="000000"/>
              </w:rPr>
              <w:t>CI</w:t>
            </w:r>
            <w:proofErr w:type="spellEnd"/>
          </w:p>
        </w:tc>
        <w:tc>
          <w:tcPr>
            <w:tcW w:w="1384" w:type="dxa"/>
            <w:tcBorders>
              <w:top w:val="nil"/>
              <w:left w:val="nil"/>
              <w:bottom w:val="single" w:sz="8" w:space="0" w:color="auto"/>
              <w:right w:val="nil"/>
            </w:tcBorders>
            <w:shd w:val="clear" w:color="auto" w:fill="auto"/>
            <w:noWrap/>
            <w:vAlign w:val="bottom"/>
            <w:hideMark/>
          </w:tcPr>
          <w:p w:rsidR="001468F1" w:rsidRDefault="001468F1">
            <w:pPr>
              <w:jc w:val="center"/>
              <w:rPr>
                <w:rFonts w:ascii="Calibri" w:hAnsi="Calibri"/>
                <w:b/>
                <w:bCs/>
                <w:i/>
                <w:iCs/>
                <w:color w:val="000000"/>
              </w:rPr>
            </w:pPr>
            <w:r>
              <w:rPr>
                <w:rFonts w:ascii="Calibri" w:hAnsi="Calibri"/>
                <w:b/>
                <w:bCs/>
                <w:i/>
                <w:iCs/>
                <w:color w:val="000000"/>
              </w:rPr>
              <w:t>p-value</w:t>
            </w:r>
          </w:p>
        </w:tc>
      </w:tr>
      <w:tr w:rsidR="001468F1" w:rsidTr="001468F1">
        <w:trPr>
          <w:trHeight w:val="320"/>
        </w:trPr>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C0</w:t>
            </w:r>
          </w:p>
        </w:tc>
        <w:tc>
          <w:tcPr>
            <w:tcW w:w="12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p>
        </w:tc>
        <w:tc>
          <w:tcPr>
            <w:tcW w:w="1616"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0.003</w:t>
            </w:r>
          </w:p>
        </w:tc>
        <w:tc>
          <w:tcPr>
            <w:tcW w:w="116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-0.086</w:t>
            </w:r>
          </w:p>
        </w:tc>
        <w:tc>
          <w:tcPr>
            <w:tcW w:w="103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0.092</w:t>
            </w:r>
          </w:p>
        </w:tc>
        <w:tc>
          <w:tcPr>
            <w:tcW w:w="1384"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0.95</w:t>
            </w:r>
          </w:p>
        </w:tc>
      </w:tr>
      <w:tr w:rsidR="001468F1" w:rsidTr="001468F1">
        <w:trPr>
          <w:trHeight w:val="320"/>
        </w:trPr>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C2</w:t>
            </w:r>
          </w:p>
        </w:tc>
        <w:tc>
          <w:tcPr>
            <w:tcW w:w="12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p>
        </w:tc>
        <w:tc>
          <w:tcPr>
            <w:tcW w:w="1616"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-0.026</w:t>
            </w:r>
          </w:p>
        </w:tc>
        <w:tc>
          <w:tcPr>
            <w:tcW w:w="116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-0.115</w:t>
            </w:r>
          </w:p>
        </w:tc>
        <w:tc>
          <w:tcPr>
            <w:tcW w:w="103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0.063</w:t>
            </w:r>
          </w:p>
        </w:tc>
        <w:tc>
          <w:tcPr>
            <w:tcW w:w="1384"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0.57</w:t>
            </w:r>
          </w:p>
        </w:tc>
      </w:tr>
      <w:tr w:rsidR="001468F1" w:rsidTr="001468F1">
        <w:trPr>
          <w:trHeight w:val="320"/>
        </w:trPr>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C3</w:t>
            </w:r>
          </w:p>
        </w:tc>
        <w:tc>
          <w:tcPr>
            <w:tcW w:w="12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p>
        </w:tc>
        <w:tc>
          <w:tcPr>
            <w:tcW w:w="1616"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-0.021</w:t>
            </w:r>
          </w:p>
        </w:tc>
        <w:tc>
          <w:tcPr>
            <w:tcW w:w="116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-0.106</w:t>
            </w:r>
          </w:p>
        </w:tc>
        <w:tc>
          <w:tcPr>
            <w:tcW w:w="103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0.064</w:t>
            </w:r>
          </w:p>
        </w:tc>
        <w:tc>
          <w:tcPr>
            <w:tcW w:w="1384"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0.62</w:t>
            </w:r>
          </w:p>
        </w:tc>
      </w:tr>
      <w:tr w:rsidR="001468F1" w:rsidTr="001468F1">
        <w:trPr>
          <w:trHeight w:val="320"/>
        </w:trPr>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C4</w:t>
            </w:r>
          </w:p>
        </w:tc>
        <w:tc>
          <w:tcPr>
            <w:tcW w:w="12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p>
        </w:tc>
        <w:tc>
          <w:tcPr>
            <w:tcW w:w="1616"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0.081</w:t>
            </w:r>
          </w:p>
        </w:tc>
        <w:tc>
          <w:tcPr>
            <w:tcW w:w="116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-0.140</w:t>
            </w:r>
          </w:p>
        </w:tc>
        <w:tc>
          <w:tcPr>
            <w:tcW w:w="103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0.301</w:t>
            </w:r>
          </w:p>
        </w:tc>
        <w:tc>
          <w:tcPr>
            <w:tcW w:w="1384"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0.47</w:t>
            </w:r>
          </w:p>
        </w:tc>
      </w:tr>
      <w:tr w:rsidR="001468F1" w:rsidTr="001468F1">
        <w:trPr>
          <w:trHeight w:val="320"/>
        </w:trPr>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C5</w:t>
            </w:r>
          </w:p>
        </w:tc>
        <w:tc>
          <w:tcPr>
            <w:tcW w:w="12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p>
        </w:tc>
        <w:tc>
          <w:tcPr>
            <w:tcW w:w="1616"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-0.020</w:t>
            </w:r>
          </w:p>
        </w:tc>
        <w:tc>
          <w:tcPr>
            <w:tcW w:w="116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-0.110</w:t>
            </w:r>
          </w:p>
        </w:tc>
        <w:tc>
          <w:tcPr>
            <w:tcW w:w="103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0.070</w:t>
            </w:r>
          </w:p>
        </w:tc>
        <w:tc>
          <w:tcPr>
            <w:tcW w:w="1384"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0.66</w:t>
            </w:r>
          </w:p>
        </w:tc>
      </w:tr>
      <w:tr w:rsidR="001468F1" w:rsidTr="001468F1">
        <w:trPr>
          <w:trHeight w:val="320"/>
        </w:trPr>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C6</w:t>
            </w:r>
          </w:p>
        </w:tc>
        <w:tc>
          <w:tcPr>
            <w:tcW w:w="12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p>
        </w:tc>
        <w:tc>
          <w:tcPr>
            <w:tcW w:w="1616"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0.049</w:t>
            </w:r>
          </w:p>
        </w:tc>
        <w:tc>
          <w:tcPr>
            <w:tcW w:w="116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-0.039</w:t>
            </w:r>
          </w:p>
        </w:tc>
        <w:tc>
          <w:tcPr>
            <w:tcW w:w="103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0.137</w:t>
            </w:r>
          </w:p>
        </w:tc>
        <w:tc>
          <w:tcPr>
            <w:tcW w:w="1384"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0.27</w:t>
            </w:r>
          </w:p>
        </w:tc>
      </w:tr>
      <w:tr w:rsidR="001468F1" w:rsidTr="001468F1">
        <w:trPr>
          <w:trHeight w:val="320"/>
        </w:trPr>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C8</w:t>
            </w:r>
          </w:p>
        </w:tc>
        <w:tc>
          <w:tcPr>
            <w:tcW w:w="12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p>
        </w:tc>
        <w:tc>
          <w:tcPr>
            <w:tcW w:w="1616"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0.006</w:t>
            </w:r>
          </w:p>
        </w:tc>
        <w:tc>
          <w:tcPr>
            <w:tcW w:w="116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-0.082</w:t>
            </w:r>
          </w:p>
        </w:tc>
        <w:tc>
          <w:tcPr>
            <w:tcW w:w="103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0.095</w:t>
            </w:r>
          </w:p>
        </w:tc>
        <w:tc>
          <w:tcPr>
            <w:tcW w:w="1384"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0.89</w:t>
            </w:r>
          </w:p>
        </w:tc>
      </w:tr>
      <w:tr w:rsidR="001468F1" w:rsidTr="001468F1">
        <w:trPr>
          <w:trHeight w:val="320"/>
        </w:trPr>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C9</w:t>
            </w:r>
          </w:p>
        </w:tc>
        <w:tc>
          <w:tcPr>
            <w:tcW w:w="12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p>
        </w:tc>
        <w:tc>
          <w:tcPr>
            <w:tcW w:w="1616"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0.032</w:t>
            </w:r>
          </w:p>
        </w:tc>
        <w:tc>
          <w:tcPr>
            <w:tcW w:w="116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-0.063</w:t>
            </w:r>
          </w:p>
        </w:tc>
        <w:tc>
          <w:tcPr>
            <w:tcW w:w="103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0.127</w:t>
            </w:r>
          </w:p>
        </w:tc>
        <w:tc>
          <w:tcPr>
            <w:tcW w:w="1384"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0.51</w:t>
            </w:r>
          </w:p>
        </w:tc>
      </w:tr>
      <w:tr w:rsidR="001468F1" w:rsidTr="001468F1">
        <w:trPr>
          <w:trHeight w:val="320"/>
        </w:trPr>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C10</w:t>
            </w:r>
          </w:p>
        </w:tc>
        <w:tc>
          <w:tcPr>
            <w:tcW w:w="12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p>
        </w:tc>
        <w:tc>
          <w:tcPr>
            <w:tcW w:w="1616"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0.018</w:t>
            </w:r>
          </w:p>
        </w:tc>
        <w:tc>
          <w:tcPr>
            <w:tcW w:w="116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-0.071</w:t>
            </w:r>
          </w:p>
        </w:tc>
        <w:tc>
          <w:tcPr>
            <w:tcW w:w="103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0.106</w:t>
            </w:r>
          </w:p>
        </w:tc>
        <w:tc>
          <w:tcPr>
            <w:tcW w:w="1384"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0.70</w:t>
            </w:r>
          </w:p>
        </w:tc>
      </w:tr>
      <w:tr w:rsidR="001468F1" w:rsidTr="001468F1">
        <w:trPr>
          <w:trHeight w:val="320"/>
        </w:trPr>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C10:1</w:t>
            </w:r>
          </w:p>
        </w:tc>
        <w:tc>
          <w:tcPr>
            <w:tcW w:w="12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p>
        </w:tc>
        <w:tc>
          <w:tcPr>
            <w:tcW w:w="1616"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0.002</w:t>
            </w:r>
          </w:p>
        </w:tc>
        <w:tc>
          <w:tcPr>
            <w:tcW w:w="116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-0.086</w:t>
            </w:r>
          </w:p>
        </w:tc>
        <w:tc>
          <w:tcPr>
            <w:tcW w:w="103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0.089</w:t>
            </w:r>
          </w:p>
        </w:tc>
        <w:tc>
          <w:tcPr>
            <w:tcW w:w="1384"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0.97</w:t>
            </w:r>
          </w:p>
        </w:tc>
      </w:tr>
      <w:tr w:rsidR="001468F1" w:rsidTr="001468F1">
        <w:trPr>
          <w:trHeight w:val="320"/>
        </w:trPr>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C12</w:t>
            </w:r>
          </w:p>
        </w:tc>
        <w:tc>
          <w:tcPr>
            <w:tcW w:w="12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p>
        </w:tc>
        <w:tc>
          <w:tcPr>
            <w:tcW w:w="1616"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0.008</w:t>
            </w:r>
          </w:p>
        </w:tc>
        <w:tc>
          <w:tcPr>
            <w:tcW w:w="116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-0.081</w:t>
            </w:r>
          </w:p>
        </w:tc>
        <w:tc>
          <w:tcPr>
            <w:tcW w:w="103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0.097</w:t>
            </w:r>
          </w:p>
        </w:tc>
        <w:tc>
          <w:tcPr>
            <w:tcW w:w="1384"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0.86</w:t>
            </w:r>
          </w:p>
        </w:tc>
      </w:tr>
      <w:tr w:rsidR="001468F1" w:rsidTr="001468F1">
        <w:trPr>
          <w:trHeight w:val="320"/>
        </w:trPr>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C14:1</w:t>
            </w:r>
          </w:p>
        </w:tc>
        <w:tc>
          <w:tcPr>
            <w:tcW w:w="12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p>
        </w:tc>
        <w:tc>
          <w:tcPr>
            <w:tcW w:w="1616"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-0.055</w:t>
            </w:r>
          </w:p>
        </w:tc>
        <w:tc>
          <w:tcPr>
            <w:tcW w:w="116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-0.144</w:t>
            </w:r>
          </w:p>
        </w:tc>
        <w:tc>
          <w:tcPr>
            <w:tcW w:w="103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0.035</w:t>
            </w:r>
          </w:p>
        </w:tc>
        <w:tc>
          <w:tcPr>
            <w:tcW w:w="1384"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0.23</w:t>
            </w:r>
          </w:p>
        </w:tc>
      </w:tr>
      <w:tr w:rsidR="001468F1" w:rsidTr="001468F1">
        <w:trPr>
          <w:trHeight w:val="320"/>
        </w:trPr>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C16</w:t>
            </w:r>
          </w:p>
        </w:tc>
        <w:tc>
          <w:tcPr>
            <w:tcW w:w="12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p>
        </w:tc>
        <w:tc>
          <w:tcPr>
            <w:tcW w:w="1616"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-0.002</w:t>
            </w:r>
          </w:p>
        </w:tc>
        <w:tc>
          <w:tcPr>
            <w:tcW w:w="116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-0.099</w:t>
            </w:r>
          </w:p>
        </w:tc>
        <w:tc>
          <w:tcPr>
            <w:tcW w:w="103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0.095</w:t>
            </w:r>
          </w:p>
        </w:tc>
        <w:tc>
          <w:tcPr>
            <w:tcW w:w="1384"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0.96</w:t>
            </w:r>
          </w:p>
        </w:tc>
      </w:tr>
      <w:tr w:rsidR="001468F1" w:rsidTr="001468F1">
        <w:trPr>
          <w:trHeight w:val="320"/>
        </w:trPr>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C18:1</w:t>
            </w:r>
          </w:p>
        </w:tc>
        <w:tc>
          <w:tcPr>
            <w:tcW w:w="120"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p>
        </w:tc>
        <w:tc>
          <w:tcPr>
            <w:tcW w:w="1616"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0.009</w:t>
            </w:r>
          </w:p>
        </w:tc>
        <w:tc>
          <w:tcPr>
            <w:tcW w:w="116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-0.080</w:t>
            </w:r>
          </w:p>
        </w:tc>
        <w:tc>
          <w:tcPr>
            <w:tcW w:w="1035"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0.098</w:t>
            </w:r>
          </w:p>
        </w:tc>
        <w:tc>
          <w:tcPr>
            <w:tcW w:w="1384" w:type="dxa"/>
            <w:tcBorders>
              <w:top w:val="nil"/>
              <w:left w:val="nil"/>
              <w:bottom w:val="nil"/>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0.84</w:t>
            </w:r>
          </w:p>
        </w:tc>
      </w:tr>
      <w:tr w:rsidR="001468F1" w:rsidTr="001468F1">
        <w:trPr>
          <w:trHeight w:val="340"/>
        </w:trPr>
        <w:tc>
          <w:tcPr>
            <w:tcW w:w="1060" w:type="dxa"/>
            <w:tcBorders>
              <w:top w:val="nil"/>
              <w:left w:val="nil"/>
              <w:bottom w:val="single" w:sz="8" w:space="0" w:color="auto"/>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DEP</w:t>
            </w:r>
          </w:p>
        </w:tc>
        <w:tc>
          <w:tcPr>
            <w:tcW w:w="940" w:type="dxa"/>
            <w:tcBorders>
              <w:top w:val="nil"/>
              <w:left w:val="nil"/>
              <w:bottom w:val="single" w:sz="8" w:space="0" w:color="auto"/>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96</w:t>
            </w:r>
          </w:p>
        </w:tc>
        <w:tc>
          <w:tcPr>
            <w:tcW w:w="1060" w:type="dxa"/>
            <w:tcBorders>
              <w:top w:val="nil"/>
              <w:left w:val="nil"/>
              <w:bottom w:val="single" w:sz="8" w:space="0" w:color="auto"/>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C18:2</w:t>
            </w:r>
          </w:p>
        </w:tc>
        <w:tc>
          <w:tcPr>
            <w:tcW w:w="120" w:type="dxa"/>
            <w:tcBorders>
              <w:top w:val="nil"/>
              <w:left w:val="nil"/>
              <w:bottom w:val="single" w:sz="8" w:space="0" w:color="auto"/>
              <w:right w:val="nil"/>
            </w:tcBorders>
            <w:shd w:val="clear" w:color="auto" w:fill="auto"/>
            <w:noWrap/>
            <w:vAlign w:val="bottom"/>
            <w:hideMark/>
          </w:tcPr>
          <w:p w:rsidR="001468F1" w:rsidRDefault="001468F1">
            <w:pPr>
              <w:rPr>
                <w:rFonts w:ascii="Calibri" w:hAnsi="Calibri"/>
                <w:color w:val="000000"/>
              </w:rPr>
            </w:pPr>
            <w:r>
              <w:rPr>
                <w:rFonts w:ascii="Calibri" w:hAnsi="Calibri"/>
                <w:color w:val="000000"/>
              </w:rPr>
              <w:t> </w:t>
            </w:r>
          </w:p>
        </w:tc>
        <w:tc>
          <w:tcPr>
            <w:tcW w:w="1616" w:type="dxa"/>
            <w:tcBorders>
              <w:top w:val="nil"/>
              <w:left w:val="nil"/>
              <w:bottom w:val="single" w:sz="8" w:space="0" w:color="auto"/>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-0.005</w:t>
            </w:r>
          </w:p>
        </w:tc>
        <w:tc>
          <w:tcPr>
            <w:tcW w:w="1165" w:type="dxa"/>
            <w:tcBorders>
              <w:top w:val="nil"/>
              <w:left w:val="nil"/>
              <w:bottom w:val="single" w:sz="8" w:space="0" w:color="auto"/>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-0.103</w:t>
            </w:r>
          </w:p>
        </w:tc>
        <w:tc>
          <w:tcPr>
            <w:tcW w:w="1035" w:type="dxa"/>
            <w:tcBorders>
              <w:top w:val="nil"/>
              <w:left w:val="nil"/>
              <w:bottom w:val="single" w:sz="8" w:space="0" w:color="auto"/>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0.092</w:t>
            </w:r>
          </w:p>
        </w:tc>
        <w:tc>
          <w:tcPr>
            <w:tcW w:w="1384" w:type="dxa"/>
            <w:tcBorders>
              <w:top w:val="nil"/>
              <w:left w:val="nil"/>
              <w:bottom w:val="single" w:sz="8" w:space="0" w:color="auto"/>
              <w:right w:val="nil"/>
            </w:tcBorders>
            <w:shd w:val="clear" w:color="auto" w:fill="auto"/>
            <w:noWrap/>
            <w:vAlign w:val="bottom"/>
            <w:hideMark/>
          </w:tcPr>
          <w:p w:rsidR="001468F1" w:rsidRDefault="001468F1">
            <w:pPr>
              <w:jc w:val="center"/>
              <w:rPr>
                <w:rFonts w:ascii="Calibri" w:hAnsi="Calibri"/>
                <w:color w:val="000000"/>
              </w:rPr>
            </w:pPr>
            <w:r>
              <w:rPr>
                <w:rFonts w:ascii="Calibri" w:hAnsi="Calibri"/>
                <w:color w:val="000000"/>
              </w:rPr>
              <w:t>0.91</w:t>
            </w:r>
          </w:p>
        </w:tc>
      </w:tr>
    </w:tbl>
    <w:p w:rsidR="001468F1" w:rsidRPr="001468F1" w:rsidRDefault="001468F1" w:rsidP="001468F1"/>
    <w:p w:rsidR="003F6115" w:rsidRDefault="00B970C8" w:rsidP="00E1437F">
      <w:pPr>
        <w:spacing w:line="360" w:lineRule="auto"/>
        <w:rPr>
          <w:sz w:val="20"/>
          <w:szCs w:val="20"/>
        </w:rPr>
      </w:pPr>
      <w:r w:rsidRPr="00B970C8">
        <w:rPr>
          <w:sz w:val="20"/>
          <w:szCs w:val="20"/>
        </w:rPr>
        <w:t xml:space="preserve">Estimates and </w:t>
      </w:r>
      <w:r w:rsidRPr="00B970C8">
        <w:rPr>
          <w:sz w:val="20"/>
          <w:szCs w:val="20"/>
          <w:shd w:val="clear" w:color="auto" w:fill="FFFFFF"/>
        </w:rPr>
        <w:t>95% confidence intervals (</w:t>
      </w:r>
      <w:proofErr w:type="spellStart"/>
      <w:r w:rsidRPr="00B970C8">
        <w:rPr>
          <w:sz w:val="20"/>
          <w:szCs w:val="20"/>
          <w:shd w:val="clear" w:color="auto" w:fill="FFFFFF"/>
        </w:rPr>
        <w:t>lCI</w:t>
      </w:r>
      <w:proofErr w:type="spellEnd"/>
      <w:r w:rsidRPr="00B970C8">
        <w:rPr>
          <w:sz w:val="20"/>
          <w:szCs w:val="20"/>
          <w:shd w:val="clear" w:color="auto" w:fill="FFFFFF"/>
        </w:rPr>
        <w:t xml:space="preserve">, lower bound; </w:t>
      </w:r>
      <w:proofErr w:type="spellStart"/>
      <w:r w:rsidRPr="00B970C8">
        <w:rPr>
          <w:sz w:val="20"/>
          <w:szCs w:val="20"/>
          <w:shd w:val="clear" w:color="auto" w:fill="FFFFFF"/>
        </w:rPr>
        <w:t>uCI</w:t>
      </w:r>
      <w:proofErr w:type="spellEnd"/>
      <w:r w:rsidRPr="00B970C8">
        <w:rPr>
          <w:sz w:val="20"/>
          <w:szCs w:val="20"/>
          <w:shd w:val="clear" w:color="auto" w:fill="FFFFFF"/>
        </w:rPr>
        <w:t xml:space="preserve">, upper bound) of </w:t>
      </w:r>
      <w:r w:rsidRPr="00B970C8">
        <w:rPr>
          <w:sz w:val="20"/>
          <w:szCs w:val="20"/>
        </w:rPr>
        <w:t xml:space="preserve">change in SD of </w:t>
      </w:r>
      <w:r w:rsidRPr="00B970C8">
        <w:rPr>
          <w:i/>
          <w:iCs/>
          <w:sz w:val="20"/>
          <w:szCs w:val="20"/>
          <w:vertAlign w:val="subscript"/>
        </w:rPr>
        <w:t>(log)</w:t>
      </w:r>
      <w:r w:rsidRPr="00B970C8">
        <w:rPr>
          <w:sz w:val="20"/>
          <w:szCs w:val="20"/>
        </w:rPr>
        <w:t>AC levels per doubling (2-fold increase) in the prevalence of the exposure</w:t>
      </w:r>
    </w:p>
    <w:p w:rsidR="00E1437F" w:rsidRDefault="00E1437F" w:rsidP="00E1437F">
      <w:pPr>
        <w:spacing w:line="360" w:lineRule="auto"/>
        <w:rPr>
          <w:sz w:val="20"/>
          <w:szCs w:val="20"/>
        </w:rPr>
      </w:pPr>
    </w:p>
    <w:p w:rsidR="00E1437F" w:rsidRDefault="00E1437F" w:rsidP="00E1437F">
      <w:pPr>
        <w:spacing w:line="360" w:lineRule="auto"/>
        <w:rPr>
          <w:sz w:val="20"/>
          <w:szCs w:val="20"/>
        </w:rPr>
        <w:sectPr w:rsidR="00E1437F" w:rsidSect="00744D3E">
          <w:pgSz w:w="11900" w:h="16840"/>
          <w:pgMar w:top="1440" w:right="1440" w:bottom="1440" w:left="1440" w:header="708" w:footer="708" w:gutter="0"/>
          <w:cols w:space="708"/>
          <w:docGrid w:linePitch="360"/>
        </w:sectPr>
      </w:pPr>
    </w:p>
    <w:p w:rsidR="00E1437F" w:rsidRDefault="00E1437F" w:rsidP="00E1437F">
      <w:pPr>
        <w:pStyle w:val="Heading2"/>
        <w:rPr>
          <w:rFonts w:ascii="Times New Roman" w:hAnsi="Times New Roman" w:cs="Times New Roman"/>
          <w:b/>
          <w:i/>
          <w:color w:val="000000" w:themeColor="text1"/>
          <w:sz w:val="24"/>
          <w:szCs w:val="24"/>
        </w:rPr>
      </w:pPr>
      <w:bookmarkStart w:id="12" w:name="_Toc97882879"/>
      <w:proofErr w:type="spellStart"/>
      <w:proofErr w:type="gramStart"/>
      <w:r w:rsidRPr="00E1437F">
        <w:rPr>
          <w:rFonts w:ascii="Times New Roman" w:hAnsi="Times New Roman" w:cs="Times New Roman"/>
          <w:b/>
          <w:i/>
          <w:color w:val="000000" w:themeColor="text1"/>
          <w:sz w:val="24"/>
          <w:szCs w:val="24"/>
        </w:rPr>
        <w:lastRenderedPageBreak/>
        <w:t>eTable</w:t>
      </w:r>
      <w:proofErr w:type="spellEnd"/>
      <w:r w:rsidRPr="00E1437F">
        <w:rPr>
          <w:rFonts w:ascii="Times New Roman" w:hAnsi="Times New Roman" w:cs="Times New Roman"/>
          <w:b/>
          <w:i/>
          <w:color w:val="000000" w:themeColor="text1"/>
          <w:sz w:val="24"/>
          <w:szCs w:val="24"/>
        </w:rPr>
        <w:t xml:space="preserve">  8</w:t>
      </w:r>
      <w:proofErr w:type="gramEnd"/>
      <w:r w:rsidRPr="00E1437F">
        <w:rPr>
          <w:rFonts w:ascii="Times New Roman" w:hAnsi="Times New Roman" w:cs="Times New Roman"/>
          <w:b/>
          <w:i/>
          <w:color w:val="000000" w:themeColor="text1"/>
          <w:sz w:val="24"/>
          <w:szCs w:val="24"/>
        </w:rPr>
        <w:t>.</w:t>
      </w:r>
      <w:r>
        <w:rPr>
          <w:rFonts w:ascii="Times New Roman" w:hAnsi="Times New Roman" w:cs="Times New Roman"/>
          <w:b/>
          <w:i/>
          <w:color w:val="000000" w:themeColor="text1"/>
          <w:sz w:val="24"/>
          <w:szCs w:val="24"/>
        </w:rPr>
        <w:t xml:space="preserve"> </w:t>
      </w:r>
      <w:r>
        <w:rPr>
          <w:rFonts w:ascii="Times New Roman" w:hAnsi="Times New Roman" w:cs="Times New Roman"/>
          <w:color w:val="000000" w:themeColor="text1"/>
          <w:sz w:val="24"/>
          <w:szCs w:val="24"/>
        </w:rPr>
        <w:t>Multivariable Mendelian randomization analyses</w:t>
      </w:r>
      <w:bookmarkEnd w:id="12"/>
      <w:r w:rsidRPr="00E1437F">
        <w:rPr>
          <w:rFonts w:ascii="Times New Roman" w:hAnsi="Times New Roman" w:cs="Times New Roman"/>
          <w:b/>
          <w:i/>
          <w:color w:val="000000" w:themeColor="text1"/>
          <w:sz w:val="24"/>
          <w:szCs w:val="24"/>
        </w:rPr>
        <w:t xml:space="preserve"> </w:t>
      </w:r>
      <w:r>
        <w:rPr>
          <w:rFonts w:ascii="Times New Roman" w:hAnsi="Times New Roman" w:cs="Times New Roman"/>
          <w:b/>
          <w:i/>
          <w:color w:val="000000" w:themeColor="text1"/>
          <w:sz w:val="24"/>
          <w:szCs w:val="24"/>
        </w:rPr>
        <w:t xml:space="preserve"> </w:t>
      </w:r>
    </w:p>
    <w:p w:rsidR="00E1437F" w:rsidRDefault="00E1437F" w:rsidP="00E1437F"/>
    <w:p w:rsidR="00E1437F" w:rsidRDefault="00E1437F" w:rsidP="00E1437F"/>
    <w:tbl>
      <w:tblPr>
        <w:tblW w:w="7119" w:type="dxa"/>
        <w:tblLook w:val="04A0" w:firstRow="1" w:lastRow="0" w:firstColumn="1" w:lastColumn="0" w:noHBand="0" w:noVBand="1"/>
      </w:tblPr>
      <w:tblGrid>
        <w:gridCol w:w="1132"/>
        <w:gridCol w:w="940"/>
        <w:gridCol w:w="1136"/>
        <w:gridCol w:w="271"/>
        <w:gridCol w:w="776"/>
        <w:gridCol w:w="775"/>
        <w:gridCol w:w="775"/>
        <w:gridCol w:w="1314"/>
      </w:tblGrid>
      <w:tr w:rsidR="00E1437F" w:rsidRPr="00E1437F" w:rsidTr="00E1437F">
        <w:trPr>
          <w:trHeight w:val="340"/>
        </w:trPr>
        <w:tc>
          <w:tcPr>
            <w:tcW w:w="1132" w:type="dxa"/>
            <w:tcBorders>
              <w:top w:val="nil"/>
              <w:left w:val="nil"/>
              <w:bottom w:val="nil"/>
              <w:right w:val="nil"/>
            </w:tcBorders>
            <w:shd w:val="clear" w:color="auto" w:fill="auto"/>
            <w:noWrap/>
            <w:vAlign w:val="bottom"/>
            <w:hideMark/>
          </w:tcPr>
          <w:p w:rsidR="00E1437F" w:rsidRPr="00E1437F" w:rsidRDefault="00E1437F" w:rsidP="00E1437F"/>
        </w:tc>
        <w:tc>
          <w:tcPr>
            <w:tcW w:w="940" w:type="dxa"/>
            <w:tcBorders>
              <w:top w:val="nil"/>
              <w:left w:val="nil"/>
              <w:bottom w:val="nil"/>
              <w:right w:val="nil"/>
            </w:tcBorders>
            <w:shd w:val="clear" w:color="auto" w:fill="auto"/>
            <w:noWrap/>
            <w:vAlign w:val="bottom"/>
            <w:hideMark/>
          </w:tcPr>
          <w:p w:rsidR="00E1437F" w:rsidRPr="00E1437F" w:rsidRDefault="00E1437F" w:rsidP="00E1437F">
            <w:pPr>
              <w:rPr>
                <w:sz w:val="20"/>
                <w:szCs w:val="20"/>
              </w:rPr>
            </w:pPr>
          </w:p>
        </w:tc>
        <w:tc>
          <w:tcPr>
            <w:tcW w:w="1136" w:type="dxa"/>
            <w:tcBorders>
              <w:top w:val="nil"/>
              <w:left w:val="nil"/>
              <w:bottom w:val="nil"/>
              <w:right w:val="nil"/>
            </w:tcBorders>
            <w:shd w:val="clear" w:color="auto" w:fill="auto"/>
            <w:noWrap/>
            <w:vAlign w:val="bottom"/>
            <w:hideMark/>
          </w:tcPr>
          <w:p w:rsidR="00E1437F" w:rsidRPr="00E1437F" w:rsidRDefault="00E1437F" w:rsidP="00E1437F">
            <w:pPr>
              <w:rPr>
                <w:sz w:val="20"/>
                <w:szCs w:val="20"/>
              </w:rPr>
            </w:pPr>
          </w:p>
        </w:tc>
        <w:tc>
          <w:tcPr>
            <w:tcW w:w="271" w:type="dxa"/>
            <w:tcBorders>
              <w:top w:val="nil"/>
              <w:left w:val="nil"/>
              <w:bottom w:val="nil"/>
              <w:right w:val="nil"/>
            </w:tcBorders>
            <w:shd w:val="clear" w:color="auto" w:fill="auto"/>
            <w:noWrap/>
            <w:vAlign w:val="bottom"/>
            <w:hideMark/>
          </w:tcPr>
          <w:p w:rsidR="00E1437F" w:rsidRPr="00E1437F" w:rsidRDefault="00E1437F" w:rsidP="00E1437F">
            <w:pPr>
              <w:rPr>
                <w:sz w:val="20"/>
                <w:szCs w:val="20"/>
              </w:rPr>
            </w:pPr>
          </w:p>
        </w:tc>
        <w:tc>
          <w:tcPr>
            <w:tcW w:w="3640" w:type="dxa"/>
            <w:gridSpan w:val="4"/>
            <w:tcBorders>
              <w:top w:val="nil"/>
              <w:left w:val="nil"/>
              <w:bottom w:val="single" w:sz="8" w:space="0" w:color="auto"/>
              <w:right w:val="nil"/>
            </w:tcBorders>
            <w:shd w:val="clear" w:color="auto" w:fill="auto"/>
            <w:noWrap/>
            <w:vAlign w:val="bottom"/>
            <w:hideMark/>
          </w:tcPr>
          <w:p w:rsidR="00E1437F" w:rsidRPr="00E1437F" w:rsidRDefault="00E1437F" w:rsidP="00E1437F">
            <w:pPr>
              <w:jc w:val="center"/>
              <w:rPr>
                <w:rFonts w:ascii="Calibri" w:hAnsi="Calibri"/>
                <w:b/>
                <w:bCs/>
                <w:color w:val="000000"/>
              </w:rPr>
            </w:pPr>
            <w:r w:rsidRPr="00E1437F">
              <w:rPr>
                <w:rFonts w:ascii="Calibri" w:hAnsi="Calibri"/>
                <w:b/>
                <w:bCs/>
                <w:color w:val="000000"/>
              </w:rPr>
              <w:t>Multivariable MR</w:t>
            </w:r>
          </w:p>
        </w:tc>
      </w:tr>
      <w:tr w:rsidR="00E1437F" w:rsidRPr="00E1437F" w:rsidTr="00E1437F">
        <w:trPr>
          <w:trHeight w:val="340"/>
        </w:trPr>
        <w:tc>
          <w:tcPr>
            <w:tcW w:w="1132" w:type="dxa"/>
            <w:tcBorders>
              <w:top w:val="nil"/>
              <w:left w:val="nil"/>
              <w:bottom w:val="single" w:sz="8" w:space="0" w:color="auto"/>
              <w:right w:val="nil"/>
            </w:tcBorders>
            <w:shd w:val="clear" w:color="auto" w:fill="auto"/>
            <w:noWrap/>
            <w:vAlign w:val="bottom"/>
            <w:hideMark/>
          </w:tcPr>
          <w:p w:rsidR="00E1437F" w:rsidRPr="00E1437F" w:rsidRDefault="00E1437F" w:rsidP="00E1437F">
            <w:pPr>
              <w:jc w:val="center"/>
              <w:rPr>
                <w:rFonts w:ascii="Calibri" w:hAnsi="Calibri"/>
                <w:b/>
                <w:bCs/>
                <w:color w:val="000000"/>
              </w:rPr>
            </w:pPr>
            <w:r w:rsidRPr="00E1437F">
              <w:rPr>
                <w:rFonts w:ascii="Calibri" w:hAnsi="Calibri"/>
                <w:b/>
                <w:bCs/>
                <w:color w:val="000000"/>
              </w:rPr>
              <w:t>Exposure</w:t>
            </w:r>
          </w:p>
        </w:tc>
        <w:tc>
          <w:tcPr>
            <w:tcW w:w="940" w:type="dxa"/>
            <w:tcBorders>
              <w:top w:val="nil"/>
              <w:left w:val="nil"/>
              <w:bottom w:val="single" w:sz="8" w:space="0" w:color="auto"/>
              <w:right w:val="nil"/>
            </w:tcBorders>
            <w:shd w:val="clear" w:color="auto" w:fill="auto"/>
            <w:noWrap/>
            <w:vAlign w:val="bottom"/>
            <w:hideMark/>
          </w:tcPr>
          <w:p w:rsidR="00E1437F" w:rsidRPr="00E1437F" w:rsidRDefault="00E1437F" w:rsidP="00E1437F">
            <w:pPr>
              <w:jc w:val="center"/>
              <w:rPr>
                <w:rFonts w:ascii="Calibri" w:hAnsi="Calibri"/>
                <w:b/>
                <w:bCs/>
                <w:color w:val="000000"/>
              </w:rPr>
            </w:pPr>
            <w:r w:rsidRPr="00E1437F">
              <w:rPr>
                <w:rFonts w:ascii="Calibri" w:hAnsi="Calibri"/>
                <w:b/>
                <w:bCs/>
                <w:color w:val="000000"/>
              </w:rPr>
              <w:t>N SNPs</w:t>
            </w:r>
          </w:p>
        </w:tc>
        <w:tc>
          <w:tcPr>
            <w:tcW w:w="1136" w:type="dxa"/>
            <w:tcBorders>
              <w:top w:val="nil"/>
              <w:left w:val="nil"/>
              <w:bottom w:val="single" w:sz="8" w:space="0" w:color="auto"/>
              <w:right w:val="nil"/>
            </w:tcBorders>
            <w:shd w:val="clear" w:color="auto" w:fill="auto"/>
            <w:noWrap/>
            <w:vAlign w:val="bottom"/>
            <w:hideMark/>
          </w:tcPr>
          <w:p w:rsidR="00E1437F" w:rsidRPr="00E1437F" w:rsidRDefault="00E1437F" w:rsidP="00E1437F">
            <w:pPr>
              <w:jc w:val="center"/>
              <w:rPr>
                <w:rFonts w:ascii="Calibri" w:hAnsi="Calibri"/>
                <w:b/>
                <w:bCs/>
                <w:color w:val="000000"/>
              </w:rPr>
            </w:pPr>
            <w:r w:rsidRPr="00E1437F">
              <w:rPr>
                <w:rFonts w:ascii="Calibri" w:hAnsi="Calibri"/>
                <w:b/>
                <w:bCs/>
                <w:color w:val="000000"/>
              </w:rPr>
              <w:t>Outcome</w:t>
            </w:r>
          </w:p>
        </w:tc>
        <w:tc>
          <w:tcPr>
            <w:tcW w:w="271" w:type="dxa"/>
            <w:tcBorders>
              <w:top w:val="nil"/>
              <w:left w:val="nil"/>
              <w:bottom w:val="single" w:sz="8" w:space="0" w:color="auto"/>
              <w:right w:val="nil"/>
            </w:tcBorders>
            <w:shd w:val="clear" w:color="auto" w:fill="auto"/>
            <w:noWrap/>
            <w:vAlign w:val="bottom"/>
            <w:hideMark/>
          </w:tcPr>
          <w:p w:rsidR="00E1437F" w:rsidRPr="00E1437F" w:rsidRDefault="00E1437F" w:rsidP="00E1437F">
            <w:pPr>
              <w:rPr>
                <w:rFonts w:ascii="Calibri" w:hAnsi="Calibri"/>
                <w:color w:val="000000"/>
              </w:rPr>
            </w:pPr>
            <w:r w:rsidRPr="00E1437F">
              <w:rPr>
                <w:rFonts w:ascii="Calibri" w:hAnsi="Calibri"/>
                <w:color w:val="000000"/>
              </w:rPr>
              <w:t> </w:t>
            </w:r>
          </w:p>
        </w:tc>
        <w:tc>
          <w:tcPr>
            <w:tcW w:w="776" w:type="dxa"/>
            <w:tcBorders>
              <w:top w:val="nil"/>
              <w:left w:val="nil"/>
              <w:bottom w:val="single" w:sz="8" w:space="0" w:color="auto"/>
              <w:right w:val="nil"/>
            </w:tcBorders>
            <w:shd w:val="clear" w:color="auto" w:fill="auto"/>
            <w:noWrap/>
            <w:vAlign w:val="bottom"/>
            <w:hideMark/>
          </w:tcPr>
          <w:p w:rsidR="00E1437F" w:rsidRPr="00E1437F" w:rsidRDefault="00E1437F" w:rsidP="00E1437F">
            <w:pPr>
              <w:jc w:val="center"/>
              <w:rPr>
                <w:rFonts w:ascii="Calibri" w:hAnsi="Calibri"/>
                <w:b/>
                <w:bCs/>
                <w:color w:val="000000"/>
              </w:rPr>
            </w:pPr>
            <w:r w:rsidRPr="00E1437F">
              <w:rPr>
                <w:rFonts w:ascii="Calibri" w:hAnsi="Calibri"/>
                <w:b/>
                <w:bCs/>
                <w:color w:val="000000"/>
              </w:rPr>
              <w:t>OR</w:t>
            </w:r>
          </w:p>
        </w:tc>
        <w:tc>
          <w:tcPr>
            <w:tcW w:w="775" w:type="dxa"/>
            <w:tcBorders>
              <w:top w:val="nil"/>
              <w:left w:val="nil"/>
              <w:bottom w:val="single" w:sz="8" w:space="0" w:color="auto"/>
              <w:right w:val="nil"/>
            </w:tcBorders>
            <w:shd w:val="clear" w:color="auto" w:fill="auto"/>
            <w:noWrap/>
            <w:vAlign w:val="bottom"/>
            <w:hideMark/>
          </w:tcPr>
          <w:p w:rsidR="00E1437F" w:rsidRPr="00E1437F" w:rsidRDefault="00E1437F" w:rsidP="00E1437F">
            <w:pPr>
              <w:jc w:val="center"/>
              <w:rPr>
                <w:rFonts w:ascii="Calibri" w:hAnsi="Calibri"/>
                <w:b/>
                <w:bCs/>
                <w:color w:val="000000"/>
              </w:rPr>
            </w:pPr>
            <w:proofErr w:type="spellStart"/>
            <w:r w:rsidRPr="00E1437F">
              <w:rPr>
                <w:rFonts w:ascii="Calibri" w:hAnsi="Calibri"/>
                <w:b/>
                <w:bCs/>
                <w:color w:val="000000"/>
              </w:rPr>
              <w:t>lCI</w:t>
            </w:r>
            <w:proofErr w:type="spellEnd"/>
          </w:p>
        </w:tc>
        <w:tc>
          <w:tcPr>
            <w:tcW w:w="775" w:type="dxa"/>
            <w:tcBorders>
              <w:top w:val="nil"/>
              <w:left w:val="nil"/>
              <w:bottom w:val="single" w:sz="8" w:space="0" w:color="auto"/>
              <w:right w:val="nil"/>
            </w:tcBorders>
            <w:shd w:val="clear" w:color="auto" w:fill="auto"/>
            <w:noWrap/>
            <w:vAlign w:val="bottom"/>
            <w:hideMark/>
          </w:tcPr>
          <w:p w:rsidR="00E1437F" w:rsidRPr="00E1437F" w:rsidRDefault="00E1437F" w:rsidP="00E1437F">
            <w:pPr>
              <w:jc w:val="center"/>
              <w:rPr>
                <w:rFonts w:ascii="Calibri" w:hAnsi="Calibri"/>
                <w:b/>
                <w:bCs/>
                <w:color w:val="000000"/>
              </w:rPr>
            </w:pPr>
            <w:proofErr w:type="spellStart"/>
            <w:r w:rsidRPr="00E1437F">
              <w:rPr>
                <w:rFonts w:ascii="Calibri" w:hAnsi="Calibri"/>
                <w:b/>
                <w:bCs/>
                <w:color w:val="000000"/>
              </w:rPr>
              <w:t>uCI</w:t>
            </w:r>
            <w:proofErr w:type="spellEnd"/>
          </w:p>
        </w:tc>
        <w:tc>
          <w:tcPr>
            <w:tcW w:w="1314" w:type="dxa"/>
            <w:tcBorders>
              <w:top w:val="nil"/>
              <w:left w:val="nil"/>
              <w:bottom w:val="single" w:sz="8" w:space="0" w:color="auto"/>
              <w:right w:val="nil"/>
            </w:tcBorders>
            <w:shd w:val="clear" w:color="auto" w:fill="auto"/>
            <w:noWrap/>
            <w:vAlign w:val="bottom"/>
            <w:hideMark/>
          </w:tcPr>
          <w:p w:rsidR="00E1437F" w:rsidRPr="00E1437F" w:rsidRDefault="00E1437F" w:rsidP="00E1437F">
            <w:pPr>
              <w:jc w:val="center"/>
              <w:rPr>
                <w:rFonts w:ascii="Calibri" w:hAnsi="Calibri"/>
                <w:b/>
                <w:bCs/>
                <w:i/>
                <w:iCs/>
                <w:color w:val="000000"/>
              </w:rPr>
            </w:pPr>
            <w:r w:rsidRPr="00E1437F">
              <w:rPr>
                <w:rFonts w:ascii="Calibri" w:hAnsi="Calibri"/>
                <w:b/>
                <w:bCs/>
                <w:i/>
                <w:iCs/>
                <w:color w:val="000000"/>
              </w:rPr>
              <w:t>p-value</w:t>
            </w:r>
          </w:p>
        </w:tc>
      </w:tr>
      <w:tr w:rsidR="00E1437F" w:rsidRPr="00E1437F" w:rsidTr="00E1437F">
        <w:trPr>
          <w:trHeight w:val="100"/>
        </w:trPr>
        <w:tc>
          <w:tcPr>
            <w:tcW w:w="1132"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b/>
                <w:bCs/>
                <w:i/>
                <w:iCs/>
                <w:color w:val="000000"/>
              </w:rPr>
            </w:pPr>
          </w:p>
        </w:tc>
        <w:tc>
          <w:tcPr>
            <w:tcW w:w="940" w:type="dxa"/>
            <w:tcBorders>
              <w:top w:val="nil"/>
              <w:left w:val="nil"/>
              <w:bottom w:val="nil"/>
              <w:right w:val="nil"/>
            </w:tcBorders>
            <w:shd w:val="clear" w:color="auto" w:fill="auto"/>
            <w:noWrap/>
            <w:vAlign w:val="bottom"/>
            <w:hideMark/>
          </w:tcPr>
          <w:p w:rsidR="00E1437F" w:rsidRPr="00E1437F" w:rsidRDefault="00E1437F" w:rsidP="00E1437F">
            <w:pPr>
              <w:jc w:val="center"/>
              <w:rPr>
                <w:sz w:val="20"/>
                <w:szCs w:val="20"/>
              </w:rPr>
            </w:pPr>
          </w:p>
        </w:tc>
        <w:tc>
          <w:tcPr>
            <w:tcW w:w="1136" w:type="dxa"/>
            <w:tcBorders>
              <w:top w:val="nil"/>
              <w:left w:val="nil"/>
              <w:bottom w:val="nil"/>
              <w:right w:val="nil"/>
            </w:tcBorders>
            <w:shd w:val="clear" w:color="auto" w:fill="auto"/>
            <w:noWrap/>
            <w:vAlign w:val="bottom"/>
            <w:hideMark/>
          </w:tcPr>
          <w:p w:rsidR="00E1437F" w:rsidRPr="00E1437F" w:rsidRDefault="00E1437F" w:rsidP="00E1437F">
            <w:pPr>
              <w:jc w:val="center"/>
              <w:rPr>
                <w:sz w:val="20"/>
                <w:szCs w:val="20"/>
              </w:rPr>
            </w:pPr>
          </w:p>
        </w:tc>
        <w:tc>
          <w:tcPr>
            <w:tcW w:w="271" w:type="dxa"/>
            <w:tcBorders>
              <w:top w:val="nil"/>
              <w:left w:val="nil"/>
              <w:bottom w:val="nil"/>
              <w:right w:val="nil"/>
            </w:tcBorders>
            <w:shd w:val="clear" w:color="auto" w:fill="auto"/>
            <w:noWrap/>
            <w:vAlign w:val="bottom"/>
            <w:hideMark/>
          </w:tcPr>
          <w:p w:rsidR="00E1437F" w:rsidRPr="00E1437F" w:rsidRDefault="00E1437F" w:rsidP="00E1437F">
            <w:pPr>
              <w:jc w:val="center"/>
              <w:rPr>
                <w:sz w:val="20"/>
                <w:szCs w:val="20"/>
              </w:rPr>
            </w:pPr>
          </w:p>
        </w:tc>
        <w:tc>
          <w:tcPr>
            <w:tcW w:w="776" w:type="dxa"/>
            <w:tcBorders>
              <w:top w:val="nil"/>
              <w:left w:val="nil"/>
              <w:bottom w:val="nil"/>
              <w:right w:val="nil"/>
            </w:tcBorders>
            <w:shd w:val="clear" w:color="auto" w:fill="auto"/>
            <w:noWrap/>
            <w:vAlign w:val="bottom"/>
            <w:hideMark/>
          </w:tcPr>
          <w:p w:rsidR="00E1437F" w:rsidRPr="00E1437F" w:rsidRDefault="00E1437F" w:rsidP="00E1437F">
            <w:pPr>
              <w:rPr>
                <w:sz w:val="20"/>
                <w:szCs w:val="20"/>
              </w:rPr>
            </w:pP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sz w:val="20"/>
                <w:szCs w:val="20"/>
              </w:rPr>
            </w:pP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sz w:val="20"/>
                <w:szCs w:val="20"/>
              </w:rPr>
            </w:pPr>
          </w:p>
        </w:tc>
        <w:tc>
          <w:tcPr>
            <w:tcW w:w="1314" w:type="dxa"/>
            <w:tcBorders>
              <w:top w:val="nil"/>
              <w:left w:val="nil"/>
              <w:bottom w:val="nil"/>
              <w:right w:val="nil"/>
            </w:tcBorders>
            <w:shd w:val="clear" w:color="auto" w:fill="auto"/>
            <w:noWrap/>
            <w:vAlign w:val="bottom"/>
            <w:hideMark/>
          </w:tcPr>
          <w:p w:rsidR="00E1437F" w:rsidRPr="00E1437F" w:rsidRDefault="00E1437F" w:rsidP="00E1437F">
            <w:pPr>
              <w:jc w:val="center"/>
              <w:rPr>
                <w:sz w:val="20"/>
                <w:szCs w:val="20"/>
              </w:rPr>
            </w:pPr>
          </w:p>
        </w:tc>
      </w:tr>
      <w:tr w:rsidR="00E1437F" w:rsidRPr="00E1437F" w:rsidTr="00E1437F">
        <w:trPr>
          <w:trHeight w:val="320"/>
        </w:trPr>
        <w:tc>
          <w:tcPr>
            <w:tcW w:w="1132"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C2</w:t>
            </w:r>
          </w:p>
        </w:tc>
        <w:tc>
          <w:tcPr>
            <w:tcW w:w="940"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5</w:t>
            </w:r>
          </w:p>
        </w:tc>
        <w:tc>
          <w:tcPr>
            <w:tcW w:w="113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DEP</w:t>
            </w:r>
          </w:p>
        </w:tc>
        <w:tc>
          <w:tcPr>
            <w:tcW w:w="271"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1.01</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0.95</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1.07</w:t>
            </w:r>
          </w:p>
        </w:tc>
        <w:tc>
          <w:tcPr>
            <w:tcW w:w="1314"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0.81</w:t>
            </w:r>
          </w:p>
        </w:tc>
      </w:tr>
      <w:tr w:rsidR="00E1437F" w:rsidRPr="00E1437F" w:rsidTr="00E1437F">
        <w:trPr>
          <w:trHeight w:val="320"/>
        </w:trPr>
        <w:tc>
          <w:tcPr>
            <w:tcW w:w="1132"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C3</w:t>
            </w:r>
          </w:p>
        </w:tc>
        <w:tc>
          <w:tcPr>
            <w:tcW w:w="940"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9</w:t>
            </w:r>
          </w:p>
        </w:tc>
        <w:tc>
          <w:tcPr>
            <w:tcW w:w="113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DEP</w:t>
            </w:r>
          </w:p>
        </w:tc>
        <w:tc>
          <w:tcPr>
            <w:tcW w:w="271"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0.96</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0.90</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1.02</w:t>
            </w:r>
          </w:p>
        </w:tc>
        <w:tc>
          <w:tcPr>
            <w:tcW w:w="1314"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0.15</w:t>
            </w:r>
          </w:p>
        </w:tc>
      </w:tr>
      <w:tr w:rsidR="00E1437F" w:rsidRPr="00E1437F" w:rsidTr="00E1437F">
        <w:trPr>
          <w:trHeight w:val="340"/>
        </w:trPr>
        <w:tc>
          <w:tcPr>
            <w:tcW w:w="1132"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C8</w:t>
            </w:r>
          </w:p>
        </w:tc>
        <w:tc>
          <w:tcPr>
            <w:tcW w:w="940"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7</w:t>
            </w:r>
          </w:p>
        </w:tc>
        <w:tc>
          <w:tcPr>
            <w:tcW w:w="113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DEP</w:t>
            </w:r>
          </w:p>
        </w:tc>
        <w:tc>
          <w:tcPr>
            <w:tcW w:w="271"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1.04</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1.02</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1.06</w:t>
            </w:r>
          </w:p>
        </w:tc>
        <w:tc>
          <w:tcPr>
            <w:tcW w:w="1314"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3.5E-05</w:t>
            </w:r>
          </w:p>
        </w:tc>
      </w:tr>
      <w:tr w:rsidR="00E1437F" w:rsidRPr="00E1437F" w:rsidTr="00E1437F">
        <w:trPr>
          <w:trHeight w:val="146"/>
        </w:trPr>
        <w:tc>
          <w:tcPr>
            <w:tcW w:w="1132" w:type="dxa"/>
            <w:tcBorders>
              <w:top w:val="dashed" w:sz="8" w:space="0" w:color="auto"/>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 </w:t>
            </w:r>
          </w:p>
        </w:tc>
        <w:tc>
          <w:tcPr>
            <w:tcW w:w="940" w:type="dxa"/>
            <w:tcBorders>
              <w:top w:val="dashed" w:sz="8" w:space="0" w:color="auto"/>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 </w:t>
            </w:r>
          </w:p>
        </w:tc>
        <w:tc>
          <w:tcPr>
            <w:tcW w:w="1136" w:type="dxa"/>
            <w:tcBorders>
              <w:top w:val="dashed" w:sz="8" w:space="0" w:color="auto"/>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 </w:t>
            </w:r>
          </w:p>
        </w:tc>
        <w:tc>
          <w:tcPr>
            <w:tcW w:w="271" w:type="dxa"/>
            <w:tcBorders>
              <w:top w:val="dashed" w:sz="8" w:space="0" w:color="auto"/>
              <w:left w:val="nil"/>
              <w:bottom w:val="nil"/>
              <w:right w:val="nil"/>
            </w:tcBorders>
            <w:shd w:val="clear" w:color="auto" w:fill="auto"/>
            <w:noWrap/>
            <w:vAlign w:val="bottom"/>
            <w:hideMark/>
          </w:tcPr>
          <w:p w:rsidR="00E1437F" w:rsidRPr="00E1437F" w:rsidRDefault="00E1437F" w:rsidP="00E1437F">
            <w:pPr>
              <w:rPr>
                <w:rFonts w:ascii="Calibri" w:hAnsi="Calibri"/>
                <w:color w:val="000000"/>
              </w:rPr>
            </w:pPr>
            <w:r w:rsidRPr="00E1437F">
              <w:rPr>
                <w:rFonts w:ascii="Calibri" w:hAnsi="Calibri"/>
                <w:color w:val="000000"/>
              </w:rPr>
              <w:t> </w:t>
            </w:r>
          </w:p>
        </w:tc>
        <w:tc>
          <w:tcPr>
            <w:tcW w:w="776" w:type="dxa"/>
            <w:tcBorders>
              <w:top w:val="dashed" w:sz="8" w:space="0" w:color="auto"/>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 </w:t>
            </w:r>
          </w:p>
        </w:tc>
        <w:tc>
          <w:tcPr>
            <w:tcW w:w="775" w:type="dxa"/>
            <w:tcBorders>
              <w:top w:val="dashed" w:sz="8" w:space="0" w:color="auto"/>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 </w:t>
            </w:r>
          </w:p>
        </w:tc>
        <w:tc>
          <w:tcPr>
            <w:tcW w:w="775" w:type="dxa"/>
            <w:tcBorders>
              <w:top w:val="dashed" w:sz="8" w:space="0" w:color="auto"/>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 </w:t>
            </w:r>
          </w:p>
        </w:tc>
        <w:tc>
          <w:tcPr>
            <w:tcW w:w="1314" w:type="dxa"/>
            <w:tcBorders>
              <w:top w:val="dashed" w:sz="8" w:space="0" w:color="auto"/>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 </w:t>
            </w:r>
          </w:p>
        </w:tc>
      </w:tr>
      <w:tr w:rsidR="00E1437F" w:rsidRPr="00E1437F" w:rsidTr="00E1437F">
        <w:trPr>
          <w:trHeight w:val="320"/>
        </w:trPr>
        <w:tc>
          <w:tcPr>
            <w:tcW w:w="1132"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C2</w:t>
            </w:r>
          </w:p>
        </w:tc>
        <w:tc>
          <w:tcPr>
            <w:tcW w:w="940"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5</w:t>
            </w:r>
          </w:p>
        </w:tc>
        <w:tc>
          <w:tcPr>
            <w:tcW w:w="113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DEP</w:t>
            </w:r>
          </w:p>
        </w:tc>
        <w:tc>
          <w:tcPr>
            <w:tcW w:w="271"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0.99</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0.95</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1.04</w:t>
            </w:r>
          </w:p>
        </w:tc>
        <w:tc>
          <w:tcPr>
            <w:tcW w:w="1314"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0.80</w:t>
            </w:r>
          </w:p>
        </w:tc>
      </w:tr>
      <w:tr w:rsidR="00E1437F" w:rsidRPr="00E1437F" w:rsidTr="00E1437F">
        <w:trPr>
          <w:trHeight w:val="320"/>
        </w:trPr>
        <w:tc>
          <w:tcPr>
            <w:tcW w:w="1132"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C3</w:t>
            </w:r>
          </w:p>
        </w:tc>
        <w:tc>
          <w:tcPr>
            <w:tcW w:w="940"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9</w:t>
            </w:r>
          </w:p>
        </w:tc>
        <w:tc>
          <w:tcPr>
            <w:tcW w:w="113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DEP</w:t>
            </w:r>
          </w:p>
        </w:tc>
        <w:tc>
          <w:tcPr>
            <w:tcW w:w="271"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0.97</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0.93</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1.02</w:t>
            </w:r>
          </w:p>
        </w:tc>
        <w:tc>
          <w:tcPr>
            <w:tcW w:w="1314"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0.19</w:t>
            </w:r>
          </w:p>
        </w:tc>
      </w:tr>
      <w:tr w:rsidR="00E1437F" w:rsidRPr="00E1437F" w:rsidTr="00E1437F">
        <w:trPr>
          <w:trHeight w:val="340"/>
        </w:trPr>
        <w:tc>
          <w:tcPr>
            <w:tcW w:w="1132" w:type="dxa"/>
            <w:tcBorders>
              <w:top w:val="nil"/>
              <w:left w:val="nil"/>
              <w:bottom w:val="dashed" w:sz="8" w:space="0" w:color="auto"/>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C10</w:t>
            </w:r>
          </w:p>
        </w:tc>
        <w:tc>
          <w:tcPr>
            <w:tcW w:w="940" w:type="dxa"/>
            <w:tcBorders>
              <w:top w:val="nil"/>
              <w:left w:val="nil"/>
              <w:bottom w:val="dashed" w:sz="8" w:space="0" w:color="auto"/>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5</w:t>
            </w:r>
          </w:p>
        </w:tc>
        <w:tc>
          <w:tcPr>
            <w:tcW w:w="1136" w:type="dxa"/>
            <w:tcBorders>
              <w:top w:val="nil"/>
              <w:left w:val="nil"/>
              <w:bottom w:val="dashed" w:sz="8" w:space="0" w:color="auto"/>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DEP</w:t>
            </w:r>
          </w:p>
        </w:tc>
        <w:tc>
          <w:tcPr>
            <w:tcW w:w="271" w:type="dxa"/>
            <w:tcBorders>
              <w:top w:val="nil"/>
              <w:left w:val="nil"/>
              <w:bottom w:val="dashed" w:sz="8" w:space="0" w:color="auto"/>
              <w:right w:val="nil"/>
            </w:tcBorders>
            <w:shd w:val="clear" w:color="auto" w:fill="auto"/>
            <w:noWrap/>
            <w:vAlign w:val="bottom"/>
            <w:hideMark/>
          </w:tcPr>
          <w:p w:rsidR="00E1437F" w:rsidRPr="00E1437F" w:rsidRDefault="00E1437F" w:rsidP="00E1437F">
            <w:pPr>
              <w:rPr>
                <w:rFonts w:ascii="Calibri" w:hAnsi="Calibri"/>
                <w:color w:val="000000"/>
              </w:rPr>
            </w:pPr>
            <w:r w:rsidRPr="00E1437F">
              <w:rPr>
                <w:rFonts w:ascii="Calibri" w:hAnsi="Calibri"/>
                <w:color w:val="000000"/>
              </w:rPr>
              <w:t> </w:t>
            </w:r>
          </w:p>
        </w:tc>
        <w:tc>
          <w:tcPr>
            <w:tcW w:w="776" w:type="dxa"/>
            <w:tcBorders>
              <w:top w:val="nil"/>
              <w:left w:val="nil"/>
              <w:bottom w:val="dashed" w:sz="8" w:space="0" w:color="auto"/>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1.04</w:t>
            </w:r>
          </w:p>
        </w:tc>
        <w:tc>
          <w:tcPr>
            <w:tcW w:w="775" w:type="dxa"/>
            <w:tcBorders>
              <w:top w:val="nil"/>
              <w:left w:val="nil"/>
              <w:bottom w:val="dashed" w:sz="8" w:space="0" w:color="auto"/>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1.02</w:t>
            </w:r>
          </w:p>
        </w:tc>
        <w:tc>
          <w:tcPr>
            <w:tcW w:w="775" w:type="dxa"/>
            <w:tcBorders>
              <w:top w:val="nil"/>
              <w:left w:val="nil"/>
              <w:bottom w:val="dashed" w:sz="8" w:space="0" w:color="auto"/>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1.06</w:t>
            </w:r>
          </w:p>
        </w:tc>
        <w:tc>
          <w:tcPr>
            <w:tcW w:w="1314" w:type="dxa"/>
            <w:tcBorders>
              <w:top w:val="nil"/>
              <w:left w:val="nil"/>
              <w:bottom w:val="dashed" w:sz="8" w:space="0" w:color="auto"/>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5.6E-07</w:t>
            </w:r>
          </w:p>
        </w:tc>
      </w:tr>
      <w:tr w:rsidR="00E1437F" w:rsidRPr="00E1437F" w:rsidTr="00E1437F">
        <w:trPr>
          <w:trHeight w:val="277"/>
        </w:trPr>
        <w:tc>
          <w:tcPr>
            <w:tcW w:w="1132"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p>
        </w:tc>
        <w:tc>
          <w:tcPr>
            <w:tcW w:w="940" w:type="dxa"/>
            <w:tcBorders>
              <w:top w:val="nil"/>
              <w:left w:val="nil"/>
              <w:bottom w:val="nil"/>
              <w:right w:val="nil"/>
            </w:tcBorders>
            <w:shd w:val="clear" w:color="auto" w:fill="auto"/>
            <w:noWrap/>
            <w:vAlign w:val="bottom"/>
            <w:hideMark/>
          </w:tcPr>
          <w:p w:rsidR="00E1437F" w:rsidRPr="00E1437F" w:rsidRDefault="00E1437F" w:rsidP="00E1437F">
            <w:pPr>
              <w:jc w:val="center"/>
              <w:rPr>
                <w:sz w:val="20"/>
                <w:szCs w:val="20"/>
              </w:rPr>
            </w:pPr>
          </w:p>
        </w:tc>
        <w:tc>
          <w:tcPr>
            <w:tcW w:w="1136" w:type="dxa"/>
            <w:tcBorders>
              <w:top w:val="nil"/>
              <w:left w:val="nil"/>
              <w:bottom w:val="nil"/>
              <w:right w:val="nil"/>
            </w:tcBorders>
            <w:shd w:val="clear" w:color="auto" w:fill="auto"/>
            <w:noWrap/>
            <w:vAlign w:val="bottom"/>
            <w:hideMark/>
          </w:tcPr>
          <w:p w:rsidR="00E1437F" w:rsidRPr="00E1437F" w:rsidRDefault="00E1437F" w:rsidP="00E1437F">
            <w:pPr>
              <w:jc w:val="center"/>
              <w:rPr>
                <w:sz w:val="20"/>
                <w:szCs w:val="20"/>
              </w:rPr>
            </w:pPr>
          </w:p>
        </w:tc>
        <w:tc>
          <w:tcPr>
            <w:tcW w:w="271" w:type="dxa"/>
            <w:tcBorders>
              <w:top w:val="nil"/>
              <w:left w:val="nil"/>
              <w:bottom w:val="nil"/>
              <w:right w:val="nil"/>
            </w:tcBorders>
            <w:shd w:val="clear" w:color="auto" w:fill="auto"/>
            <w:noWrap/>
            <w:vAlign w:val="bottom"/>
            <w:hideMark/>
          </w:tcPr>
          <w:p w:rsidR="00E1437F" w:rsidRPr="00E1437F" w:rsidRDefault="00E1437F" w:rsidP="00E1437F">
            <w:pPr>
              <w:jc w:val="center"/>
              <w:rPr>
                <w:sz w:val="20"/>
                <w:szCs w:val="20"/>
              </w:rPr>
            </w:pPr>
          </w:p>
        </w:tc>
        <w:tc>
          <w:tcPr>
            <w:tcW w:w="776" w:type="dxa"/>
            <w:tcBorders>
              <w:top w:val="nil"/>
              <w:left w:val="nil"/>
              <w:bottom w:val="nil"/>
              <w:right w:val="nil"/>
            </w:tcBorders>
            <w:shd w:val="clear" w:color="auto" w:fill="auto"/>
            <w:noWrap/>
            <w:vAlign w:val="bottom"/>
            <w:hideMark/>
          </w:tcPr>
          <w:p w:rsidR="00E1437F" w:rsidRPr="00E1437F" w:rsidRDefault="00E1437F" w:rsidP="00E1437F">
            <w:pPr>
              <w:rPr>
                <w:sz w:val="20"/>
                <w:szCs w:val="20"/>
              </w:rPr>
            </w:pP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sz w:val="20"/>
                <w:szCs w:val="20"/>
              </w:rPr>
            </w:pP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sz w:val="20"/>
                <w:szCs w:val="20"/>
              </w:rPr>
            </w:pPr>
          </w:p>
        </w:tc>
        <w:tc>
          <w:tcPr>
            <w:tcW w:w="1314" w:type="dxa"/>
            <w:tcBorders>
              <w:top w:val="nil"/>
              <w:left w:val="nil"/>
              <w:bottom w:val="nil"/>
              <w:right w:val="nil"/>
            </w:tcBorders>
            <w:shd w:val="clear" w:color="auto" w:fill="auto"/>
            <w:noWrap/>
            <w:vAlign w:val="bottom"/>
            <w:hideMark/>
          </w:tcPr>
          <w:p w:rsidR="00E1437F" w:rsidRPr="00E1437F" w:rsidRDefault="00E1437F" w:rsidP="00E1437F">
            <w:pPr>
              <w:jc w:val="center"/>
              <w:rPr>
                <w:sz w:val="20"/>
                <w:szCs w:val="20"/>
              </w:rPr>
            </w:pPr>
          </w:p>
        </w:tc>
      </w:tr>
      <w:tr w:rsidR="00E1437F" w:rsidRPr="00E1437F" w:rsidTr="00E1437F">
        <w:trPr>
          <w:trHeight w:val="320"/>
        </w:trPr>
        <w:tc>
          <w:tcPr>
            <w:tcW w:w="1132"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C2</w:t>
            </w:r>
          </w:p>
        </w:tc>
        <w:tc>
          <w:tcPr>
            <w:tcW w:w="940"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5</w:t>
            </w:r>
          </w:p>
        </w:tc>
        <w:tc>
          <w:tcPr>
            <w:tcW w:w="113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DEP</w:t>
            </w:r>
          </w:p>
        </w:tc>
        <w:tc>
          <w:tcPr>
            <w:tcW w:w="271"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1.00</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0.94</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1.05</w:t>
            </w:r>
          </w:p>
        </w:tc>
        <w:tc>
          <w:tcPr>
            <w:tcW w:w="1314"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0.87</w:t>
            </w:r>
          </w:p>
        </w:tc>
      </w:tr>
      <w:tr w:rsidR="00E1437F" w:rsidRPr="00E1437F" w:rsidTr="00E1437F">
        <w:trPr>
          <w:trHeight w:val="320"/>
        </w:trPr>
        <w:tc>
          <w:tcPr>
            <w:tcW w:w="1132"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C3</w:t>
            </w:r>
          </w:p>
        </w:tc>
        <w:tc>
          <w:tcPr>
            <w:tcW w:w="940"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9</w:t>
            </w:r>
          </w:p>
        </w:tc>
        <w:tc>
          <w:tcPr>
            <w:tcW w:w="113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DEP</w:t>
            </w:r>
          </w:p>
        </w:tc>
        <w:tc>
          <w:tcPr>
            <w:tcW w:w="271"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0.97</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0.92</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1.02</w:t>
            </w:r>
          </w:p>
        </w:tc>
        <w:tc>
          <w:tcPr>
            <w:tcW w:w="1314"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0.19</w:t>
            </w:r>
          </w:p>
        </w:tc>
      </w:tr>
      <w:tr w:rsidR="00E1437F" w:rsidRPr="00E1437F" w:rsidTr="00E1437F">
        <w:trPr>
          <w:trHeight w:val="320"/>
        </w:trPr>
        <w:tc>
          <w:tcPr>
            <w:tcW w:w="1132"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C8</w:t>
            </w:r>
          </w:p>
        </w:tc>
        <w:tc>
          <w:tcPr>
            <w:tcW w:w="940"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7</w:t>
            </w:r>
          </w:p>
        </w:tc>
        <w:tc>
          <w:tcPr>
            <w:tcW w:w="113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DEP</w:t>
            </w:r>
          </w:p>
        </w:tc>
        <w:tc>
          <w:tcPr>
            <w:tcW w:w="271"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0.91</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0.82</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1.01</w:t>
            </w:r>
          </w:p>
        </w:tc>
        <w:tc>
          <w:tcPr>
            <w:tcW w:w="1314"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0.08</w:t>
            </w:r>
          </w:p>
        </w:tc>
      </w:tr>
      <w:tr w:rsidR="00E1437F" w:rsidRPr="00E1437F" w:rsidTr="00E1437F">
        <w:trPr>
          <w:trHeight w:val="320"/>
        </w:trPr>
        <w:tc>
          <w:tcPr>
            <w:tcW w:w="1132"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C10</w:t>
            </w:r>
          </w:p>
        </w:tc>
        <w:tc>
          <w:tcPr>
            <w:tcW w:w="940"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5</w:t>
            </w:r>
          </w:p>
        </w:tc>
        <w:tc>
          <w:tcPr>
            <w:tcW w:w="113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DEP</w:t>
            </w:r>
          </w:p>
        </w:tc>
        <w:tc>
          <w:tcPr>
            <w:tcW w:w="271"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1.16</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1.03</w:t>
            </w:r>
          </w:p>
        </w:tc>
        <w:tc>
          <w:tcPr>
            <w:tcW w:w="775"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1.31</w:t>
            </w:r>
          </w:p>
        </w:tc>
        <w:tc>
          <w:tcPr>
            <w:tcW w:w="1314" w:type="dxa"/>
            <w:tcBorders>
              <w:top w:val="nil"/>
              <w:left w:val="nil"/>
              <w:bottom w:val="nil"/>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0.01</w:t>
            </w:r>
          </w:p>
        </w:tc>
      </w:tr>
      <w:tr w:rsidR="00E1437F" w:rsidRPr="00E1437F" w:rsidTr="00E1437F">
        <w:trPr>
          <w:trHeight w:val="100"/>
        </w:trPr>
        <w:tc>
          <w:tcPr>
            <w:tcW w:w="1132" w:type="dxa"/>
            <w:tcBorders>
              <w:top w:val="nil"/>
              <w:left w:val="nil"/>
              <w:bottom w:val="single" w:sz="8" w:space="0" w:color="auto"/>
              <w:right w:val="nil"/>
            </w:tcBorders>
            <w:shd w:val="clear" w:color="auto" w:fill="auto"/>
            <w:noWrap/>
            <w:vAlign w:val="bottom"/>
            <w:hideMark/>
          </w:tcPr>
          <w:p w:rsidR="00E1437F" w:rsidRPr="00E1437F" w:rsidRDefault="00E1437F" w:rsidP="00E1437F">
            <w:pPr>
              <w:jc w:val="center"/>
              <w:rPr>
                <w:rFonts w:ascii="Calibri" w:hAnsi="Calibri"/>
                <w:color w:val="000000"/>
              </w:rPr>
            </w:pPr>
            <w:r w:rsidRPr="00E1437F">
              <w:rPr>
                <w:rFonts w:ascii="Calibri" w:hAnsi="Calibri"/>
                <w:color w:val="000000"/>
              </w:rPr>
              <w:t> </w:t>
            </w:r>
          </w:p>
        </w:tc>
        <w:tc>
          <w:tcPr>
            <w:tcW w:w="940" w:type="dxa"/>
            <w:tcBorders>
              <w:top w:val="nil"/>
              <w:left w:val="nil"/>
              <w:bottom w:val="single" w:sz="8" w:space="0" w:color="auto"/>
              <w:right w:val="nil"/>
            </w:tcBorders>
            <w:shd w:val="clear" w:color="auto" w:fill="auto"/>
            <w:noWrap/>
            <w:vAlign w:val="bottom"/>
            <w:hideMark/>
          </w:tcPr>
          <w:p w:rsidR="00E1437F" w:rsidRPr="00E1437F" w:rsidRDefault="00E1437F" w:rsidP="00E1437F">
            <w:pPr>
              <w:rPr>
                <w:rFonts w:ascii="Calibri" w:hAnsi="Calibri"/>
                <w:color w:val="000000"/>
              </w:rPr>
            </w:pPr>
            <w:r w:rsidRPr="00E1437F">
              <w:rPr>
                <w:rFonts w:ascii="Calibri" w:hAnsi="Calibri"/>
                <w:color w:val="000000"/>
              </w:rPr>
              <w:t> </w:t>
            </w:r>
          </w:p>
        </w:tc>
        <w:tc>
          <w:tcPr>
            <w:tcW w:w="1136" w:type="dxa"/>
            <w:tcBorders>
              <w:top w:val="nil"/>
              <w:left w:val="nil"/>
              <w:bottom w:val="single" w:sz="8" w:space="0" w:color="auto"/>
              <w:right w:val="nil"/>
            </w:tcBorders>
            <w:shd w:val="clear" w:color="auto" w:fill="auto"/>
            <w:noWrap/>
            <w:vAlign w:val="bottom"/>
            <w:hideMark/>
          </w:tcPr>
          <w:p w:rsidR="00E1437F" w:rsidRPr="00E1437F" w:rsidRDefault="00E1437F" w:rsidP="00E1437F">
            <w:pPr>
              <w:rPr>
                <w:rFonts w:ascii="Calibri" w:hAnsi="Calibri"/>
                <w:color w:val="000000"/>
              </w:rPr>
            </w:pPr>
            <w:r w:rsidRPr="00E1437F">
              <w:rPr>
                <w:rFonts w:ascii="Calibri" w:hAnsi="Calibri"/>
                <w:color w:val="000000"/>
              </w:rPr>
              <w:t> </w:t>
            </w:r>
          </w:p>
        </w:tc>
        <w:tc>
          <w:tcPr>
            <w:tcW w:w="271" w:type="dxa"/>
            <w:tcBorders>
              <w:top w:val="nil"/>
              <w:left w:val="nil"/>
              <w:bottom w:val="single" w:sz="8" w:space="0" w:color="auto"/>
              <w:right w:val="nil"/>
            </w:tcBorders>
            <w:shd w:val="clear" w:color="auto" w:fill="auto"/>
            <w:noWrap/>
            <w:vAlign w:val="bottom"/>
            <w:hideMark/>
          </w:tcPr>
          <w:p w:rsidR="00E1437F" w:rsidRPr="00E1437F" w:rsidRDefault="00E1437F" w:rsidP="00E1437F">
            <w:pPr>
              <w:rPr>
                <w:rFonts w:ascii="Calibri" w:hAnsi="Calibri"/>
                <w:color w:val="000000"/>
              </w:rPr>
            </w:pPr>
            <w:r w:rsidRPr="00E1437F">
              <w:rPr>
                <w:rFonts w:ascii="Calibri" w:hAnsi="Calibri"/>
                <w:color w:val="000000"/>
              </w:rPr>
              <w:t> </w:t>
            </w:r>
          </w:p>
        </w:tc>
        <w:tc>
          <w:tcPr>
            <w:tcW w:w="776" w:type="dxa"/>
            <w:tcBorders>
              <w:top w:val="nil"/>
              <w:left w:val="nil"/>
              <w:bottom w:val="single" w:sz="8" w:space="0" w:color="auto"/>
              <w:right w:val="nil"/>
            </w:tcBorders>
            <w:shd w:val="clear" w:color="auto" w:fill="auto"/>
            <w:noWrap/>
            <w:vAlign w:val="bottom"/>
            <w:hideMark/>
          </w:tcPr>
          <w:p w:rsidR="00E1437F" w:rsidRPr="00E1437F" w:rsidRDefault="00E1437F" w:rsidP="00E1437F">
            <w:pPr>
              <w:rPr>
                <w:rFonts w:ascii="Calibri" w:hAnsi="Calibri"/>
                <w:color w:val="000000"/>
              </w:rPr>
            </w:pPr>
            <w:r w:rsidRPr="00E1437F">
              <w:rPr>
                <w:rFonts w:ascii="Calibri" w:hAnsi="Calibri"/>
                <w:color w:val="000000"/>
              </w:rPr>
              <w:t> </w:t>
            </w:r>
          </w:p>
        </w:tc>
        <w:tc>
          <w:tcPr>
            <w:tcW w:w="775" w:type="dxa"/>
            <w:tcBorders>
              <w:top w:val="nil"/>
              <w:left w:val="nil"/>
              <w:bottom w:val="single" w:sz="8" w:space="0" w:color="auto"/>
              <w:right w:val="nil"/>
            </w:tcBorders>
            <w:shd w:val="clear" w:color="auto" w:fill="auto"/>
            <w:noWrap/>
            <w:vAlign w:val="bottom"/>
            <w:hideMark/>
          </w:tcPr>
          <w:p w:rsidR="00E1437F" w:rsidRPr="00E1437F" w:rsidRDefault="00E1437F" w:rsidP="00E1437F">
            <w:pPr>
              <w:rPr>
                <w:rFonts w:ascii="Calibri" w:hAnsi="Calibri"/>
                <w:color w:val="000000"/>
              </w:rPr>
            </w:pPr>
            <w:r w:rsidRPr="00E1437F">
              <w:rPr>
                <w:rFonts w:ascii="Calibri" w:hAnsi="Calibri"/>
                <w:color w:val="000000"/>
              </w:rPr>
              <w:t> </w:t>
            </w:r>
          </w:p>
        </w:tc>
        <w:tc>
          <w:tcPr>
            <w:tcW w:w="775" w:type="dxa"/>
            <w:tcBorders>
              <w:top w:val="nil"/>
              <w:left w:val="nil"/>
              <w:bottom w:val="single" w:sz="8" w:space="0" w:color="auto"/>
              <w:right w:val="nil"/>
            </w:tcBorders>
            <w:shd w:val="clear" w:color="auto" w:fill="auto"/>
            <w:noWrap/>
            <w:vAlign w:val="bottom"/>
            <w:hideMark/>
          </w:tcPr>
          <w:p w:rsidR="00E1437F" w:rsidRPr="00E1437F" w:rsidRDefault="00E1437F" w:rsidP="00E1437F">
            <w:pPr>
              <w:rPr>
                <w:rFonts w:ascii="Calibri" w:hAnsi="Calibri"/>
                <w:color w:val="000000"/>
              </w:rPr>
            </w:pPr>
            <w:r w:rsidRPr="00E1437F">
              <w:rPr>
                <w:rFonts w:ascii="Calibri" w:hAnsi="Calibri"/>
                <w:color w:val="000000"/>
              </w:rPr>
              <w:t> </w:t>
            </w:r>
          </w:p>
        </w:tc>
        <w:tc>
          <w:tcPr>
            <w:tcW w:w="1314" w:type="dxa"/>
            <w:tcBorders>
              <w:top w:val="nil"/>
              <w:left w:val="nil"/>
              <w:bottom w:val="single" w:sz="8" w:space="0" w:color="auto"/>
              <w:right w:val="nil"/>
            </w:tcBorders>
            <w:shd w:val="clear" w:color="auto" w:fill="auto"/>
            <w:noWrap/>
            <w:vAlign w:val="bottom"/>
            <w:hideMark/>
          </w:tcPr>
          <w:p w:rsidR="00E1437F" w:rsidRPr="00E1437F" w:rsidRDefault="00E1437F" w:rsidP="00E1437F">
            <w:pPr>
              <w:rPr>
                <w:rFonts w:ascii="Calibri" w:hAnsi="Calibri"/>
                <w:color w:val="000000"/>
              </w:rPr>
            </w:pPr>
            <w:r w:rsidRPr="00E1437F">
              <w:rPr>
                <w:rFonts w:ascii="Calibri" w:hAnsi="Calibri"/>
                <w:color w:val="000000"/>
              </w:rPr>
              <w:t> </w:t>
            </w:r>
          </w:p>
        </w:tc>
      </w:tr>
    </w:tbl>
    <w:p w:rsidR="00E1437F" w:rsidRDefault="00E1437F" w:rsidP="00E1437F">
      <w:pPr>
        <w:spacing w:line="360" w:lineRule="auto"/>
        <w:rPr>
          <w:sz w:val="20"/>
          <w:szCs w:val="20"/>
          <w:shd w:val="clear" w:color="auto" w:fill="FFFFFF"/>
        </w:rPr>
      </w:pPr>
    </w:p>
    <w:p w:rsidR="00E1437F" w:rsidRPr="00C36D2E" w:rsidRDefault="00E1437F" w:rsidP="00E1437F">
      <w:pPr>
        <w:spacing w:line="360" w:lineRule="auto"/>
        <w:rPr>
          <w:sz w:val="20"/>
          <w:szCs w:val="20"/>
          <w:shd w:val="clear" w:color="auto" w:fill="FFFFFF"/>
        </w:rPr>
      </w:pPr>
      <w:r w:rsidRPr="00C36D2E">
        <w:rPr>
          <w:sz w:val="20"/>
          <w:szCs w:val="20"/>
          <w:shd w:val="clear" w:color="auto" w:fill="FFFFFF"/>
        </w:rPr>
        <w:t>Odds ratios (ORs) and 95% confidence intervals (</w:t>
      </w:r>
      <w:proofErr w:type="spellStart"/>
      <w:r w:rsidRPr="00C36D2E">
        <w:rPr>
          <w:sz w:val="20"/>
          <w:szCs w:val="20"/>
          <w:shd w:val="clear" w:color="auto" w:fill="FFFFFF"/>
        </w:rPr>
        <w:t>lCI</w:t>
      </w:r>
      <w:proofErr w:type="spellEnd"/>
      <w:r w:rsidRPr="00C36D2E">
        <w:rPr>
          <w:sz w:val="20"/>
          <w:szCs w:val="20"/>
          <w:shd w:val="clear" w:color="auto" w:fill="FFFFFF"/>
        </w:rPr>
        <w:t xml:space="preserve">, lower bound; </w:t>
      </w:r>
      <w:proofErr w:type="spellStart"/>
      <w:r w:rsidRPr="00C36D2E">
        <w:rPr>
          <w:sz w:val="20"/>
          <w:szCs w:val="20"/>
          <w:shd w:val="clear" w:color="auto" w:fill="FFFFFF"/>
        </w:rPr>
        <w:t>uCI</w:t>
      </w:r>
      <w:proofErr w:type="spellEnd"/>
      <w:r w:rsidRPr="00C36D2E">
        <w:rPr>
          <w:sz w:val="20"/>
          <w:szCs w:val="20"/>
          <w:shd w:val="clear" w:color="auto" w:fill="FFFFFF"/>
        </w:rPr>
        <w:t xml:space="preserve">, upper bound) per SD increase in genetically-predicted levels of </w:t>
      </w:r>
      <w:r w:rsidRPr="00C36D2E">
        <w:rPr>
          <w:i/>
          <w:sz w:val="20"/>
          <w:szCs w:val="20"/>
          <w:shd w:val="clear" w:color="auto" w:fill="FFFFFF"/>
          <w:vertAlign w:val="subscript"/>
        </w:rPr>
        <w:t>(log</w:t>
      </w:r>
      <w:proofErr w:type="gramStart"/>
      <w:r w:rsidRPr="00C36D2E">
        <w:rPr>
          <w:i/>
          <w:sz w:val="20"/>
          <w:szCs w:val="20"/>
          <w:shd w:val="clear" w:color="auto" w:fill="FFFFFF"/>
          <w:vertAlign w:val="subscript"/>
        </w:rPr>
        <w:t>)</w:t>
      </w:r>
      <w:r w:rsidRPr="00C36D2E">
        <w:rPr>
          <w:sz w:val="20"/>
          <w:szCs w:val="20"/>
          <w:shd w:val="clear" w:color="auto" w:fill="FFFFFF"/>
        </w:rPr>
        <w:t>ACs</w:t>
      </w:r>
      <w:proofErr w:type="gramEnd"/>
    </w:p>
    <w:p w:rsidR="00E1437F" w:rsidRDefault="00E1437F" w:rsidP="00E1437F"/>
    <w:p w:rsidR="007277B5" w:rsidRDefault="007277B5" w:rsidP="00E1437F"/>
    <w:p w:rsidR="007277B5" w:rsidRDefault="007277B5" w:rsidP="00E1437F">
      <w:pPr>
        <w:sectPr w:rsidR="007277B5" w:rsidSect="00744D3E">
          <w:pgSz w:w="11900" w:h="16840"/>
          <w:pgMar w:top="1440" w:right="1440" w:bottom="1440" w:left="1440" w:header="708" w:footer="708" w:gutter="0"/>
          <w:cols w:space="708"/>
          <w:docGrid w:linePitch="360"/>
        </w:sectPr>
      </w:pPr>
    </w:p>
    <w:p w:rsidR="007277B5" w:rsidRDefault="007277B5" w:rsidP="007277B5">
      <w:pPr>
        <w:pStyle w:val="Heading2"/>
        <w:rPr>
          <w:rFonts w:ascii="Times New Roman" w:hAnsi="Times New Roman" w:cs="Times New Roman"/>
          <w:color w:val="000000" w:themeColor="text1"/>
          <w:sz w:val="24"/>
          <w:szCs w:val="24"/>
        </w:rPr>
      </w:pPr>
      <w:bookmarkStart w:id="13" w:name="_Toc97882880"/>
      <w:proofErr w:type="spellStart"/>
      <w:proofErr w:type="gramStart"/>
      <w:r w:rsidRPr="007277B5">
        <w:rPr>
          <w:rFonts w:ascii="Times New Roman" w:hAnsi="Times New Roman" w:cs="Times New Roman"/>
          <w:b/>
          <w:i/>
          <w:color w:val="000000" w:themeColor="text1"/>
          <w:sz w:val="24"/>
          <w:szCs w:val="24"/>
        </w:rPr>
        <w:lastRenderedPageBreak/>
        <w:t>eTable</w:t>
      </w:r>
      <w:proofErr w:type="spellEnd"/>
      <w:proofErr w:type="gramEnd"/>
      <w:r w:rsidRPr="007277B5">
        <w:rPr>
          <w:rFonts w:ascii="Times New Roman" w:hAnsi="Times New Roman" w:cs="Times New Roman"/>
          <w:b/>
          <w:i/>
          <w:color w:val="000000" w:themeColor="text1"/>
          <w:sz w:val="24"/>
          <w:szCs w:val="24"/>
        </w:rPr>
        <w:t xml:space="preserve"> 9.</w:t>
      </w:r>
      <w:r>
        <w:rPr>
          <w:rFonts w:ascii="Times New Roman" w:hAnsi="Times New Roman" w:cs="Times New Roman"/>
          <w:sz w:val="24"/>
          <w:szCs w:val="24"/>
        </w:rPr>
        <w:t xml:space="preserve"> </w:t>
      </w:r>
      <w:r w:rsidR="00113C2E">
        <w:rPr>
          <w:rFonts w:ascii="Times New Roman" w:hAnsi="Times New Roman" w:cs="Times New Roman"/>
          <w:color w:val="000000" w:themeColor="text1"/>
          <w:sz w:val="24"/>
          <w:szCs w:val="24"/>
        </w:rPr>
        <w:t>Follow-up</w:t>
      </w:r>
      <w:r w:rsidRPr="007277B5">
        <w:rPr>
          <w:rFonts w:ascii="Times New Roman" w:hAnsi="Times New Roman" w:cs="Times New Roman"/>
          <w:color w:val="000000" w:themeColor="text1"/>
          <w:sz w:val="24"/>
          <w:szCs w:val="24"/>
        </w:rPr>
        <w:t xml:space="preserve"> analyses: selected genetic instruments for </w:t>
      </w:r>
      <w:proofErr w:type="spellStart"/>
      <w:r w:rsidRPr="007277B5">
        <w:rPr>
          <w:rFonts w:ascii="Times New Roman" w:hAnsi="Times New Roman" w:cs="Times New Roman"/>
          <w:color w:val="000000" w:themeColor="text1"/>
          <w:sz w:val="24"/>
          <w:szCs w:val="24"/>
        </w:rPr>
        <w:t>acylcarnitines</w:t>
      </w:r>
      <w:bookmarkEnd w:id="13"/>
      <w:proofErr w:type="spellEnd"/>
      <w:r w:rsidRPr="007277B5">
        <w:rPr>
          <w:rFonts w:ascii="Times New Roman" w:hAnsi="Times New Roman" w:cs="Times New Roman"/>
          <w:color w:val="000000" w:themeColor="text1"/>
          <w:sz w:val="24"/>
          <w:szCs w:val="24"/>
        </w:rPr>
        <w:t xml:space="preserve">  </w:t>
      </w:r>
    </w:p>
    <w:p w:rsidR="00106F6E" w:rsidRDefault="00106F6E" w:rsidP="00106F6E"/>
    <w:p w:rsidR="00106F6E" w:rsidRDefault="00106F6E" w:rsidP="00106F6E"/>
    <w:tbl>
      <w:tblPr>
        <w:tblW w:w="3520" w:type="dxa"/>
        <w:tblLook w:val="04A0" w:firstRow="1" w:lastRow="0" w:firstColumn="1" w:lastColumn="0" w:noHBand="0" w:noVBand="1"/>
      </w:tblPr>
      <w:tblGrid>
        <w:gridCol w:w="820"/>
        <w:gridCol w:w="1023"/>
        <w:gridCol w:w="642"/>
        <w:gridCol w:w="1138"/>
      </w:tblGrid>
      <w:tr w:rsidR="00106F6E" w:rsidTr="00106F6E">
        <w:trPr>
          <w:trHeight w:val="340"/>
        </w:trPr>
        <w:tc>
          <w:tcPr>
            <w:tcW w:w="820" w:type="dxa"/>
            <w:tcBorders>
              <w:top w:val="nil"/>
              <w:left w:val="nil"/>
              <w:bottom w:val="nil"/>
              <w:right w:val="nil"/>
            </w:tcBorders>
            <w:shd w:val="clear" w:color="auto" w:fill="auto"/>
            <w:noWrap/>
            <w:vAlign w:val="bottom"/>
            <w:hideMark/>
          </w:tcPr>
          <w:p w:rsidR="00106F6E" w:rsidRDefault="00106F6E"/>
        </w:tc>
        <w:tc>
          <w:tcPr>
            <w:tcW w:w="1023" w:type="dxa"/>
            <w:tcBorders>
              <w:top w:val="nil"/>
              <w:left w:val="nil"/>
              <w:bottom w:val="nil"/>
              <w:right w:val="nil"/>
            </w:tcBorders>
            <w:shd w:val="clear" w:color="auto" w:fill="auto"/>
            <w:noWrap/>
            <w:vAlign w:val="bottom"/>
            <w:hideMark/>
          </w:tcPr>
          <w:p w:rsidR="00106F6E" w:rsidRDefault="00106F6E">
            <w:pPr>
              <w:rPr>
                <w:sz w:val="20"/>
                <w:szCs w:val="20"/>
              </w:rPr>
            </w:pPr>
          </w:p>
        </w:tc>
        <w:tc>
          <w:tcPr>
            <w:tcW w:w="1677" w:type="dxa"/>
            <w:gridSpan w:val="2"/>
            <w:tcBorders>
              <w:top w:val="nil"/>
              <w:left w:val="nil"/>
              <w:bottom w:val="single" w:sz="8" w:space="0" w:color="auto"/>
              <w:right w:val="nil"/>
            </w:tcBorders>
            <w:shd w:val="clear" w:color="auto" w:fill="auto"/>
            <w:noWrap/>
            <w:vAlign w:val="bottom"/>
            <w:hideMark/>
          </w:tcPr>
          <w:p w:rsidR="00106F6E" w:rsidRDefault="00106F6E">
            <w:pPr>
              <w:jc w:val="center"/>
              <w:rPr>
                <w:rFonts w:ascii="Calibri" w:hAnsi="Calibri"/>
                <w:b/>
                <w:bCs/>
                <w:color w:val="000000"/>
              </w:rPr>
            </w:pPr>
            <w:r>
              <w:rPr>
                <w:rFonts w:ascii="Calibri" w:hAnsi="Calibri"/>
                <w:b/>
                <w:bCs/>
                <w:color w:val="000000"/>
              </w:rPr>
              <w:t>F-statistic</w:t>
            </w:r>
          </w:p>
        </w:tc>
      </w:tr>
      <w:tr w:rsidR="00106F6E" w:rsidTr="00106F6E">
        <w:trPr>
          <w:trHeight w:val="340"/>
        </w:trPr>
        <w:tc>
          <w:tcPr>
            <w:tcW w:w="820" w:type="dxa"/>
            <w:tcBorders>
              <w:top w:val="nil"/>
              <w:left w:val="nil"/>
              <w:bottom w:val="single" w:sz="8" w:space="0" w:color="auto"/>
              <w:right w:val="nil"/>
            </w:tcBorders>
            <w:shd w:val="clear" w:color="auto" w:fill="auto"/>
            <w:noWrap/>
            <w:vAlign w:val="bottom"/>
            <w:hideMark/>
          </w:tcPr>
          <w:p w:rsidR="00106F6E" w:rsidRDefault="00106F6E">
            <w:pPr>
              <w:jc w:val="center"/>
              <w:rPr>
                <w:rFonts w:ascii="Calibri" w:hAnsi="Calibri"/>
                <w:b/>
                <w:bCs/>
                <w:color w:val="000000"/>
              </w:rPr>
            </w:pPr>
            <w:r>
              <w:rPr>
                <w:rFonts w:ascii="Calibri" w:hAnsi="Calibri"/>
                <w:b/>
                <w:bCs/>
                <w:color w:val="000000"/>
              </w:rPr>
              <w:t>AC</w:t>
            </w:r>
          </w:p>
        </w:tc>
        <w:tc>
          <w:tcPr>
            <w:tcW w:w="1023" w:type="dxa"/>
            <w:tcBorders>
              <w:top w:val="nil"/>
              <w:left w:val="nil"/>
              <w:bottom w:val="single" w:sz="8" w:space="0" w:color="auto"/>
              <w:right w:val="nil"/>
            </w:tcBorders>
            <w:shd w:val="clear" w:color="auto" w:fill="auto"/>
            <w:noWrap/>
            <w:vAlign w:val="bottom"/>
            <w:hideMark/>
          </w:tcPr>
          <w:p w:rsidR="00106F6E" w:rsidRDefault="00106F6E">
            <w:pPr>
              <w:jc w:val="center"/>
              <w:rPr>
                <w:rFonts w:ascii="Calibri" w:hAnsi="Calibri"/>
                <w:b/>
                <w:bCs/>
                <w:color w:val="000000"/>
              </w:rPr>
            </w:pPr>
            <w:r>
              <w:rPr>
                <w:rFonts w:ascii="Calibri" w:hAnsi="Calibri"/>
                <w:b/>
                <w:bCs/>
                <w:color w:val="000000"/>
              </w:rPr>
              <w:t>N SNPs</w:t>
            </w:r>
          </w:p>
        </w:tc>
        <w:tc>
          <w:tcPr>
            <w:tcW w:w="539" w:type="dxa"/>
            <w:tcBorders>
              <w:top w:val="nil"/>
              <w:left w:val="nil"/>
              <w:bottom w:val="single" w:sz="8" w:space="0" w:color="auto"/>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min</w:t>
            </w:r>
          </w:p>
        </w:tc>
        <w:tc>
          <w:tcPr>
            <w:tcW w:w="1138" w:type="dxa"/>
            <w:tcBorders>
              <w:top w:val="nil"/>
              <w:left w:val="nil"/>
              <w:bottom w:val="single" w:sz="8" w:space="0" w:color="auto"/>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max</w:t>
            </w:r>
          </w:p>
        </w:tc>
      </w:tr>
      <w:tr w:rsidR="00106F6E" w:rsidTr="00106F6E">
        <w:trPr>
          <w:trHeight w:val="320"/>
        </w:trPr>
        <w:tc>
          <w:tcPr>
            <w:tcW w:w="820"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C0</w:t>
            </w:r>
          </w:p>
        </w:tc>
        <w:tc>
          <w:tcPr>
            <w:tcW w:w="1023"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9</w:t>
            </w:r>
          </w:p>
        </w:tc>
        <w:tc>
          <w:tcPr>
            <w:tcW w:w="539"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33.1</w:t>
            </w:r>
          </w:p>
        </w:tc>
        <w:tc>
          <w:tcPr>
            <w:tcW w:w="1138"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1040.9</w:t>
            </w:r>
          </w:p>
        </w:tc>
      </w:tr>
      <w:tr w:rsidR="00106F6E" w:rsidTr="00106F6E">
        <w:trPr>
          <w:trHeight w:val="320"/>
        </w:trPr>
        <w:tc>
          <w:tcPr>
            <w:tcW w:w="820"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C2</w:t>
            </w:r>
          </w:p>
        </w:tc>
        <w:tc>
          <w:tcPr>
            <w:tcW w:w="1023"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5</w:t>
            </w:r>
          </w:p>
        </w:tc>
        <w:tc>
          <w:tcPr>
            <w:tcW w:w="539"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30.4</w:t>
            </w:r>
          </w:p>
        </w:tc>
        <w:tc>
          <w:tcPr>
            <w:tcW w:w="1138"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316.6</w:t>
            </w:r>
          </w:p>
        </w:tc>
      </w:tr>
      <w:tr w:rsidR="00106F6E" w:rsidTr="00106F6E">
        <w:trPr>
          <w:trHeight w:val="320"/>
        </w:trPr>
        <w:tc>
          <w:tcPr>
            <w:tcW w:w="820"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C3</w:t>
            </w:r>
          </w:p>
        </w:tc>
        <w:tc>
          <w:tcPr>
            <w:tcW w:w="1023"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4</w:t>
            </w:r>
          </w:p>
        </w:tc>
        <w:tc>
          <w:tcPr>
            <w:tcW w:w="539"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39.4</w:t>
            </w:r>
          </w:p>
        </w:tc>
        <w:tc>
          <w:tcPr>
            <w:tcW w:w="1138"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320.9</w:t>
            </w:r>
          </w:p>
        </w:tc>
      </w:tr>
      <w:tr w:rsidR="00106F6E" w:rsidTr="00106F6E">
        <w:trPr>
          <w:trHeight w:val="320"/>
        </w:trPr>
        <w:tc>
          <w:tcPr>
            <w:tcW w:w="820"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C4</w:t>
            </w:r>
          </w:p>
        </w:tc>
        <w:tc>
          <w:tcPr>
            <w:tcW w:w="1023"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p>
        </w:tc>
        <w:tc>
          <w:tcPr>
            <w:tcW w:w="539" w:type="dxa"/>
            <w:tcBorders>
              <w:top w:val="nil"/>
              <w:left w:val="nil"/>
              <w:bottom w:val="nil"/>
              <w:right w:val="nil"/>
            </w:tcBorders>
            <w:shd w:val="clear" w:color="auto" w:fill="auto"/>
            <w:noWrap/>
            <w:vAlign w:val="bottom"/>
            <w:hideMark/>
          </w:tcPr>
          <w:p w:rsidR="00106F6E" w:rsidRDefault="00106F6E">
            <w:pPr>
              <w:jc w:val="center"/>
              <w:rPr>
                <w:sz w:val="20"/>
                <w:szCs w:val="20"/>
              </w:rPr>
            </w:pPr>
          </w:p>
        </w:tc>
        <w:tc>
          <w:tcPr>
            <w:tcW w:w="1138" w:type="dxa"/>
            <w:tcBorders>
              <w:top w:val="nil"/>
              <w:left w:val="nil"/>
              <w:bottom w:val="nil"/>
              <w:right w:val="nil"/>
            </w:tcBorders>
            <w:shd w:val="clear" w:color="auto" w:fill="auto"/>
            <w:noWrap/>
            <w:vAlign w:val="bottom"/>
            <w:hideMark/>
          </w:tcPr>
          <w:p w:rsidR="00106F6E" w:rsidRDefault="00106F6E">
            <w:pPr>
              <w:jc w:val="center"/>
              <w:rPr>
                <w:sz w:val="20"/>
                <w:szCs w:val="20"/>
              </w:rPr>
            </w:pPr>
          </w:p>
        </w:tc>
      </w:tr>
      <w:tr w:rsidR="00106F6E" w:rsidTr="00106F6E">
        <w:trPr>
          <w:trHeight w:val="320"/>
        </w:trPr>
        <w:tc>
          <w:tcPr>
            <w:tcW w:w="820"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C5</w:t>
            </w:r>
          </w:p>
        </w:tc>
        <w:tc>
          <w:tcPr>
            <w:tcW w:w="1023"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p>
        </w:tc>
        <w:tc>
          <w:tcPr>
            <w:tcW w:w="539" w:type="dxa"/>
            <w:tcBorders>
              <w:top w:val="nil"/>
              <w:left w:val="nil"/>
              <w:bottom w:val="nil"/>
              <w:right w:val="nil"/>
            </w:tcBorders>
            <w:shd w:val="clear" w:color="auto" w:fill="auto"/>
            <w:noWrap/>
            <w:vAlign w:val="bottom"/>
            <w:hideMark/>
          </w:tcPr>
          <w:p w:rsidR="00106F6E" w:rsidRDefault="00106F6E">
            <w:pPr>
              <w:jc w:val="center"/>
              <w:rPr>
                <w:sz w:val="20"/>
                <w:szCs w:val="20"/>
              </w:rPr>
            </w:pPr>
          </w:p>
        </w:tc>
        <w:tc>
          <w:tcPr>
            <w:tcW w:w="1138" w:type="dxa"/>
            <w:tcBorders>
              <w:top w:val="nil"/>
              <w:left w:val="nil"/>
              <w:bottom w:val="nil"/>
              <w:right w:val="nil"/>
            </w:tcBorders>
            <w:shd w:val="clear" w:color="auto" w:fill="auto"/>
            <w:noWrap/>
            <w:vAlign w:val="bottom"/>
            <w:hideMark/>
          </w:tcPr>
          <w:p w:rsidR="00106F6E" w:rsidRDefault="00106F6E">
            <w:pPr>
              <w:jc w:val="center"/>
              <w:rPr>
                <w:sz w:val="20"/>
                <w:szCs w:val="20"/>
              </w:rPr>
            </w:pPr>
          </w:p>
        </w:tc>
      </w:tr>
      <w:tr w:rsidR="00106F6E" w:rsidTr="00106F6E">
        <w:trPr>
          <w:trHeight w:val="320"/>
        </w:trPr>
        <w:tc>
          <w:tcPr>
            <w:tcW w:w="820"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C6</w:t>
            </w:r>
          </w:p>
        </w:tc>
        <w:tc>
          <w:tcPr>
            <w:tcW w:w="1023"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p>
        </w:tc>
        <w:tc>
          <w:tcPr>
            <w:tcW w:w="539" w:type="dxa"/>
            <w:tcBorders>
              <w:top w:val="nil"/>
              <w:left w:val="nil"/>
              <w:bottom w:val="nil"/>
              <w:right w:val="nil"/>
            </w:tcBorders>
            <w:shd w:val="clear" w:color="auto" w:fill="auto"/>
            <w:noWrap/>
            <w:vAlign w:val="bottom"/>
            <w:hideMark/>
          </w:tcPr>
          <w:p w:rsidR="00106F6E" w:rsidRDefault="00106F6E">
            <w:pPr>
              <w:jc w:val="center"/>
              <w:rPr>
                <w:sz w:val="20"/>
                <w:szCs w:val="20"/>
              </w:rPr>
            </w:pPr>
          </w:p>
        </w:tc>
        <w:tc>
          <w:tcPr>
            <w:tcW w:w="1138" w:type="dxa"/>
            <w:tcBorders>
              <w:top w:val="nil"/>
              <w:left w:val="nil"/>
              <w:bottom w:val="nil"/>
              <w:right w:val="nil"/>
            </w:tcBorders>
            <w:shd w:val="clear" w:color="auto" w:fill="auto"/>
            <w:noWrap/>
            <w:vAlign w:val="bottom"/>
            <w:hideMark/>
          </w:tcPr>
          <w:p w:rsidR="00106F6E" w:rsidRDefault="00106F6E">
            <w:pPr>
              <w:jc w:val="center"/>
              <w:rPr>
                <w:sz w:val="20"/>
                <w:szCs w:val="20"/>
              </w:rPr>
            </w:pPr>
          </w:p>
        </w:tc>
      </w:tr>
      <w:tr w:rsidR="00106F6E" w:rsidTr="00106F6E">
        <w:trPr>
          <w:trHeight w:val="320"/>
        </w:trPr>
        <w:tc>
          <w:tcPr>
            <w:tcW w:w="820"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C8</w:t>
            </w:r>
          </w:p>
        </w:tc>
        <w:tc>
          <w:tcPr>
            <w:tcW w:w="1023"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6</w:t>
            </w:r>
          </w:p>
        </w:tc>
        <w:tc>
          <w:tcPr>
            <w:tcW w:w="539"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31.1</w:t>
            </w:r>
          </w:p>
        </w:tc>
        <w:tc>
          <w:tcPr>
            <w:tcW w:w="1138"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486.3</w:t>
            </w:r>
          </w:p>
        </w:tc>
      </w:tr>
      <w:tr w:rsidR="00106F6E" w:rsidTr="00106F6E">
        <w:trPr>
          <w:trHeight w:val="320"/>
        </w:trPr>
        <w:tc>
          <w:tcPr>
            <w:tcW w:w="820"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C9</w:t>
            </w:r>
          </w:p>
        </w:tc>
        <w:tc>
          <w:tcPr>
            <w:tcW w:w="1023"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3</w:t>
            </w:r>
          </w:p>
        </w:tc>
        <w:tc>
          <w:tcPr>
            <w:tcW w:w="539"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35.1</w:t>
            </w:r>
          </w:p>
        </w:tc>
        <w:tc>
          <w:tcPr>
            <w:tcW w:w="1138"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799.4</w:t>
            </w:r>
          </w:p>
        </w:tc>
      </w:tr>
      <w:tr w:rsidR="00106F6E" w:rsidTr="00106F6E">
        <w:trPr>
          <w:trHeight w:val="320"/>
        </w:trPr>
        <w:tc>
          <w:tcPr>
            <w:tcW w:w="820"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C10</w:t>
            </w:r>
          </w:p>
        </w:tc>
        <w:tc>
          <w:tcPr>
            <w:tcW w:w="1023"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4</w:t>
            </w:r>
          </w:p>
        </w:tc>
        <w:tc>
          <w:tcPr>
            <w:tcW w:w="539"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30.8</w:t>
            </w:r>
          </w:p>
        </w:tc>
        <w:tc>
          <w:tcPr>
            <w:tcW w:w="1138"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326.5</w:t>
            </w:r>
          </w:p>
        </w:tc>
      </w:tr>
      <w:tr w:rsidR="00106F6E" w:rsidTr="00106F6E">
        <w:trPr>
          <w:trHeight w:val="320"/>
        </w:trPr>
        <w:tc>
          <w:tcPr>
            <w:tcW w:w="820"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C10:1</w:t>
            </w:r>
          </w:p>
        </w:tc>
        <w:tc>
          <w:tcPr>
            <w:tcW w:w="1023"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4</w:t>
            </w:r>
          </w:p>
        </w:tc>
        <w:tc>
          <w:tcPr>
            <w:tcW w:w="539"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39.0</w:t>
            </w:r>
          </w:p>
        </w:tc>
        <w:tc>
          <w:tcPr>
            <w:tcW w:w="1138"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281.9</w:t>
            </w:r>
          </w:p>
        </w:tc>
      </w:tr>
      <w:tr w:rsidR="00106F6E" w:rsidTr="00106F6E">
        <w:trPr>
          <w:trHeight w:val="320"/>
        </w:trPr>
        <w:tc>
          <w:tcPr>
            <w:tcW w:w="820"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C12</w:t>
            </w:r>
          </w:p>
        </w:tc>
        <w:tc>
          <w:tcPr>
            <w:tcW w:w="1023"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p>
        </w:tc>
        <w:tc>
          <w:tcPr>
            <w:tcW w:w="539" w:type="dxa"/>
            <w:tcBorders>
              <w:top w:val="nil"/>
              <w:left w:val="nil"/>
              <w:bottom w:val="nil"/>
              <w:right w:val="nil"/>
            </w:tcBorders>
            <w:shd w:val="clear" w:color="auto" w:fill="auto"/>
            <w:noWrap/>
            <w:vAlign w:val="bottom"/>
            <w:hideMark/>
          </w:tcPr>
          <w:p w:rsidR="00106F6E" w:rsidRDefault="00106F6E">
            <w:pPr>
              <w:jc w:val="center"/>
              <w:rPr>
                <w:sz w:val="20"/>
                <w:szCs w:val="20"/>
              </w:rPr>
            </w:pPr>
          </w:p>
        </w:tc>
        <w:tc>
          <w:tcPr>
            <w:tcW w:w="1138" w:type="dxa"/>
            <w:tcBorders>
              <w:top w:val="nil"/>
              <w:left w:val="nil"/>
              <w:bottom w:val="nil"/>
              <w:right w:val="nil"/>
            </w:tcBorders>
            <w:shd w:val="clear" w:color="auto" w:fill="auto"/>
            <w:noWrap/>
            <w:vAlign w:val="bottom"/>
            <w:hideMark/>
          </w:tcPr>
          <w:p w:rsidR="00106F6E" w:rsidRDefault="00106F6E">
            <w:pPr>
              <w:jc w:val="center"/>
              <w:rPr>
                <w:sz w:val="20"/>
                <w:szCs w:val="20"/>
              </w:rPr>
            </w:pPr>
          </w:p>
        </w:tc>
      </w:tr>
      <w:tr w:rsidR="00106F6E" w:rsidTr="00106F6E">
        <w:trPr>
          <w:trHeight w:val="320"/>
        </w:trPr>
        <w:tc>
          <w:tcPr>
            <w:tcW w:w="820"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C14:1</w:t>
            </w:r>
          </w:p>
        </w:tc>
        <w:tc>
          <w:tcPr>
            <w:tcW w:w="1023"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4</w:t>
            </w:r>
          </w:p>
        </w:tc>
        <w:tc>
          <w:tcPr>
            <w:tcW w:w="539"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30.5</w:t>
            </w:r>
          </w:p>
        </w:tc>
        <w:tc>
          <w:tcPr>
            <w:tcW w:w="1138"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50.3</w:t>
            </w:r>
          </w:p>
        </w:tc>
      </w:tr>
      <w:tr w:rsidR="00106F6E" w:rsidTr="00106F6E">
        <w:trPr>
          <w:trHeight w:val="320"/>
        </w:trPr>
        <w:tc>
          <w:tcPr>
            <w:tcW w:w="820"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C16</w:t>
            </w:r>
          </w:p>
        </w:tc>
        <w:tc>
          <w:tcPr>
            <w:tcW w:w="1023"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p>
        </w:tc>
        <w:tc>
          <w:tcPr>
            <w:tcW w:w="539" w:type="dxa"/>
            <w:tcBorders>
              <w:top w:val="nil"/>
              <w:left w:val="nil"/>
              <w:bottom w:val="nil"/>
              <w:right w:val="nil"/>
            </w:tcBorders>
            <w:shd w:val="clear" w:color="auto" w:fill="auto"/>
            <w:noWrap/>
            <w:vAlign w:val="bottom"/>
            <w:hideMark/>
          </w:tcPr>
          <w:p w:rsidR="00106F6E" w:rsidRDefault="00106F6E">
            <w:pPr>
              <w:jc w:val="center"/>
              <w:rPr>
                <w:sz w:val="20"/>
                <w:szCs w:val="20"/>
              </w:rPr>
            </w:pPr>
          </w:p>
        </w:tc>
        <w:tc>
          <w:tcPr>
            <w:tcW w:w="1138" w:type="dxa"/>
            <w:tcBorders>
              <w:top w:val="nil"/>
              <w:left w:val="nil"/>
              <w:bottom w:val="nil"/>
              <w:right w:val="nil"/>
            </w:tcBorders>
            <w:shd w:val="clear" w:color="auto" w:fill="auto"/>
            <w:noWrap/>
            <w:vAlign w:val="bottom"/>
            <w:hideMark/>
          </w:tcPr>
          <w:p w:rsidR="00106F6E" w:rsidRDefault="00106F6E">
            <w:pPr>
              <w:jc w:val="center"/>
              <w:rPr>
                <w:sz w:val="20"/>
                <w:szCs w:val="20"/>
              </w:rPr>
            </w:pPr>
          </w:p>
        </w:tc>
      </w:tr>
      <w:tr w:rsidR="00106F6E" w:rsidTr="00106F6E">
        <w:trPr>
          <w:trHeight w:val="320"/>
        </w:trPr>
        <w:tc>
          <w:tcPr>
            <w:tcW w:w="820"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C18:1</w:t>
            </w:r>
          </w:p>
        </w:tc>
        <w:tc>
          <w:tcPr>
            <w:tcW w:w="1023"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6</w:t>
            </w:r>
          </w:p>
        </w:tc>
        <w:tc>
          <w:tcPr>
            <w:tcW w:w="539"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34.3</w:t>
            </w:r>
          </w:p>
        </w:tc>
        <w:tc>
          <w:tcPr>
            <w:tcW w:w="1138" w:type="dxa"/>
            <w:tcBorders>
              <w:top w:val="nil"/>
              <w:left w:val="nil"/>
              <w:bottom w:val="nil"/>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161.6</w:t>
            </w:r>
          </w:p>
        </w:tc>
      </w:tr>
      <w:tr w:rsidR="00106F6E" w:rsidTr="00106F6E">
        <w:trPr>
          <w:trHeight w:val="340"/>
        </w:trPr>
        <w:tc>
          <w:tcPr>
            <w:tcW w:w="820" w:type="dxa"/>
            <w:tcBorders>
              <w:top w:val="nil"/>
              <w:left w:val="nil"/>
              <w:bottom w:val="single" w:sz="8" w:space="0" w:color="auto"/>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C18:2</w:t>
            </w:r>
          </w:p>
        </w:tc>
        <w:tc>
          <w:tcPr>
            <w:tcW w:w="1023" w:type="dxa"/>
            <w:tcBorders>
              <w:top w:val="nil"/>
              <w:left w:val="nil"/>
              <w:bottom w:val="single" w:sz="8" w:space="0" w:color="auto"/>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4</w:t>
            </w:r>
          </w:p>
        </w:tc>
        <w:tc>
          <w:tcPr>
            <w:tcW w:w="539" w:type="dxa"/>
            <w:tcBorders>
              <w:top w:val="nil"/>
              <w:left w:val="nil"/>
              <w:bottom w:val="single" w:sz="8" w:space="0" w:color="auto"/>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29.8</w:t>
            </w:r>
          </w:p>
        </w:tc>
        <w:tc>
          <w:tcPr>
            <w:tcW w:w="1138" w:type="dxa"/>
            <w:tcBorders>
              <w:top w:val="nil"/>
              <w:left w:val="nil"/>
              <w:bottom w:val="single" w:sz="8" w:space="0" w:color="auto"/>
              <w:right w:val="nil"/>
            </w:tcBorders>
            <w:shd w:val="clear" w:color="auto" w:fill="auto"/>
            <w:noWrap/>
            <w:vAlign w:val="bottom"/>
            <w:hideMark/>
          </w:tcPr>
          <w:p w:rsidR="00106F6E" w:rsidRDefault="00106F6E">
            <w:pPr>
              <w:jc w:val="center"/>
              <w:rPr>
                <w:rFonts w:ascii="Calibri" w:hAnsi="Calibri"/>
                <w:color w:val="000000"/>
              </w:rPr>
            </w:pPr>
            <w:r>
              <w:rPr>
                <w:rFonts w:ascii="Calibri" w:hAnsi="Calibri"/>
                <w:color w:val="000000"/>
              </w:rPr>
              <w:t>174.1</w:t>
            </w:r>
          </w:p>
        </w:tc>
      </w:tr>
    </w:tbl>
    <w:p w:rsidR="00106F6E" w:rsidRDefault="00106F6E" w:rsidP="00106F6E"/>
    <w:p w:rsidR="00106F6E" w:rsidRDefault="00106F6E" w:rsidP="00106F6E"/>
    <w:p w:rsidR="00106F6E" w:rsidRPr="00B94DEB" w:rsidRDefault="00106F6E" w:rsidP="00B94DEB">
      <w:pPr>
        <w:spacing w:line="360" w:lineRule="auto"/>
        <w:rPr>
          <w:sz w:val="20"/>
          <w:szCs w:val="20"/>
        </w:rPr>
      </w:pPr>
      <w:r w:rsidRPr="00B94DEB">
        <w:rPr>
          <w:sz w:val="20"/>
          <w:szCs w:val="20"/>
        </w:rPr>
        <w:t xml:space="preserve">F-statistic approximated as </w:t>
      </w:r>
      <w:r w:rsidRPr="00B94DEB">
        <w:rPr>
          <w:i/>
          <w:sz w:val="20"/>
          <w:szCs w:val="20"/>
        </w:rPr>
        <w:t>est</w:t>
      </w:r>
      <w:r w:rsidRPr="00B94DEB">
        <w:rPr>
          <w:i/>
          <w:sz w:val="20"/>
          <w:szCs w:val="20"/>
          <w:vertAlign w:val="superscript"/>
        </w:rPr>
        <w:t>2</w:t>
      </w:r>
      <w:r w:rsidRPr="00B94DEB">
        <w:rPr>
          <w:i/>
          <w:sz w:val="20"/>
          <w:szCs w:val="20"/>
        </w:rPr>
        <w:t>/se</w:t>
      </w:r>
      <w:r w:rsidRPr="00B94DEB">
        <w:rPr>
          <w:i/>
          <w:sz w:val="20"/>
          <w:szCs w:val="20"/>
          <w:vertAlign w:val="superscript"/>
        </w:rPr>
        <w:t>2</w:t>
      </w:r>
      <w:r w:rsidRPr="00B94DEB">
        <w:rPr>
          <w:sz w:val="20"/>
          <w:szCs w:val="20"/>
        </w:rPr>
        <w:t xml:space="preserve"> according to Pierce et al</w:t>
      </w:r>
      <w:proofErr w:type="gramStart"/>
      <w:r w:rsidRPr="00B94DEB">
        <w:rPr>
          <w:sz w:val="20"/>
          <w:szCs w:val="20"/>
        </w:rPr>
        <w:t>.</w:t>
      </w:r>
      <w:r w:rsidR="00967671" w:rsidRPr="00967671">
        <w:rPr>
          <w:noProof/>
          <w:sz w:val="20"/>
          <w:szCs w:val="20"/>
        </w:rPr>
        <w:t>(</w:t>
      </w:r>
      <w:proofErr w:type="gramEnd"/>
      <w:r w:rsidR="00967671" w:rsidRPr="00967671">
        <w:rPr>
          <w:noProof/>
          <w:sz w:val="20"/>
          <w:szCs w:val="20"/>
        </w:rPr>
        <w:t>Pierce et al., 2011)</w:t>
      </w:r>
    </w:p>
    <w:p w:rsidR="00B94DEB" w:rsidRDefault="00B94DEB" w:rsidP="00B94DEB">
      <w:pPr>
        <w:spacing w:line="360" w:lineRule="auto"/>
        <w:rPr>
          <w:color w:val="000000"/>
          <w:sz w:val="20"/>
          <w:szCs w:val="20"/>
          <w:shd w:val="clear" w:color="auto" w:fill="FFFFFF"/>
        </w:rPr>
      </w:pPr>
      <w:r w:rsidRPr="00B94DEB">
        <w:rPr>
          <w:sz w:val="20"/>
          <w:szCs w:val="20"/>
        </w:rPr>
        <w:t xml:space="preserve">Blank rows: AC not available in the GWAS </w:t>
      </w:r>
      <w:r w:rsidR="00C76A27">
        <w:rPr>
          <w:sz w:val="20"/>
          <w:szCs w:val="20"/>
        </w:rPr>
        <w:t xml:space="preserve">meta-analyses </w:t>
      </w:r>
      <w:r w:rsidRPr="00B94DEB">
        <w:rPr>
          <w:sz w:val="20"/>
          <w:szCs w:val="20"/>
        </w:rPr>
        <w:t xml:space="preserve">by </w:t>
      </w:r>
      <w:proofErr w:type="spellStart"/>
      <w:r w:rsidRPr="00B94DEB">
        <w:rPr>
          <w:sz w:val="20"/>
          <w:szCs w:val="20"/>
        </w:rPr>
        <w:t>Draisma</w:t>
      </w:r>
      <w:proofErr w:type="spellEnd"/>
      <w:r w:rsidRPr="00B94DEB">
        <w:rPr>
          <w:sz w:val="20"/>
          <w:szCs w:val="20"/>
        </w:rPr>
        <w:t xml:space="preserve"> et al</w:t>
      </w:r>
      <w:proofErr w:type="gramStart"/>
      <w:r w:rsidRPr="00B94DEB">
        <w:rPr>
          <w:sz w:val="20"/>
          <w:szCs w:val="20"/>
        </w:rPr>
        <w:t>.</w:t>
      </w:r>
      <w:r w:rsidR="00967671" w:rsidRPr="00967671">
        <w:rPr>
          <w:noProof/>
          <w:color w:val="000000"/>
          <w:sz w:val="20"/>
          <w:szCs w:val="20"/>
          <w:shd w:val="clear" w:color="auto" w:fill="FFFFFF"/>
        </w:rPr>
        <w:t>(</w:t>
      </w:r>
      <w:proofErr w:type="spellStart"/>
      <w:proofErr w:type="gramEnd"/>
      <w:r w:rsidR="00967671" w:rsidRPr="00967671">
        <w:rPr>
          <w:noProof/>
          <w:color w:val="000000"/>
          <w:sz w:val="20"/>
          <w:szCs w:val="20"/>
          <w:shd w:val="clear" w:color="auto" w:fill="FFFFFF"/>
        </w:rPr>
        <w:t>Draisma</w:t>
      </w:r>
      <w:proofErr w:type="spellEnd"/>
      <w:r w:rsidR="00967671" w:rsidRPr="00967671">
        <w:rPr>
          <w:noProof/>
          <w:color w:val="000000"/>
          <w:sz w:val="20"/>
          <w:szCs w:val="20"/>
          <w:shd w:val="clear" w:color="auto" w:fill="FFFFFF"/>
        </w:rPr>
        <w:t xml:space="preserve"> et al., 2015)</w:t>
      </w:r>
    </w:p>
    <w:p w:rsidR="00AA3C58" w:rsidRDefault="00AA3C58" w:rsidP="00B94DEB">
      <w:pPr>
        <w:spacing w:line="360" w:lineRule="auto"/>
        <w:rPr>
          <w:sz w:val="20"/>
          <w:szCs w:val="20"/>
        </w:rPr>
      </w:pPr>
    </w:p>
    <w:p w:rsidR="00AA3C58" w:rsidRDefault="00AA3C58" w:rsidP="00B94DEB">
      <w:pPr>
        <w:spacing w:line="360" w:lineRule="auto"/>
        <w:rPr>
          <w:sz w:val="20"/>
          <w:szCs w:val="20"/>
        </w:rPr>
        <w:sectPr w:rsidR="00AA3C58" w:rsidSect="00744D3E">
          <w:pgSz w:w="11900" w:h="16840"/>
          <w:pgMar w:top="1440" w:right="1440" w:bottom="1440" w:left="1440" w:header="708" w:footer="708" w:gutter="0"/>
          <w:cols w:space="708"/>
          <w:docGrid w:linePitch="360"/>
        </w:sectPr>
      </w:pPr>
    </w:p>
    <w:p w:rsidR="00AA3C58" w:rsidRDefault="00AA3C58" w:rsidP="00AA3C58">
      <w:pPr>
        <w:pStyle w:val="Heading2"/>
        <w:rPr>
          <w:rFonts w:ascii="Times New Roman" w:hAnsi="Times New Roman" w:cs="Times New Roman"/>
          <w:color w:val="000000" w:themeColor="text1"/>
          <w:sz w:val="24"/>
          <w:szCs w:val="24"/>
        </w:rPr>
      </w:pPr>
      <w:bookmarkStart w:id="14" w:name="_Toc97882881"/>
      <w:proofErr w:type="spellStart"/>
      <w:proofErr w:type="gramStart"/>
      <w:r w:rsidRPr="00AA3C58">
        <w:rPr>
          <w:rFonts w:ascii="Times New Roman" w:hAnsi="Times New Roman" w:cs="Times New Roman"/>
          <w:b/>
          <w:i/>
          <w:color w:val="000000" w:themeColor="text1"/>
          <w:sz w:val="24"/>
          <w:szCs w:val="24"/>
        </w:rPr>
        <w:lastRenderedPageBreak/>
        <w:t>eTable</w:t>
      </w:r>
      <w:proofErr w:type="spellEnd"/>
      <w:proofErr w:type="gramEnd"/>
      <w:r w:rsidRPr="00AA3C58">
        <w:rPr>
          <w:rFonts w:ascii="Times New Roman" w:hAnsi="Times New Roman" w:cs="Times New Roman"/>
          <w:b/>
          <w:i/>
          <w:color w:val="000000" w:themeColor="text1"/>
          <w:sz w:val="24"/>
          <w:szCs w:val="24"/>
        </w:rPr>
        <w:t xml:space="preserve"> 10.</w:t>
      </w:r>
      <w:r w:rsidR="00997F32">
        <w:rPr>
          <w:rFonts w:ascii="Times New Roman" w:hAnsi="Times New Roman" w:cs="Times New Roman"/>
          <w:color w:val="000000" w:themeColor="text1"/>
          <w:sz w:val="24"/>
          <w:szCs w:val="24"/>
        </w:rPr>
        <w:t xml:space="preserve"> </w:t>
      </w:r>
      <w:r w:rsidR="000E2E59">
        <w:rPr>
          <w:rFonts w:ascii="Times New Roman" w:hAnsi="Times New Roman" w:cs="Times New Roman"/>
          <w:color w:val="000000" w:themeColor="text1"/>
          <w:sz w:val="24"/>
          <w:szCs w:val="24"/>
        </w:rPr>
        <w:t>Follow-up</w:t>
      </w:r>
      <w:r w:rsidR="00997F32">
        <w:rPr>
          <w:rFonts w:ascii="Times New Roman" w:hAnsi="Times New Roman" w:cs="Times New Roman"/>
          <w:color w:val="000000" w:themeColor="text1"/>
          <w:sz w:val="24"/>
          <w:szCs w:val="24"/>
        </w:rPr>
        <w:t xml:space="preserve"> analyses: </w:t>
      </w:r>
      <w:r w:rsidR="00A76E31">
        <w:rPr>
          <w:rFonts w:ascii="Times New Roman" w:hAnsi="Times New Roman" w:cs="Times New Roman"/>
          <w:color w:val="000000" w:themeColor="text1"/>
          <w:sz w:val="24"/>
          <w:szCs w:val="24"/>
        </w:rPr>
        <w:t xml:space="preserve">univariable </w:t>
      </w:r>
      <w:r w:rsidR="00997F32">
        <w:rPr>
          <w:rFonts w:ascii="Times New Roman" w:hAnsi="Times New Roman" w:cs="Times New Roman"/>
          <w:color w:val="000000" w:themeColor="text1"/>
          <w:sz w:val="24"/>
          <w:szCs w:val="24"/>
        </w:rPr>
        <w:t>Mendelian randomization analyses</w:t>
      </w:r>
      <w:bookmarkEnd w:id="14"/>
      <w:r w:rsidR="00997F32">
        <w:rPr>
          <w:rFonts w:ascii="Times New Roman" w:hAnsi="Times New Roman" w:cs="Times New Roman"/>
          <w:color w:val="000000" w:themeColor="text1"/>
          <w:sz w:val="24"/>
          <w:szCs w:val="24"/>
        </w:rPr>
        <w:t xml:space="preserve">  </w:t>
      </w:r>
    </w:p>
    <w:p w:rsidR="004A2385" w:rsidRDefault="004A2385" w:rsidP="004A2385"/>
    <w:p w:rsidR="004A2385" w:rsidRDefault="004A2385" w:rsidP="004A2385"/>
    <w:tbl>
      <w:tblPr>
        <w:tblW w:w="8317" w:type="dxa"/>
        <w:tblLook w:val="04A0" w:firstRow="1" w:lastRow="0" w:firstColumn="1" w:lastColumn="0" w:noHBand="0" w:noVBand="1"/>
      </w:tblPr>
      <w:tblGrid>
        <w:gridCol w:w="1160"/>
        <w:gridCol w:w="967"/>
        <w:gridCol w:w="1136"/>
        <w:gridCol w:w="1108"/>
        <w:gridCol w:w="1108"/>
        <w:gridCol w:w="1108"/>
        <w:gridCol w:w="1877"/>
      </w:tblGrid>
      <w:tr w:rsidR="004A2385" w:rsidTr="004A2385">
        <w:trPr>
          <w:trHeight w:val="340"/>
        </w:trPr>
        <w:tc>
          <w:tcPr>
            <w:tcW w:w="1160" w:type="dxa"/>
            <w:tcBorders>
              <w:top w:val="nil"/>
              <w:left w:val="nil"/>
              <w:bottom w:val="nil"/>
              <w:right w:val="nil"/>
            </w:tcBorders>
            <w:shd w:val="clear" w:color="auto" w:fill="auto"/>
            <w:noWrap/>
            <w:vAlign w:val="bottom"/>
            <w:hideMark/>
          </w:tcPr>
          <w:p w:rsidR="004A2385" w:rsidRDefault="004A2385"/>
        </w:tc>
        <w:tc>
          <w:tcPr>
            <w:tcW w:w="967" w:type="dxa"/>
            <w:tcBorders>
              <w:top w:val="nil"/>
              <w:left w:val="nil"/>
              <w:bottom w:val="nil"/>
              <w:right w:val="nil"/>
            </w:tcBorders>
            <w:shd w:val="clear" w:color="auto" w:fill="auto"/>
            <w:noWrap/>
            <w:vAlign w:val="bottom"/>
            <w:hideMark/>
          </w:tcPr>
          <w:p w:rsidR="004A2385" w:rsidRDefault="004A2385">
            <w:pPr>
              <w:rPr>
                <w:sz w:val="20"/>
                <w:szCs w:val="20"/>
              </w:rPr>
            </w:pPr>
          </w:p>
        </w:tc>
        <w:tc>
          <w:tcPr>
            <w:tcW w:w="989" w:type="dxa"/>
            <w:tcBorders>
              <w:top w:val="nil"/>
              <w:left w:val="nil"/>
              <w:bottom w:val="nil"/>
              <w:right w:val="nil"/>
            </w:tcBorders>
            <w:shd w:val="clear" w:color="auto" w:fill="auto"/>
            <w:noWrap/>
            <w:vAlign w:val="bottom"/>
            <w:hideMark/>
          </w:tcPr>
          <w:p w:rsidR="004A2385" w:rsidRDefault="004A2385">
            <w:pPr>
              <w:rPr>
                <w:sz w:val="20"/>
                <w:szCs w:val="20"/>
              </w:rPr>
            </w:pPr>
          </w:p>
        </w:tc>
        <w:tc>
          <w:tcPr>
            <w:tcW w:w="5201" w:type="dxa"/>
            <w:gridSpan w:val="4"/>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b/>
                <w:bCs/>
                <w:color w:val="000000"/>
              </w:rPr>
            </w:pPr>
            <w:r>
              <w:rPr>
                <w:rFonts w:ascii="Calibri" w:hAnsi="Calibri"/>
                <w:b/>
                <w:bCs/>
                <w:color w:val="000000"/>
              </w:rPr>
              <w:t>Inverse Variance Weighted</w:t>
            </w:r>
          </w:p>
        </w:tc>
      </w:tr>
      <w:tr w:rsidR="004A2385" w:rsidTr="004A2385">
        <w:trPr>
          <w:trHeight w:val="340"/>
        </w:trPr>
        <w:tc>
          <w:tcPr>
            <w:tcW w:w="1160" w:type="dxa"/>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b/>
                <w:bCs/>
                <w:color w:val="000000"/>
              </w:rPr>
            </w:pPr>
            <w:r>
              <w:rPr>
                <w:rFonts w:ascii="Calibri" w:hAnsi="Calibri"/>
                <w:b/>
                <w:bCs/>
                <w:color w:val="000000"/>
              </w:rPr>
              <w:t xml:space="preserve">Exposure </w:t>
            </w:r>
          </w:p>
        </w:tc>
        <w:tc>
          <w:tcPr>
            <w:tcW w:w="967" w:type="dxa"/>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b/>
                <w:bCs/>
                <w:color w:val="000000"/>
              </w:rPr>
            </w:pPr>
            <w:r>
              <w:rPr>
                <w:rFonts w:ascii="Calibri" w:hAnsi="Calibri"/>
                <w:b/>
                <w:bCs/>
                <w:color w:val="000000"/>
              </w:rPr>
              <w:t>N SNPs</w:t>
            </w:r>
          </w:p>
        </w:tc>
        <w:tc>
          <w:tcPr>
            <w:tcW w:w="989" w:type="dxa"/>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b/>
                <w:bCs/>
                <w:color w:val="000000"/>
              </w:rPr>
            </w:pPr>
            <w:r>
              <w:rPr>
                <w:rFonts w:ascii="Calibri" w:hAnsi="Calibri"/>
                <w:b/>
                <w:bCs/>
                <w:color w:val="000000"/>
              </w:rPr>
              <w:t>Outcome</w:t>
            </w:r>
          </w:p>
        </w:tc>
        <w:tc>
          <w:tcPr>
            <w:tcW w:w="1108" w:type="dxa"/>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b/>
                <w:bCs/>
                <w:color w:val="000000"/>
              </w:rPr>
            </w:pPr>
            <w:r>
              <w:rPr>
                <w:rFonts w:ascii="Calibri" w:hAnsi="Calibri"/>
                <w:b/>
                <w:bCs/>
                <w:color w:val="000000"/>
              </w:rPr>
              <w:t>OR</w:t>
            </w:r>
          </w:p>
        </w:tc>
        <w:tc>
          <w:tcPr>
            <w:tcW w:w="1108" w:type="dxa"/>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b/>
                <w:bCs/>
                <w:color w:val="000000"/>
              </w:rPr>
            </w:pPr>
            <w:proofErr w:type="spellStart"/>
            <w:r>
              <w:rPr>
                <w:rFonts w:ascii="Calibri" w:hAnsi="Calibri"/>
                <w:b/>
                <w:bCs/>
                <w:color w:val="000000"/>
              </w:rPr>
              <w:t>lCI</w:t>
            </w:r>
            <w:proofErr w:type="spellEnd"/>
          </w:p>
        </w:tc>
        <w:tc>
          <w:tcPr>
            <w:tcW w:w="1108" w:type="dxa"/>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b/>
                <w:bCs/>
                <w:color w:val="000000"/>
              </w:rPr>
            </w:pPr>
            <w:proofErr w:type="spellStart"/>
            <w:r>
              <w:rPr>
                <w:rFonts w:ascii="Calibri" w:hAnsi="Calibri"/>
                <w:b/>
                <w:bCs/>
                <w:color w:val="000000"/>
              </w:rPr>
              <w:t>uCI</w:t>
            </w:r>
            <w:proofErr w:type="spellEnd"/>
          </w:p>
        </w:tc>
        <w:tc>
          <w:tcPr>
            <w:tcW w:w="1877" w:type="dxa"/>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b/>
                <w:bCs/>
                <w:i/>
                <w:iCs/>
                <w:color w:val="000000"/>
              </w:rPr>
            </w:pPr>
            <w:r>
              <w:rPr>
                <w:rFonts w:ascii="Calibri" w:hAnsi="Calibri"/>
                <w:b/>
                <w:bCs/>
                <w:i/>
                <w:iCs/>
                <w:color w:val="000000"/>
              </w:rPr>
              <w:t>p-value</w:t>
            </w:r>
          </w:p>
        </w:tc>
      </w:tr>
      <w:tr w:rsidR="004A2385" w:rsidTr="004A2385">
        <w:trPr>
          <w:trHeight w:val="320"/>
        </w:trPr>
        <w:tc>
          <w:tcPr>
            <w:tcW w:w="1160"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C0</w:t>
            </w:r>
          </w:p>
        </w:tc>
        <w:tc>
          <w:tcPr>
            <w:tcW w:w="96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9</w:t>
            </w:r>
          </w:p>
        </w:tc>
        <w:tc>
          <w:tcPr>
            <w:tcW w:w="989"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DEP</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0.98</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0.96</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1.00</w:t>
            </w:r>
          </w:p>
        </w:tc>
        <w:tc>
          <w:tcPr>
            <w:tcW w:w="187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1.7E-02</w:t>
            </w:r>
          </w:p>
        </w:tc>
      </w:tr>
      <w:tr w:rsidR="004A2385" w:rsidTr="004A2385">
        <w:trPr>
          <w:trHeight w:val="320"/>
        </w:trPr>
        <w:tc>
          <w:tcPr>
            <w:tcW w:w="1160"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C2</w:t>
            </w:r>
          </w:p>
        </w:tc>
        <w:tc>
          <w:tcPr>
            <w:tcW w:w="96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5</w:t>
            </w:r>
          </w:p>
        </w:tc>
        <w:tc>
          <w:tcPr>
            <w:tcW w:w="989"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DEP</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0.96</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0.94</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0.99</w:t>
            </w:r>
          </w:p>
        </w:tc>
        <w:tc>
          <w:tcPr>
            <w:tcW w:w="187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1.4E-02</w:t>
            </w:r>
          </w:p>
        </w:tc>
      </w:tr>
      <w:tr w:rsidR="004A2385" w:rsidTr="004A2385">
        <w:trPr>
          <w:trHeight w:val="320"/>
        </w:trPr>
        <w:tc>
          <w:tcPr>
            <w:tcW w:w="1160"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C3</w:t>
            </w:r>
          </w:p>
        </w:tc>
        <w:tc>
          <w:tcPr>
            <w:tcW w:w="96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4</w:t>
            </w:r>
          </w:p>
        </w:tc>
        <w:tc>
          <w:tcPr>
            <w:tcW w:w="989"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DEP</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0.96</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0.93</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0.99</w:t>
            </w:r>
          </w:p>
        </w:tc>
        <w:tc>
          <w:tcPr>
            <w:tcW w:w="187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5.6E-03</w:t>
            </w:r>
          </w:p>
        </w:tc>
      </w:tr>
      <w:tr w:rsidR="004A2385" w:rsidTr="004A2385">
        <w:trPr>
          <w:trHeight w:val="320"/>
        </w:trPr>
        <w:tc>
          <w:tcPr>
            <w:tcW w:w="1160"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C4</w:t>
            </w:r>
          </w:p>
        </w:tc>
        <w:tc>
          <w:tcPr>
            <w:tcW w:w="96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p>
        </w:tc>
        <w:tc>
          <w:tcPr>
            <w:tcW w:w="989"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877" w:type="dxa"/>
            <w:tcBorders>
              <w:top w:val="nil"/>
              <w:left w:val="nil"/>
              <w:bottom w:val="nil"/>
              <w:right w:val="nil"/>
            </w:tcBorders>
            <w:shd w:val="clear" w:color="auto" w:fill="auto"/>
            <w:noWrap/>
            <w:vAlign w:val="bottom"/>
            <w:hideMark/>
          </w:tcPr>
          <w:p w:rsidR="004A2385" w:rsidRDefault="004A2385">
            <w:pPr>
              <w:jc w:val="center"/>
              <w:rPr>
                <w:sz w:val="20"/>
                <w:szCs w:val="20"/>
              </w:rPr>
            </w:pPr>
          </w:p>
        </w:tc>
      </w:tr>
      <w:tr w:rsidR="004A2385" w:rsidTr="004A2385">
        <w:trPr>
          <w:trHeight w:val="320"/>
        </w:trPr>
        <w:tc>
          <w:tcPr>
            <w:tcW w:w="1160"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C5</w:t>
            </w:r>
          </w:p>
        </w:tc>
        <w:tc>
          <w:tcPr>
            <w:tcW w:w="96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p>
        </w:tc>
        <w:tc>
          <w:tcPr>
            <w:tcW w:w="989"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877" w:type="dxa"/>
            <w:tcBorders>
              <w:top w:val="nil"/>
              <w:left w:val="nil"/>
              <w:bottom w:val="nil"/>
              <w:right w:val="nil"/>
            </w:tcBorders>
            <w:shd w:val="clear" w:color="auto" w:fill="auto"/>
            <w:noWrap/>
            <w:vAlign w:val="bottom"/>
            <w:hideMark/>
          </w:tcPr>
          <w:p w:rsidR="004A2385" w:rsidRDefault="004A2385">
            <w:pPr>
              <w:jc w:val="center"/>
              <w:rPr>
                <w:sz w:val="20"/>
                <w:szCs w:val="20"/>
              </w:rPr>
            </w:pPr>
          </w:p>
        </w:tc>
      </w:tr>
      <w:tr w:rsidR="004A2385" w:rsidTr="004A2385">
        <w:trPr>
          <w:trHeight w:val="320"/>
        </w:trPr>
        <w:tc>
          <w:tcPr>
            <w:tcW w:w="1160"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C6</w:t>
            </w:r>
          </w:p>
        </w:tc>
        <w:tc>
          <w:tcPr>
            <w:tcW w:w="96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p>
        </w:tc>
        <w:tc>
          <w:tcPr>
            <w:tcW w:w="989"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877" w:type="dxa"/>
            <w:tcBorders>
              <w:top w:val="nil"/>
              <w:left w:val="nil"/>
              <w:bottom w:val="nil"/>
              <w:right w:val="nil"/>
            </w:tcBorders>
            <w:shd w:val="clear" w:color="auto" w:fill="auto"/>
            <w:noWrap/>
            <w:vAlign w:val="bottom"/>
            <w:hideMark/>
          </w:tcPr>
          <w:p w:rsidR="004A2385" w:rsidRDefault="004A2385">
            <w:pPr>
              <w:jc w:val="center"/>
              <w:rPr>
                <w:sz w:val="20"/>
                <w:szCs w:val="20"/>
              </w:rPr>
            </w:pPr>
          </w:p>
        </w:tc>
      </w:tr>
      <w:tr w:rsidR="004A2385" w:rsidTr="004A2385">
        <w:trPr>
          <w:trHeight w:val="320"/>
        </w:trPr>
        <w:tc>
          <w:tcPr>
            <w:tcW w:w="1160"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C8</w:t>
            </w:r>
          </w:p>
        </w:tc>
        <w:tc>
          <w:tcPr>
            <w:tcW w:w="96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6</w:t>
            </w:r>
          </w:p>
        </w:tc>
        <w:tc>
          <w:tcPr>
            <w:tcW w:w="989"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DEP</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1.05</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1.02</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1.08</w:t>
            </w:r>
          </w:p>
        </w:tc>
        <w:tc>
          <w:tcPr>
            <w:tcW w:w="187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2.7E-03</w:t>
            </w:r>
          </w:p>
        </w:tc>
      </w:tr>
      <w:tr w:rsidR="004A2385" w:rsidTr="004A2385">
        <w:trPr>
          <w:trHeight w:val="320"/>
        </w:trPr>
        <w:tc>
          <w:tcPr>
            <w:tcW w:w="1160"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C9</w:t>
            </w:r>
          </w:p>
        </w:tc>
        <w:tc>
          <w:tcPr>
            <w:tcW w:w="96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3</w:t>
            </w:r>
          </w:p>
        </w:tc>
        <w:tc>
          <w:tcPr>
            <w:tcW w:w="989"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DEP</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1.02</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1.00</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1.04</w:t>
            </w:r>
          </w:p>
        </w:tc>
        <w:tc>
          <w:tcPr>
            <w:tcW w:w="187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0.11</w:t>
            </w:r>
          </w:p>
        </w:tc>
      </w:tr>
      <w:tr w:rsidR="004A2385" w:rsidTr="004A2385">
        <w:trPr>
          <w:trHeight w:val="320"/>
        </w:trPr>
        <w:tc>
          <w:tcPr>
            <w:tcW w:w="1160"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C10</w:t>
            </w:r>
          </w:p>
        </w:tc>
        <w:tc>
          <w:tcPr>
            <w:tcW w:w="96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4</w:t>
            </w:r>
          </w:p>
        </w:tc>
        <w:tc>
          <w:tcPr>
            <w:tcW w:w="989"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DEP</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1.05</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1.00</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1.09</w:t>
            </w:r>
          </w:p>
        </w:tc>
        <w:tc>
          <w:tcPr>
            <w:tcW w:w="187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4.0E-02</w:t>
            </w:r>
          </w:p>
        </w:tc>
      </w:tr>
      <w:tr w:rsidR="004A2385" w:rsidTr="004A2385">
        <w:trPr>
          <w:trHeight w:val="320"/>
        </w:trPr>
        <w:tc>
          <w:tcPr>
            <w:tcW w:w="1160"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C10:1</w:t>
            </w:r>
          </w:p>
        </w:tc>
        <w:tc>
          <w:tcPr>
            <w:tcW w:w="96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4</w:t>
            </w:r>
          </w:p>
        </w:tc>
        <w:tc>
          <w:tcPr>
            <w:tcW w:w="989"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DEP</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1.06</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0.99</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1.12</w:t>
            </w:r>
          </w:p>
        </w:tc>
        <w:tc>
          <w:tcPr>
            <w:tcW w:w="187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0.09</w:t>
            </w:r>
          </w:p>
        </w:tc>
      </w:tr>
      <w:tr w:rsidR="004A2385" w:rsidTr="004A2385">
        <w:trPr>
          <w:trHeight w:val="320"/>
        </w:trPr>
        <w:tc>
          <w:tcPr>
            <w:tcW w:w="1160"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C12</w:t>
            </w:r>
          </w:p>
        </w:tc>
        <w:tc>
          <w:tcPr>
            <w:tcW w:w="96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p>
        </w:tc>
        <w:tc>
          <w:tcPr>
            <w:tcW w:w="989"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877" w:type="dxa"/>
            <w:tcBorders>
              <w:top w:val="nil"/>
              <w:left w:val="nil"/>
              <w:bottom w:val="nil"/>
              <w:right w:val="nil"/>
            </w:tcBorders>
            <w:shd w:val="clear" w:color="auto" w:fill="auto"/>
            <w:noWrap/>
            <w:vAlign w:val="bottom"/>
            <w:hideMark/>
          </w:tcPr>
          <w:p w:rsidR="004A2385" w:rsidRDefault="004A2385">
            <w:pPr>
              <w:jc w:val="center"/>
              <w:rPr>
                <w:sz w:val="20"/>
                <w:szCs w:val="20"/>
              </w:rPr>
            </w:pPr>
          </w:p>
        </w:tc>
      </w:tr>
      <w:tr w:rsidR="004A2385" w:rsidTr="004A2385">
        <w:trPr>
          <w:trHeight w:val="320"/>
        </w:trPr>
        <w:tc>
          <w:tcPr>
            <w:tcW w:w="1160"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C14:1</w:t>
            </w:r>
          </w:p>
        </w:tc>
        <w:tc>
          <w:tcPr>
            <w:tcW w:w="96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4</w:t>
            </w:r>
          </w:p>
        </w:tc>
        <w:tc>
          <w:tcPr>
            <w:tcW w:w="989"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DEP</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1.06</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0.94</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1.19</w:t>
            </w:r>
          </w:p>
        </w:tc>
        <w:tc>
          <w:tcPr>
            <w:tcW w:w="187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0.34</w:t>
            </w:r>
          </w:p>
        </w:tc>
      </w:tr>
      <w:tr w:rsidR="004A2385" w:rsidTr="004A2385">
        <w:trPr>
          <w:trHeight w:val="320"/>
        </w:trPr>
        <w:tc>
          <w:tcPr>
            <w:tcW w:w="1160"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C16</w:t>
            </w:r>
          </w:p>
        </w:tc>
        <w:tc>
          <w:tcPr>
            <w:tcW w:w="96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p>
        </w:tc>
        <w:tc>
          <w:tcPr>
            <w:tcW w:w="989"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108" w:type="dxa"/>
            <w:tcBorders>
              <w:top w:val="nil"/>
              <w:left w:val="nil"/>
              <w:bottom w:val="nil"/>
              <w:right w:val="nil"/>
            </w:tcBorders>
            <w:shd w:val="clear" w:color="auto" w:fill="auto"/>
            <w:noWrap/>
            <w:vAlign w:val="bottom"/>
            <w:hideMark/>
          </w:tcPr>
          <w:p w:rsidR="004A2385" w:rsidRDefault="004A2385">
            <w:pPr>
              <w:jc w:val="center"/>
              <w:rPr>
                <w:sz w:val="20"/>
                <w:szCs w:val="20"/>
              </w:rPr>
            </w:pPr>
          </w:p>
        </w:tc>
        <w:tc>
          <w:tcPr>
            <w:tcW w:w="1877" w:type="dxa"/>
            <w:tcBorders>
              <w:top w:val="nil"/>
              <w:left w:val="nil"/>
              <w:bottom w:val="nil"/>
              <w:right w:val="nil"/>
            </w:tcBorders>
            <w:shd w:val="clear" w:color="auto" w:fill="auto"/>
            <w:noWrap/>
            <w:vAlign w:val="bottom"/>
            <w:hideMark/>
          </w:tcPr>
          <w:p w:rsidR="004A2385" w:rsidRDefault="004A2385">
            <w:pPr>
              <w:jc w:val="center"/>
              <w:rPr>
                <w:sz w:val="20"/>
                <w:szCs w:val="20"/>
              </w:rPr>
            </w:pPr>
          </w:p>
        </w:tc>
      </w:tr>
      <w:tr w:rsidR="004A2385" w:rsidTr="004A2385">
        <w:trPr>
          <w:trHeight w:val="320"/>
        </w:trPr>
        <w:tc>
          <w:tcPr>
            <w:tcW w:w="1160"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C18:1</w:t>
            </w:r>
          </w:p>
        </w:tc>
        <w:tc>
          <w:tcPr>
            <w:tcW w:w="96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6</w:t>
            </w:r>
          </w:p>
        </w:tc>
        <w:tc>
          <w:tcPr>
            <w:tcW w:w="989"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DEP</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1.02</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0.98</w:t>
            </w:r>
          </w:p>
        </w:tc>
        <w:tc>
          <w:tcPr>
            <w:tcW w:w="1108"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1.07</w:t>
            </w:r>
          </w:p>
        </w:tc>
        <w:tc>
          <w:tcPr>
            <w:tcW w:w="1877" w:type="dxa"/>
            <w:tcBorders>
              <w:top w:val="nil"/>
              <w:left w:val="nil"/>
              <w:bottom w:val="nil"/>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0.33</w:t>
            </w:r>
          </w:p>
        </w:tc>
      </w:tr>
      <w:tr w:rsidR="004A2385" w:rsidTr="004A2385">
        <w:trPr>
          <w:trHeight w:val="340"/>
        </w:trPr>
        <w:tc>
          <w:tcPr>
            <w:tcW w:w="1160" w:type="dxa"/>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C18:2</w:t>
            </w:r>
          </w:p>
        </w:tc>
        <w:tc>
          <w:tcPr>
            <w:tcW w:w="967" w:type="dxa"/>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4</w:t>
            </w:r>
          </w:p>
        </w:tc>
        <w:tc>
          <w:tcPr>
            <w:tcW w:w="989" w:type="dxa"/>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DEP</w:t>
            </w:r>
          </w:p>
        </w:tc>
        <w:tc>
          <w:tcPr>
            <w:tcW w:w="1108" w:type="dxa"/>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1.02</w:t>
            </w:r>
          </w:p>
        </w:tc>
        <w:tc>
          <w:tcPr>
            <w:tcW w:w="1108" w:type="dxa"/>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0.96</w:t>
            </w:r>
          </w:p>
        </w:tc>
        <w:tc>
          <w:tcPr>
            <w:tcW w:w="1108" w:type="dxa"/>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1.09</w:t>
            </w:r>
          </w:p>
        </w:tc>
        <w:tc>
          <w:tcPr>
            <w:tcW w:w="1877" w:type="dxa"/>
            <w:tcBorders>
              <w:top w:val="nil"/>
              <w:left w:val="nil"/>
              <w:bottom w:val="single" w:sz="8" w:space="0" w:color="auto"/>
              <w:right w:val="nil"/>
            </w:tcBorders>
            <w:shd w:val="clear" w:color="auto" w:fill="auto"/>
            <w:noWrap/>
            <w:vAlign w:val="bottom"/>
            <w:hideMark/>
          </w:tcPr>
          <w:p w:rsidR="004A2385" w:rsidRDefault="004A2385">
            <w:pPr>
              <w:jc w:val="center"/>
              <w:rPr>
                <w:rFonts w:ascii="Calibri" w:hAnsi="Calibri"/>
                <w:color w:val="000000"/>
              </w:rPr>
            </w:pPr>
            <w:r>
              <w:rPr>
                <w:rFonts w:ascii="Calibri" w:hAnsi="Calibri"/>
                <w:color w:val="000000"/>
              </w:rPr>
              <w:t>0.48</w:t>
            </w:r>
          </w:p>
        </w:tc>
      </w:tr>
    </w:tbl>
    <w:p w:rsidR="004A2385" w:rsidRDefault="004A2385" w:rsidP="004A2385"/>
    <w:p w:rsidR="00D55E87" w:rsidRDefault="00D55E87" w:rsidP="00D55E87">
      <w:pPr>
        <w:spacing w:line="360" w:lineRule="auto"/>
        <w:rPr>
          <w:sz w:val="20"/>
          <w:szCs w:val="20"/>
          <w:shd w:val="clear" w:color="auto" w:fill="FFFFFF"/>
        </w:rPr>
      </w:pPr>
    </w:p>
    <w:p w:rsidR="00D55E87" w:rsidRDefault="00D55E87" w:rsidP="00D55E87">
      <w:pPr>
        <w:spacing w:line="360" w:lineRule="auto"/>
        <w:rPr>
          <w:sz w:val="20"/>
          <w:szCs w:val="20"/>
          <w:shd w:val="clear" w:color="auto" w:fill="FFFFFF"/>
        </w:rPr>
      </w:pPr>
      <w:r w:rsidRPr="00C36D2E">
        <w:rPr>
          <w:sz w:val="20"/>
          <w:szCs w:val="20"/>
          <w:shd w:val="clear" w:color="auto" w:fill="FFFFFF"/>
        </w:rPr>
        <w:t>Odds ratios (ORs) and 95% confidence intervals (</w:t>
      </w:r>
      <w:proofErr w:type="spellStart"/>
      <w:r w:rsidRPr="00C36D2E">
        <w:rPr>
          <w:sz w:val="20"/>
          <w:szCs w:val="20"/>
          <w:shd w:val="clear" w:color="auto" w:fill="FFFFFF"/>
        </w:rPr>
        <w:t>lCI</w:t>
      </w:r>
      <w:proofErr w:type="spellEnd"/>
      <w:r w:rsidRPr="00C36D2E">
        <w:rPr>
          <w:sz w:val="20"/>
          <w:szCs w:val="20"/>
          <w:shd w:val="clear" w:color="auto" w:fill="FFFFFF"/>
        </w:rPr>
        <w:t xml:space="preserve">, lower bound; </w:t>
      </w:r>
      <w:proofErr w:type="spellStart"/>
      <w:r w:rsidRPr="00C36D2E">
        <w:rPr>
          <w:sz w:val="20"/>
          <w:szCs w:val="20"/>
          <w:shd w:val="clear" w:color="auto" w:fill="FFFFFF"/>
        </w:rPr>
        <w:t>uCI</w:t>
      </w:r>
      <w:proofErr w:type="spellEnd"/>
      <w:r w:rsidRPr="00C36D2E">
        <w:rPr>
          <w:sz w:val="20"/>
          <w:szCs w:val="20"/>
          <w:shd w:val="clear" w:color="auto" w:fill="FFFFFF"/>
        </w:rPr>
        <w:t xml:space="preserve">, upper bound) per SD increase in genetically-predicted levels of </w:t>
      </w:r>
      <w:r w:rsidRPr="00C36D2E">
        <w:rPr>
          <w:i/>
          <w:sz w:val="20"/>
          <w:szCs w:val="20"/>
          <w:shd w:val="clear" w:color="auto" w:fill="FFFFFF"/>
          <w:vertAlign w:val="subscript"/>
        </w:rPr>
        <w:t>(log</w:t>
      </w:r>
      <w:proofErr w:type="gramStart"/>
      <w:r w:rsidRPr="00C36D2E">
        <w:rPr>
          <w:i/>
          <w:sz w:val="20"/>
          <w:szCs w:val="20"/>
          <w:shd w:val="clear" w:color="auto" w:fill="FFFFFF"/>
          <w:vertAlign w:val="subscript"/>
        </w:rPr>
        <w:t>)</w:t>
      </w:r>
      <w:r w:rsidRPr="00C36D2E">
        <w:rPr>
          <w:sz w:val="20"/>
          <w:szCs w:val="20"/>
          <w:shd w:val="clear" w:color="auto" w:fill="FFFFFF"/>
        </w:rPr>
        <w:t>ACs</w:t>
      </w:r>
      <w:proofErr w:type="gramEnd"/>
    </w:p>
    <w:p w:rsidR="00DD48BF" w:rsidRDefault="00D55E87" w:rsidP="00D55E87">
      <w:pPr>
        <w:spacing w:line="360" w:lineRule="auto"/>
        <w:rPr>
          <w:color w:val="000000"/>
          <w:sz w:val="20"/>
          <w:szCs w:val="20"/>
          <w:shd w:val="clear" w:color="auto" w:fill="FFFFFF"/>
        </w:rPr>
        <w:sectPr w:rsidR="00DD48BF" w:rsidSect="00744D3E">
          <w:pgSz w:w="11900" w:h="16840"/>
          <w:pgMar w:top="1440" w:right="1440" w:bottom="1440" w:left="1440" w:header="708" w:footer="708" w:gutter="0"/>
          <w:cols w:space="708"/>
          <w:docGrid w:linePitch="360"/>
        </w:sectPr>
      </w:pPr>
      <w:r w:rsidRPr="00B94DEB">
        <w:rPr>
          <w:sz w:val="20"/>
          <w:szCs w:val="20"/>
        </w:rPr>
        <w:t xml:space="preserve">Blank rows: AC not available in the GWAS </w:t>
      </w:r>
      <w:r w:rsidR="005A4810">
        <w:rPr>
          <w:sz w:val="20"/>
          <w:szCs w:val="20"/>
        </w:rPr>
        <w:t xml:space="preserve">meta-analyses </w:t>
      </w:r>
      <w:r w:rsidRPr="00B94DEB">
        <w:rPr>
          <w:sz w:val="20"/>
          <w:szCs w:val="20"/>
        </w:rPr>
        <w:t xml:space="preserve">by </w:t>
      </w:r>
      <w:proofErr w:type="spellStart"/>
      <w:r w:rsidRPr="00B94DEB">
        <w:rPr>
          <w:sz w:val="20"/>
          <w:szCs w:val="20"/>
        </w:rPr>
        <w:t>Draisma</w:t>
      </w:r>
      <w:proofErr w:type="spellEnd"/>
      <w:r w:rsidRPr="00B94DEB">
        <w:rPr>
          <w:sz w:val="20"/>
          <w:szCs w:val="20"/>
        </w:rPr>
        <w:t xml:space="preserve"> et al</w:t>
      </w:r>
      <w:proofErr w:type="gramStart"/>
      <w:r w:rsidRPr="00B94DEB">
        <w:rPr>
          <w:sz w:val="20"/>
          <w:szCs w:val="20"/>
        </w:rPr>
        <w:t>.</w:t>
      </w:r>
      <w:r w:rsidR="00967671" w:rsidRPr="00967671">
        <w:rPr>
          <w:noProof/>
          <w:color w:val="000000"/>
          <w:sz w:val="20"/>
          <w:szCs w:val="20"/>
          <w:shd w:val="clear" w:color="auto" w:fill="FFFFFF"/>
        </w:rPr>
        <w:t>(</w:t>
      </w:r>
      <w:proofErr w:type="spellStart"/>
      <w:proofErr w:type="gramEnd"/>
      <w:r w:rsidR="00967671" w:rsidRPr="00967671">
        <w:rPr>
          <w:noProof/>
          <w:color w:val="000000"/>
          <w:sz w:val="20"/>
          <w:szCs w:val="20"/>
          <w:shd w:val="clear" w:color="auto" w:fill="FFFFFF"/>
        </w:rPr>
        <w:t>Draisma</w:t>
      </w:r>
      <w:proofErr w:type="spellEnd"/>
      <w:r w:rsidR="00967671" w:rsidRPr="00967671">
        <w:rPr>
          <w:noProof/>
          <w:color w:val="000000"/>
          <w:sz w:val="20"/>
          <w:szCs w:val="20"/>
          <w:shd w:val="clear" w:color="auto" w:fill="FFFFFF"/>
        </w:rPr>
        <w:t xml:space="preserve"> et al., 2015)</w:t>
      </w:r>
    </w:p>
    <w:p w:rsidR="00EE1705" w:rsidRDefault="009730DC" w:rsidP="00A76E31">
      <w:pPr>
        <w:pStyle w:val="Heading2"/>
        <w:rPr>
          <w:rFonts w:ascii="Times New Roman" w:hAnsi="Times New Roman" w:cs="Times New Roman"/>
          <w:color w:val="000000" w:themeColor="text1"/>
          <w:sz w:val="24"/>
          <w:szCs w:val="24"/>
        </w:rPr>
      </w:pPr>
      <w:bookmarkStart w:id="15" w:name="_Toc97882882"/>
      <w:proofErr w:type="spellStart"/>
      <w:proofErr w:type="gramStart"/>
      <w:r w:rsidRPr="009730DC">
        <w:rPr>
          <w:rFonts w:ascii="Times New Roman" w:hAnsi="Times New Roman" w:cs="Times New Roman"/>
          <w:b/>
          <w:i/>
          <w:color w:val="000000" w:themeColor="text1"/>
          <w:sz w:val="24"/>
          <w:szCs w:val="24"/>
          <w:shd w:val="clear" w:color="auto" w:fill="FFFFFF"/>
        </w:rPr>
        <w:lastRenderedPageBreak/>
        <w:t>eTable</w:t>
      </w:r>
      <w:proofErr w:type="spellEnd"/>
      <w:proofErr w:type="gramEnd"/>
      <w:r w:rsidRPr="009730DC">
        <w:rPr>
          <w:rFonts w:ascii="Times New Roman" w:hAnsi="Times New Roman" w:cs="Times New Roman"/>
          <w:b/>
          <w:i/>
          <w:color w:val="000000" w:themeColor="text1"/>
          <w:sz w:val="24"/>
          <w:szCs w:val="24"/>
          <w:shd w:val="clear" w:color="auto" w:fill="FFFFFF"/>
        </w:rPr>
        <w:t xml:space="preserve"> 11.</w:t>
      </w:r>
      <w:r w:rsidR="00E219CA">
        <w:rPr>
          <w:rFonts w:ascii="Times New Roman" w:hAnsi="Times New Roman" w:cs="Times New Roman"/>
          <w:b/>
          <w:i/>
          <w:color w:val="000000" w:themeColor="text1"/>
          <w:sz w:val="24"/>
          <w:szCs w:val="24"/>
          <w:shd w:val="clear" w:color="auto" w:fill="FFFFFF"/>
        </w:rPr>
        <w:t xml:space="preserve"> </w:t>
      </w:r>
      <w:r w:rsidR="004226CE">
        <w:rPr>
          <w:rFonts w:ascii="Times New Roman" w:hAnsi="Times New Roman" w:cs="Times New Roman"/>
          <w:color w:val="000000" w:themeColor="text1"/>
          <w:sz w:val="24"/>
          <w:szCs w:val="24"/>
        </w:rPr>
        <w:t>Follow-up</w:t>
      </w:r>
      <w:r w:rsidR="00A76E31">
        <w:rPr>
          <w:rFonts w:ascii="Times New Roman" w:hAnsi="Times New Roman" w:cs="Times New Roman"/>
          <w:color w:val="000000" w:themeColor="text1"/>
          <w:sz w:val="24"/>
          <w:szCs w:val="24"/>
        </w:rPr>
        <w:t xml:space="preserve"> analyses: </w:t>
      </w:r>
      <w:r w:rsidR="005A3CA3">
        <w:rPr>
          <w:rFonts w:ascii="Times New Roman" w:hAnsi="Times New Roman" w:cs="Times New Roman"/>
          <w:color w:val="000000" w:themeColor="text1"/>
          <w:sz w:val="24"/>
          <w:szCs w:val="24"/>
        </w:rPr>
        <w:t>multivariable</w:t>
      </w:r>
      <w:r w:rsidR="00A76E31">
        <w:rPr>
          <w:rFonts w:ascii="Times New Roman" w:hAnsi="Times New Roman" w:cs="Times New Roman"/>
          <w:color w:val="000000" w:themeColor="text1"/>
          <w:sz w:val="24"/>
          <w:szCs w:val="24"/>
        </w:rPr>
        <w:t xml:space="preserve"> Mendelian randomization analyses</w:t>
      </w:r>
      <w:bookmarkEnd w:id="15"/>
    </w:p>
    <w:p w:rsidR="00EE1705" w:rsidRDefault="00EE1705" w:rsidP="00A76E31">
      <w:pPr>
        <w:pStyle w:val="Heading2"/>
        <w:rPr>
          <w:rFonts w:ascii="Times New Roman" w:hAnsi="Times New Roman" w:cs="Times New Roman"/>
          <w:color w:val="000000" w:themeColor="text1"/>
          <w:sz w:val="24"/>
          <w:szCs w:val="24"/>
        </w:rPr>
      </w:pPr>
    </w:p>
    <w:p w:rsidR="00EE1705" w:rsidRDefault="00A76E31" w:rsidP="00A76E31">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bl>
      <w:tblPr>
        <w:tblW w:w="6820" w:type="dxa"/>
        <w:tblLook w:val="04A0" w:firstRow="1" w:lastRow="0" w:firstColumn="1" w:lastColumn="0" w:noHBand="0" w:noVBand="1"/>
      </w:tblPr>
      <w:tblGrid>
        <w:gridCol w:w="1132"/>
        <w:gridCol w:w="940"/>
        <w:gridCol w:w="1136"/>
        <w:gridCol w:w="271"/>
        <w:gridCol w:w="776"/>
        <w:gridCol w:w="775"/>
        <w:gridCol w:w="775"/>
        <w:gridCol w:w="1314"/>
      </w:tblGrid>
      <w:tr w:rsidR="00EE1705" w:rsidTr="00EE1705">
        <w:trPr>
          <w:trHeight w:val="340"/>
        </w:trPr>
        <w:tc>
          <w:tcPr>
            <w:tcW w:w="1060" w:type="dxa"/>
            <w:tcBorders>
              <w:top w:val="nil"/>
              <w:left w:val="nil"/>
              <w:bottom w:val="nil"/>
              <w:right w:val="nil"/>
            </w:tcBorders>
            <w:shd w:val="clear" w:color="auto" w:fill="auto"/>
            <w:noWrap/>
            <w:vAlign w:val="bottom"/>
            <w:hideMark/>
          </w:tcPr>
          <w:p w:rsidR="00EE1705" w:rsidRDefault="00EE1705"/>
        </w:tc>
        <w:tc>
          <w:tcPr>
            <w:tcW w:w="940" w:type="dxa"/>
            <w:tcBorders>
              <w:top w:val="nil"/>
              <w:left w:val="nil"/>
              <w:bottom w:val="nil"/>
              <w:right w:val="nil"/>
            </w:tcBorders>
            <w:shd w:val="clear" w:color="auto" w:fill="auto"/>
            <w:noWrap/>
            <w:vAlign w:val="bottom"/>
            <w:hideMark/>
          </w:tcPr>
          <w:p w:rsidR="00EE1705" w:rsidRDefault="00EE1705">
            <w:pPr>
              <w:rPr>
                <w:sz w:val="20"/>
                <w:szCs w:val="20"/>
              </w:rPr>
            </w:pPr>
          </w:p>
        </w:tc>
        <w:tc>
          <w:tcPr>
            <w:tcW w:w="1060" w:type="dxa"/>
            <w:tcBorders>
              <w:top w:val="nil"/>
              <w:left w:val="nil"/>
              <w:bottom w:val="nil"/>
              <w:right w:val="nil"/>
            </w:tcBorders>
            <w:shd w:val="clear" w:color="auto" w:fill="auto"/>
            <w:noWrap/>
            <w:vAlign w:val="bottom"/>
            <w:hideMark/>
          </w:tcPr>
          <w:p w:rsidR="00EE1705" w:rsidRDefault="00EE1705">
            <w:pPr>
              <w:rPr>
                <w:sz w:val="20"/>
                <w:szCs w:val="20"/>
              </w:rPr>
            </w:pPr>
          </w:p>
        </w:tc>
        <w:tc>
          <w:tcPr>
            <w:tcW w:w="120" w:type="dxa"/>
            <w:tcBorders>
              <w:top w:val="nil"/>
              <w:left w:val="nil"/>
              <w:bottom w:val="nil"/>
              <w:right w:val="nil"/>
            </w:tcBorders>
            <w:shd w:val="clear" w:color="auto" w:fill="auto"/>
            <w:noWrap/>
            <w:vAlign w:val="bottom"/>
            <w:hideMark/>
          </w:tcPr>
          <w:p w:rsidR="00EE1705" w:rsidRDefault="00EE1705">
            <w:pPr>
              <w:rPr>
                <w:sz w:val="20"/>
                <w:szCs w:val="20"/>
              </w:rPr>
            </w:pPr>
          </w:p>
        </w:tc>
        <w:tc>
          <w:tcPr>
            <w:tcW w:w="3640" w:type="dxa"/>
            <w:gridSpan w:val="4"/>
            <w:tcBorders>
              <w:top w:val="nil"/>
              <w:left w:val="nil"/>
              <w:bottom w:val="single" w:sz="8" w:space="0" w:color="auto"/>
              <w:right w:val="nil"/>
            </w:tcBorders>
            <w:shd w:val="clear" w:color="auto" w:fill="auto"/>
            <w:noWrap/>
            <w:vAlign w:val="bottom"/>
            <w:hideMark/>
          </w:tcPr>
          <w:p w:rsidR="00EE1705" w:rsidRDefault="00EE1705">
            <w:pPr>
              <w:jc w:val="center"/>
              <w:rPr>
                <w:rFonts w:ascii="Calibri" w:hAnsi="Calibri"/>
                <w:b/>
                <w:bCs/>
                <w:color w:val="000000"/>
              </w:rPr>
            </w:pPr>
            <w:r>
              <w:rPr>
                <w:rFonts w:ascii="Calibri" w:hAnsi="Calibri"/>
                <w:b/>
                <w:bCs/>
                <w:color w:val="000000"/>
              </w:rPr>
              <w:t>Multivariable MR</w:t>
            </w:r>
          </w:p>
        </w:tc>
      </w:tr>
      <w:tr w:rsidR="00EE1705" w:rsidTr="00EE1705">
        <w:trPr>
          <w:trHeight w:val="340"/>
        </w:trPr>
        <w:tc>
          <w:tcPr>
            <w:tcW w:w="1060" w:type="dxa"/>
            <w:tcBorders>
              <w:top w:val="nil"/>
              <w:left w:val="nil"/>
              <w:bottom w:val="single" w:sz="8" w:space="0" w:color="auto"/>
              <w:right w:val="nil"/>
            </w:tcBorders>
            <w:shd w:val="clear" w:color="auto" w:fill="auto"/>
            <w:noWrap/>
            <w:vAlign w:val="bottom"/>
            <w:hideMark/>
          </w:tcPr>
          <w:p w:rsidR="00EE1705" w:rsidRDefault="00EE1705">
            <w:pPr>
              <w:jc w:val="center"/>
              <w:rPr>
                <w:rFonts w:ascii="Calibri" w:hAnsi="Calibri"/>
                <w:b/>
                <w:bCs/>
                <w:color w:val="000000"/>
              </w:rPr>
            </w:pPr>
            <w:r>
              <w:rPr>
                <w:rFonts w:ascii="Calibri" w:hAnsi="Calibri"/>
                <w:b/>
                <w:bCs/>
                <w:color w:val="000000"/>
              </w:rPr>
              <w:t>Exposure</w:t>
            </w:r>
          </w:p>
        </w:tc>
        <w:tc>
          <w:tcPr>
            <w:tcW w:w="940" w:type="dxa"/>
            <w:tcBorders>
              <w:top w:val="nil"/>
              <w:left w:val="nil"/>
              <w:bottom w:val="single" w:sz="8" w:space="0" w:color="auto"/>
              <w:right w:val="nil"/>
            </w:tcBorders>
            <w:shd w:val="clear" w:color="auto" w:fill="auto"/>
            <w:noWrap/>
            <w:vAlign w:val="bottom"/>
            <w:hideMark/>
          </w:tcPr>
          <w:p w:rsidR="00EE1705" w:rsidRDefault="00EE1705">
            <w:pPr>
              <w:jc w:val="center"/>
              <w:rPr>
                <w:rFonts w:ascii="Calibri" w:hAnsi="Calibri"/>
                <w:b/>
                <w:bCs/>
                <w:color w:val="000000"/>
              </w:rPr>
            </w:pPr>
            <w:r>
              <w:rPr>
                <w:rFonts w:ascii="Calibri" w:hAnsi="Calibri"/>
                <w:b/>
                <w:bCs/>
                <w:color w:val="000000"/>
              </w:rPr>
              <w:t>N SNPs</w:t>
            </w:r>
          </w:p>
        </w:tc>
        <w:tc>
          <w:tcPr>
            <w:tcW w:w="1060" w:type="dxa"/>
            <w:tcBorders>
              <w:top w:val="nil"/>
              <w:left w:val="nil"/>
              <w:bottom w:val="single" w:sz="8" w:space="0" w:color="auto"/>
              <w:right w:val="nil"/>
            </w:tcBorders>
            <w:shd w:val="clear" w:color="auto" w:fill="auto"/>
            <w:noWrap/>
            <w:vAlign w:val="bottom"/>
            <w:hideMark/>
          </w:tcPr>
          <w:p w:rsidR="00EE1705" w:rsidRDefault="00EE1705">
            <w:pPr>
              <w:jc w:val="center"/>
              <w:rPr>
                <w:rFonts w:ascii="Calibri" w:hAnsi="Calibri"/>
                <w:b/>
                <w:bCs/>
                <w:color w:val="000000"/>
              </w:rPr>
            </w:pPr>
            <w:r>
              <w:rPr>
                <w:rFonts w:ascii="Calibri" w:hAnsi="Calibri"/>
                <w:b/>
                <w:bCs/>
                <w:color w:val="000000"/>
              </w:rPr>
              <w:t>Outcome</w:t>
            </w:r>
          </w:p>
        </w:tc>
        <w:tc>
          <w:tcPr>
            <w:tcW w:w="120" w:type="dxa"/>
            <w:tcBorders>
              <w:top w:val="nil"/>
              <w:left w:val="nil"/>
              <w:bottom w:val="single" w:sz="8" w:space="0" w:color="auto"/>
              <w:right w:val="nil"/>
            </w:tcBorders>
            <w:shd w:val="clear" w:color="auto" w:fill="auto"/>
            <w:noWrap/>
            <w:vAlign w:val="bottom"/>
            <w:hideMark/>
          </w:tcPr>
          <w:p w:rsidR="00EE1705" w:rsidRDefault="00EE1705">
            <w:pPr>
              <w:rPr>
                <w:rFonts w:ascii="Calibri" w:hAnsi="Calibri"/>
                <w:color w:val="000000"/>
              </w:rPr>
            </w:pPr>
            <w:r>
              <w:rPr>
                <w:rFonts w:ascii="Calibri" w:hAnsi="Calibri"/>
                <w:color w:val="000000"/>
              </w:rPr>
              <w:t> </w:t>
            </w:r>
          </w:p>
        </w:tc>
        <w:tc>
          <w:tcPr>
            <w:tcW w:w="776" w:type="dxa"/>
            <w:tcBorders>
              <w:top w:val="nil"/>
              <w:left w:val="nil"/>
              <w:bottom w:val="single" w:sz="8" w:space="0" w:color="auto"/>
              <w:right w:val="nil"/>
            </w:tcBorders>
            <w:shd w:val="clear" w:color="auto" w:fill="auto"/>
            <w:noWrap/>
            <w:vAlign w:val="bottom"/>
            <w:hideMark/>
          </w:tcPr>
          <w:p w:rsidR="00EE1705" w:rsidRDefault="00EE1705">
            <w:pPr>
              <w:jc w:val="center"/>
              <w:rPr>
                <w:rFonts w:ascii="Calibri" w:hAnsi="Calibri"/>
                <w:b/>
                <w:bCs/>
                <w:color w:val="000000"/>
              </w:rPr>
            </w:pPr>
            <w:r>
              <w:rPr>
                <w:rFonts w:ascii="Calibri" w:hAnsi="Calibri"/>
                <w:b/>
                <w:bCs/>
                <w:color w:val="000000"/>
              </w:rPr>
              <w:t>OR</w:t>
            </w:r>
          </w:p>
        </w:tc>
        <w:tc>
          <w:tcPr>
            <w:tcW w:w="775" w:type="dxa"/>
            <w:tcBorders>
              <w:top w:val="nil"/>
              <w:left w:val="nil"/>
              <w:bottom w:val="single" w:sz="8" w:space="0" w:color="auto"/>
              <w:right w:val="nil"/>
            </w:tcBorders>
            <w:shd w:val="clear" w:color="auto" w:fill="auto"/>
            <w:noWrap/>
            <w:vAlign w:val="bottom"/>
            <w:hideMark/>
          </w:tcPr>
          <w:p w:rsidR="00EE1705" w:rsidRDefault="00EE1705">
            <w:pPr>
              <w:jc w:val="center"/>
              <w:rPr>
                <w:rFonts w:ascii="Calibri" w:hAnsi="Calibri"/>
                <w:b/>
                <w:bCs/>
                <w:color w:val="000000"/>
              </w:rPr>
            </w:pPr>
            <w:proofErr w:type="spellStart"/>
            <w:r>
              <w:rPr>
                <w:rFonts w:ascii="Calibri" w:hAnsi="Calibri"/>
                <w:b/>
                <w:bCs/>
                <w:color w:val="000000"/>
              </w:rPr>
              <w:t>lCI</w:t>
            </w:r>
            <w:proofErr w:type="spellEnd"/>
          </w:p>
        </w:tc>
        <w:tc>
          <w:tcPr>
            <w:tcW w:w="775" w:type="dxa"/>
            <w:tcBorders>
              <w:top w:val="nil"/>
              <w:left w:val="nil"/>
              <w:bottom w:val="single" w:sz="8" w:space="0" w:color="auto"/>
              <w:right w:val="nil"/>
            </w:tcBorders>
            <w:shd w:val="clear" w:color="auto" w:fill="auto"/>
            <w:noWrap/>
            <w:vAlign w:val="bottom"/>
            <w:hideMark/>
          </w:tcPr>
          <w:p w:rsidR="00EE1705" w:rsidRDefault="00EE1705">
            <w:pPr>
              <w:jc w:val="center"/>
              <w:rPr>
                <w:rFonts w:ascii="Calibri" w:hAnsi="Calibri"/>
                <w:b/>
                <w:bCs/>
                <w:color w:val="000000"/>
              </w:rPr>
            </w:pPr>
            <w:proofErr w:type="spellStart"/>
            <w:r>
              <w:rPr>
                <w:rFonts w:ascii="Calibri" w:hAnsi="Calibri"/>
                <w:b/>
                <w:bCs/>
                <w:color w:val="000000"/>
              </w:rPr>
              <w:t>uCI</w:t>
            </w:r>
            <w:proofErr w:type="spellEnd"/>
          </w:p>
        </w:tc>
        <w:tc>
          <w:tcPr>
            <w:tcW w:w="1314" w:type="dxa"/>
            <w:tcBorders>
              <w:top w:val="nil"/>
              <w:left w:val="nil"/>
              <w:bottom w:val="single" w:sz="8" w:space="0" w:color="auto"/>
              <w:right w:val="nil"/>
            </w:tcBorders>
            <w:shd w:val="clear" w:color="auto" w:fill="auto"/>
            <w:noWrap/>
            <w:vAlign w:val="bottom"/>
            <w:hideMark/>
          </w:tcPr>
          <w:p w:rsidR="00EE1705" w:rsidRDefault="00EE1705">
            <w:pPr>
              <w:jc w:val="center"/>
              <w:rPr>
                <w:rFonts w:ascii="Calibri" w:hAnsi="Calibri"/>
                <w:b/>
                <w:bCs/>
                <w:i/>
                <w:iCs/>
                <w:color w:val="000000"/>
              </w:rPr>
            </w:pPr>
            <w:r>
              <w:rPr>
                <w:rFonts w:ascii="Calibri" w:hAnsi="Calibri"/>
                <w:b/>
                <w:bCs/>
                <w:i/>
                <w:iCs/>
                <w:color w:val="000000"/>
              </w:rPr>
              <w:t>p-value</w:t>
            </w:r>
          </w:p>
        </w:tc>
      </w:tr>
      <w:tr w:rsidR="00EE1705" w:rsidTr="00EE1705">
        <w:trPr>
          <w:trHeight w:val="100"/>
        </w:trPr>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b/>
                <w:bCs/>
                <w:i/>
                <w:iCs/>
                <w:color w:val="000000"/>
              </w:rPr>
            </w:pPr>
          </w:p>
        </w:tc>
        <w:tc>
          <w:tcPr>
            <w:tcW w:w="940" w:type="dxa"/>
            <w:tcBorders>
              <w:top w:val="nil"/>
              <w:left w:val="nil"/>
              <w:bottom w:val="nil"/>
              <w:right w:val="nil"/>
            </w:tcBorders>
            <w:shd w:val="clear" w:color="auto" w:fill="auto"/>
            <w:noWrap/>
            <w:vAlign w:val="bottom"/>
            <w:hideMark/>
          </w:tcPr>
          <w:p w:rsidR="00EE1705" w:rsidRDefault="00EE1705">
            <w:pPr>
              <w:jc w:val="center"/>
              <w:rPr>
                <w:sz w:val="20"/>
                <w:szCs w:val="20"/>
              </w:rPr>
            </w:pPr>
          </w:p>
        </w:tc>
        <w:tc>
          <w:tcPr>
            <w:tcW w:w="1060" w:type="dxa"/>
            <w:tcBorders>
              <w:top w:val="nil"/>
              <w:left w:val="nil"/>
              <w:bottom w:val="nil"/>
              <w:right w:val="nil"/>
            </w:tcBorders>
            <w:shd w:val="clear" w:color="auto" w:fill="auto"/>
            <w:noWrap/>
            <w:vAlign w:val="bottom"/>
            <w:hideMark/>
          </w:tcPr>
          <w:p w:rsidR="00EE1705" w:rsidRDefault="00EE1705">
            <w:pPr>
              <w:jc w:val="center"/>
              <w:rPr>
                <w:sz w:val="20"/>
                <w:szCs w:val="20"/>
              </w:rPr>
            </w:pPr>
          </w:p>
        </w:tc>
        <w:tc>
          <w:tcPr>
            <w:tcW w:w="120" w:type="dxa"/>
            <w:tcBorders>
              <w:top w:val="nil"/>
              <w:left w:val="nil"/>
              <w:bottom w:val="nil"/>
              <w:right w:val="nil"/>
            </w:tcBorders>
            <w:shd w:val="clear" w:color="auto" w:fill="auto"/>
            <w:noWrap/>
            <w:vAlign w:val="bottom"/>
            <w:hideMark/>
          </w:tcPr>
          <w:p w:rsidR="00EE1705" w:rsidRDefault="00EE1705">
            <w:pPr>
              <w:jc w:val="center"/>
              <w:rPr>
                <w:sz w:val="20"/>
                <w:szCs w:val="20"/>
              </w:rPr>
            </w:pPr>
          </w:p>
        </w:tc>
        <w:tc>
          <w:tcPr>
            <w:tcW w:w="776" w:type="dxa"/>
            <w:tcBorders>
              <w:top w:val="nil"/>
              <w:left w:val="nil"/>
              <w:bottom w:val="nil"/>
              <w:right w:val="nil"/>
            </w:tcBorders>
            <w:shd w:val="clear" w:color="auto" w:fill="auto"/>
            <w:noWrap/>
            <w:vAlign w:val="bottom"/>
            <w:hideMark/>
          </w:tcPr>
          <w:p w:rsidR="00EE1705" w:rsidRDefault="00EE1705">
            <w:pPr>
              <w:rPr>
                <w:sz w:val="20"/>
                <w:szCs w:val="20"/>
              </w:rPr>
            </w:pPr>
          </w:p>
        </w:tc>
        <w:tc>
          <w:tcPr>
            <w:tcW w:w="775" w:type="dxa"/>
            <w:tcBorders>
              <w:top w:val="nil"/>
              <w:left w:val="nil"/>
              <w:bottom w:val="nil"/>
              <w:right w:val="nil"/>
            </w:tcBorders>
            <w:shd w:val="clear" w:color="auto" w:fill="auto"/>
            <w:noWrap/>
            <w:vAlign w:val="bottom"/>
            <w:hideMark/>
          </w:tcPr>
          <w:p w:rsidR="00EE1705" w:rsidRDefault="00EE1705">
            <w:pPr>
              <w:jc w:val="center"/>
              <w:rPr>
                <w:sz w:val="20"/>
                <w:szCs w:val="20"/>
              </w:rPr>
            </w:pPr>
          </w:p>
        </w:tc>
        <w:tc>
          <w:tcPr>
            <w:tcW w:w="775" w:type="dxa"/>
            <w:tcBorders>
              <w:top w:val="nil"/>
              <w:left w:val="nil"/>
              <w:bottom w:val="nil"/>
              <w:right w:val="nil"/>
            </w:tcBorders>
            <w:shd w:val="clear" w:color="auto" w:fill="auto"/>
            <w:noWrap/>
            <w:vAlign w:val="bottom"/>
            <w:hideMark/>
          </w:tcPr>
          <w:p w:rsidR="00EE1705" w:rsidRDefault="00EE1705">
            <w:pPr>
              <w:jc w:val="center"/>
              <w:rPr>
                <w:sz w:val="20"/>
                <w:szCs w:val="20"/>
              </w:rPr>
            </w:pPr>
          </w:p>
        </w:tc>
        <w:tc>
          <w:tcPr>
            <w:tcW w:w="1314" w:type="dxa"/>
            <w:tcBorders>
              <w:top w:val="nil"/>
              <w:left w:val="nil"/>
              <w:bottom w:val="nil"/>
              <w:right w:val="nil"/>
            </w:tcBorders>
            <w:shd w:val="clear" w:color="auto" w:fill="auto"/>
            <w:noWrap/>
            <w:vAlign w:val="bottom"/>
            <w:hideMark/>
          </w:tcPr>
          <w:p w:rsidR="00EE1705" w:rsidRDefault="00EE1705">
            <w:pPr>
              <w:jc w:val="center"/>
              <w:rPr>
                <w:sz w:val="20"/>
                <w:szCs w:val="20"/>
              </w:rPr>
            </w:pPr>
          </w:p>
        </w:tc>
      </w:tr>
      <w:tr w:rsidR="00EE1705" w:rsidTr="00EE1705">
        <w:trPr>
          <w:trHeight w:val="320"/>
        </w:trPr>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C0</w:t>
            </w:r>
          </w:p>
        </w:tc>
        <w:tc>
          <w:tcPr>
            <w:tcW w:w="94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9</w:t>
            </w:r>
          </w:p>
        </w:tc>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0.98</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0.92</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1.04</w:t>
            </w:r>
          </w:p>
        </w:tc>
        <w:tc>
          <w:tcPr>
            <w:tcW w:w="1314"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0.45</w:t>
            </w:r>
          </w:p>
        </w:tc>
      </w:tr>
      <w:tr w:rsidR="00EE1705" w:rsidTr="00EE1705">
        <w:trPr>
          <w:trHeight w:val="320"/>
        </w:trPr>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C2</w:t>
            </w:r>
          </w:p>
        </w:tc>
        <w:tc>
          <w:tcPr>
            <w:tcW w:w="94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4</w:t>
            </w:r>
          </w:p>
        </w:tc>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1.04</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0.90</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1.20</w:t>
            </w:r>
          </w:p>
        </w:tc>
        <w:tc>
          <w:tcPr>
            <w:tcW w:w="1314"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0.61</w:t>
            </w:r>
          </w:p>
        </w:tc>
      </w:tr>
      <w:tr w:rsidR="00EE1705" w:rsidTr="00EE1705">
        <w:trPr>
          <w:trHeight w:val="320"/>
        </w:trPr>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C3</w:t>
            </w:r>
          </w:p>
        </w:tc>
        <w:tc>
          <w:tcPr>
            <w:tcW w:w="94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5</w:t>
            </w:r>
          </w:p>
        </w:tc>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0.95</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0.85</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1.07</w:t>
            </w:r>
          </w:p>
        </w:tc>
        <w:tc>
          <w:tcPr>
            <w:tcW w:w="1314"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0.44</w:t>
            </w:r>
          </w:p>
        </w:tc>
      </w:tr>
      <w:tr w:rsidR="00EE1705" w:rsidTr="00EE1705">
        <w:trPr>
          <w:trHeight w:val="340"/>
        </w:trPr>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C8</w:t>
            </w:r>
          </w:p>
        </w:tc>
        <w:tc>
          <w:tcPr>
            <w:tcW w:w="94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6</w:t>
            </w:r>
          </w:p>
        </w:tc>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1.05</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1.02</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1.07</w:t>
            </w:r>
          </w:p>
        </w:tc>
        <w:tc>
          <w:tcPr>
            <w:tcW w:w="1314"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1.4E-04</w:t>
            </w:r>
          </w:p>
        </w:tc>
      </w:tr>
      <w:tr w:rsidR="00EE1705" w:rsidTr="00EE1705">
        <w:trPr>
          <w:trHeight w:val="100"/>
        </w:trPr>
        <w:tc>
          <w:tcPr>
            <w:tcW w:w="1060" w:type="dxa"/>
            <w:tcBorders>
              <w:top w:val="dashed" w:sz="8" w:space="0" w:color="auto"/>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 </w:t>
            </w:r>
          </w:p>
        </w:tc>
        <w:tc>
          <w:tcPr>
            <w:tcW w:w="940" w:type="dxa"/>
            <w:tcBorders>
              <w:top w:val="dashed" w:sz="8" w:space="0" w:color="auto"/>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 </w:t>
            </w:r>
          </w:p>
        </w:tc>
        <w:tc>
          <w:tcPr>
            <w:tcW w:w="1060" w:type="dxa"/>
            <w:tcBorders>
              <w:top w:val="dashed" w:sz="8" w:space="0" w:color="auto"/>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 </w:t>
            </w:r>
          </w:p>
        </w:tc>
        <w:tc>
          <w:tcPr>
            <w:tcW w:w="120" w:type="dxa"/>
            <w:tcBorders>
              <w:top w:val="dashed" w:sz="8" w:space="0" w:color="auto"/>
              <w:left w:val="nil"/>
              <w:bottom w:val="nil"/>
              <w:right w:val="nil"/>
            </w:tcBorders>
            <w:shd w:val="clear" w:color="auto" w:fill="auto"/>
            <w:noWrap/>
            <w:vAlign w:val="bottom"/>
            <w:hideMark/>
          </w:tcPr>
          <w:p w:rsidR="00EE1705" w:rsidRDefault="00EE1705">
            <w:pPr>
              <w:rPr>
                <w:rFonts w:ascii="Calibri" w:hAnsi="Calibri"/>
                <w:color w:val="000000"/>
              </w:rPr>
            </w:pPr>
            <w:r>
              <w:rPr>
                <w:rFonts w:ascii="Calibri" w:hAnsi="Calibri"/>
                <w:color w:val="000000"/>
              </w:rPr>
              <w:t> </w:t>
            </w:r>
          </w:p>
        </w:tc>
        <w:tc>
          <w:tcPr>
            <w:tcW w:w="776" w:type="dxa"/>
            <w:tcBorders>
              <w:top w:val="dashed" w:sz="8" w:space="0" w:color="auto"/>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 </w:t>
            </w:r>
          </w:p>
        </w:tc>
        <w:tc>
          <w:tcPr>
            <w:tcW w:w="775" w:type="dxa"/>
            <w:tcBorders>
              <w:top w:val="dashed" w:sz="8" w:space="0" w:color="auto"/>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 </w:t>
            </w:r>
          </w:p>
        </w:tc>
        <w:tc>
          <w:tcPr>
            <w:tcW w:w="775" w:type="dxa"/>
            <w:tcBorders>
              <w:top w:val="dashed" w:sz="8" w:space="0" w:color="auto"/>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 </w:t>
            </w:r>
          </w:p>
        </w:tc>
        <w:tc>
          <w:tcPr>
            <w:tcW w:w="1314" w:type="dxa"/>
            <w:tcBorders>
              <w:top w:val="dashed" w:sz="8" w:space="0" w:color="auto"/>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 </w:t>
            </w:r>
          </w:p>
        </w:tc>
      </w:tr>
      <w:tr w:rsidR="00EE1705" w:rsidTr="00EE1705">
        <w:trPr>
          <w:trHeight w:val="320"/>
        </w:trPr>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C0</w:t>
            </w:r>
          </w:p>
        </w:tc>
        <w:tc>
          <w:tcPr>
            <w:tcW w:w="94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9</w:t>
            </w:r>
          </w:p>
        </w:tc>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0.99</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0.92</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1.05</w:t>
            </w:r>
          </w:p>
        </w:tc>
        <w:tc>
          <w:tcPr>
            <w:tcW w:w="1314"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0.66</w:t>
            </w:r>
          </w:p>
        </w:tc>
      </w:tr>
      <w:tr w:rsidR="00EE1705" w:rsidTr="00EE1705">
        <w:trPr>
          <w:trHeight w:val="320"/>
        </w:trPr>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C2</w:t>
            </w:r>
          </w:p>
        </w:tc>
        <w:tc>
          <w:tcPr>
            <w:tcW w:w="94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4</w:t>
            </w:r>
          </w:p>
        </w:tc>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1.01</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0.86</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1.19</w:t>
            </w:r>
          </w:p>
        </w:tc>
        <w:tc>
          <w:tcPr>
            <w:tcW w:w="1314"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0.90</w:t>
            </w:r>
          </w:p>
        </w:tc>
      </w:tr>
      <w:tr w:rsidR="00EE1705" w:rsidTr="00EE1705">
        <w:trPr>
          <w:trHeight w:val="320"/>
        </w:trPr>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C3</w:t>
            </w:r>
          </w:p>
        </w:tc>
        <w:tc>
          <w:tcPr>
            <w:tcW w:w="94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5</w:t>
            </w:r>
          </w:p>
        </w:tc>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0.97</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0.85</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1.11</w:t>
            </w:r>
          </w:p>
        </w:tc>
        <w:tc>
          <w:tcPr>
            <w:tcW w:w="1314"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0.66</w:t>
            </w:r>
          </w:p>
        </w:tc>
      </w:tr>
      <w:tr w:rsidR="00EE1705" w:rsidTr="00EE1705">
        <w:trPr>
          <w:trHeight w:val="340"/>
        </w:trPr>
        <w:tc>
          <w:tcPr>
            <w:tcW w:w="1060" w:type="dxa"/>
            <w:tcBorders>
              <w:top w:val="nil"/>
              <w:left w:val="nil"/>
              <w:bottom w:val="dashed" w:sz="8" w:space="0" w:color="auto"/>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C10</w:t>
            </w:r>
          </w:p>
        </w:tc>
        <w:tc>
          <w:tcPr>
            <w:tcW w:w="940" w:type="dxa"/>
            <w:tcBorders>
              <w:top w:val="nil"/>
              <w:left w:val="nil"/>
              <w:bottom w:val="dashed" w:sz="8" w:space="0" w:color="auto"/>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4</w:t>
            </w:r>
          </w:p>
        </w:tc>
        <w:tc>
          <w:tcPr>
            <w:tcW w:w="1060" w:type="dxa"/>
            <w:tcBorders>
              <w:top w:val="nil"/>
              <w:left w:val="nil"/>
              <w:bottom w:val="dashed" w:sz="8" w:space="0" w:color="auto"/>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DEP</w:t>
            </w:r>
          </w:p>
        </w:tc>
        <w:tc>
          <w:tcPr>
            <w:tcW w:w="120" w:type="dxa"/>
            <w:tcBorders>
              <w:top w:val="nil"/>
              <w:left w:val="nil"/>
              <w:bottom w:val="dashed" w:sz="8" w:space="0" w:color="auto"/>
              <w:right w:val="nil"/>
            </w:tcBorders>
            <w:shd w:val="clear" w:color="auto" w:fill="auto"/>
            <w:noWrap/>
            <w:vAlign w:val="bottom"/>
            <w:hideMark/>
          </w:tcPr>
          <w:p w:rsidR="00EE1705" w:rsidRDefault="00EE1705">
            <w:pPr>
              <w:rPr>
                <w:rFonts w:ascii="Calibri" w:hAnsi="Calibri"/>
                <w:color w:val="000000"/>
              </w:rPr>
            </w:pPr>
            <w:r>
              <w:rPr>
                <w:rFonts w:ascii="Calibri" w:hAnsi="Calibri"/>
                <w:color w:val="000000"/>
              </w:rPr>
              <w:t> </w:t>
            </w:r>
          </w:p>
        </w:tc>
        <w:tc>
          <w:tcPr>
            <w:tcW w:w="776" w:type="dxa"/>
            <w:tcBorders>
              <w:top w:val="nil"/>
              <w:left w:val="nil"/>
              <w:bottom w:val="dashed" w:sz="8" w:space="0" w:color="auto"/>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1.05</w:t>
            </w:r>
          </w:p>
        </w:tc>
        <w:tc>
          <w:tcPr>
            <w:tcW w:w="775" w:type="dxa"/>
            <w:tcBorders>
              <w:top w:val="nil"/>
              <w:left w:val="nil"/>
              <w:bottom w:val="dashed" w:sz="8" w:space="0" w:color="auto"/>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1.02</w:t>
            </w:r>
          </w:p>
        </w:tc>
        <w:tc>
          <w:tcPr>
            <w:tcW w:w="775" w:type="dxa"/>
            <w:tcBorders>
              <w:top w:val="nil"/>
              <w:left w:val="nil"/>
              <w:bottom w:val="dashed" w:sz="8" w:space="0" w:color="auto"/>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1.08</w:t>
            </w:r>
          </w:p>
        </w:tc>
        <w:tc>
          <w:tcPr>
            <w:tcW w:w="1314" w:type="dxa"/>
            <w:tcBorders>
              <w:top w:val="nil"/>
              <w:left w:val="nil"/>
              <w:bottom w:val="dashed" w:sz="8" w:space="0" w:color="auto"/>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2.1E-03</w:t>
            </w:r>
          </w:p>
        </w:tc>
      </w:tr>
      <w:tr w:rsidR="00EE1705" w:rsidTr="00CC0D47">
        <w:trPr>
          <w:trHeight w:val="259"/>
        </w:trPr>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p>
        </w:tc>
        <w:tc>
          <w:tcPr>
            <w:tcW w:w="940" w:type="dxa"/>
            <w:tcBorders>
              <w:top w:val="nil"/>
              <w:left w:val="nil"/>
              <w:bottom w:val="nil"/>
              <w:right w:val="nil"/>
            </w:tcBorders>
            <w:shd w:val="clear" w:color="auto" w:fill="auto"/>
            <w:noWrap/>
            <w:vAlign w:val="bottom"/>
            <w:hideMark/>
          </w:tcPr>
          <w:p w:rsidR="00EE1705" w:rsidRDefault="00EE1705">
            <w:pPr>
              <w:jc w:val="center"/>
              <w:rPr>
                <w:sz w:val="20"/>
                <w:szCs w:val="20"/>
              </w:rPr>
            </w:pPr>
          </w:p>
        </w:tc>
        <w:tc>
          <w:tcPr>
            <w:tcW w:w="1060" w:type="dxa"/>
            <w:tcBorders>
              <w:top w:val="nil"/>
              <w:left w:val="nil"/>
              <w:bottom w:val="nil"/>
              <w:right w:val="nil"/>
            </w:tcBorders>
            <w:shd w:val="clear" w:color="auto" w:fill="auto"/>
            <w:noWrap/>
            <w:vAlign w:val="bottom"/>
            <w:hideMark/>
          </w:tcPr>
          <w:p w:rsidR="00EE1705" w:rsidRDefault="00EE1705">
            <w:pPr>
              <w:jc w:val="center"/>
              <w:rPr>
                <w:sz w:val="20"/>
                <w:szCs w:val="20"/>
              </w:rPr>
            </w:pPr>
          </w:p>
        </w:tc>
        <w:tc>
          <w:tcPr>
            <w:tcW w:w="120" w:type="dxa"/>
            <w:tcBorders>
              <w:top w:val="nil"/>
              <w:left w:val="nil"/>
              <w:bottom w:val="nil"/>
              <w:right w:val="nil"/>
            </w:tcBorders>
            <w:shd w:val="clear" w:color="auto" w:fill="auto"/>
            <w:noWrap/>
            <w:vAlign w:val="bottom"/>
            <w:hideMark/>
          </w:tcPr>
          <w:p w:rsidR="00EE1705" w:rsidRDefault="00EE1705">
            <w:pPr>
              <w:jc w:val="center"/>
              <w:rPr>
                <w:sz w:val="20"/>
                <w:szCs w:val="20"/>
              </w:rPr>
            </w:pPr>
          </w:p>
        </w:tc>
        <w:tc>
          <w:tcPr>
            <w:tcW w:w="776" w:type="dxa"/>
            <w:tcBorders>
              <w:top w:val="nil"/>
              <w:left w:val="nil"/>
              <w:bottom w:val="nil"/>
              <w:right w:val="nil"/>
            </w:tcBorders>
            <w:shd w:val="clear" w:color="auto" w:fill="auto"/>
            <w:noWrap/>
            <w:vAlign w:val="bottom"/>
            <w:hideMark/>
          </w:tcPr>
          <w:p w:rsidR="00EE1705" w:rsidRDefault="00EE1705">
            <w:pPr>
              <w:rPr>
                <w:sz w:val="20"/>
                <w:szCs w:val="20"/>
              </w:rPr>
            </w:pPr>
          </w:p>
        </w:tc>
        <w:tc>
          <w:tcPr>
            <w:tcW w:w="775" w:type="dxa"/>
            <w:tcBorders>
              <w:top w:val="nil"/>
              <w:left w:val="nil"/>
              <w:bottom w:val="nil"/>
              <w:right w:val="nil"/>
            </w:tcBorders>
            <w:shd w:val="clear" w:color="auto" w:fill="auto"/>
            <w:noWrap/>
            <w:vAlign w:val="bottom"/>
            <w:hideMark/>
          </w:tcPr>
          <w:p w:rsidR="00EE1705" w:rsidRDefault="00EE1705">
            <w:pPr>
              <w:jc w:val="center"/>
              <w:rPr>
                <w:sz w:val="20"/>
                <w:szCs w:val="20"/>
              </w:rPr>
            </w:pPr>
          </w:p>
        </w:tc>
        <w:tc>
          <w:tcPr>
            <w:tcW w:w="775" w:type="dxa"/>
            <w:tcBorders>
              <w:top w:val="nil"/>
              <w:left w:val="nil"/>
              <w:bottom w:val="nil"/>
              <w:right w:val="nil"/>
            </w:tcBorders>
            <w:shd w:val="clear" w:color="auto" w:fill="auto"/>
            <w:noWrap/>
            <w:vAlign w:val="bottom"/>
            <w:hideMark/>
          </w:tcPr>
          <w:p w:rsidR="00EE1705" w:rsidRDefault="00EE1705">
            <w:pPr>
              <w:jc w:val="center"/>
              <w:rPr>
                <w:sz w:val="20"/>
                <w:szCs w:val="20"/>
              </w:rPr>
            </w:pPr>
          </w:p>
        </w:tc>
        <w:tc>
          <w:tcPr>
            <w:tcW w:w="1314" w:type="dxa"/>
            <w:tcBorders>
              <w:top w:val="nil"/>
              <w:left w:val="nil"/>
              <w:bottom w:val="nil"/>
              <w:right w:val="nil"/>
            </w:tcBorders>
            <w:shd w:val="clear" w:color="auto" w:fill="auto"/>
            <w:noWrap/>
            <w:vAlign w:val="bottom"/>
            <w:hideMark/>
          </w:tcPr>
          <w:p w:rsidR="00EE1705" w:rsidRDefault="00EE1705">
            <w:pPr>
              <w:jc w:val="center"/>
              <w:rPr>
                <w:sz w:val="20"/>
                <w:szCs w:val="20"/>
              </w:rPr>
            </w:pPr>
          </w:p>
        </w:tc>
      </w:tr>
      <w:tr w:rsidR="00EE1705" w:rsidTr="00EE1705">
        <w:trPr>
          <w:trHeight w:val="320"/>
        </w:trPr>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C0</w:t>
            </w:r>
          </w:p>
        </w:tc>
        <w:tc>
          <w:tcPr>
            <w:tcW w:w="94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9</w:t>
            </w:r>
          </w:p>
        </w:tc>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0.98</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0.93</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1.04</w:t>
            </w:r>
          </w:p>
        </w:tc>
        <w:tc>
          <w:tcPr>
            <w:tcW w:w="1314"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0.51</w:t>
            </w:r>
          </w:p>
        </w:tc>
      </w:tr>
      <w:tr w:rsidR="00EE1705" w:rsidTr="00EE1705">
        <w:trPr>
          <w:trHeight w:val="320"/>
        </w:trPr>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C2</w:t>
            </w:r>
          </w:p>
        </w:tc>
        <w:tc>
          <w:tcPr>
            <w:tcW w:w="94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4</w:t>
            </w:r>
          </w:p>
        </w:tc>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1.03</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0.90</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1.17</w:t>
            </w:r>
          </w:p>
        </w:tc>
        <w:tc>
          <w:tcPr>
            <w:tcW w:w="1314"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0.69</w:t>
            </w:r>
          </w:p>
        </w:tc>
      </w:tr>
      <w:tr w:rsidR="00EE1705" w:rsidTr="00EE1705">
        <w:trPr>
          <w:trHeight w:val="320"/>
        </w:trPr>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C3</w:t>
            </w:r>
          </w:p>
        </w:tc>
        <w:tc>
          <w:tcPr>
            <w:tcW w:w="94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5</w:t>
            </w:r>
          </w:p>
        </w:tc>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0.96</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0.87</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1.07</w:t>
            </w:r>
          </w:p>
        </w:tc>
        <w:tc>
          <w:tcPr>
            <w:tcW w:w="1314"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0.46</w:t>
            </w:r>
          </w:p>
        </w:tc>
      </w:tr>
      <w:tr w:rsidR="00EE1705" w:rsidTr="00EE1705">
        <w:trPr>
          <w:trHeight w:val="320"/>
        </w:trPr>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C8</w:t>
            </w:r>
          </w:p>
        </w:tc>
        <w:tc>
          <w:tcPr>
            <w:tcW w:w="94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6</w:t>
            </w:r>
          </w:p>
        </w:tc>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0.90</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0.85</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0.95</w:t>
            </w:r>
          </w:p>
        </w:tc>
        <w:tc>
          <w:tcPr>
            <w:tcW w:w="1314"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0.51</w:t>
            </w:r>
          </w:p>
        </w:tc>
      </w:tr>
      <w:tr w:rsidR="00EE1705" w:rsidTr="00EE1705">
        <w:trPr>
          <w:trHeight w:val="320"/>
        </w:trPr>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C10</w:t>
            </w:r>
          </w:p>
        </w:tc>
        <w:tc>
          <w:tcPr>
            <w:tcW w:w="94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3</w:t>
            </w:r>
          </w:p>
        </w:tc>
        <w:tc>
          <w:tcPr>
            <w:tcW w:w="106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DEP</w:t>
            </w:r>
          </w:p>
        </w:tc>
        <w:tc>
          <w:tcPr>
            <w:tcW w:w="120"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p>
        </w:tc>
        <w:tc>
          <w:tcPr>
            <w:tcW w:w="776"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1.18</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0.99</w:t>
            </w:r>
          </w:p>
        </w:tc>
        <w:tc>
          <w:tcPr>
            <w:tcW w:w="775"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1.41</w:t>
            </w:r>
          </w:p>
        </w:tc>
        <w:tc>
          <w:tcPr>
            <w:tcW w:w="1314" w:type="dxa"/>
            <w:tcBorders>
              <w:top w:val="nil"/>
              <w:left w:val="nil"/>
              <w:bottom w:val="nil"/>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0.06</w:t>
            </w:r>
          </w:p>
        </w:tc>
      </w:tr>
      <w:tr w:rsidR="00EE1705" w:rsidTr="00EE1705">
        <w:trPr>
          <w:trHeight w:val="100"/>
        </w:trPr>
        <w:tc>
          <w:tcPr>
            <w:tcW w:w="1060" w:type="dxa"/>
            <w:tcBorders>
              <w:top w:val="nil"/>
              <w:left w:val="nil"/>
              <w:bottom w:val="single" w:sz="8" w:space="0" w:color="auto"/>
              <w:right w:val="nil"/>
            </w:tcBorders>
            <w:shd w:val="clear" w:color="auto" w:fill="auto"/>
            <w:noWrap/>
            <w:vAlign w:val="bottom"/>
            <w:hideMark/>
          </w:tcPr>
          <w:p w:rsidR="00EE1705" w:rsidRDefault="00EE1705">
            <w:pPr>
              <w:jc w:val="center"/>
              <w:rPr>
                <w:rFonts w:ascii="Calibri" w:hAnsi="Calibri"/>
                <w:color w:val="000000"/>
              </w:rPr>
            </w:pPr>
            <w:r>
              <w:rPr>
                <w:rFonts w:ascii="Calibri" w:hAnsi="Calibri"/>
                <w:color w:val="000000"/>
              </w:rPr>
              <w:t> </w:t>
            </w:r>
          </w:p>
        </w:tc>
        <w:tc>
          <w:tcPr>
            <w:tcW w:w="940" w:type="dxa"/>
            <w:tcBorders>
              <w:top w:val="nil"/>
              <w:left w:val="nil"/>
              <w:bottom w:val="single" w:sz="8" w:space="0" w:color="auto"/>
              <w:right w:val="nil"/>
            </w:tcBorders>
            <w:shd w:val="clear" w:color="auto" w:fill="auto"/>
            <w:noWrap/>
            <w:vAlign w:val="bottom"/>
            <w:hideMark/>
          </w:tcPr>
          <w:p w:rsidR="00EE1705" w:rsidRDefault="00EE1705">
            <w:pPr>
              <w:rPr>
                <w:rFonts w:ascii="Calibri" w:hAnsi="Calibri"/>
                <w:color w:val="000000"/>
              </w:rPr>
            </w:pPr>
            <w:r>
              <w:rPr>
                <w:rFonts w:ascii="Calibri" w:hAnsi="Calibri"/>
                <w:color w:val="000000"/>
              </w:rPr>
              <w:t> </w:t>
            </w:r>
          </w:p>
        </w:tc>
        <w:tc>
          <w:tcPr>
            <w:tcW w:w="1060" w:type="dxa"/>
            <w:tcBorders>
              <w:top w:val="nil"/>
              <w:left w:val="nil"/>
              <w:bottom w:val="single" w:sz="8" w:space="0" w:color="auto"/>
              <w:right w:val="nil"/>
            </w:tcBorders>
            <w:shd w:val="clear" w:color="auto" w:fill="auto"/>
            <w:noWrap/>
            <w:vAlign w:val="bottom"/>
            <w:hideMark/>
          </w:tcPr>
          <w:p w:rsidR="00EE1705" w:rsidRDefault="00EE1705">
            <w:pPr>
              <w:rPr>
                <w:rFonts w:ascii="Calibri" w:hAnsi="Calibri"/>
                <w:color w:val="000000"/>
              </w:rPr>
            </w:pPr>
            <w:r>
              <w:rPr>
                <w:rFonts w:ascii="Calibri" w:hAnsi="Calibri"/>
                <w:color w:val="000000"/>
              </w:rPr>
              <w:t> </w:t>
            </w:r>
          </w:p>
        </w:tc>
        <w:tc>
          <w:tcPr>
            <w:tcW w:w="120" w:type="dxa"/>
            <w:tcBorders>
              <w:top w:val="nil"/>
              <w:left w:val="nil"/>
              <w:bottom w:val="single" w:sz="8" w:space="0" w:color="auto"/>
              <w:right w:val="nil"/>
            </w:tcBorders>
            <w:shd w:val="clear" w:color="auto" w:fill="auto"/>
            <w:noWrap/>
            <w:vAlign w:val="bottom"/>
            <w:hideMark/>
          </w:tcPr>
          <w:p w:rsidR="00EE1705" w:rsidRDefault="00EE1705">
            <w:pPr>
              <w:rPr>
                <w:rFonts w:ascii="Calibri" w:hAnsi="Calibri"/>
                <w:color w:val="000000"/>
              </w:rPr>
            </w:pPr>
            <w:r>
              <w:rPr>
                <w:rFonts w:ascii="Calibri" w:hAnsi="Calibri"/>
                <w:color w:val="000000"/>
              </w:rPr>
              <w:t> </w:t>
            </w:r>
          </w:p>
        </w:tc>
        <w:tc>
          <w:tcPr>
            <w:tcW w:w="776" w:type="dxa"/>
            <w:tcBorders>
              <w:top w:val="nil"/>
              <w:left w:val="nil"/>
              <w:bottom w:val="single" w:sz="8" w:space="0" w:color="auto"/>
              <w:right w:val="nil"/>
            </w:tcBorders>
            <w:shd w:val="clear" w:color="auto" w:fill="auto"/>
            <w:noWrap/>
            <w:vAlign w:val="bottom"/>
            <w:hideMark/>
          </w:tcPr>
          <w:p w:rsidR="00EE1705" w:rsidRDefault="00EE1705">
            <w:pPr>
              <w:rPr>
                <w:rFonts w:ascii="Calibri" w:hAnsi="Calibri"/>
                <w:color w:val="000000"/>
              </w:rPr>
            </w:pPr>
            <w:r>
              <w:rPr>
                <w:rFonts w:ascii="Calibri" w:hAnsi="Calibri"/>
                <w:color w:val="000000"/>
              </w:rPr>
              <w:t> </w:t>
            </w:r>
          </w:p>
        </w:tc>
        <w:tc>
          <w:tcPr>
            <w:tcW w:w="775" w:type="dxa"/>
            <w:tcBorders>
              <w:top w:val="nil"/>
              <w:left w:val="nil"/>
              <w:bottom w:val="single" w:sz="8" w:space="0" w:color="auto"/>
              <w:right w:val="nil"/>
            </w:tcBorders>
            <w:shd w:val="clear" w:color="auto" w:fill="auto"/>
            <w:noWrap/>
            <w:vAlign w:val="bottom"/>
            <w:hideMark/>
          </w:tcPr>
          <w:p w:rsidR="00EE1705" w:rsidRDefault="00EE1705">
            <w:pPr>
              <w:rPr>
                <w:rFonts w:ascii="Calibri" w:hAnsi="Calibri"/>
                <w:color w:val="000000"/>
              </w:rPr>
            </w:pPr>
            <w:r>
              <w:rPr>
                <w:rFonts w:ascii="Calibri" w:hAnsi="Calibri"/>
                <w:color w:val="000000"/>
              </w:rPr>
              <w:t> </w:t>
            </w:r>
          </w:p>
        </w:tc>
        <w:tc>
          <w:tcPr>
            <w:tcW w:w="775" w:type="dxa"/>
            <w:tcBorders>
              <w:top w:val="nil"/>
              <w:left w:val="nil"/>
              <w:bottom w:val="single" w:sz="8" w:space="0" w:color="auto"/>
              <w:right w:val="nil"/>
            </w:tcBorders>
            <w:shd w:val="clear" w:color="auto" w:fill="auto"/>
            <w:noWrap/>
            <w:vAlign w:val="bottom"/>
            <w:hideMark/>
          </w:tcPr>
          <w:p w:rsidR="00EE1705" w:rsidRDefault="00EE1705">
            <w:pPr>
              <w:rPr>
                <w:rFonts w:ascii="Calibri" w:hAnsi="Calibri"/>
                <w:color w:val="000000"/>
              </w:rPr>
            </w:pPr>
            <w:r>
              <w:rPr>
                <w:rFonts w:ascii="Calibri" w:hAnsi="Calibri"/>
                <w:color w:val="000000"/>
              </w:rPr>
              <w:t> </w:t>
            </w:r>
          </w:p>
        </w:tc>
        <w:tc>
          <w:tcPr>
            <w:tcW w:w="1314" w:type="dxa"/>
            <w:tcBorders>
              <w:top w:val="nil"/>
              <w:left w:val="nil"/>
              <w:bottom w:val="single" w:sz="8" w:space="0" w:color="auto"/>
              <w:right w:val="nil"/>
            </w:tcBorders>
            <w:shd w:val="clear" w:color="auto" w:fill="auto"/>
            <w:noWrap/>
            <w:vAlign w:val="bottom"/>
            <w:hideMark/>
          </w:tcPr>
          <w:p w:rsidR="00EE1705" w:rsidRDefault="00EE1705">
            <w:pPr>
              <w:rPr>
                <w:rFonts w:ascii="Calibri" w:hAnsi="Calibri"/>
                <w:color w:val="000000"/>
              </w:rPr>
            </w:pPr>
            <w:r>
              <w:rPr>
                <w:rFonts w:ascii="Calibri" w:hAnsi="Calibri"/>
                <w:color w:val="000000"/>
              </w:rPr>
              <w:t> </w:t>
            </w:r>
          </w:p>
        </w:tc>
      </w:tr>
    </w:tbl>
    <w:p w:rsidR="00A76E31" w:rsidRDefault="00A76E31" w:rsidP="00A76E31">
      <w:pPr>
        <w:pStyle w:val="Heading2"/>
        <w:rPr>
          <w:rFonts w:ascii="Times New Roman" w:hAnsi="Times New Roman" w:cs="Times New Roman"/>
          <w:color w:val="000000" w:themeColor="text1"/>
          <w:sz w:val="24"/>
          <w:szCs w:val="24"/>
        </w:rPr>
      </w:pPr>
    </w:p>
    <w:p w:rsidR="00CC0D47" w:rsidRDefault="00CC0D47" w:rsidP="00CC0D47">
      <w:pPr>
        <w:spacing w:line="360" w:lineRule="auto"/>
        <w:rPr>
          <w:sz w:val="20"/>
          <w:szCs w:val="20"/>
          <w:shd w:val="clear" w:color="auto" w:fill="FFFFFF"/>
        </w:rPr>
      </w:pPr>
      <w:r w:rsidRPr="00C36D2E">
        <w:rPr>
          <w:sz w:val="20"/>
          <w:szCs w:val="20"/>
          <w:shd w:val="clear" w:color="auto" w:fill="FFFFFF"/>
        </w:rPr>
        <w:t>Odds ratios (ORs) and 95% confidence intervals (</w:t>
      </w:r>
      <w:proofErr w:type="spellStart"/>
      <w:r w:rsidRPr="00C36D2E">
        <w:rPr>
          <w:sz w:val="20"/>
          <w:szCs w:val="20"/>
          <w:shd w:val="clear" w:color="auto" w:fill="FFFFFF"/>
        </w:rPr>
        <w:t>lCI</w:t>
      </w:r>
      <w:proofErr w:type="spellEnd"/>
      <w:r w:rsidRPr="00C36D2E">
        <w:rPr>
          <w:sz w:val="20"/>
          <w:szCs w:val="20"/>
          <w:shd w:val="clear" w:color="auto" w:fill="FFFFFF"/>
        </w:rPr>
        <w:t xml:space="preserve">, lower bound; </w:t>
      </w:r>
      <w:proofErr w:type="spellStart"/>
      <w:r w:rsidRPr="00C36D2E">
        <w:rPr>
          <w:sz w:val="20"/>
          <w:szCs w:val="20"/>
          <w:shd w:val="clear" w:color="auto" w:fill="FFFFFF"/>
        </w:rPr>
        <w:t>uCI</w:t>
      </w:r>
      <w:proofErr w:type="spellEnd"/>
      <w:r w:rsidRPr="00C36D2E">
        <w:rPr>
          <w:sz w:val="20"/>
          <w:szCs w:val="20"/>
          <w:shd w:val="clear" w:color="auto" w:fill="FFFFFF"/>
        </w:rPr>
        <w:t xml:space="preserve">, upper bound) per SD increase in genetically-predicted levels of </w:t>
      </w:r>
      <w:r w:rsidRPr="00C36D2E">
        <w:rPr>
          <w:i/>
          <w:sz w:val="20"/>
          <w:szCs w:val="20"/>
          <w:shd w:val="clear" w:color="auto" w:fill="FFFFFF"/>
          <w:vertAlign w:val="subscript"/>
        </w:rPr>
        <w:t>(log</w:t>
      </w:r>
      <w:proofErr w:type="gramStart"/>
      <w:r w:rsidRPr="00C36D2E">
        <w:rPr>
          <w:i/>
          <w:sz w:val="20"/>
          <w:szCs w:val="20"/>
          <w:shd w:val="clear" w:color="auto" w:fill="FFFFFF"/>
          <w:vertAlign w:val="subscript"/>
        </w:rPr>
        <w:t>)</w:t>
      </w:r>
      <w:r w:rsidRPr="00C36D2E">
        <w:rPr>
          <w:sz w:val="20"/>
          <w:szCs w:val="20"/>
          <w:shd w:val="clear" w:color="auto" w:fill="FFFFFF"/>
        </w:rPr>
        <w:t>ACs</w:t>
      </w:r>
      <w:proofErr w:type="gramEnd"/>
    </w:p>
    <w:p w:rsidR="002E72AD" w:rsidRDefault="002E72AD" w:rsidP="00EE1705">
      <w:pPr>
        <w:sectPr w:rsidR="002E72AD" w:rsidSect="00744D3E">
          <w:pgSz w:w="11900" w:h="16840"/>
          <w:pgMar w:top="1440" w:right="1440" w:bottom="1440" w:left="1440" w:header="708" w:footer="708" w:gutter="0"/>
          <w:cols w:space="708"/>
          <w:docGrid w:linePitch="360"/>
        </w:sectPr>
      </w:pPr>
    </w:p>
    <w:p w:rsidR="00EE1705" w:rsidRDefault="002E72AD" w:rsidP="002E72AD">
      <w:pPr>
        <w:pStyle w:val="Heading1"/>
        <w:spacing w:line="480" w:lineRule="auto"/>
        <w:rPr>
          <w:rFonts w:ascii="Times" w:hAnsi="Times"/>
          <w:b/>
          <w:color w:val="000000" w:themeColor="text1"/>
          <w:sz w:val="24"/>
          <w:szCs w:val="24"/>
        </w:rPr>
      </w:pPr>
      <w:bookmarkStart w:id="16" w:name="_Toc97882883"/>
      <w:r w:rsidRPr="002E72AD">
        <w:rPr>
          <w:rFonts w:ascii="Times" w:hAnsi="Times"/>
          <w:b/>
          <w:color w:val="000000" w:themeColor="text1"/>
          <w:sz w:val="24"/>
          <w:szCs w:val="24"/>
        </w:rPr>
        <w:lastRenderedPageBreak/>
        <w:t>Supplemental figures</w:t>
      </w:r>
      <w:bookmarkEnd w:id="16"/>
    </w:p>
    <w:p w:rsidR="00A4476B" w:rsidRDefault="00A4476B" w:rsidP="00A4476B">
      <w:pPr>
        <w:pStyle w:val="Heading2"/>
        <w:spacing w:line="480" w:lineRule="auto"/>
        <w:rPr>
          <w:rFonts w:ascii="Times New Roman" w:eastAsia="Times New Roman" w:hAnsi="Times New Roman" w:cs="Times New Roman"/>
          <w:color w:val="000000" w:themeColor="text1"/>
          <w:sz w:val="24"/>
          <w:szCs w:val="24"/>
          <w:shd w:val="clear" w:color="auto" w:fill="FFFFFF"/>
        </w:rPr>
      </w:pPr>
      <w:bookmarkStart w:id="17" w:name="_Toc97882884"/>
      <w:proofErr w:type="spellStart"/>
      <w:proofErr w:type="gramStart"/>
      <w:r w:rsidRPr="002E72AD">
        <w:rPr>
          <w:rFonts w:ascii="Times New Roman" w:hAnsi="Times New Roman" w:cs="Times New Roman"/>
          <w:b/>
          <w:i/>
          <w:color w:val="000000" w:themeColor="text1"/>
          <w:sz w:val="24"/>
          <w:szCs w:val="24"/>
        </w:rPr>
        <w:t>eFigure</w:t>
      </w:r>
      <w:proofErr w:type="spellEnd"/>
      <w:proofErr w:type="gramEnd"/>
      <w:r w:rsidRPr="002E72AD">
        <w:rPr>
          <w:rFonts w:ascii="Times New Roman" w:hAnsi="Times New Roman" w:cs="Times New Roman"/>
          <w:b/>
          <w:i/>
          <w:color w:val="000000" w:themeColor="text1"/>
          <w:sz w:val="24"/>
          <w:szCs w:val="24"/>
        </w:rPr>
        <w:t xml:space="preserve"> </w:t>
      </w:r>
      <w:r>
        <w:rPr>
          <w:rFonts w:ascii="Times New Roman" w:hAnsi="Times New Roman" w:cs="Times New Roman"/>
          <w:b/>
          <w:i/>
          <w:color w:val="000000" w:themeColor="text1"/>
          <w:sz w:val="24"/>
          <w:szCs w:val="24"/>
        </w:rPr>
        <w:t>1</w:t>
      </w:r>
      <w:r w:rsidRPr="002E72AD">
        <w:rPr>
          <w:rFonts w:ascii="Times New Roman" w:hAnsi="Times New Roman" w:cs="Times New Roman"/>
          <w:b/>
          <w:i/>
          <w:color w:val="000000" w:themeColor="text1"/>
          <w:sz w:val="24"/>
          <w:szCs w:val="24"/>
        </w:rPr>
        <w:t xml:space="preserve">. </w:t>
      </w:r>
      <w:r w:rsidRPr="00A4476B">
        <w:rPr>
          <w:rFonts w:ascii="Times New Roman" w:eastAsia="Times New Roman" w:hAnsi="Times New Roman" w:cs="Times New Roman"/>
          <w:color w:val="000000" w:themeColor="text1"/>
          <w:sz w:val="24"/>
          <w:szCs w:val="24"/>
          <w:shd w:val="clear" w:color="auto" w:fill="FFFFFF"/>
        </w:rPr>
        <w:t xml:space="preserve">Mendelian randomization analyses: </w:t>
      </w:r>
      <w:r w:rsidR="000A4705" w:rsidRPr="00A4476B">
        <w:rPr>
          <w:rFonts w:ascii="Times New Roman" w:eastAsia="Times New Roman" w:hAnsi="Times New Roman" w:cs="Times New Roman"/>
          <w:color w:val="000000" w:themeColor="text1"/>
          <w:sz w:val="24"/>
          <w:szCs w:val="24"/>
          <w:shd w:val="clear" w:color="auto" w:fill="FFFFFF"/>
        </w:rPr>
        <w:t>scatterplot</w:t>
      </w:r>
      <w:r w:rsidRPr="00A4476B">
        <w:rPr>
          <w:rFonts w:ascii="Times New Roman" w:eastAsia="Times New Roman" w:hAnsi="Times New Roman" w:cs="Times New Roman"/>
          <w:color w:val="000000" w:themeColor="text1"/>
          <w:sz w:val="24"/>
          <w:szCs w:val="24"/>
          <w:shd w:val="clear" w:color="auto" w:fill="FFFFFF"/>
        </w:rPr>
        <w:t xml:space="preserve"> for </w:t>
      </w:r>
      <w:r w:rsidRPr="00A4476B">
        <w:rPr>
          <w:rFonts w:ascii="Times New Roman" w:hAnsi="Times New Roman" w:cs="Times New Roman"/>
          <w:color w:val="000000"/>
          <w:sz w:val="24"/>
          <w:szCs w:val="24"/>
        </w:rPr>
        <w:t>Acetylcarnitine</w:t>
      </w:r>
      <w:r w:rsidRPr="00A4476B">
        <w:rPr>
          <w:rFonts w:ascii="Times New Roman" w:eastAsia="Times New Roman" w:hAnsi="Times New Roman" w:cs="Times New Roman"/>
          <w:color w:val="000000" w:themeColor="text1"/>
          <w:sz w:val="24"/>
          <w:szCs w:val="24"/>
          <w:shd w:val="clear" w:color="auto" w:fill="FFFFFF"/>
        </w:rPr>
        <w:t xml:space="preserve"> (C</w:t>
      </w:r>
      <w:r>
        <w:rPr>
          <w:rFonts w:ascii="Times New Roman" w:eastAsia="Times New Roman" w:hAnsi="Times New Roman" w:cs="Times New Roman"/>
          <w:color w:val="000000" w:themeColor="text1"/>
          <w:sz w:val="24"/>
          <w:szCs w:val="24"/>
          <w:shd w:val="clear" w:color="auto" w:fill="FFFFFF"/>
        </w:rPr>
        <w:t>2</w:t>
      </w:r>
      <w:r w:rsidRPr="00A4476B">
        <w:rPr>
          <w:rFonts w:ascii="Times New Roman" w:eastAsia="Times New Roman" w:hAnsi="Times New Roman" w:cs="Times New Roman"/>
          <w:color w:val="000000" w:themeColor="text1"/>
          <w:sz w:val="24"/>
          <w:szCs w:val="24"/>
          <w:shd w:val="clear" w:color="auto" w:fill="FFFFFF"/>
        </w:rPr>
        <w:t>)</w:t>
      </w:r>
      <w:bookmarkEnd w:id="17"/>
    </w:p>
    <w:p w:rsidR="00A4476B" w:rsidRDefault="00A4476B" w:rsidP="00A4476B">
      <w:r>
        <w:rPr>
          <w:noProof/>
        </w:rPr>
        <w:drawing>
          <wp:inline distT="0" distB="0" distL="0" distR="0" wp14:anchorId="107627EB" wp14:editId="1FE61B2B">
            <wp:extent cx="5727700" cy="46589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atterC2.pdf"/>
                    <pic:cNvPicPr/>
                  </pic:nvPicPr>
                  <pic:blipFill>
                    <a:blip r:embed="rId10">
                      <a:extLst>
                        <a:ext uri="{28A0092B-C50C-407E-A947-70E740481C1C}">
                          <a14:useLocalDpi xmlns:a14="http://schemas.microsoft.com/office/drawing/2010/main" val="0"/>
                        </a:ext>
                      </a:extLst>
                    </a:blip>
                    <a:stretch>
                      <a:fillRect/>
                    </a:stretch>
                  </pic:blipFill>
                  <pic:spPr>
                    <a:xfrm>
                      <a:off x="0" y="0"/>
                      <a:ext cx="5727700" cy="4658995"/>
                    </a:xfrm>
                    <a:prstGeom prst="rect">
                      <a:avLst/>
                    </a:prstGeom>
                  </pic:spPr>
                </pic:pic>
              </a:graphicData>
            </a:graphic>
          </wp:inline>
        </w:drawing>
      </w:r>
    </w:p>
    <w:p w:rsidR="00A4476B" w:rsidRDefault="00A4476B" w:rsidP="00A4476B"/>
    <w:p w:rsidR="00A4476B" w:rsidRPr="00A4476B" w:rsidRDefault="00A4476B" w:rsidP="00A4476B"/>
    <w:p w:rsidR="00A4476B" w:rsidRPr="00A4476B" w:rsidRDefault="00A4476B" w:rsidP="00A4476B">
      <w:pPr>
        <w:pStyle w:val="Heading2"/>
      </w:pPr>
    </w:p>
    <w:p w:rsidR="000A4705" w:rsidRDefault="000A4705" w:rsidP="00B01136">
      <w:pPr>
        <w:pStyle w:val="Heading2"/>
        <w:spacing w:line="480" w:lineRule="auto"/>
        <w:rPr>
          <w:rFonts w:ascii="Times New Roman" w:hAnsi="Times New Roman" w:cs="Times New Roman"/>
          <w:b/>
          <w:i/>
          <w:color w:val="000000" w:themeColor="text1"/>
          <w:sz w:val="24"/>
          <w:szCs w:val="24"/>
        </w:rPr>
        <w:sectPr w:rsidR="000A4705" w:rsidSect="00744D3E">
          <w:pgSz w:w="11900" w:h="16840"/>
          <w:pgMar w:top="1440" w:right="1440" w:bottom="1440" w:left="1440" w:header="708" w:footer="708" w:gutter="0"/>
          <w:cols w:space="708"/>
          <w:docGrid w:linePitch="360"/>
        </w:sectPr>
      </w:pPr>
    </w:p>
    <w:p w:rsidR="000A4705" w:rsidRDefault="000A4705" w:rsidP="000A4705">
      <w:pPr>
        <w:pStyle w:val="Heading2"/>
        <w:spacing w:line="480" w:lineRule="auto"/>
        <w:rPr>
          <w:rFonts w:ascii="Times New Roman" w:eastAsia="Times New Roman" w:hAnsi="Times New Roman" w:cs="Times New Roman"/>
          <w:color w:val="000000" w:themeColor="text1"/>
          <w:sz w:val="24"/>
          <w:szCs w:val="24"/>
          <w:shd w:val="clear" w:color="auto" w:fill="FFFFFF"/>
        </w:rPr>
      </w:pPr>
      <w:bookmarkStart w:id="18" w:name="_Toc97882885"/>
      <w:proofErr w:type="spellStart"/>
      <w:proofErr w:type="gramStart"/>
      <w:r w:rsidRPr="000A4705">
        <w:rPr>
          <w:rFonts w:ascii="Times New Roman" w:hAnsi="Times New Roman" w:cs="Times New Roman"/>
          <w:b/>
          <w:i/>
          <w:color w:val="000000" w:themeColor="text1"/>
          <w:sz w:val="24"/>
          <w:szCs w:val="24"/>
        </w:rPr>
        <w:lastRenderedPageBreak/>
        <w:t>eFigure</w:t>
      </w:r>
      <w:proofErr w:type="spellEnd"/>
      <w:proofErr w:type="gramEnd"/>
      <w:r w:rsidRPr="000A4705">
        <w:rPr>
          <w:rFonts w:ascii="Times New Roman" w:hAnsi="Times New Roman" w:cs="Times New Roman"/>
          <w:b/>
          <w:i/>
          <w:color w:val="000000" w:themeColor="text1"/>
          <w:sz w:val="24"/>
          <w:szCs w:val="24"/>
        </w:rPr>
        <w:t xml:space="preserve"> 2. </w:t>
      </w:r>
      <w:r w:rsidRPr="000A4705">
        <w:rPr>
          <w:rFonts w:ascii="Times New Roman" w:eastAsia="Times New Roman" w:hAnsi="Times New Roman" w:cs="Times New Roman"/>
          <w:color w:val="000000" w:themeColor="text1"/>
          <w:sz w:val="24"/>
          <w:szCs w:val="24"/>
          <w:shd w:val="clear" w:color="auto" w:fill="FFFFFF"/>
        </w:rPr>
        <w:t xml:space="preserve">Mendelian randomization analyses: scatterplot for </w:t>
      </w:r>
      <w:r w:rsidRPr="000A4705">
        <w:rPr>
          <w:rFonts w:ascii="Times New Roman" w:hAnsi="Times New Roman" w:cs="Times New Roman"/>
          <w:color w:val="000000"/>
          <w:sz w:val="24"/>
          <w:szCs w:val="24"/>
        </w:rPr>
        <w:t>Propionylcarnitine</w:t>
      </w:r>
      <w:r w:rsidRPr="000A4705">
        <w:rPr>
          <w:rFonts w:ascii="Times New Roman" w:eastAsia="Times New Roman" w:hAnsi="Times New Roman" w:cs="Times New Roman"/>
          <w:color w:val="000000" w:themeColor="text1"/>
          <w:sz w:val="24"/>
          <w:szCs w:val="24"/>
          <w:shd w:val="clear" w:color="auto" w:fill="FFFFFF"/>
        </w:rPr>
        <w:t xml:space="preserve"> (C3)</w:t>
      </w:r>
      <w:bookmarkEnd w:id="18"/>
    </w:p>
    <w:p w:rsidR="000A4705" w:rsidRDefault="000A4705" w:rsidP="000A4705">
      <w:r>
        <w:rPr>
          <w:noProof/>
        </w:rPr>
        <w:drawing>
          <wp:inline distT="0" distB="0" distL="0" distR="0" wp14:anchorId="59AD0E52" wp14:editId="5F0B477D">
            <wp:extent cx="5727700" cy="46589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atterC3.pdf"/>
                    <pic:cNvPicPr/>
                  </pic:nvPicPr>
                  <pic:blipFill>
                    <a:blip r:embed="rId11">
                      <a:extLst>
                        <a:ext uri="{28A0092B-C50C-407E-A947-70E740481C1C}">
                          <a14:useLocalDpi xmlns:a14="http://schemas.microsoft.com/office/drawing/2010/main" val="0"/>
                        </a:ext>
                      </a:extLst>
                    </a:blip>
                    <a:stretch>
                      <a:fillRect/>
                    </a:stretch>
                  </pic:blipFill>
                  <pic:spPr>
                    <a:xfrm>
                      <a:off x="0" y="0"/>
                      <a:ext cx="5727700" cy="4658995"/>
                    </a:xfrm>
                    <a:prstGeom prst="rect">
                      <a:avLst/>
                    </a:prstGeom>
                  </pic:spPr>
                </pic:pic>
              </a:graphicData>
            </a:graphic>
          </wp:inline>
        </w:drawing>
      </w:r>
    </w:p>
    <w:p w:rsidR="000A4705" w:rsidRDefault="000A4705" w:rsidP="000A4705"/>
    <w:p w:rsidR="000A4705" w:rsidRDefault="000A4705" w:rsidP="000A4705"/>
    <w:p w:rsidR="000A4705" w:rsidRPr="000A4705" w:rsidRDefault="000A4705" w:rsidP="000A4705"/>
    <w:p w:rsidR="000A4705" w:rsidRDefault="000A4705" w:rsidP="00B01136">
      <w:pPr>
        <w:pStyle w:val="Heading2"/>
        <w:spacing w:line="480" w:lineRule="auto"/>
        <w:rPr>
          <w:rFonts w:ascii="Times New Roman" w:hAnsi="Times New Roman" w:cs="Times New Roman"/>
          <w:b/>
          <w:i/>
          <w:color w:val="000000" w:themeColor="text1"/>
          <w:sz w:val="24"/>
          <w:szCs w:val="24"/>
        </w:rPr>
        <w:sectPr w:rsidR="000A4705" w:rsidSect="00744D3E">
          <w:pgSz w:w="11900" w:h="16840"/>
          <w:pgMar w:top="1440" w:right="1440" w:bottom="1440" w:left="1440" w:header="708" w:footer="708" w:gutter="0"/>
          <w:cols w:space="708"/>
          <w:docGrid w:linePitch="360"/>
        </w:sectPr>
      </w:pPr>
    </w:p>
    <w:p w:rsidR="00A4476B" w:rsidRDefault="000A4705" w:rsidP="00B01136">
      <w:pPr>
        <w:pStyle w:val="Heading2"/>
        <w:spacing w:line="480" w:lineRule="auto"/>
        <w:rPr>
          <w:rFonts w:ascii="Times New Roman" w:eastAsia="Times New Roman" w:hAnsi="Times New Roman" w:cs="Times New Roman"/>
          <w:color w:val="000000" w:themeColor="text1"/>
          <w:sz w:val="24"/>
          <w:szCs w:val="24"/>
          <w:shd w:val="clear" w:color="auto" w:fill="FFFFFF"/>
        </w:rPr>
      </w:pPr>
      <w:bookmarkStart w:id="19" w:name="_Toc97882886"/>
      <w:proofErr w:type="spellStart"/>
      <w:proofErr w:type="gramStart"/>
      <w:r w:rsidRPr="00002C47">
        <w:rPr>
          <w:rFonts w:ascii="Times New Roman" w:hAnsi="Times New Roman" w:cs="Times New Roman"/>
          <w:b/>
          <w:i/>
          <w:color w:val="000000" w:themeColor="text1"/>
          <w:sz w:val="24"/>
          <w:szCs w:val="24"/>
        </w:rPr>
        <w:lastRenderedPageBreak/>
        <w:t>eFigure</w:t>
      </w:r>
      <w:proofErr w:type="spellEnd"/>
      <w:proofErr w:type="gramEnd"/>
      <w:r w:rsidRPr="00002C47">
        <w:rPr>
          <w:rFonts w:ascii="Times New Roman" w:hAnsi="Times New Roman" w:cs="Times New Roman"/>
          <w:b/>
          <w:i/>
          <w:color w:val="000000" w:themeColor="text1"/>
          <w:sz w:val="24"/>
          <w:szCs w:val="24"/>
        </w:rPr>
        <w:t xml:space="preserve"> 3. </w:t>
      </w:r>
      <w:r w:rsidRPr="00002C47">
        <w:rPr>
          <w:rFonts w:ascii="Times New Roman" w:eastAsia="Times New Roman" w:hAnsi="Times New Roman" w:cs="Times New Roman"/>
          <w:color w:val="000000" w:themeColor="text1"/>
          <w:sz w:val="24"/>
          <w:szCs w:val="24"/>
          <w:shd w:val="clear" w:color="auto" w:fill="FFFFFF"/>
        </w:rPr>
        <w:t xml:space="preserve">Mendelian randomization analyses: scatterplot for </w:t>
      </w:r>
      <w:r w:rsidR="00002C47" w:rsidRPr="00002C47">
        <w:rPr>
          <w:rFonts w:ascii="Times New Roman" w:hAnsi="Times New Roman" w:cs="Times New Roman"/>
          <w:color w:val="000000"/>
          <w:sz w:val="24"/>
          <w:szCs w:val="24"/>
        </w:rPr>
        <w:t>Octanoylcarnitine</w:t>
      </w:r>
      <w:r w:rsidRPr="00002C47">
        <w:rPr>
          <w:rFonts w:ascii="Times New Roman" w:eastAsia="Times New Roman" w:hAnsi="Times New Roman" w:cs="Times New Roman"/>
          <w:color w:val="000000" w:themeColor="text1"/>
          <w:sz w:val="24"/>
          <w:szCs w:val="24"/>
          <w:shd w:val="clear" w:color="auto" w:fill="FFFFFF"/>
        </w:rPr>
        <w:t xml:space="preserve"> (C</w:t>
      </w:r>
      <w:r w:rsidR="00002C47" w:rsidRPr="00002C47">
        <w:rPr>
          <w:rFonts w:ascii="Times New Roman" w:eastAsia="Times New Roman" w:hAnsi="Times New Roman" w:cs="Times New Roman"/>
          <w:color w:val="000000" w:themeColor="text1"/>
          <w:sz w:val="24"/>
          <w:szCs w:val="24"/>
          <w:shd w:val="clear" w:color="auto" w:fill="FFFFFF"/>
        </w:rPr>
        <w:t>8</w:t>
      </w:r>
      <w:r w:rsidRPr="00002C47">
        <w:rPr>
          <w:rFonts w:ascii="Times New Roman" w:eastAsia="Times New Roman" w:hAnsi="Times New Roman" w:cs="Times New Roman"/>
          <w:color w:val="000000" w:themeColor="text1"/>
          <w:sz w:val="24"/>
          <w:szCs w:val="24"/>
          <w:shd w:val="clear" w:color="auto" w:fill="FFFFFF"/>
        </w:rPr>
        <w:t>)</w:t>
      </w:r>
      <w:bookmarkEnd w:id="19"/>
    </w:p>
    <w:p w:rsidR="004058CB" w:rsidRDefault="004058CB" w:rsidP="004058CB">
      <w:r>
        <w:rPr>
          <w:noProof/>
        </w:rPr>
        <w:drawing>
          <wp:inline distT="0" distB="0" distL="0" distR="0" wp14:anchorId="4EC26F3C" wp14:editId="14322F0F">
            <wp:extent cx="5727700" cy="46589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atterC8.pdf"/>
                    <pic:cNvPicPr/>
                  </pic:nvPicPr>
                  <pic:blipFill>
                    <a:blip r:embed="rId12">
                      <a:extLst>
                        <a:ext uri="{28A0092B-C50C-407E-A947-70E740481C1C}">
                          <a14:useLocalDpi xmlns:a14="http://schemas.microsoft.com/office/drawing/2010/main" val="0"/>
                        </a:ext>
                      </a:extLst>
                    </a:blip>
                    <a:stretch>
                      <a:fillRect/>
                    </a:stretch>
                  </pic:blipFill>
                  <pic:spPr>
                    <a:xfrm>
                      <a:off x="0" y="0"/>
                      <a:ext cx="5727700" cy="4658995"/>
                    </a:xfrm>
                    <a:prstGeom prst="rect">
                      <a:avLst/>
                    </a:prstGeom>
                  </pic:spPr>
                </pic:pic>
              </a:graphicData>
            </a:graphic>
          </wp:inline>
        </w:drawing>
      </w:r>
    </w:p>
    <w:p w:rsidR="004058CB" w:rsidRDefault="004058CB" w:rsidP="004058CB"/>
    <w:p w:rsidR="004058CB" w:rsidRDefault="004058CB" w:rsidP="004058CB">
      <w:pPr>
        <w:sectPr w:rsidR="004058CB" w:rsidSect="00744D3E">
          <w:pgSz w:w="11900" w:h="16840"/>
          <w:pgMar w:top="1440" w:right="1440" w:bottom="1440" w:left="1440" w:header="708" w:footer="708" w:gutter="0"/>
          <w:cols w:space="708"/>
          <w:docGrid w:linePitch="360"/>
        </w:sectPr>
      </w:pPr>
    </w:p>
    <w:p w:rsidR="004058CB" w:rsidRDefault="004058CB" w:rsidP="004058CB">
      <w:pPr>
        <w:pStyle w:val="Heading2"/>
        <w:spacing w:line="480" w:lineRule="auto"/>
        <w:rPr>
          <w:rFonts w:ascii="Times New Roman" w:eastAsia="Times New Roman" w:hAnsi="Times New Roman" w:cs="Times New Roman"/>
          <w:color w:val="000000" w:themeColor="text1"/>
          <w:sz w:val="24"/>
          <w:szCs w:val="24"/>
          <w:shd w:val="clear" w:color="auto" w:fill="FFFFFF"/>
        </w:rPr>
      </w:pPr>
      <w:bookmarkStart w:id="20" w:name="_Toc97882887"/>
      <w:proofErr w:type="spellStart"/>
      <w:proofErr w:type="gramStart"/>
      <w:r w:rsidRPr="004058CB">
        <w:rPr>
          <w:rFonts w:ascii="Times New Roman" w:hAnsi="Times New Roman" w:cs="Times New Roman"/>
          <w:b/>
          <w:i/>
          <w:color w:val="000000" w:themeColor="text1"/>
          <w:sz w:val="24"/>
          <w:szCs w:val="24"/>
        </w:rPr>
        <w:lastRenderedPageBreak/>
        <w:t>eFigure</w:t>
      </w:r>
      <w:proofErr w:type="spellEnd"/>
      <w:proofErr w:type="gramEnd"/>
      <w:r w:rsidRPr="004058CB">
        <w:rPr>
          <w:rFonts w:ascii="Times New Roman" w:hAnsi="Times New Roman" w:cs="Times New Roman"/>
          <w:b/>
          <w:i/>
          <w:color w:val="000000" w:themeColor="text1"/>
          <w:sz w:val="24"/>
          <w:szCs w:val="24"/>
        </w:rPr>
        <w:t xml:space="preserve"> 4. </w:t>
      </w:r>
      <w:r w:rsidRPr="004058CB">
        <w:rPr>
          <w:rFonts w:ascii="Times New Roman" w:eastAsia="Times New Roman" w:hAnsi="Times New Roman" w:cs="Times New Roman"/>
          <w:color w:val="000000" w:themeColor="text1"/>
          <w:sz w:val="24"/>
          <w:szCs w:val="24"/>
          <w:shd w:val="clear" w:color="auto" w:fill="FFFFFF"/>
        </w:rPr>
        <w:t xml:space="preserve">Mendelian randomization analyses: scatterplot for </w:t>
      </w:r>
      <w:r w:rsidRPr="004058CB">
        <w:rPr>
          <w:rFonts w:ascii="Times New Roman" w:hAnsi="Times New Roman" w:cs="Times New Roman"/>
          <w:color w:val="000000"/>
          <w:sz w:val="24"/>
          <w:szCs w:val="24"/>
        </w:rPr>
        <w:t>Decanoylcarnitine</w:t>
      </w:r>
      <w:r w:rsidRPr="004058CB">
        <w:rPr>
          <w:rFonts w:ascii="Times New Roman" w:eastAsia="Times New Roman" w:hAnsi="Times New Roman" w:cs="Times New Roman"/>
          <w:color w:val="000000" w:themeColor="text1"/>
          <w:sz w:val="24"/>
          <w:szCs w:val="24"/>
          <w:shd w:val="clear" w:color="auto" w:fill="FFFFFF"/>
        </w:rPr>
        <w:t xml:space="preserve"> (C10)</w:t>
      </w:r>
      <w:bookmarkEnd w:id="20"/>
    </w:p>
    <w:p w:rsidR="00310455" w:rsidRDefault="00310455" w:rsidP="00310455">
      <w:r>
        <w:rPr>
          <w:noProof/>
        </w:rPr>
        <w:drawing>
          <wp:inline distT="0" distB="0" distL="0" distR="0" wp14:anchorId="64441941" wp14:editId="2389C568">
            <wp:extent cx="5727700" cy="46589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atterC10.pdf"/>
                    <pic:cNvPicPr/>
                  </pic:nvPicPr>
                  <pic:blipFill>
                    <a:blip r:embed="rId13">
                      <a:extLst>
                        <a:ext uri="{28A0092B-C50C-407E-A947-70E740481C1C}">
                          <a14:useLocalDpi xmlns:a14="http://schemas.microsoft.com/office/drawing/2010/main" val="0"/>
                        </a:ext>
                      </a:extLst>
                    </a:blip>
                    <a:stretch>
                      <a:fillRect/>
                    </a:stretch>
                  </pic:blipFill>
                  <pic:spPr>
                    <a:xfrm>
                      <a:off x="0" y="0"/>
                      <a:ext cx="5727700" cy="4658995"/>
                    </a:xfrm>
                    <a:prstGeom prst="rect">
                      <a:avLst/>
                    </a:prstGeom>
                  </pic:spPr>
                </pic:pic>
              </a:graphicData>
            </a:graphic>
          </wp:inline>
        </w:drawing>
      </w:r>
    </w:p>
    <w:p w:rsidR="00310455" w:rsidRDefault="00310455" w:rsidP="00310455"/>
    <w:p w:rsidR="00310455" w:rsidRPr="00310455" w:rsidRDefault="00310455" w:rsidP="00310455"/>
    <w:p w:rsidR="004058CB" w:rsidRPr="004058CB" w:rsidRDefault="004058CB" w:rsidP="004058CB">
      <w:pPr>
        <w:sectPr w:rsidR="004058CB" w:rsidRPr="004058CB" w:rsidSect="00744D3E">
          <w:pgSz w:w="11900" w:h="16840"/>
          <w:pgMar w:top="1440" w:right="1440" w:bottom="1440" w:left="1440" w:header="708" w:footer="708" w:gutter="0"/>
          <w:cols w:space="708"/>
          <w:docGrid w:linePitch="360"/>
        </w:sectPr>
      </w:pPr>
    </w:p>
    <w:p w:rsidR="002E72AD" w:rsidRDefault="002E72AD" w:rsidP="00B01136">
      <w:pPr>
        <w:pStyle w:val="Heading2"/>
        <w:spacing w:line="480" w:lineRule="auto"/>
        <w:rPr>
          <w:rFonts w:ascii="Times New Roman" w:eastAsia="Times New Roman" w:hAnsi="Times New Roman" w:cs="Times New Roman"/>
          <w:color w:val="000000" w:themeColor="text1"/>
          <w:sz w:val="24"/>
          <w:szCs w:val="24"/>
          <w:shd w:val="clear" w:color="auto" w:fill="FFFFFF"/>
        </w:rPr>
      </w:pPr>
      <w:bookmarkStart w:id="21" w:name="_Toc97882888"/>
      <w:proofErr w:type="spellStart"/>
      <w:proofErr w:type="gramStart"/>
      <w:r w:rsidRPr="002E72AD">
        <w:rPr>
          <w:rFonts w:ascii="Times New Roman" w:hAnsi="Times New Roman" w:cs="Times New Roman"/>
          <w:b/>
          <w:i/>
          <w:color w:val="000000" w:themeColor="text1"/>
          <w:sz w:val="24"/>
          <w:szCs w:val="24"/>
        </w:rPr>
        <w:lastRenderedPageBreak/>
        <w:t>eFigure</w:t>
      </w:r>
      <w:proofErr w:type="spellEnd"/>
      <w:proofErr w:type="gramEnd"/>
      <w:r w:rsidRPr="002E72AD">
        <w:rPr>
          <w:rFonts w:ascii="Times New Roman" w:hAnsi="Times New Roman" w:cs="Times New Roman"/>
          <w:b/>
          <w:i/>
          <w:color w:val="000000" w:themeColor="text1"/>
          <w:sz w:val="24"/>
          <w:szCs w:val="24"/>
        </w:rPr>
        <w:t xml:space="preserve"> </w:t>
      </w:r>
      <w:r w:rsidR="00A4476B">
        <w:rPr>
          <w:rFonts w:ascii="Times New Roman" w:hAnsi="Times New Roman" w:cs="Times New Roman"/>
          <w:b/>
          <w:i/>
          <w:color w:val="000000" w:themeColor="text1"/>
          <w:sz w:val="24"/>
          <w:szCs w:val="24"/>
        </w:rPr>
        <w:t>5</w:t>
      </w:r>
      <w:r w:rsidRPr="002E72AD">
        <w:rPr>
          <w:rFonts w:ascii="Times New Roman" w:hAnsi="Times New Roman" w:cs="Times New Roman"/>
          <w:b/>
          <w:i/>
          <w:color w:val="000000" w:themeColor="text1"/>
          <w:sz w:val="24"/>
          <w:szCs w:val="24"/>
        </w:rPr>
        <w:t xml:space="preserve">. </w:t>
      </w:r>
      <w:r w:rsidR="00B01136">
        <w:rPr>
          <w:rFonts w:ascii="Times New Roman" w:eastAsia="Times New Roman" w:hAnsi="Times New Roman" w:cs="Times New Roman"/>
          <w:color w:val="000000" w:themeColor="text1"/>
          <w:sz w:val="24"/>
          <w:szCs w:val="24"/>
          <w:shd w:val="clear" w:color="auto" w:fill="FFFFFF"/>
        </w:rPr>
        <w:t xml:space="preserve">Mendelian randomization sensitivity analyses: single SNP analyses for </w:t>
      </w:r>
      <w:r w:rsidR="00B01136" w:rsidRPr="00B01136">
        <w:rPr>
          <w:rFonts w:ascii="Times New Roman" w:eastAsia="Times New Roman" w:hAnsi="Times New Roman" w:cs="Times New Roman"/>
          <w:color w:val="000000" w:themeColor="text1"/>
          <w:sz w:val="24"/>
          <w:szCs w:val="24"/>
          <w:shd w:val="clear" w:color="auto" w:fill="FFFFFF"/>
        </w:rPr>
        <w:t>Octanoylcarnitine</w:t>
      </w:r>
      <w:r w:rsidR="00AF3433">
        <w:rPr>
          <w:rFonts w:ascii="Times New Roman" w:eastAsia="Times New Roman" w:hAnsi="Times New Roman" w:cs="Times New Roman"/>
          <w:color w:val="000000" w:themeColor="text1"/>
          <w:sz w:val="24"/>
          <w:szCs w:val="24"/>
          <w:shd w:val="clear" w:color="auto" w:fill="FFFFFF"/>
        </w:rPr>
        <w:t xml:space="preserve"> (C8)</w:t>
      </w:r>
      <w:bookmarkEnd w:id="21"/>
    </w:p>
    <w:p w:rsidR="0066086D" w:rsidRPr="0066086D" w:rsidRDefault="0066086D" w:rsidP="0066086D"/>
    <w:p w:rsidR="00B01136" w:rsidRDefault="00B01136" w:rsidP="00B01136">
      <w:r>
        <w:rPr>
          <w:noProof/>
        </w:rPr>
        <w:drawing>
          <wp:inline distT="0" distB="0" distL="0" distR="0" wp14:anchorId="7766E4BE" wp14:editId="4162558B">
            <wp:extent cx="5727700" cy="361442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igure1.pdf"/>
                    <pic:cNvPicPr/>
                  </pic:nvPicPr>
                  <pic:blipFill>
                    <a:blip r:embed="rId14">
                      <a:extLst>
                        <a:ext uri="{28A0092B-C50C-407E-A947-70E740481C1C}">
                          <a14:useLocalDpi xmlns:a14="http://schemas.microsoft.com/office/drawing/2010/main" val="0"/>
                        </a:ext>
                      </a:extLst>
                    </a:blip>
                    <a:stretch>
                      <a:fillRect/>
                    </a:stretch>
                  </pic:blipFill>
                  <pic:spPr>
                    <a:xfrm>
                      <a:off x="0" y="0"/>
                      <a:ext cx="5727700" cy="3614420"/>
                    </a:xfrm>
                    <a:prstGeom prst="rect">
                      <a:avLst/>
                    </a:prstGeom>
                  </pic:spPr>
                </pic:pic>
              </a:graphicData>
            </a:graphic>
          </wp:inline>
        </w:drawing>
      </w:r>
    </w:p>
    <w:p w:rsidR="00B01136" w:rsidRDefault="00B01136" w:rsidP="00B01136"/>
    <w:p w:rsidR="00B01136" w:rsidRDefault="00B01136" w:rsidP="00B01136"/>
    <w:p w:rsidR="00B01136" w:rsidRDefault="00B01136" w:rsidP="00B01136"/>
    <w:p w:rsidR="00FA7C5A" w:rsidRDefault="00FA7C5A" w:rsidP="00B01136">
      <w:pPr>
        <w:sectPr w:rsidR="00FA7C5A" w:rsidSect="00744D3E">
          <w:pgSz w:w="11900" w:h="16840"/>
          <w:pgMar w:top="1440" w:right="1440" w:bottom="1440" w:left="1440" w:header="708" w:footer="708" w:gutter="0"/>
          <w:cols w:space="708"/>
          <w:docGrid w:linePitch="360"/>
        </w:sectPr>
      </w:pPr>
    </w:p>
    <w:p w:rsidR="00B01136" w:rsidRDefault="00FA7C5A" w:rsidP="00347AE8">
      <w:pPr>
        <w:pStyle w:val="Heading2"/>
        <w:spacing w:line="480" w:lineRule="auto"/>
        <w:rPr>
          <w:rFonts w:ascii="Times New Roman" w:eastAsia="Times New Roman" w:hAnsi="Times New Roman" w:cs="Times New Roman"/>
          <w:color w:val="000000" w:themeColor="text1"/>
          <w:sz w:val="24"/>
          <w:szCs w:val="24"/>
          <w:shd w:val="clear" w:color="auto" w:fill="FFFFFF"/>
        </w:rPr>
      </w:pPr>
      <w:bookmarkStart w:id="22" w:name="_Toc97882889"/>
      <w:proofErr w:type="spellStart"/>
      <w:proofErr w:type="gramStart"/>
      <w:r w:rsidRPr="00FA7C5A">
        <w:rPr>
          <w:rFonts w:ascii="Times New Roman" w:hAnsi="Times New Roman" w:cs="Times New Roman"/>
          <w:b/>
          <w:i/>
          <w:color w:val="000000" w:themeColor="text1"/>
          <w:sz w:val="24"/>
          <w:szCs w:val="24"/>
        </w:rPr>
        <w:lastRenderedPageBreak/>
        <w:t>eFigure</w:t>
      </w:r>
      <w:proofErr w:type="spellEnd"/>
      <w:proofErr w:type="gramEnd"/>
      <w:r w:rsidRPr="00FA7C5A">
        <w:rPr>
          <w:rFonts w:ascii="Times New Roman" w:hAnsi="Times New Roman" w:cs="Times New Roman"/>
          <w:b/>
          <w:i/>
          <w:color w:val="000000" w:themeColor="text1"/>
          <w:sz w:val="24"/>
          <w:szCs w:val="24"/>
        </w:rPr>
        <w:t xml:space="preserve"> </w:t>
      </w:r>
      <w:r w:rsidR="00A4476B">
        <w:rPr>
          <w:rFonts w:ascii="Times New Roman" w:hAnsi="Times New Roman" w:cs="Times New Roman"/>
          <w:b/>
          <w:i/>
          <w:color w:val="000000" w:themeColor="text1"/>
          <w:sz w:val="24"/>
          <w:szCs w:val="24"/>
        </w:rPr>
        <w:t>6</w:t>
      </w:r>
      <w:r w:rsidRPr="00FA7C5A">
        <w:rPr>
          <w:rFonts w:ascii="Times New Roman" w:hAnsi="Times New Roman" w:cs="Times New Roman"/>
          <w:b/>
          <w:i/>
          <w:color w:val="000000" w:themeColor="text1"/>
          <w:sz w:val="24"/>
          <w:szCs w:val="24"/>
        </w:rPr>
        <w:t xml:space="preserve">. </w:t>
      </w:r>
      <w:r w:rsidR="00347AE8">
        <w:rPr>
          <w:rFonts w:ascii="Times New Roman" w:eastAsia="Times New Roman" w:hAnsi="Times New Roman" w:cs="Times New Roman"/>
          <w:color w:val="000000" w:themeColor="text1"/>
          <w:sz w:val="24"/>
          <w:szCs w:val="24"/>
          <w:shd w:val="clear" w:color="auto" w:fill="FFFFFF"/>
        </w:rPr>
        <w:t>Mendelian randomization sensitivity analyses:</w:t>
      </w:r>
      <w:r w:rsidR="004362CE">
        <w:rPr>
          <w:rFonts w:ascii="Times New Roman" w:eastAsia="Times New Roman" w:hAnsi="Times New Roman" w:cs="Times New Roman"/>
          <w:color w:val="000000" w:themeColor="text1"/>
          <w:sz w:val="24"/>
          <w:szCs w:val="24"/>
          <w:shd w:val="clear" w:color="auto" w:fill="FFFFFF"/>
        </w:rPr>
        <w:t xml:space="preserve"> leave-one-out</w:t>
      </w:r>
      <w:r w:rsidR="00347AE8">
        <w:rPr>
          <w:rFonts w:ascii="Times New Roman" w:eastAsia="Times New Roman" w:hAnsi="Times New Roman" w:cs="Times New Roman"/>
          <w:color w:val="000000" w:themeColor="text1"/>
          <w:sz w:val="24"/>
          <w:szCs w:val="24"/>
          <w:shd w:val="clear" w:color="auto" w:fill="FFFFFF"/>
        </w:rPr>
        <w:t xml:space="preserve"> SNP analyses for </w:t>
      </w:r>
      <w:r w:rsidR="00347AE8" w:rsidRPr="00B01136">
        <w:rPr>
          <w:rFonts w:ascii="Times New Roman" w:eastAsia="Times New Roman" w:hAnsi="Times New Roman" w:cs="Times New Roman"/>
          <w:color w:val="000000" w:themeColor="text1"/>
          <w:sz w:val="24"/>
          <w:szCs w:val="24"/>
          <w:shd w:val="clear" w:color="auto" w:fill="FFFFFF"/>
        </w:rPr>
        <w:t>Octanoylcarnitine</w:t>
      </w:r>
      <w:r w:rsidR="00F90229">
        <w:rPr>
          <w:rFonts w:ascii="Times New Roman" w:eastAsia="Times New Roman" w:hAnsi="Times New Roman" w:cs="Times New Roman"/>
          <w:color w:val="000000" w:themeColor="text1"/>
          <w:sz w:val="24"/>
          <w:szCs w:val="24"/>
          <w:shd w:val="clear" w:color="auto" w:fill="FFFFFF"/>
        </w:rPr>
        <w:t xml:space="preserve"> (C8)</w:t>
      </w:r>
      <w:bookmarkEnd w:id="22"/>
    </w:p>
    <w:p w:rsidR="0066086D" w:rsidRDefault="0066086D" w:rsidP="0066086D"/>
    <w:p w:rsidR="0066086D" w:rsidRPr="0066086D" w:rsidRDefault="0066086D" w:rsidP="0066086D">
      <w:r>
        <w:rPr>
          <w:noProof/>
        </w:rPr>
        <w:drawing>
          <wp:inline distT="0" distB="0" distL="0" distR="0" wp14:anchorId="74788D62" wp14:editId="4FD4EB47">
            <wp:extent cx="5727700" cy="36144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igure2.pdf"/>
                    <pic:cNvPicPr/>
                  </pic:nvPicPr>
                  <pic:blipFill>
                    <a:blip r:embed="rId15">
                      <a:extLst>
                        <a:ext uri="{28A0092B-C50C-407E-A947-70E740481C1C}">
                          <a14:useLocalDpi xmlns:a14="http://schemas.microsoft.com/office/drawing/2010/main" val="0"/>
                        </a:ext>
                      </a:extLst>
                    </a:blip>
                    <a:stretch>
                      <a:fillRect/>
                    </a:stretch>
                  </pic:blipFill>
                  <pic:spPr>
                    <a:xfrm>
                      <a:off x="0" y="0"/>
                      <a:ext cx="5727700" cy="3614420"/>
                    </a:xfrm>
                    <a:prstGeom prst="rect">
                      <a:avLst/>
                    </a:prstGeom>
                  </pic:spPr>
                </pic:pic>
              </a:graphicData>
            </a:graphic>
          </wp:inline>
        </w:drawing>
      </w:r>
    </w:p>
    <w:p w:rsidR="0066086D" w:rsidRDefault="0066086D" w:rsidP="0066086D"/>
    <w:p w:rsidR="0066086D" w:rsidRDefault="0066086D" w:rsidP="0066086D"/>
    <w:p w:rsidR="0066086D" w:rsidRDefault="0066086D" w:rsidP="0066086D"/>
    <w:p w:rsidR="0066086D" w:rsidRDefault="0066086D" w:rsidP="0066086D"/>
    <w:p w:rsidR="0066086D" w:rsidRDefault="0066086D" w:rsidP="0066086D"/>
    <w:p w:rsidR="00701879" w:rsidRDefault="00701879" w:rsidP="0066086D">
      <w:pPr>
        <w:sectPr w:rsidR="00701879" w:rsidSect="00744D3E">
          <w:pgSz w:w="11900" w:h="16840"/>
          <w:pgMar w:top="1440" w:right="1440" w:bottom="1440" w:left="1440" w:header="708" w:footer="708" w:gutter="0"/>
          <w:cols w:space="708"/>
          <w:docGrid w:linePitch="360"/>
        </w:sectPr>
      </w:pPr>
    </w:p>
    <w:p w:rsidR="0066086D" w:rsidRDefault="00701879" w:rsidP="0063163F">
      <w:pPr>
        <w:pStyle w:val="Heading1"/>
        <w:spacing w:line="480" w:lineRule="auto"/>
        <w:rPr>
          <w:rFonts w:ascii="Times New Roman" w:hAnsi="Times New Roman" w:cs="Times New Roman"/>
          <w:b/>
          <w:color w:val="000000" w:themeColor="text1"/>
          <w:sz w:val="24"/>
          <w:szCs w:val="24"/>
        </w:rPr>
      </w:pPr>
      <w:bookmarkStart w:id="23" w:name="_Toc97882890"/>
      <w:r w:rsidRPr="00701879">
        <w:rPr>
          <w:rFonts w:ascii="Times New Roman" w:hAnsi="Times New Roman" w:cs="Times New Roman"/>
          <w:b/>
          <w:color w:val="000000" w:themeColor="text1"/>
          <w:sz w:val="24"/>
          <w:szCs w:val="24"/>
        </w:rPr>
        <w:lastRenderedPageBreak/>
        <w:t>Data availability</w:t>
      </w:r>
      <w:bookmarkEnd w:id="23"/>
      <w:r w:rsidRPr="00701879">
        <w:rPr>
          <w:rFonts w:ascii="Times New Roman" w:hAnsi="Times New Roman" w:cs="Times New Roman"/>
          <w:b/>
          <w:color w:val="000000" w:themeColor="text1"/>
          <w:sz w:val="24"/>
          <w:szCs w:val="24"/>
        </w:rPr>
        <w:t xml:space="preserve"> </w:t>
      </w:r>
    </w:p>
    <w:p w:rsidR="00936FB4" w:rsidRDefault="00936FB4" w:rsidP="00936FB4">
      <w:pPr>
        <w:spacing w:line="480" w:lineRule="auto"/>
      </w:pPr>
    </w:p>
    <w:p w:rsidR="005B3DDE" w:rsidRPr="005B3DDE" w:rsidRDefault="00936FB4" w:rsidP="00936FB4">
      <w:pPr>
        <w:spacing w:line="480" w:lineRule="auto"/>
      </w:pPr>
      <w:r>
        <w:t xml:space="preserve">Summary statistics for ACs were retrieved from a GWAS in 9,363 samples from the Fenland </w:t>
      </w:r>
      <w:proofErr w:type="gramStart"/>
      <w:r>
        <w:t>study</w:t>
      </w:r>
      <w:r w:rsidR="00967671" w:rsidRPr="00967671">
        <w:rPr>
          <w:noProof/>
        </w:rPr>
        <w:t>(</w:t>
      </w:r>
      <w:proofErr w:type="spellStart"/>
      <w:proofErr w:type="gramEnd"/>
      <w:r w:rsidR="00967671" w:rsidRPr="00967671">
        <w:rPr>
          <w:noProof/>
        </w:rPr>
        <w:t>Lotta</w:t>
      </w:r>
      <w:proofErr w:type="spellEnd"/>
      <w:r w:rsidR="00967671" w:rsidRPr="00967671">
        <w:rPr>
          <w:noProof/>
        </w:rPr>
        <w:t xml:space="preserve"> et al., 2020)</w:t>
      </w:r>
      <w:r>
        <w:t xml:space="preserve">. </w:t>
      </w:r>
      <w:r>
        <w:rPr>
          <w:color w:val="000000" w:themeColor="text1"/>
          <w:shd w:val="clear" w:color="auto" w:fill="FFFFFF"/>
        </w:rPr>
        <w:t>GWAS</w:t>
      </w:r>
      <w:r w:rsidR="005B3DDE" w:rsidRPr="005B3DDE">
        <w:rPr>
          <w:color w:val="000000" w:themeColor="text1"/>
          <w:shd w:val="clear" w:color="auto" w:fill="FFFFFF"/>
        </w:rPr>
        <w:t xml:space="preserve"> summary statistics of genotype</w:t>
      </w:r>
      <w:r w:rsidR="00FC6250">
        <w:rPr>
          <w:color w:val="000000" w:themeColor="text1"/>
          <w:shd w:val="clear" w:color="auto" w:fill="FFFFFF"/>
        </w:rPr>
        <w:t>-</w:t>
      </w:r>
      <w:r w:rsidR="005B3DDE" w:rsidRPr="005B3DDE">
        <w:rPr>
          <w:color w:val="000000" w:themeColor="text1"/>
          <w:shd w:val="clear" w:color="auto" w:fill="FFFFFF"/>
        </w:rPr>
        <w:t>metabolite associations are made available through an interactive web server (</w:t>
      </w:r>
      <w:r w:rsidR="005B3DDE" w:rsidRPr="00857719">
        <w:rPr>
          <w:rFonts w:eastAsiaTheme="majorEastAsia"/>
          <w:shd w:val="clear" w:color="auto" w:fill="FFFFFF"/>
        </w:rPr>
        <w:t>https://omicscience.org/apps/crossplatform/</w:t>
      </w:r>
      <w:r w:rsidR="005B3DDE" w:rsidRPr="005B3DDE">
        <w:rPr>
          <w:color w:val="000000" w:themeColor="text1"/>
          <w:shd w:val="clear" w:color="auto" w:fill="FFFFFF"/>
        </w:rPr>
        <w:t>). Access to individual-level data can be requested at</w:t>
      </w:r>
      <w:r w:rsidR="005B3DDE" w:rsidRPr="005B3DDE">
        <w:rPr>
          <w:color w:val="1F497D"/>
          <w:shd w:val="clear" w:color="auto" w:fill="FFFFFF"/>
        </w:rPr>
        <w:t> </w:t>
      </w:r>
      <w:r w:rsidR="005B3DDE" w:rsidRPr="00857719">
        <w:rPr>
          <w:rFonts w:eastAsiaTheme="majorEastAsia"/>
          <w:shd w:val="clear" w:color="auto" w:fill="FFFFFF"/>
        </w:rPr>
        <w:t>https://epi-meta.mrc-epid.cam.ac.uk/</w:t>
      </w:r>
      <w:r w:rsidR="005B3DDE" w:rsidRPr="005B3DDE">
        <w:rPr>
          <w:color w:val="1F497D"/>
          <w:shd w:val="clear" w:color="auto" w:fill="FFFFFF"/>
        </w:rPr>
        <w:t>.</w:t>
      </w:r>
    </w:p>
    <w:p w:rsidR="005B3DDE" w:rsidRPr="005B3DDE" w:rsidRDefault="005B3DDE" w:rsidP="005B3DDE">
      <w:pPr>
        <w:spacing w:line="480" w:lineRule="auto"/>
      </w:pPr>
    </w:p>
    <w:p w:rsidR="0063163F" w:rsidRDefault="009A5347" w:rsidP="005B3DDE">
      <w:pPr>
        <w:spacing w:line="480" w:lineRule="auto"/>
        <w:rPr>
          <w:color w:val="000000"/>
          <w:shd w:val="clear" w:color="auto" w:fill="FFFFFF"/>
        </w:rPr>
      </w:pPr>
      <w:r w:rsidRPr="005B3DDE">
        <w:t>GWAS summary statis</w:t>
      </w:r>
      <w:r w:rsidR="00D0147B" w:rsidRPr="005B3DDE">
        <w:t>tics for depression were obtained from the Psychiatric</w:t>
      </w:r>
      <w:r w:rsidR="00D0147B">
        <w:t xml:space="preserve"> Genomics Consortium (PGC) overarching meta-analysis </w:t>
      </w:r>
      <w:r w:rsidR="00967671" w:rsidRPr="00967671">
        <w:rPr>
          <w:noProof/>
        </w:rPr>
        <w:t>(Howard et al., 2019)</w:t>
      </w:r>
      <w:r w:rsidR="00D0147B">
        <w:t xml:space="preserve"> of datasets with depression phenotypes, totaling 246,363 cases and 344,901 controls. </w:t>
      </w:r>
      <w:r w:rsidR="0063163F">
        <w:rPr>
          <w:color w:val="000000"/>
          <w:shd w:val="clear" w:color="auto" w:fill="FFFFFF"/>
        </w:rPr>
        <w:t xml:space="preserve">The statistics publicly available here </w:t>
      </w:r>
      <w:r w:rsidR="0063163F" w:rsidRPr="00857719">
        <w:rPr>
          <w:shd w:val="clear" w:color="auto" w:fill="FFFFFF"/>
        </w:rPr>
        <w:t>https://www.med.unc.edu/pgc/download-results/</w:t>
      </w:r>
      <w:r w:rsidR="0063163F">
        <w:rPr>
          <w:color w:val="000000"/>
          <w:shd w:val="clear" w:color="auto" w:fill="FFFFFF"/>
        </w:rPr>
        <w:t xml:space="preserve"> are based on a GWAS meta-analysis not including 23andMe </w:t>
      </w:r>
      <w:proofErr w:type="gramStart"/>
      <w:r w:rsidR="0063163F">
        <w:rPr>
          <w:color w:val="000000"/>
          <w:shd w:val="clear" w:color="auto" w:fill="FFFFFF"/>
        </w:rPr>
        <w:t>data</w:t>
      </w:r>
      <w:r w:rsidR="00967671" w:rsidRPr="00967671">
        <w:rPr>
          <w:noProof/>
          <w:color w:val="000000"/>
          <w:shd w:val="clear" w:color="auto" w:fill="FFFFFF"/>
        </w:rPr>
        <w:t>(</w:t>
      </w:r>
      <w:proofErr w:type="gramEnd"/>
      <w:r w:rsidR="00967671" w:rsidRPr="00967671">
        <w:rPr>
          <w:noProof/>
          <w:color w:val="000000"/>
          <w:shd w:val="clear" w:color="auto" w:fill="FFFFFF"/>
        </w:rPr>
        <w:t>Hyde et al., 2016)</w:t>
      </w:r>
      <w:r w:rsidR="0063163F">
        <w:rPr>
          <w:color w:val="000000"/>
          <w:shd w:val="clear" w:color="auto" w:fill="FFFFFF"/>
        </w:rPr>
        <w:t>, access to which is restricted by a Data Transfer Agreement.</w:t>
      </w:r>
    </w:p>
    <w:p w:rsidR="005B3DDE" w:rsidRDefault="005B3DDE" w:rsidP="0063163F">
      <w:pPr>
        <w:spacing w:line="480" w:lineRule="auto"/>
      </w:pPr>
    </w:p>
    <w:p w:rsidR="00FC6250" w:rsidRDefault="00FC6250" w:rsidP="0063163F">
      <w:pPr>
        <w:spacing w:line="480" w:lineRule="auto"/>
        <w:rPr>
          <w:color w:val="000000"/>
          <w:shd w:val="clear" w:color="auto" w:fill="FFFFFF"/>
        </w:rPr>
      </w:pPr>
      <w:r>
        <w:t xml:space="preserve">Full summary statistics for the metabolite GWAS meta-analysis by </w:t>
      </w:r>
      <w:proofErr w:type="spellStart"/>
      <w:r>
        <w:t>Draisma</w:t>
      </w:r>
      <w:proofErr w:type="spellEnd"/>
      <w:r>
        <w:t xml:space="preserve"> et al</w:t>
      </w:r>
      <w:proofErr w:type="gramStart"/>
      <w:r>
        <w:t>.</w:t>
      </w:r>
      <w:r w:rsidR="00967671" w:rsidRPr="00967671">
        <w:rPr>
          <w:noProof/>
        </w:rPr>
        <w:t>(</w:t>
      </w:r>
      <w:proofErr w:type="spellStart"/>
      <w:proofErr w:type="gramEnd"/>
      <w:r w:rsidR="00967671" w:rsidRPr="00967671">
        <w:rPr>
          <w:noProof/>
        </w:rPr>
        <w:t>Draisma</w:t>
      </w:r>
      <w:proofErr w:type="spellEnd"/>
      <w:r w:rsidR="00967671" w:rsidRPr="00967671">
        <w:rPr>
          <w:noProof/>
        </w:rPr>
        <w:t xml:space="preserve"> et al., 2015)</w:t>
      </w:r>
      <w:r>
        <w:t xml:space="preserve"> on</w:t>
      </w:r>
      <w:r>
        <w:rPr>
          <w:color w:val="000000"/>
          <w:shd w:val="clear" w:color="auto" w:fill="FFFFFF"/>
        </w:rPr>
        <w:t xml:space="preserve"> 7,478 samples from seven European cohorts are available at </w:t>
      </w:r>
      <w:r w:rsidRPr="00857719">
        <w:rPr>
          <w:shd w:val="clear" w:color="auto" w:fill="FFFFFF"/>
        </w:rPr>
        <w:t>https://dataverse.nl/dataset.xhtml?persistentId=doi:10.34894/JFWWS4</w:t>
      </w:r>
      <w:r>
        <w:rPr>
          <w:color w:val="000000"/>
          <w:shd w:val="clear" w:color="auto" w:fill="FFFFFF"/>
        </w:rPr>
        <w:t xml:space="preserve"> </w:t>
      </w:r>
    </w:p>
    <w:p w:rsidR="00947BA1" w:rsidRDefault="00947BA1" w:rsidP="0063163F">
      <w:pPr>
        <w:spacing w:line="480" w:lineRule="auto"/>
        <w:sectPr w:rsidR="00947BA1" w:rsidSect="00744D3E">
          <w:pgSz w:w="11900" w:h="16840"/>
          <w:pgMar w:top="1440" w:right="1440" w:bottom="1440" w:left="1440" w:header="708" w:footer="708" w:gutter="0"/>
          <w:cols w:space="708"/>
          <w:docGrid w:linePitch="360"/>
        </w:sectPr>
      </w:pPr>
    </w:p>
    <w:p w:rsidR="00947BA1" w:rsidRDefault="00947BA1" w:rsidP="00947BA1">
      <w:pPr>
        <w:pStyle w:val="Heading1"/>
        <w:spacing w:line="480" w:lineRule="auto"/>
        <w:rPr>
          <w:rFonts w:ascii="Times New Roman" w:hAnsi="Times New Roman" w:cs="Times New Roman"/>
          <w:b/>
          <w:color w:val="000000" w:themeColor="text1"/>
          <w:sz w:val="24"/>
          <w:szCs w:val="24"/>
        </w:rPr>
      </w:pPr>
      <w:bookmarkStart w:id="24" w:name="_Toc97882891"/>
      <w:r w:rsidRPr="00947BA1">
        <w:rPr>
          <w:rFonts w:ascii="Times New Roman" w:hAnsi="Times New Roman" w:cs="Times New Roman"/>
          <w:b/>
          <w:color w:val="000000" w:themeColor="text1"/>
          <w:sz w:val="24"/>
          <w:szCs w:val="24"/>
        </w:rPr>
        <w:lastRenderedPageBreak/>
        <w:t>References</w:t>
      </w:r>
      <w:bookmarkEnd w:id="24"/>
    </w:p>
    <w:p w:rsidR="00967671" w:rsidRPr="00967671" w:rsidRDefault="00967671" w:rsidP="00967671">
      <w:pPr>
        <w:widowControl w:val="0"/>
        <w:autoSpaceDE w:val="0"/>
        <w:autoSpaceDN w:val="0"/>
        <w:adjustRightInd w:val="0"/>
        <w:spacing w:line="480" w:lineRule="auto"/>
        <w:ind w:left="480" w:hanging="480"/>
        <w:rPr>
          <w:noProof/>
        </w:rPr>
      </w:pPr>
      <w:r w:rsidRPr="00967671">
        <w:rPr>
          <w:noProof/>
        </w:rPr>
        <w:t>Bulik-Sullivan, B., Finucane, H.K., Anttila, V., Gusev, A., Day, F.R., Loh, P.R., Duncan, L., Perry, J.R.B., Patterson, N., Robinson, E.B., Daly, M.J., Price, A.L., Neale, B.M., 2015. An atlas of genetic correlations across human diseases and traits. Nat. Genet. 47, 1236–1241. https://doi.org/10.1038/ng.3406</w:t>
      </w:r>
    </w:p>
    <w:p w:rsidR="00967671" w:rsidRPr="00967671" w:rsidRDefault="00967671" w:rsidP="00967671">
      <w:pPr>
        <w:widowControl w:val="0"/>
        <w:autoSpaceDE w:val="0"/>
        <w:autoSpaceDN w:val="0"/>
        <w:adjustRightInd w:val="0"/>
        <w:spacing w:line="480" w:lineRule="auto"/>
        <w:ind w:left="480" w:hanging="480"/>
        <w:rPr>
          <w:noProof/>
        </w:rPr>
      </w:pPr>
      <w:r w:rsidRPr="00967671">
        <w:rPr>
          <w:noProof/>
        </w:rPr>
        <w:t>Draisma, H.H.M., Pool, R., Kobl, M., Jansen, R., Petersen, A.K., Vaarhorst, A.A.M., Yet, I., Haller, T., Demirkan, A., Esko, T., Zhu, G., Böhringer, S., Beekman, M., Van Klinken, J.B., Römisch-Margl, W., Prehn, C., Adamski, J., De Craen, A.J.M., Van Leeuwen, E.M., Amin, N., Dharuri, H., Westra, H.J., Franke, L., De Geus, E.J.C., Hottenga, J.J., Willemsen, G., Henders, A.K., Montgomery, G.W., Nyholt, D.R., Whitfield, J.B., Penninx, B.W., Spector, T.D., Metspalu, A., Eline Slagboom, P., Van Dijk, K.W., ’T Hoen, P.A.C., Strauch, K., Martin, N.G., Van Ommen, G.J.B., Illig, T., Bell, J.T., Mangino, M., Suhre, K., McCarthy, M.I., Gieger, C., Isaacs, A., Van Duijn, C.M., Boomsma, D.I., 2015. Genome-wide association study identifies novel genetic variants contributing to variation in blood metabolite levels. Nat. Commun. 6, 1–9. https://doi.org/10.1038/ncomms8208</w:t>
      </w:r>
    </w:p>
    <w:p w:rsidR="00967671" w:rsidRPr="00967671" w:rsidRDefault="00967671" w:rsidP="00967671">
      <w:pPr>
        <w:widowControl w:val="0"/>
        <w:autoSpaceDE w:val="0"/>
        <w:autoSpaceDN w:val="0"/>
        <w:adjustRightInd w:val="0"/>
        <w:spacing w:line="480" w:lineRule="auto"/>
        <w:ind w:left="480" w:hanging="480"/>
        <w:rPr>
          <w:noProof/>
        </w:rPr>
      </w:pPr>
      <w:r w:rsidRPr="00967671">
        <w:rPr>
          <w:noProof/>
        </w:rPr>
        <w:t>Howard, D.M., Adams, M.J., Clarke, T.-K., Hafferty, J.D., Gibson, J., Shirali, M., I Coleman, J.R., Ward, J., Wigmore, E.M., Alloza, C., Barbu, M.C., Xu, E.Y., Whalley, H.C., Marioni, R.E., Davies, G., Deary, I.J., Hemani, G., Tian, C., Hinds, D.A., Byrne, E.M., Ripke, S., Smith, D.J., Sullivan, F., Wray, N.R., Breen, G., Lewis, C.M., 2019. Genome-wide meta-analysis of depression identifies 102 independent variants and highlights the importance of the prefrontal brain regions. Nat Neurosci 22, 343–352. https://doi.org/10.1101/433367</w:t>
      </w:r>
    </w:p>
    <w:p w:rsidR="00967671" w:rsidRPr="00967671" w:rsidRDefault="00967671" w:rsidP="00967671">
      <w:pPr>
        <w:widowControl w:val="0"/>
        <w:autoSpaceDE w:val="0"/>
        <w:autoSpaceDN w:val="0"/>
        <w:adjustRightInd w:val="0"/>
        <w:spacing w:line="480" w:lineRule="auto"/>
        <w:ind w:left="480" w:hanging="480"/>
        <w:rPr>
          <w:noProof/>
        </w:rPr>
      </w:pPr>
      <w:r w:rsidRPr="00967671">
        <w:rPr>
          <w:noProof/>
        </w:rPr>
        <w:t xml:space="preserve">Hyde, C.L., Nagle, M.W., Tian, C., Chen, X., Paciga, S.A., Wendland, J.R., Tung, J.Y., Hinds, D.A., Perlis, R.H., Winslow, A.R., 2016. Identification of 15 genetic loci </w:t>
      </w:r>
      <w:r w:rsidRPr="00967671">
        <w:rPr>
          <w:noProof/>
        </w:rPr>
        <w:lastRenderedPageBreak/>
        <w:t>associated with risk of major depression in individuals of European descent. Nat. Genet. 1–9. https://doi.org/10.1038/ng.3623</w:t>
      </w:r>
    </w:p>
    <w:p w:rsidR="00967671" w:rsidRPr="00967671" w:rsidRDefault="00967671" w:rsidP="00967671">
      <w:pPr>
        <w:widowControl w:val="0"/>
        <w:autoSpaceDE w:val="0"/>
        <w:autoSpaceDN w:val="0"/>
        <w:adjustRightInd w:val="0"/>
        <w:spacing w:line="480" w:lineRule="auto"/>
        <w:ind w:left="480" w:hanging="480"/>
        <w:rPr>
          <w:noProof/>
        </w:rPr>
      </w:pPr>
      <w:r w:rsidRPr="00967671">
        <w:rPr>
          <w:noProof/>
        </w:rPr>
        <w:t>Lotta, L.A., Pietzner, M., Stewart, I.D., Wittemans, L.B.L., Li, C., Bonelli, R., Raffler, J., Biggs, E.K., Oliver-Williams, C., Auyeung, V.P.W., Surendran, P., Michelotti, G.A., Scott, R.A., Burgess, S., Zuber, V., Sanderson, E., Koulman, A., Imamura, F., Forouhi, N.G., Khaw, K.T., Griffin, J.L., Wood, A.M., Kastenmüller, G., Danesh, J., Butterworth, A.S., Gribble, F.M., Reimann, F., Bahlo, M., Fauman, E., Wareham, N.J., Langenberg, C., 2020. Cross-platform genetic discovery of small molecule products of metabolism and application to clinical outcomes. bioRxiv 1–36. https://doi.org/10.1101/2020.02.03.932541</w:t>
      </w:r>
    </w:p>
    <w:p w:rsidR="00967671" w:rsidRPr="00967671" w:rsidRDefault="00967671" w:rsidP="00967671">
      <w:pPr>
        <w:widowControl w:val="0"/>
        <w:autoSpaceDE w:val="0"/>
        <w:autoSpaceDN w:val="0"/>
        <w:adjustRightInd w:val="0"/>
        <w:spacing w:line="480" w:lineRule="auto"/>
        <w:ind w:left="480" w:hanging="480"/>
        <w:rPr>
          <w:noProof/>
        </w:rPr>
      </w:pPr>
      <w:r w:rsidRPr="00967671">
        <w:rPr>
          <w:noProof/>
        </w:rPr>
        <w:t>Ning, Z., Pawitan, Y., Shen, X., 2020. High-definition likelihood inference of genetic correlations across human complex traits. Nat. Genet. 52, 859–864. https://doi.org/10.1038/s41588-020-0653-y</w:t>
      </w:r>
    </w:p>
    <w:p w:rsidR="00967671" w:rsidRPr="00967671" w:rsidRDefault="00967671" w:rsidP="00967671">
      <w:pPr>
        <w:widowControl w:val="0"/>
        <w:autoSpaceDE w:val="0"/>
        <w:autoSpaceDN w:val="0"/>
        <w:adjustRightInd w:val="0"/>
        <w:spacing w:line="480" w:lineRule="auto"/>
        <w:ind w:left="480" w:hanging="480"/>
        <w:rPr>
          <w:noProof/>
        </w:rPr>
      </w:pPr>
      <w:r w:rsidRPr="00967671">
        <w:rPr>
          <w:noProof/>
        </w:rPr>
        <w:t>Pierce, B.L., Ahsan, H., Vanderweele, T.J., 2011. Power and instrument strength requirements for Mendelian randomization studies using multiple genetic variants. Int. J. Epidemiol. 40, 740–752. https://doi.org/10.1093/ije/dyq151</w:t>
      </w:r>
    </w:p>
    <w:p w:rsidR="00967671" w:rsidRPr="00967671" w:rsidRDefault="00967671" w:rsidP="00967671">
      <w:pPr>
        <w:widowControl w:val="0"/>
        <w:autoSpaceDE w:val="0"/>
        <w:autoSpaceDN w:val="0"/>
        <w:adjustRightInd w:val="0"/>
        <w:spacing w:line="480" w:lineRule="auto"/>
        <w:ind w:left="480" w:hanging="480"/>
        <w:rPr>
          <w:noProof/>
        </w:rPr>
      </w:pPr>
      <w:r w:rsidRPr="00967671">
        <w:rPr>
          <w:noProof/>
        </w:rPr>
        <w:t>Verbanck, M., Chen, C.Y., Neale, B., Do, R., 2018. Detection of widespread horizontal pleiotropy in causal relationships inferred from Mendelian randomization between complex traits and diseases. Nat. Genet. 50, 693–698. https://doi.org/10.1038/s41588-018-0099-7</w:t>
      </w:r>
    </w:p>
    <w:p w:rsidR="00967671" w:rsidRPr="00967671" w:rsidRDefault="00967671" w:rsidP="00967671">
      <w:pPr>
        <w:widowControl w:val="0"/>
        <w:autoSpaceDE w:val="0"/>
        <w:autoSpaceDN w:val="0"/>
        <w:adjustRightInd w:val="0"/>
        <w:spacing w:line="480" w:lineRule="auto"/>
        <w:ind w:left="480" w:hanging="480"/>
        <w:rPr>
          <w:noProof/>
        </w:rPr>
      </w:pPr>
      <w:r w:rsidRPr="00967671">
        <w:rPr>
          <w:noProof/>
        </w:rPr>
        <w:t>Willer, C.J., Li, Y., Abecasis, G.R., 2010. METAL: fast and efficient meta-analysis of genomewide association scans. Bioinformatics 26, 2190–2191. https://doi.org/10.1093/bioinformatics/btq340</w:t>
      </w:r>
    </w:p>
    <w:p w:rsidR="00947BA1" w:rsidRPr="00947BA1" w:rsidRDefault="00947BA1" w:rsidP="00967671">
      <w:pPr>
        <w:widowControl w:val="0"/>
        <w:autoSpaceDE w:val="0"/>
        <w:autoSpaceDN w:val="0"/>
        <w:adjustRightInd w:val="0"/>
        <w:spacing w:line="480" w:lineRule="auto"/>
        <w:ind w:left="640" w:hanging="640"/>
      </w:pPr>
    </w:p>
    <w:p w:rsidR="00845E51" w:rsidRPr="00845E51" w:rsidRDefault="00845E51" w:rsidP="00845E51">
      <w:pPr>
        <w:spacing w:line="480" w:lineRule="auto"/>
      </w:pPr>
    </w:p>
    <w:sectPr w:rsidR="00845E51" w:rsidRPr="00845E51" w:rsidSect="00CF21B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CF6" w:rsidRDefault="00434CF6" w:rsidP="0032151D">
      <w:r>
        <w:separator/>
      </w:r>
    </w:p>
  </w:endnote>
  <w:endnote w:type="continuationSeparator" w:id="0">
    <w:p w:rsidR="00434CF6" w:rsidRDefault="00434CF6" w:rsidP="0032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22888105"/>
      <w:docPartObj>
        <w:docPartGallery w:val="Page Numbers (Bottom of Page)"/>
        <w:docPartUnique/>
      </w:docPartObj>
    </w:sdtPr>
    <w:sdtEndPr>
      <w:rPr>
        <w:rStyle w:val="PageNumber"/>
      </w:rPr>
    </w:sdtEndPr>
    <w:sdtContent>
      <w:p w:rsidR="00002C47" w:rsidRDefault="00002C47" w:rsidP="004E71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02C47" w:rsidRDefault="00002C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05876241"/>
      <w:docPartObj>
        <w:docPartGallery w:val="Page Numbers (Bottom of Page)"/>
        <w:docPartUnique/>
      </w:docPartObj>
    </w:sdtPr>
    <w:sdtEndPr>
      <w:rPr>
        <w:rStyle w:val="PageNumber"/>
      </w:rPr>
    </w:sdtEndPr>
    <w:sdtContent>
      <w:p w:rsidR="00002C47" w:rsidRDefault="00002C47" w:rsidP="004E71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57719">
          <w:rPr>
            <w:rStyle w:val="PageNumber"/>
            <w:noProof/>
          </w:rPr>
          <w:t>1</w:t>
        </w:r>
        <w:r>
          <w:rPr>
            <w:rStyle w:val="PageNumber"/>
          </w:rPr>
          <w:fldChar w:fldCharType="end"/>
        </w:r>
      </w:p>
    </w:sdtContent>
  </w:sdt>
  <w:p w:rsidR="00002C47" w:rsidRDefault="00002C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CF6" w:rsidRDefault="00434CF6" w:rsidP="0032151D">
      <w:r>
        <w:separator/>
      </w:r>
    </w:p>
  </w:footnote>
  <w:footnote w:type="continuationSeparator" w:id="0">
    <w:p w:rsidR="00434CF6" w:rsidRDefault="00434CF6" w:rsidP="00321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otal_Editing_Time" w:val="15"/>
  </w:docVars>
  <w:rsids>
    <w:rsidRoot w:val="00F15271"/>
    <w:rsid w:val="00002C47"/>
    <w:rsid w:val="00085606"/>
    <w:rsid w:val="000A4705"/>
    <w:rsid w:val="000C0C76"/>
    <w:rsid w:val="000C2513"/>
    <w:rsid w:val="000C5A79"/>
    <w:rsid w:val="000C73F6"/>
    <w:rsid w:val="000D6C48"/>
    <w:rsid w:val="000E2E59"/>
    <w:rsid w:val="000E7440"/>
    <w:rsid w:val="000E7CA3"/>
    <w:rsid w:val="000E7DB1"/>
    <w:rsid w:val="000F4A9F"/>
    <w:rsid w:val="00106F6E"/>
    <w:rsid w:val="00113C2E"/>
    <w:rsid w:val="00114C8F"/>
    <w:rsid w:val="0013381D"/>
    <w:rsid w:val="00140F06"/>
    <w:rsid w:val="0014191F"/>
    <w:rsid w:val="001468F1"/>
    <w:rsid w:val="00167D7B"/>
    <w:rsid w:val="001702F0"/>
    <w:rsid w:val="00170877"/>
    <w:rsid w:val="0017200D"/>
    <w:rsid w:val="001756C6"/>
    <w:rsid w:val="00183DAE"/>
    <w:rsid w:val="001945B7"/>
    <w:rsid w:val="001A1AB3"/>
    <w:rsid w:val="001C135D"/>
    <w:rsid w:val="001C4F6A"/>
    <w:rsid w:val="001C691B"/>
    <w:rsid w:val="001D27BE"/>
    <w:rsid w:val="001D33D4"/>
    <w:rsid w:val="001F3E88"/>
    <w:rsid w:val="001F6026"/>
    <w:rsid w:val="00201C32"/>
    <w:rsid w:val="002036AB"/>
    <w:rsid w:val="00217057"/>
    <w:rsid w:val="00220347"/>
    <w:rsid w:val="00224D61"/>
    <w:rsid w:val="00233673"/>
    <w:rsid w:val="0024263F"/>
    <w:rsid w:val="00254B5F"/>
    <w:rsid w:val="00276759"/>
    <w:rsid w:val="0028762E"/>
    <w:rsid w:val="002A47F4"/>
    <w:rsid w:val="002A632C"/>
    <w:rsid w:val="002A6BBB"/>
    <w:rsid w:val="002C0DD2"/>
    <w:rsid w:val="002D3984"/>
    <w:rsid w:val="002E72AD"/>
    <w:rsid w:val="002F3A3F"/>
    <w:rsid w:val="002F560F"/>
    <w:rsid w:val="002F7903"/>
    <w:rsid w:val="00301DAB"/>
    <w:rsid w:val="00310455"/>
    <w:rsid w:val="00312326"/>
    <w:rsid w:val="0032151D"/>
    <w:rsid w:val="003229BF"/>
    <w:rsid w:val="003321EE"/>
    <w:rsid w:val="00347AE8"/>
    <w:rsid w:val="00347CD2"/>
    <w:rsid w:val="00361872"/>
    <w:rsid w:val="00371AB1"/>
    <w:rsid w:val="00375D02"/>
    <w:rsid w:val="00375E8D"/>
    <w:rsid w:val="003A6DA4"/>
    <w:rsid w:val="003B4820"/>
    <w:rsid w:val="003C6B1B"/>
    <w:rsid w:val="003E7471"/>
    <w:rsid w:val="003F6115"/>
    <w:rsid w:val="0040579E"/>
    <w:rsid w:val="004058CB"/>
    <w:rsid w:val="004226CE"/>
    <w:rsid w:val="00426174"/>
    <w:rsid w:val="00427430"/>
    <w:rsid w:val="00434CF6"/>
    <w:rsid w:val="004362CE"/>
    <w:rsid w:val="0044090B"/>
    <w:rsid w:val="0046444F"/>
    <w:rsid w:val="004A16C5"/>
    <w:rsid w:val="004A2385"/>
    <w:rsid w:val="004B4491"/>
    <w:rsid w:val="004C1AA9"/>
    <w:rsid w:val="004D2364"/>
    <w:rsid w:val="004E716F"/>
    <w:rsid w:val="004F2E7F"/>
    <w:rsid w:val="00513380"/>
    <w:rsid w:val="00525223"/>
    <w:rsid w:val="00526F84"/>
    <w:rsid w:val="00540A81"/>
    <w:rsid w:val="005704A2"/>
    <w:rsid w:val="0058765F"/>
    <w:rsid w:val="005A3CA3"/>
    <w:rsid w:val="005A4810"/>
    <w:rsid w:val="005A6DB3"/>
    <w:rsid w:val="005B3DDE"/>
    <w:rsid w:val="005B6339"/>
    <w:rsid w:val="005B6BDF"/>
    <w:rsid w:val="00614DB7"/>
    <w:rsid w:val="00616AE8"/>
    <w:rsid w:val="0063163F"/>
    <w:rsid w:val="00652CFF"/>
    <w:rsid w:val="00656707"/>
    <w:rsid w:val="0066086D"/>
    <w:rsid w:val="00672E11"/>
    <w:rsid w:val="00681218"/>
    <w:rsid w:val="006A18A2"/>
    <w:rsid w:val="006A2287"/>
    <w:rsid w:val="006B0798"/>
    <w:rsid w:val="006B086E"/>
    <w:rsid w:val="006D4F21"/>
    <w:rsid w:val="006D50D1"/>
    <w:rsid w:val="00701879"/>
    <w:rsid w:val="0070303D"/>
    <w:rsid w:val="00707DBD"/>
    <w:rsid w:val="007277B5"/>
    <w:rsid w:val="00735F5A"/>
    <w:rsid w:val="00744D3E"/>
    <w:rsid w:val="00751543"/>
    <w:rsid w:val="00782C47"/>
    <w:rsid w:val="007A4B78"/>
    <w:rsid w:val="007C1D30"/>
    <w:rsid w:val="007C558E"/>
    <w:rsid w:val="007C6108"/>
    <w:rsid w:val="007C76FD"/>
    <w:rsid w:val="007E2490"/>
    <w:rsid w:val="0082333F"/>
    <w:rsid w:val="00825B90"/>
    <w:rsid w:val="008416A4"/>
    <w:rsid w:val="00844D7B"/>
    <w:rsid w:val="00845E51"/>
    <w:rsid w:val="00845EF6"/>
    <w:rsid w:val="00857719"/>
    <w:rsid w:val="00862235"/>
    <w:rsid w:val="00881847"/>
    <w:rsid w:val="008F4649"/>
    <w:rsid w:val="009056A7"/>
    <w:rsid w:val="00915A50"/>
    <w:rsid w:val="00921774"/>
    <w:rsid w:val="00921D4C"/>
    <w:rsid w:val="00931439"/>
    <w:rsid w:val="00933942"/>
    <w:rsid w:val="00936FB4"/>
    <w:rsid w:val="00947BA1"/>
    <w:rsid w:val="009579F5"/>
    <w:rsid w:val="00967671"/>
    <w:rsid w:val="009679ED"/>
    <w:rsid w:val="009730DC"/>
    <w:rsid w:val="00997F32"/>
    <w:rsid w:val="009A5347"/>
    <w:rsid w:val="009C3316"/>
    <w:rsid w:val="009C7BF0"/>
    <w:rsid w:val="009E7AA2"/>
    <w:rsid w:val="009F2C6C"/>
    <w:rsid w:val="009F4425"/>
    <w:rsid w:val="009F5DE8"/>
    <w:rsid w:val="00A26AC5"/>
    <w:rsid w:val="00A273AB"/>
    <w:rsid w:val="00A31AB1"/>
    <w:rsid w:val="00A3655F"/>
    <w:rsid w:val="00A4476B"/>
    <w:rsid w:val="00A47216"/>
    <w:rsid w:val="00A65545"/>
    <w:rsid w:val="00A65BD5"/>
    <w:rsid w:val="00A7350E"/>
    <w:rsid w:val="00A76E31"/>
    <w:rsid w:val="00AA01CD"/>
    <w:rsid w:val="00AA2710"/>
    <w:rsid w:val="00AA3C05"/>
    <w:rsid w:val="00AA3C58"/>
    <w:rsid w:val="00AB2CAA"/>
    <w:rsid w:val="00AD4FF7"/>
    <w:rsid w:val="00AF3433"/>
    <w:rsid w:val="00B01136"/>
    <w:rsid w:val="00B06259"/>
    <w:rsid w:val="00B075D5"/>
    <w:rsid w:val="00B74328"/>
    <w:rsid w:val="00B74332"/>
    <w:rsid w:val="00B843E3"/>
    <w:rsid w:val="00B93CAA"/>
    <w:rsid w:val="00B94DEB"/>
    <w:rsid w:val="00B970C8"/>
    <w:rsid w:val="00BC4977"/>
    <w:rsid w:val="00BD5C57"/>
    <w:rsid w:val="00BE3480"/>
    <w:rsid w:val="00C01C99"/>
    <w:rsid w:val="00C02EA4"/>
    <w:rsid w:val="00C06B98"/>
    <w:rsid w:val="00C12F81"/>
    <w:rsid w:val="00C32D94"/>
    <w:rsid w:val="00C36D2E"/>
    <w:rsid w:val="00C46B29"/>
    <w:rsid w:val="00C674F8"/>
    <w:rsid w:val="00C76A27"/>
    <w:rsid w:val="00CC0D47"/>
    <w:rsid w:val="00CD25B4"/>
    <w:rsid w:val="00CE560C"/>
    <w:rsid w:val="00CF21BE"/>
    <w:rsid w:val="00CF791A"/>
    <w:rsid w:val="00D0147B"/>
    <w:rsid w:val="00D21683"/>
    <w:rsid w:val="00D32A51"/>
    <w:rsid w:val="00D32F90"/>
    <w:rsid w:val="00D36B00"/>
    <w:rsid w:val="00D47BF3"/>
    <w:rsid w:val="00D520DF"/>
    <w:rsid w:val="00D5382D"/>
    <w:rsid w:val="00D55E87"/>
    <w:rsid w:val="00D61244"/>
    <w:rsid w:val="00D65064"/>
    <w:rsid w:val="00D65D93"/>
    <w:rsid w:val="00D67AF9"/>
    <w:rsid w:val="00D807C4"/>
    <w:rsid w:val="00D914E1"/>
    <w:rsid w:val="00DA021B"/>
    <w:rsid w:val="00DB2D51"/>
    <w:rsid w:val="00DC0C6E"/>
    <w:rsid w:val="00DC5762"/>
    <w:rsid w:val="00DC69A5"/>
    <w:rsid w:val="00DD48BF"/>
    <w:rsid w:val="00DE15A3"/>
    <w:rsid w:val="00DE1F75"/>
    <w:rsid w:val="00DF556B"/>
    <w:rsid w:val="00E05C4B"/>
    <w:rsid w:val="00E07647"/>
    <w:rsid w:val="00E1437F"/>
    <w:rsid w:val="00E14938"/>
    <w:rsid w:val="00E219CA"/>
    <w:rsid w:val="00E3162C"/>
    <w:rsid w:val="00E4037F"/>
    <w:rsid w:val="00E47138"/>
    <w:rsid w:val="00E66C86"/>
    <w:rsid w:val="00E73E83"/>
    <w:rsid w:val="00E77BCB"/>
    <w:rsid w:val="00E90719"/>
    <w:rsid w:val="00EB6CCA"/>
    <w:rsid w:val="00EC6552"/>
    <w:rsid w:val="00ED4632"/>
    <w:rsid w:val="00EE1705"/>
    <w:rsid w:val="00EE3F52"/>
    <w:rsid w:val="00EE5A94"/>
    <w:rsid w:val="00EE771D"/>
    <w:rsid w:val="00EF17F3"/>
    <w:rsid w:val="00F00C19"/>
    <w:rsid w:val="00F06145"/>
    <w:rsid w:val="00F12029"/>
    <w:rsid w:val="00F15271"/>
    <w:rsid w:val="00F346BF"/>
    <w:rsid w:val="00F90229"/>
    <w:rsid w:val="00FA0259"/>
    <w:rsid w:val="00FA79C5"/>
    <w:rsid w:val="00FA7C5A"/>
    <w:rsid w:val="00FC0696"/>
    <w:rsid w:val="00FC2620"/>
    <w:rsid w:val="00FC6250"/>
    <w:rsid w:val="00FC69BC"/>
    <w:rsid w:val="00FD14DE"/>
    <w:rsid w:val="00FF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705"/>
    <w:rPr>
      <w:rFonts w:ascii="Times New Roman" w:eastAsia="Times New Roman" w:hAnsi="Times New Roman" w:cs="Times New Roman"/>
    </w:rPr>
  </w:style>
  <w:style w:type="paragraph" w:styleId="Heading1">
    <w:name w:val="heading 1"/>
    <w:basedOn w:val="Normal"/>
    <w:next w:val="Normal"/>
    <w:link w:val="Heading1Char"/>
    <w:uiPriority w:val="9"/>
    <w:qFormat/>
    <w:rsid w:val="003E74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07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52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27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E74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071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32151D"/>
    <w:pPr>
      <w:tabs>
        <w:tab w:val="center" w:pos="4680"/>
        <w:tab w:val="right" w:pos="9360"/>
      </w:tabs>
    </w:pPr>
  </w:style>
  <w:style w:type="character" w:customStyle="1" w:styleId="FooterChar">
    <w:name w:val="Footer Char"/>
    <w:basedOn w:val="DefaultParagraphFont"/>
    <w:link w:val="Footer"/>
    <w:uiPriority w:val="99"/>
    <w:rsid w:val="0032151D"/>
  </w:style>
  <w:style w:type="character" w:styleId="PageNumber">
    <w:name w:val="page number"/>
    <w:basedOn w:val="DefaultParagraphFont"/>
    <w:uiPriority w:val="99"/>
    <w:semiHidden/>
    <w:unhideWhenUsed/>
    <w:rsid w:val="0032151D"/>
  </w:style>
  <w:style w:type="paragraph" w:styleId="NoSpacing">
    <w:name w:val="No Spacing"/>
    <w:uiPriority w:val="1"/>
    <w:qFormat/>
    <w:rsid w:val="00845E51"/>
    <w:rPr>
      <w:rFonts w:ascii="Times New Roman" w:eastAsia="Times New Roman" w:hAnsi="Times New Roman" w:cs="Times New Roman"/>
    </w:rPr>
  </w:style>
  <w:style w:type="character" w:styleId="Hyperlink">
    <w:name w:val="Hyperlink"/>
    <w:basedOn w:val="DefaultParagraphFont"/>
    <w:uiPriority w:val="99"/>
    <w:unhideWhenUsed/>
    <w:rsid w:val="0063163F"/>
    <w:rPr>
      <w:color w:val="0563C1" w:themeColor="hyperlink"/>
      <w:u w:val="single"/>
    </w:rPr>
  </w:style>
  <w:style w:type="character" w:customStyle="1" w:styleId="UnresolvedMention">
    <w:name w:val="Unresolved Mention"/>
    <w:basedOn w:val="DefaultParagraphFont"/>
    <w:uiPriority w:val="99"/>
    <w:semiHidden/>
    <w:unhideWhenUsed/>
    <w:rsid w:val="0063163F"/>
    <w:rPr>
      <w:color w:val="605E5C"/>
      <w:shd w:val="clear" w:color="auto" w:fill="E1DFDD"/>
    </w:rPr>
  </w:style>
  <w:style w:type="character" w:styleId="FollowedHyperlink">
    <w:name w:val="FollowedHyperlink"/>
    <w:basedOn w:val="DefaultParagraphFont"/>
    <w:uiPriority w:val="99"/>
    <w:semiHidden/>
    <w:unhideWhenUsed/>
    <w:rsid w:val="005B3DDE"/>
    <w:rPr>
      <w:color w:val="954F72" w:themeColor="followedHyperlink"/>
      <w:u w:val="single"/>
    </w:rPr>
  </w:style>
  <w:style w:type="paragraph" w:styleId="TOCHeading">
    <w:name w:val="TOC Heading"/>
    <w:basedOn w:val="Heading1"/>
    <w:next w:val="Normal"/>
    <w:uiPriority w:val="39"/>
    <w:unhideWhenUsed/>
    <w:qFormat/>
    <w:rsid w:val="0046444F"/>
    <w:pPr>
      <w:spacing w:before="480" w:line="276" w:lineRule="auto"/>
      <w:outlineLvl w:val="9"/>
    </w:pPr>
    <w:rPr>
      <w:b/>
      <w:bCs/>
      <w:sz w:val="28"/>
      <w:szCs w:val="28"/>
    </w:rPr>
  </w:style>
  <w:style w:type="paragraph" w:styleId="TOC1">
    <w:name w:val="toc 1"/>
    <w:basedOn w:val="Normal"/>
    <w:next w:val="Normal"/>
    <w:autoRedefine/>
    <w:uiPriority w:val="39"/>
    <w:unhideWhenUsed/>
    <w:rsid w:val="0046444F"/>
    <w:pPr>
      <w:spacing w:before="120"/>
    </w:pPr>
    <w:rPr>
      <w:rFonts w:asciiTheme="minorHAnsi" w:hAnsiTheme="minorHAnsi"/>
      <w:b/>
      <w:bCs/>
      <w:i/>
      <w:iCs/>
    </w:rPr>
  </w:style>
  <w:style w:type="paragraph" w:styleId="TOC2">
    <w:name w:val="toc 2"/>
    <w:basedOn w:val="Normal"/>
    <w:next w:val="Normal"/>
    <w:autoRedefine/>
    <w:uiPriority w:val="39"/>
    <w:unhideWhenUsed/>
    <w:rsid w:val="0046444F"/>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46444F"/>
    <w:pPr>
      <w:ind w:left="480"/>
    </w:pPr>
    <w:rPr>
      <w:rFonts w:asciiTheme="minorHAnsi" w:hAnsiTheme="minorHAnsi"/>
      <w:sz w:val="20"/>
      <w:szCs w:val="20"/>
    </w:rPr>
  </w:style>
  <w:style w:type="paragraph" w:styleId="TOC4">
    <w:name w:val="toc 4"/>
    <w:basedOn w:val="Normal"/>
    <w:next w:val="Normal"/>
    <w:autoRedefine/>
    <w:uiPriority w:val="39"/>
    <w:semiHidden/>
    <w:unhideWhenUsed/>
    <w:rsid w:val="0046444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46444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46444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46444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46444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46444F"/>
    <w:pPr>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857719"/>
    <w:rPr>
      <w:rFonts w:ascii="Tahoma" w:hAnsi="Tahoma" w:cs="Tahoma"/>
      <w:sz w:val="16"/>
      <w:szCs w:val="16"/>
    </w:rPr>
  </w:style>
  <w:style w:type="character" w:customStyle="1" w:styleId="BalloonTextChar">
    <w:name w:val="Balloon Text Char"/>
    <w:basedOn w:val="DefaultParagraphFont"/>
    <w:link w:val="BalloonText"/>
    <w:uiPriority w:val="99"/>
    <w:semiHidden/>
    <w:rsid w:val="008577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705"/>
    <w:rPr>
      <w:rFonts w:ascii="Times New Roman" w:eastAsia="Times New Roman" w:hAnsi="Times New Roman" w:cs="Times New Roman"/>
    </w:rPr>
  </w:style>
  <w:style w:type="paragraph" w:styleId="Heading1">
    <w:name w:val="heading 1"/>
    <w:basedOn w:val="Normal"/>
    <w:next w:val="Normal"/>
    <w:link w:val="Heading1Char"/>
    <w:uiPriority w:val="9"/>
    <w:qFormat/>
    <w:rsid w:val="003E74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07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52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27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E74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071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32151D"/>
    <w:pPr>
      <w:tabs>
        <w:tab w:val="center" w:pos="4680"/>
        <w:tab w:val="right" w:pos="9360"/>
      </w:tabs>
    </w:pPr>
  </w:style>
  <w:style w:type="character" w:customStyle="1" w:styleId="FooterChar">
    <w:name w:val="Footer Char"/>
    <w:basedOn w:val="DefaultParagraphFont"/>
    <w:link w:val="Footer"/>
    <w:uiPriority w:val="99"/>
    <w:rsid w:val="0032151D"/>
  </w:style>
  <w:style w:type="character" w:styleId="PageNumber">
    <w:name w:val="page number"/>
    <w:basedOn w:val="DefaultParagraphFont"/>
    <w:uiPriority w:val="99"/>
    <w:semiHidden/>
    <w:unhideWhenUsed/>
    <w:rsid w:val="0032151D"/>
  </w:style>
  <w:style w:type="paragraph" w:styleId="NoSpacing">
    <w:name w:val="No Spacing"/>
    <w:uiPriority w:val="1"/>
    <w:qFormat/>
    <w:rsid w:val="00845E51"/>
    <w:rPr>
      <w:rFonts w:ascii="Times New Roman" w:eastAsia="Times New Roman" w:hAnsi="Times New Roman" w:cs="Times New Roman"/>
    </w:rPr>
  </w:style>
  <w:style w:type="character" w:styleId="Hyperlink">
    <w:name w:val="Hyperlink"/>
    <w:basedOn w:val="DefaultParagraphFont"/>
    <w:uiPriority w:val="99"/>
    <w:unhideWhenUsed/>
    <w:rsid w:val="0063163F"/>
    <w:rPr>
      <w:color w:val="0563C1" w:themeColor="hyperlink"/>
      <w:u w:val="single"/>
    </w:rPr>
  </w:style>
  <w:style w:type="character" w:customStyle="1" w:styleId="UnresolvedMention">
    <w:name w:val="Unresolved Mention"/>
    <w:basedOn w:val="DefaultParagraphFont"/>
    <w:uiPriority w:val="99"/>
    <w:semiHidden/>
    <w:unhideWhenUsed/>
    <w:rsid w:val="0063163F"/>
    <w:rPr>
      <w:color w:val="605E5C"/>
      <w:shd w:val="clear" w:color="auto" w:fill="E1DFDD"/>
    </w:rPr>
  </w:style>
  <w:style w:type="character" w:styleId="FollowedHyperlink">
    <w:name w:val="FollowedHyperlink"/>
    <w:basedOn w:val="DefaultParagraphFont"/>
    <w:uiPriority w:val="99"/>
    <w:semiHidden/>
    <w:unhideWhenUsed/>
    <w:rsid w:val="005B3DDE"/>
    <w:rPr>
      <w:color w:val="954F72" w:themeColor="followedHyperlink"/>
      <w:u w:val="single"/>
    </w:rPr>
  </w:style>
  <w:style w:type="paragraph" w:styleId="TOCHeading">
    <w:name w:val="TOC Heading"/>
    <w:basedOn w:val="Heading1"/>
    <w:next w:val="Normal"/>
    <w:uiPriority w:val="39"/>
    <w:unhideWhenUsed/>
    <w:qFormat/>
    <w:rsid w:val="0046444F"/>
    <w:pPr>
      <w:spacing w:before="480" w:line="276" w:lineRule="auto"/>
      <w:outlineLvl w:val="9"/>
    </w:pPr>
    <w:rPr>
      <w:b/>
      <w:bCs/>
      <w:sz w:val="28"/>
      <w:szCs w:val="28"/>
    </w:rPr>
  </w:style>
  <w:style w:type="paragraph" w:styleId="TOC1">
    <w:name w:val="toc 1"/>
    <w:basedOn w:val="Normal"/>
    <w:next w:val="Normal"/>
    <w:autoRedefine/>
    <w:uiPriority w:val="39"/>
    <w:unhideWhenUsed/>
    <w:rsid w:val="0046444F"/>
    <w:pPr>
      <w:spacing w:before="120"/>
    </w:pPr>
    <w:rPr>
      <w:rFonts w:asciiTheme="minorHAnsi" w:hAnsiTheme="minorHAnsi"/>
      <w:b/>
      <w:bCs/>
      <w:i/>
      <w:iCs/>
    </w:rPr>
  </w:style>
  <w:style w:type="paragraph" w:styleId="TOC2">
    <w:name w:val="toc 2"/>
    <w:basedOn w:val="Normal"/>
    <w:next w:val="Normal"/>
    <w:autoRedefine/>
    <w:uiPriority w:val="39"/>
    <w:unhideWhenUsed/>
    <w:rsid w:val="0046444F"/>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46444F"/>
    <w:pPr>
      <w:ind w:left="480"/>
    </w:pPr>
    <w:rPr>
      <w:rFonts w:asciiTheme="minorHAnsi" w:hAnsiTheme="minorHAnsi"/>
      <w:sz w:val="20"/>
      <w:szCs w:val="20"/>
    </w:rPr>
  </w:style>
  <w:style w:type="paragraph" w:styleId="TOC4">
    <w:name w:val="toc 4"/>
    <w:basedOn w:val="Normal"/>
    <w:next w:val="Normal"/>
    <w:autoRedefine/>
    <w:uiPriority w:val="39"/>
    <w:semiHidden/>
    <w:unhideWhenUsed/>
    <w:rsid w:val="0046444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46444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46444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46444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46444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46444F"/>
    <w:pPr>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857719"/>
    <w:rPr>
      <w:rFonts w:ascii="Tahoma" w:hAnsi="Tahoma" w:cs="Tahoma"/>
      <w:sz w:val="16"/>
      <w:szCs w:val="16"/>
    </w:rPr>
  </w:style>
  <w:style w:type="character" w:customStyle="1" w:styleId="BalloonTextChar">
    <w:name w:val="Balloon Text Char"/>
    <w:basedOn w:val="DefaultParagraphFont"/>
    <w:link w:val="BalloonText"/>
    <w:uiPriority w:val="99"/>
    <w:semiHidden/>
    <w:rsid w:val="008577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0039">
      <w:bodyDiv w:val="1"/>
      <w:marLeft w:val="0"/>
      <w:marRight w:val="0"/>
      <w:marTop w:val="0"/>
      <w:marBottom w:val="0"/>
      <w:divBdr>
        <w:top w:val="none" w:sz="0" w:space="0" w:color="auto"/>
        <w:left w:val="none" w:sz="0" w:space="0" w:color="auto"/>
        <w:bottom w:val="none" w:sz="0" w:space="0" w:color="auto"/>
        <w:right w:val="none" w:sz="0" w:space="0" w:color="auto"/>
      </w:divBdr>
    </w:div>
    <w:div w:id="145901958">
      <w:bodyDiv w:val="1"/>
      <w:marLeft w:val="0"/>
      <w:marRight w:val="0"/>
      <w:marTop w:val="0"/>
      <w:marBottom w:val="0"/>
      <w:divBdr>
        <w:top w:val="none" w:sz="0" w:space="0" w:color="auto"/>
        <w:left w:val="none" w:sz="0" w:space="0" w:color="auto"/>
        <w:bottom w:val="none" w:sz="0" w:space="0" w:color="auto"/>
        <w:right w:val="none" w:sz="0" w:space="0" w:color="auto"/>
      </w:divBdr>
    </w:div>
    <w:div w:id="219052611">
      <w:bodyDiv w:val="1"/>
      <w:marLeft w:val="0"/>
      <w:marRight w:val="0"/>
      <w:marTop w:val="0"/>
      <w:marBottom w:val="0"/>
      <w:divBdr>
        <w:top w:val="none" w:sz="0" w:space="0" w:color="auto"/>
        <w:left w:val="none" w:sz="0" w:space="0" w:color="auto"/>
        <w:bottom w:val="none" w:sz="0" w:space="0" w:color="auto"/>
        <w:right w:val="none" w:sz="0" w:space="0" w:color="auto"/>
      </w:divBdr>
    </w:div>
    <w:div w:id="862212590">
      <w:bodyDiv w:val="1"/>
      <w:marLeft w:val="0"/>
      <w:marRight w:val="0"/>
      <w:marTop w:val="0"/>
      <w:marBottom w:val="0"/>
      <w:divBdr>
        <w:top w:val="none" w:sz="0" w:space="0" w:color="auto"/>
        <w:left w:val="none" w:sz="0" w:space="0" w:color="auto"/>
        <w:bottom w:val="none" w:sz="0" w:space="0" w:color="auto"/>
        <w:right w:val="none" w:sz="0" w:space="0" w:color="auto"/>
      </w:divBdr>
    </w:div>
    <w:div w:id="1279603411">
      <w:bodyDiv w:val="1"/>
      <w:marLeft w:val="0"/>
      <w:marRight w:val="0"/>
      <w:marTop w:val="0"/>
      <w:marBottom w:val="0"/>
      <w:divBdr>
        <w:top w:val="none" w:sz="0" w:space="0" w:color="auto"/>
        <w:left w:val="none" w:sz="0" w:space="0" w:color="auto"/>
        <w:bottom w:val="none" w:sz="0" w:space="0" w:color="auto"/>
        <w:right w:val="none" w:sz="0" w:space="0" w:color="auto"/>
      </w:divBdr>
    </w:div>
    <w:div w:id="1289705019">
      <w:bodyDiv w:val="1"/>
      <w:marLeft w:val="0"/>
      <w:marRight w:val="0"/>
      <w:marTop w:val="0"/>
      <w:marBottom w:val="0"/>
      <w:divBdr>
        <w:top w:val="none" w:sz="0" w:space="0" w:color="auto"/>
        <w:left w:val="none" w:sz="0" w:space="0" w:color="auto"/>
        <w:bottom w:val="none" w:sz="0" w:space="0" w:color="auto"/>
        <w:right w:val="none" w:sz="0" w:space="0" w:color="auto"/>
      </w:divBdr>
    </w:div>
    <w:div w:id="1547907151">
      <w:bodyDiv w:val="1"/>
      <w:marLeft w:val="0"/>
      <w:marRight w:val="0"/>
      <w:marTop w:val="0"/>
      <w:marBottom w:val="0"/>
      <w:divBdr>
        <w:top w:val="none" w:sz="0" w:space="0" w:color="auto"/>
        <w:left w:val="none" w:sz="0" w:space="0" w:color="auto"/>
        <w:bottom w:val="none" w:sz="0" w:space="0" w:color="auto"/>
        <w:right w:val="none" w:sz="0" w:space="0" w:color="auto"/>
      </w:divBdr>
    </w:div>
    <w:div w:id="1592079197">
      <w:bodyDiv w:val="1"/>
      <w:marLeft w:val="0"/>
      <w:marRight w:val="0"/>
      <w:marTop w:val="0"/>
      <w:marBottom w:val="0"/>
      <w:divBdr>
        <w:top w:val="none" w:sz="0" w:space="0" w:color="auto"/>
        <w:left w:val="none" w:sz="0" w:space="0" w:color="auto"/>
        <w:bottom w:val="none" w:sz="0" w:space="0" w:color="auto"/>
        <w:right w:val="none" w:sz="0" w:space="0" w:color="auto"/>
      </w:divBdr>
    </w:div>
    <w:div w:id="1625381005">
      <w:bodyDiv w:val="1"/>
      <w:marLeft w:val="0"/>
      <w:marRight w:val="0"/>
      <w:marTop w:val="0"/>
      <w:marBottom w:val="0"/>
      <w:divBdr>
        <w:top w:val="none" w:sz="0" w:space="0" w:color="auto"/>
        <w:left w:val="none" w:sz="0" w:space="0" w:color="auto"/>
        <w:bottom w:val="none" w:sz="0" w:space="0" w:color="auto"/>
        <w:right w:val="none" w:sz="0" w:space="0" w:color="auto"/>
      </w:divBdr>
    </w:div>
    <w:div w:id="1635793917">
      <w:bodyDiv w:val="1"/>
      <w:marLeft w:val="0"/>
      <w:marRight w:val="0"/>
      <w:marTop w:val="0"/>
      <w:marBottom w:val="0"/>
      <w:divBdr>
        <w:top w:val="none" w:sz="0" w:space="0" w:color="auto"/>
        <w:left w:val="none" w:sz="0" w:space="0" w:color="auto"/>
        <w:bottom w:val="none" w:sz="0" w:space="0" w:color="auto"/>
        <w:right w:val="none" w:sz="0" w:space="0" w:color="auto"/>
      </w:divBdr>
    </w:div>
    <w:div w:id="1701390313">
      <w:bodyDiv w:val="1"/>
      <w:marLeft w:val="0"/>
      <w:marRight w:val="0"/>
      <w:marTop w:val="0"/>
      <w:marBottom w:val="0"/>
      <w:divBdr>
        <w:top w:val="none" w:sz="0" w:space="0" w:color="auto"/>
        <w:left w:val="none" w:sz="0" w:space="0" w:color="auto"/>
        <w:bottom w:val="none" w:sz="0" w:space="0" w:color="auto"/>
        <w:right w:val="none" w:sz="0" w:space="0" w:color="auto"/>
      </w:divBdr>
    </w:div>
    <w:div w:id="1803576787">
      <w:bodyDiv w:val="1"/>
      <w:marLeft w:val="0"/>
      <w:marRight w:val="0"/>
      <w:marTop w:val="0"/>
      <w:marBottom w:val="0"/>
      <w:divBdr>
        <w:top w:val="none" w:sz="0" w:space="0" w:color="auto"/>
        <w:left w:val="none" w:sz="0" w:space="0" w:color="auto"/>
        <w:bottom w:val="none" w:sz="0" w:space="0" w:color="auto"/>
        <w:right w:val="none" w:sz="0" w:space="0" w:color="auto"/>
      </w:divBdr>
    </w:div>
    <w:div w:id="1846742936">
      <w:bodyDiv w:val="1"/>
      <w:marLeft w:val="0"/>
      <w:marRight w:val="0"/>
      <w:marTop w:val="0"/>
      <w:marBottom w:val="0"/>
      <w:divBdr>
        <w:top w:val="none" w:sz="0" w:space="0" w:color="auto"/>
        <w:left w:val="none" w:sz="0" w:space="0" w:color="auto"/>
        <w:bottom w:val="none" w:sz="0" w:space="0" w:color="auto"/>
        <w:right w:val="none" w:sz="0" w:space="0" w:color="auto"/>
      </w:divBdr>
    </w:div>
    <w:div w:id="1883128528">
      <w:bodyDiv w:val="1"/>
      <w:marLeft w:val="0"/>
      <w:marRight w:val="0"/>
      <w:marTop w:val="0"/>
      <w:marBottom w:val="0"/>
      <w:divBdr>
        <w:top w:val="none" w:sz="0" w:space="0" w:color="auto"/>
        <w:left w:val="none" w:sz="0" w:space="0" w:color="auto"/>
        <w:bottom w:val="none" w:sz="0" w:space="0" w:color="auto"/>
        <w:right w:val="none" w:sz="0" w:space="0" w:color="auto"/>
      </w:divBdr>
    </w:div>
    <w:div w:id="199498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2FE2-9E7B-440E-BD13-99154477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3008</Words>
  <Characters>16760</Characters>
  <Application>Microsoft Office Word</Application>
  <DocSecurity>0</DocSecurity>
  <Lines>1862</Lines>
  <Paragraphs>1411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milaneschi</dc:creator>
  <cp:keywords/>
  <dc:description/>
  <cp:lastModifiedBy>ABADON</cp:lastModifiedBy>
  <cp:revision>11</cp:revision>
  <dcterms:created xsi:type="dcterms:W3CDTF">2021-10-07T14:29:00Z</dcterms:created>
  <dcterms:modified xsi:type="dcterms:W3CDTF">2022-04-01T13:56:00Z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http://www.zotero.org/styles/journal-of-affective-disorders</vt:lpwstr>
  </property>
  <property fmtid="{D5CDD505-2E9C-101B-9397-08002B2CF9AE}" pid="13" name="Mendeley Recent Style Name 5_1">
    <vt:lpwstr>Journal of Affective Disorders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http://www.zotero.org/styles/molecular-psychiatry</vt:lpwstr>
  </property>
  <property fmtid="{D5CDD505-2E9C-101B-9397-08002B2CF9AE}" pid="17" name="Mendeley Recent Style Name 7_1">
    <vt:lpwstr>Molecular Psychiatry</vt:lpwstr>
  </property>
  <property fmtid="{D5CDD505-2E9C-101B-9397-08002B2CF9AE}" pid="18" name="Mendeley Recent Style Id 8_1">
    <vt:lpwstr>http://www.zotero.org/styles/the-pharmacogenomics-journal</vt:lpwstr>
  </property>
  <property fmtid="{D5CDD505-2E9C-101B-9397-08002B2CF9AE}" pid="19" name="Mendeley Recent Style Name 8_1">
    <vt:lpwstr>The Pharmacogenomics Journal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72dd7985-27cc-3e09-90c9-a249b851f491</vt:lpwstr>
  </property>
  <property fmtid="{D5CDD505-2E9C-101B-9397-08002B2CF9AE}" pid="24" name="Mendeley Citation Style_1">
    <vt:lpwstr>http://www.zotero.org/styles/journal-of-affective-disorders</vt:lpwstr>
  </property>
</Properties>
</file>