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EA6" w:rsidRPr="00EA6951" w:rsidRDefault="00286EA6" w:rsidP="00286EA6">
      <w:pPr>
        <w:spacing w:line="360" w:lineRule="auto"/>
        <w:jc w:val="both"/>
        <w:rPr>
          <w:rFonts w:ascii="Times New Roman" w:hAnsi="Times New Roman" w:cs="Times New Roman"/>
          <w:b/>
          <w:bCs/>
          <w:sz w:val="32"/>
          <w:szCs w:val="32"/>
        </w:rPr>
      </w:pPr>
      <w:r w:rsidRPr="00EA6951">
        <w:rPr>
          <w:rFonts w:ascii="Times New Roman" w:hAnsi="Times New Roman" w:cs="Times New Roman"/>
          <w:b/>
          <w:bCs/>
          <w:sz w:val="32"/>
          <w:szCs w:val="32"/>
        </w:rPr>
        <w:t>Supporting Information</w:t>
      </w:r>
    </w:p>
    <w:p w:rsidR="00286EA6" w:rsidRPr="00EA6951" w:rsidRDefault="00286EA6" w:rsidP="00286EA6">
      <w:pPr>
        <w:spacing w:line="360" w:lineRule="auto"/>
        <w:jc w:val="both"/>
        <w:rPr>
          <w:rFonts w:ascii="Times New Roman" w:hAnsi="Times New Roman" w:cs="Times New Roman"/>
          <w:b/>
          <w:color w:val="000000" w:themeColor="text1"/>
          <w:sz w:val="24"/>
          <w:szCs w:val="24"/>
          <w:shd w:val="clear" w:color="auto" w:fill="FFFFFF"/>
        </w:rPr>
      </w:pPr>
      <w:r w:rsidRPr="00EA6951">
        <w:rPr>
          <w:rFonts w:ascii="Times New Roman" w:hAnsi="Times New Roman" w:cs="Times New Roman"/>
          <w:b/>
          <w:sz w:val="24"/>
          <w:szCs w:val="24"/>
        </w:rPr>
        <w:t>Materials and methods</w:t>
      </w:r>
    </w:p>
    <w:p w:rsidR="00286EA6" w:rsidRPr="00EA6951" w:rsidRDefault="00286EA6" w:rsidP="00286EA6">
      <w:pPr>
        <w:spacing w:line="360" w:lineRule="auto"/>
        <w:jc w:val="both"/>
        <w:rPr>
          <w:rFonts w:ascii="Times New Roman" w:hAnsi="Times New Roman" w:cs="Times New Roman"/>
          <w:b/>
          <w:bCs/>
          <w:sz w:val="24"/>
          <w:szCs w:val="24"/>
        </w:rPr>
      </w:pPr>
      <w:r w:rsidRPr="00EA6951">
        <w:rPr>
          <w:rFonts w:ascii="Times New Roman" w:hAnsi="Times New Roman" w:cs="Times New Roman"/>
          <w:b/>
          <w:bCs/>
          <w:sz w:val="24"/>
          <w:szCs w:val="24"/>
        </w:rPr>
        <w:t>Animals</w:t>
      </w:r>
    </w:p>
    <w:p w:rsidR="00286EA6" w:rsidRPr="00EA6951" w:rsidRDefault="00286EA6" w:rsidP="00286EA6">
      <w:pPr>
        <w:autoSpaceDE w:val="0"/>
        <w:autoSpaceDN w:val="0"/>
        <w:adjustRightInd w:val="0"/>
        <w:spacing w:line="360" w:lineRule="auto"/>
        <w:jc w:val="both"/>
        <w:rPr>
          <w:rFonts w:ascii="Times New Roman" w:eastAsia="Calibri" w:hAnsi="Times New Roman" w:cs="Times New Roman"/>
          <w:sz w:val="24"/>
          <w:szCs w:val="24"/>
        </w:rPr>
      </w:pPr>
      <w:r w:rsidRPr="00EA6951">
        <w:rPr>
          <w:rFonts w:ascii="Times New Roman" w:eastAsia="Calibri" w:hAnsi="Times New Roman" w:cs="Times New Roman"/>
          <w:sz w:val="24"/>
          <w:szCs w:val="24"/>
        </w:rPr>
        <w:t>All animal studies were performed according to the German law of animal welfare and were approved by the Government of the District of Schleswig - Holstein (V 244 – 14538/2016 (10-1/16). C57BL/6 mice were housed in individually ventilated cages (</w:t>
      </w:r>
      <w:proofErr w:type="spellStart"/>
      <w:r w:rsidRPr="00EA6951">
        <w:rPr>
          <w:rFonts w:ascii="Times New Roman" w:eastAsia="Calibri" w:hAnsi="Times New Roman" w:cs="Times New Roman"/>
          <w:sz w:val="24"/>
          <w:szCs w:val="24"/>
        </w:rPr>
        <w:t>Sealsafe</w:t>
      </w:r>
      <w:proofErr w:type="spellEnd"/>
      <w:r w:rsidRPr="00EA6951">
        <w:rPr>
          <w:rFonts w:ascii="Times New Roman" w:eastAsia="Calibri" w:hAnsi="Times New Roman" w:cs="Times New Roman"/>
          <w:sz w:val="24"/>
          <w:szCs w:val="24"/>
        </w:rPr>
        <w:t xml:space="preserve"> PLUS, Green Line, </w:t>
      </w:r>
      <w:proofErr w:type="spellStart"/>
      <w:proofErr w:type="gramStart"/>
      <w:r w:rsidRPr="00EA6951">
        <w:rPr>
          <w:rFonts w:ascii="Times New Roman" w:eastAsia="Calibri" w:hAnsi="Times New Roman" w:cs="Times New Roman"/>
          <w:sz w:val="24"/>
          <w:szCs w:val="24"/>
        </w:rPr>
        <w:t>Tecniplast</w:t>
      </w:r>
      <w:proofErr w:type="spellEnd"/>
      <w:proofErr w:type="gramEnd"/>
      <w:r w:rsidRPr="00EA6951">
        <w:rPr>
          <w:rFonts w:ascii="Times New Roman" w:eastAsia="Calibri" w:hAnsi="Times New Roman" w:cs="Times New Roman"/>
          <w:sz w:val="24"/>
          <w:szCs w:val="24"/>
        </w:rPr>
        <w:t xml:space="preserve">, Italy) under specific pathogen-free conditions, on a 12-hour light-dark cycle with access to standard food and water </w:t>
      </w:r>
      <w:r w:rsidRPr="00EA6951">
        <w:rPr>
          <w:rFonts w:ascii="Times New Roman" w:eastAsia="Calibri" w:hAnsi="Times New Roman" w:cs="Times New Roman"/>
          <w:i/>
          <w:sz w:val="24"/>
          <w:szCs w:val="24"/>
        </w:rPr>
        <w:t xml:space="preserve">ad </w:t>
      </w:r>
      <w:proofErr w:type="spellStart"/>
      <w:r w:rsidRPr="00EA6951">
        <w:rPr>
          <w:rFonts w:ascii="Times New Roman" w:eastAsia="Calibri" w:hAnsi="Times New Roman" w:cs="Times New Roman"/>
          <w:i/>
          <w:sz w:val="24"/>
          <w:szCs w:val="24"/>
        </w:rPr>
        <w:t>libidum</w:t>
      </w:r>
      <w:proofErr w:type="spellEnd"/>
      <w:r w:rsidRPr="00EA6951">
        <w:rPr>
          <w:rFonts w:ascii="Times New Roman" w:eastAsia="Calibri" w:hAnsi="Times New Roman" w:cs="Times New Roman"/>
          <w:sz w:val="24"/>
          <w:szCs w:val="24"/>
        </w:rPr>
        <w:t xml:space="preserve">. </w:t>
      </w:r>
    </w:p>
    <w:p w:rsidR="00286EA6" w:rsidRPr="00EA6951" w:rsidRDefault="00286EA6" w:rsidP="00286EA6">
      <w:pPr>
        <w:autoSpaceDE w:val="0"/>
        <w:autoSpaceDN w:val="0"/>
        <w:adjustRightInd w:val="0"/>
        <w:spacing w:line="360" w:lineRule="auto"/>
        <w:jc w:val="both"/>
        <w:rPr>
          <w:rFonts w:ascii="Times New Roman" w:eastAsia="Calibri" w:hAnsi="Times New Roman" w:cs="Times New Roman"/>
          <w:sz w:val="24"/>
          <w:szCs w:val="24"/>
        </w:rPr>
      </w:pPr>
      <w:r w:rsidRPr="00EA6951">
        <w:rPr>
          <w:rFonts w:ascii="Times New Roman" w:eastAsia="Calibri" w:hAnsi="Times New Roman" w:cs="Times New Roman"/>
          <w:sz w:val="24"/>
          <w:szCs w:val="24"/>
        </w:rPr>
        <w:t xml:space="preserve">7-9-week-old males and females (Charles River GmbH, </w:t>
      </w:r>
      <w:proofErr w:type="spellStart"/>
      <w:r w:rsidRPr="00EA6951">
        <w:rPr>
          <w:rFonts w:ascii="Times New Roman" w:eastAsia="Calibri" w:hAnsi="Times New Roman" w:cs="Times New Roman"/>
          <w:sz w:val="24"/>
          <w:szCs w:val="24"/>
        </w:rPr>
        <w:t>Sulzfeld</w:t>
      </w:r>
      <w:proofErr w:type="spellEnd"/>
      <w:r w:rsidRPr="00EA6951">
        <w:rPr>
          <w:rFonts w:ascii="Times New Roman" w:eastAsia="Calibri" w:hAnsi="Times New Roman" w:cs="Times New Roman"/>
          <w:sz w:val="24"/>
          <w:szCs w:val="24"/>
        </w:rPr>
        <w:t xml:space="preserve">, Germany) were mated at a ratio of 1:2 for 48 h. </w:t>
      </w:r>
      <w:proofErr w:type="gramStart"/>
      <w:r w:rsidRPr="00EA6951">
        <w:rPr>
          <w:rFonts w:ascii="Times New Roman" w:eastAsia="Calibri" w:hAnsi="Times New Roman" w:cs="Times New Roman"/>
          <w:sz w:val="24"/>
          <w:szCs w:val="24"/>
        </w:rPr>
        <w:t>Pregnant</w:t>
      </w:r>
      <w:proofErr w:type="gramEnd"/>
      <w:r w:rsidRPr="00EA6951">
        <w:rPr>
          <w:rFonts w:ascii="Times New Roman" w:eastAsia="Calibri" w:hAnsi="Times New Roman" w:cs="Times New Roman"/>
          <w:sz w:val="24"/>
          <w:szCs w:val="24"/>
        </w:rPr>
        <w:t xml:space="preserve"> females were fed with breeding chow (</w:t>
      </w:r>
      <w:proofErr w:type="spellStart"/>
      <w:r w:rsidRPr="00EA6951">
        <w:rPr>
          <w:rFonts w:ascii="Times New Roman" w:eastAsia="Calibri" w:hAnsi="Times New Roman" w:cs="Times New Roman"/>
          <w:sz w:val="24"/>
          <w:szCs w:val="24"/>
        </w:rPr>
        <w:t>Maus-Zucht</w:t>
      </w:r>
      <w:proofErr w:type="spellEnd"/>
      <w:r w:rsidRPr="00EA6951">
        <w:rPr>
          <w:rFonts w:ascii="Times New Roman" w:eastAsia="Calibri" w:hAnsi="Times New Roman" w:cs="Times New Roman"/>
          <w:sz w:val="24"/>
          <w:szCs w:val="24"/>
        </w:rPr>
        <w:t xml:space="preserve"> and </w:t>
      </w:r>
      <w:proofErr w:type="spellStart"/>
      <w:r w:rsidRPr="00EA6951">
        <w:rPr>
          <w:rFonts w:ascii="Times New Roman" w:eastAsia="Calibri" w:hAnsi="Times New Roman" w:cs="Times New Roman"/>
          <w:sz w:val="24"/>
          <w:szCs w:val="24"/>
        </w:rPr>
        <w:t>Energie-reichs</w:t>
      </w:r>
      <w:proofErr w:type="spellEnd"/>
      <w:r w:rsidRPr="00EA6951">
        <w:rPr>
          <w:rFonts w:ascii="Times New Roman" w:eastAsia="Calibri" w:hAnsi="Times New Roman" w:cs="Times New Roman"/>
          <w:sz w:val="24"/>
          <w:szCs w:val="24"/>
        </w:rPr>
        <w:t>, sniff-</w:t>
      </w:r>
      <w:proofErr w:type="spellStart"/>
      <w:r w:rsidRPr="00EA6951">
        <w:rPr>
          <w:rFonts w:ascii="Times New Roman" w:eastAsia="Calibri" w:hAnsi="Times New Roman" w:cs="Times New Roman"/>
          <w:sz w:val="24"/>
          <w:szCs w:val="24"/>
        </w:rPr>
        <w:t>Spezialitäten</w:t>
      </w:r>
      <w:proofErr w:type="spellEnd"/>
      <w:r w:rsidRPr="00EA6951">
        <w:rPr>
          <w:rFonts w:ascii="Times New Roman" w:eastAsia="Calibri" w:hAnsi="Times New Roman" w:cs="Times New Roman"/>
          <w:sz w:val="24"/>
          <w:szCs w:val="24"/>
        </w:rPr>
        <w:t xml:space="preserve"> GmbH, </w:t>
      </w:r>
      <w:proofErr w:type="spellStart"/>
      <w:r w:rsidRPr="00EA6951">
        <w:rPr>
          <w:rFonts w:ascii="Times New Roman" w:eastAsia="Calibri" w:hAnsi="Times New Roman" w:cs="Times New Roman"/>
          <w:sz w:val="24"/>
          <w:szCs w:val="24"/>
        </w:rPr>
        <w:t>Soest</w:t>
      </w:r>
      <w:proofErr w:type="spellEnd"/>
      <w:r w:rsidRPr="00EA6951">
        <w:rPr>
          <w:rFonts w:ascii="Times New Roman" w:eastAsia="Calibri" w:hAnsi="Times New Roman" w:cs="Times New Roman"/>
          <w:sz w:val="24"/>
          <w:szCs w:val="24"/>
        </w:rPr>
        <w:t>, Germany). Littermates were nursed by the mother until sacrificed for sample collection. At the age of 14 days, offspring received either 30 mg/kg VAN (</w:t>
      </w:r>
      <w:proofErr w:type="spellStart"/>
      <w:r w:rsidRPr="00EA6951">
        <w:rPr>
          <w:rFonts w:ascii="Times New Roman" w:eastAsia="Calibri" w:hAnsi="Times New Roman" w:cs="Times New Roman"/>
          <w:sz w:val="24"/>
          <w:szCs w:val="24"/>
        </w:rPr>
        <w:t>Hikma</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Farmaceutica</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Terrugem</w:t>
      </w:r>
      <w:proofErr w:type="spellEnd"/>
      <w:r w:rsidRPr="00EA6951">
        <w:rPr>
          <w:rFonts w:ascii="Times New Roman" w:eastAsia="Calibri" w:hAnsi="Times New Roman" w:cs="Times New Roman"/>
          <w:sz w:val="24"/>
          <w:szCs w:val="24"/>
        </w:rPr>
        <w:t>, Portugal) or 15 mg/kg CLA (</w:t>
      </w:r>
      <w:proofErr w:type="spellStart"/>
      <w:r w:rsidRPr="00EA6951">
        <w:rPr>
          <w:rFonts w:ascii="Times New Roman" w:eastAsia="Calibri" w:hAnsi="Times New Roman" w:cs="Times New Roman"/>
          <w:sz w:val="24"/>
          <w:szCs w:val="24"/>
        </w:rPr>
        <w:t>Hexal</w:t>
      </w:r>
      <w:proofErr w:type="spellEnd"/>
      <w:r w:rsidRPr="00EA6951">
        <w:rPr>
          <w:rFonts w:ascii="Times New Roman" w:eastAsia="Calibri" w:hAnsi="Times New Roman" w:cs="Times New Roman"/>
          <w:sz w:val="24"/>
          <w:szCs w:val="24"/>
        </w:rPr>
        <w:t xml:space="preserve"> AG, </w:t>
      </w:r>
      <w:proofErr w:type="spellStart"/>
      <w:r w:rsidRPr="00EA6951">
        <w:rPr>
          <w:rFonts w:ascii="Times New Roman" w:eastAsia="Calibri" w:hAnsi="Times New Roman" w:cs="Times New Roman"/>
          <w:sz w:val="24"/>
          <w:szCs w:val="24"/>
        </w:rPr>
        <w:t>Holzkirchen</w:t>
      </w:r>
      <w:proofErr w:type="spellEnd"/>
      <w:r w:rsidRPr="00EA6951">
        <w:rPr>
          <w:rFonts w:ascii="Times New Roman" w:eastAsia="Calibri" w:hAnsi="Times New Roman" w:cs="Times New Roman"/>
          <w:sz w:val="24"/>
          <w:szCs w:val="24"/>
        </w:rPr>
        <w:t xml:space="preserve">, Germany) dissolved in sterile PBS (100 µl/ 10 g body weight), on three consecutive days via oral gavage (Figure 1A). Control mice received PBS only. Animals were sacrificed in deep anaesthesia 5 days after the last antibiotic treatment. </w:t>
      </w:r>
    </w:p>
    <w:p w:rsidR="00286EA6" w:rsidRPr="00EA6951" w:rsidRDefault="00286EA6" w:rsidP="00286EA6">
      <w:pPr>
        <w:autoSpaceDE w:val="0"/>
        <w:autoSpaceDN w:val="0"/>
        <w:adjustRightInd w:val="0"/>
        <w:spacing w:after="0" w:line="360" w:lineRule="auto"/>
        <w:jc w:val="both"/>
        <w:rPr>
          <w:rFonts w:ascii="Times New Roman" w:eastAsia="Calibri" w:hAnsi="Times New Roman" w:cs="Times New Roman"/>
          <w:sz w:val="24"/>
          <w:szCs w:val="24"/>
        </w:rPr>
      </w:pPr>
    </w:p>
    <w:p w:rsidR="00286EA6" w:rsidRPr="00EA6951" w:rsidRDefault="00286EA6" w:rsidP="00286EA6">
      <w:pPr>
        <w:autoSpaceDE w:val="0"/>
        <w:autoSpaceDN w:val="0"/>
        <w:adjustRightInd w:val="0"/>
        <w:spacing w:line="360" w:lineRule="auto"/>
        <w:jc w:val="both"/>
        <w:rPr>
          <w:rFonts w:ascii="Times New Roman" w:eastAsia="Calibri" w:hAnsi="Times New Roman" w:cs="Times New Roman"/>
          <w:b/>
          <w:bCs/>
          <w:sz w:val="24"/>
          <w:szCs w:val="24"/>
        </w:rPr>
      </w:pPr>
      <w:r w:rsidRPr="00EA6951">
        <w:rPr>
          <w:rFonts w:ascii="Times New Roman" w:eastAsia="Calibri" w:hAnsi="Times New Roman" w:cs="Times New Roman"/>
          <w:b/>
          <w:bCs/>
          <w:sz w:val="24"/>
          <w:szCs w:val="24"/>
        </w:rPr>
        <w:t>Tissue collection</w:t>
      </w:r>
    </w:p>
    <w:p w:rsidR="00286EA6" w:rsidRPr="00EA6951" w:rsidRDefault="00286EA6" w:rsidP="00286EA6">
      <w:pPr>
        <w:spacing w:line="360" w:lineRule="auto"/>
        <w:jc w:val="both"/>
        <w:rPr>
          <w:rFonts w:ascii="Times New Roman" w:eastAsia="Calibri" w:hAnsi="Times New Roman" w:cs="Times New Roman"/>
          <w:sz w:val="24"/>
          <w:szCs w:val="24"/>
        </w:rPr>
      </w:pPr>
      <w:r w:rsidRPr="00EA6951">
        <w:rPr>
          <w:rFonts w:ascii="Times New Roman" w:eastAsia="Calibri" w:hAnsi="Times New Roman" w:cs="Times New Roman"/>
          <w:sz w:val="24"/>
          <w:szCs w:val="24"/>
        </w:rPr>
        <w:t xml:space="preserve">After sacrificing the mice, lungs were used either for immune or microbiome analysis. For immune analysis, </w:t>
      </w:r>
      <w:proofErr w:type="spellStart"/>
      <w:r w:rsidRPr="00EA6951">
        <w:rPr>
          <w:rFonts w:ascii="Times New Roman" w:eastAsia="Calibri" w:hAnsi="Times New Roman" w:cs="Times New Roman"/>
          <w:sz w:val="24"/>
          <w:szCs w:val="24"/>
        </w:rPr>
        <w:t>bronchoalveolar</w:t>
      </w:r>
      <w:proofErr w:type="spellEnd"/>
      <w:r w:rsidRPr="00EA6951">
        <w:rPr>
          <w:rFonts w:ascii="Times New Roman" w:eastAsia="Calibri" w:hAnsi="Times New Roman" w:cs="Times New Roman"/>
          <w:sz w:val="24"/>
          <w:szCs w:val="24"/>
        </w:rPr>
        <w:t xml:space="preserve"> lavage (BAL)</w:t>
      </w:r>
      <w:r w:rsidRPr="00EA6951">
        <w:rPr>
          <w:rStyle w:val="CommentReference"/>
          <w:rFonts w:ascii="Times New Roman" w:hAnsi="Times New Roman" w:cs="Times New Roman"/>
          <w:sz w:val="24"/>
          <w:szCs w:val="24"/>
        </w:rPr>
        <w:t xml:space="preserve"> </w:t>
      </w:r>
      <w:r w:rsidRPr="00EA6951">
        <w:rPr>
          <w:rFonts w:ascii="Times New Roman" w:eastAsia="Calibri" w:hAnsi="Times New Roman" w:cs="Times New Roman"/>
          <w:bCs/>
          <w:sz w:val="24"/>
          <w:szCs w:val="24"/>
        </w:rPr>
        <w:t xml:space="preserve">was collected </w:t>
      </w:r>
      <w:r w:rsidRPr="00EA6951">
        <w:rPr>
          <w:rFonts w:ascii="Times New Roman" w:eastAsia="Calibri" w:hAnsi="Times New Roman" w:cs="Times New Roman"/>
          <w:sz w:val="24"/>
          <w:szCs w:val="24"/>
        </w:rPr>
        <w:t>by rinsing the lungs with 500 µl cold PBS via a tube inserted in the trachea.</w:t>
      </w:r>
      <w:r w:rsidRPr="00EA6951">
        <w:rPr>
          <w:rFonts w:ascii="Times New Roman" w:eastAsia="Calibri" w:hAnsi="Times New Roman" w:cs="Times New Roman"/>
          <w:bCs/>
          <w:sz w:val="24"/>
          <w:szCs w:val="24"/>
        </w:rPr>
        <w:t xml:space="preserve"> Lungs were then </w:t>
      </w:r>
      <w:r w:rsidRPr="00EA6951">
        <w:rPr>
          <w:rFonts w:ascii="Times New Roman" w:eastAsia="Calibri" w:hAnsi="Times New Roman" w:cs="Times New Roman"/>
          <w:sz w:val="24"/>
          <w:szCs w:val="24"/>
        </w:rPr>
        <w:t>perfused via the heart with 5 ml PBS</w:t>
      </w:r>
      <w:r w:rsidRPr="00EA6951">
        <w:rPr>
          <w:rFonts w:ascii="Times New Roman" w:eastAsia="Calibri" w:hAnsi="Times New Roman" w:cs="Times New Roman"/>
          <w:bCs/>
          <w:sz w:val="24"/>
          <w:szCs w:val="24"/>
        </w:rPr>
        <w:t xml:space="preserve"> and immediately processed for </w:t>
      </w:r>
      <w:r w:rsidRPr="00EA6951">
        <w:rPr>
          <w:rFonts w:ascii="Times New Roman" w:eastAsia="Calibri" w:hAnsi="Times New Roman" w:cs="Times New Roman"/>
          <w:sz w:val="24"/>
          <w:szCs w:val="24"/>
        </w:rPr>
        <w:t>cell culture and flow cytometric analysis. For microbiome analysis, lungs and caecum (representing gut) were collected with sterilized instruments and stored at -80 °C until further analysis.</w:t>
      </w:r>
    </w:p>
    <w:p w:rsidR="00286EA6" w:rsidRPr="00EA6951" w:rsidRDefault="00286EA6" w:rsidP="00286EA6">
      <w:pPr>
        <w:spacing w:after="0" w:line="360" w:lineRule="auto"/>
        <w:jc w:val="both"/>
        <w:rPr>
          <w:rFonts w:ascii="Times New Roman" w:eastAsia="Calibri" w:hAnsi="Times New Roman" w:cs="Times New Roman"/>
          <w:sz w:val="24"/>
          <w:szCs w:val="24"/>
        </w:rPr>
      </w:pPr>
    </w:p>
    <w:p w:rsidR="00286EA6" w:rsidRPr="00EA6951" w:rsidRDefault="00286EA6" w:rsidP="00286EA6">
      <w:pPr>
        <w:pStyle w:val="Heading2"/>
        <w:numPr>
          <w:ilvl w:val="0"/>
          <w:numId w:val="0"/>
        </w:numPr>
        <w:spacing w:after="0" w:line="360" w:lineRule="auto"/>
        <w:ind w:left="567" w:hanging="567"/>
        <w:jc w:val="both"/>
        <w:rPr>
          <w:rFonts w:eastAsia="Calibri"/>
        </w:rPr>
      </w:pPr>
      <w:r w:rsidRPr="00EA6951">
        <w:rPr>
          <w:rFonts w:eastAsia="Calibri"/>
        </w:rPr>
        <w:t>DNA extraction</w:t>
      </w:r>
    </w:p>
    <w:p w:rsidR="00286EA6" w:rsidRPr="00EA6951" w:rsidRDefault="00286EA6" w:rsidP="00286EA6">
      <w:pPr>
        <w:spacing w:line="360" w:lineRule="auto"/>
        <w:jc w:val="both"/>
        <w:rPr>
          <w:rFonts w:ascii="Times New Roman" w:hAnsi="Times New Roman" w:cs="Times New Roman"/>
          <w:sz w:val="24"/>
          <w:szCs w:val="24"/>
        </w:rPr>
      </w:pPr>
      <w:r w:rsidRPr="00EA6951">
        <w:rPr>
          <w:rFonts w:ascii="Times New Roman" w:hAnsi="Times New Roman" w:cs="Times New Roman"/>
          <w:sz w:val="24"/>
          <w:szCs w:val="24"/>
        </w:rPr>
        <w:t>All steps for DNA extraction, PCR, and amplicon library preparation were performed in biosafety cabinets. The frozen caeca were weighed and homogenized in 400 µl ddH</w:t>
      </w:r>
      <w:r w:rsidRPr="00EA6951">
        <w:rPr>
          <w:rFonts w:ascii="Times New Roman" w:hAnsi="Times New Roman" w:cs="Times New Roman"/>
          <w:sz w:val="24"/>
          <w:szCs w:val="24"/>
          <w:vertAlign w:val="subscript"/>
        </w:rPr>
        <w:t>2</w:t>
      </w:r>
      <w:r w:rsidRPr="00EA6951">
        <w:rPr>
          <w:rFonts w:ascii="Times New Roman" w:hAnsi="Times New Roman" w:cs="Times New Roman"/>
          <w:sz w:val="24"/>
          <w:szCs w:val="24"/>
        </w:rPr>
        <w:t>0 using a Precellys24 homogenizer (</w:t>
      </w:r>
      <w:proofErr w:type="spellStart"/>
      <w:r w:rsidRPr="00EA6951">
        <w:rPr>
          <w:rFonts w:ascii="Times New Roman" w:hAnsi="Times New Roman" w:cs="Times New Roman"/>
          <w:sz w:val="24"/>
          <w:szCs w:val="24"/>
        </w:rPr>
        <w:t>Bertin</w:t>
      </w:r>
      <w:proofErr w:type="spellEnd"/>
      <w:r w:rsidRPr="00EA6951">
        <w:rPr>
          <w:rFonts w:ascii="Times New Roman" w:hAnsi="Times New Roman" w:cs="Times New Roman"/>
          <w:sz w:val="24"/>
          <w:szCs w:val="24"/>
        </w:rPr>
        <w:t xml:space="preserve"> Technologies, </w:t>
      </w:r>
      <w:proofErr w:type="spellStart"/>
      <w:r w:rsidRPr="00EA6951">
        <w:rPr>
          <w:rFonts w:ascii="Times New Roman" w:hAnsi="Times New Roman" w:cs="Times New Roman"/>
          <w:sz w:val="24"/>
          <w:szCs w:val="24"/>
        </w:rPr>
        <w:t>Montigny</w:t>
      </w:r>
      <w:proofErr w:type="spellEnd"/>
      <w:r w:rsidRPr="00EA6951">
        <w:rPr>
          <w:rFonts w:ascii="Times New Roman" w:hAnsi="Times New Roman" w:cs="Times New Roman"/>
          <w:sz w:val="24"/>
          <w:szCs w:val="24"/>
        </w:rPr>
        <w:t xml:space="preserve"> le </w:t>
      </w:r>
      <w:proofErr w:type="spellStart"/>
      <w:r w:rsidRPr="00EA6951">
        <w:rPr>
          <w:rFonts w:ascii="Times New Roman" w:hAnsi="Times New Roman" w:cs="Times New Roman"/>
          <w:sz w:val="24"/>
          <w:szCs w:val="24"/>
        </w:rPr>
        <w:t>Bretoneux</w:t>
      </w:r>
      <w:proofErr w:type="spellEnd"/>
      <w:r w:rsidRPr="00EA6951">
        <w:rPr>
          <w:rFonts w:ascii="Times New Roman" w:hAnsi="Times New Roman" w:cs="Times New Roman"/>
          <w:sz w:val="24"/>
          <w:szCs w:val="24"/>
        </w:rPr>
        <w:t xml:space="preserve">, France) at 5.5 m/s for 30 s. DNA was extracted out of 100 µl of the homogenized tissue using the </w:t>
      </w:r>
      <w:proofErr w:type="spellStart"/>
      <w:r w:rsidRPr="00EA6951">
        <w:rPr>
          <w:rFonts w:ascii="Times New Roman" w:hAnsi="Times New Roman" w:cs="Times New Roman"/>
          <w:sz w:val="24"/>
          <w:szCs w:val="24"/>
        </w:rPr>
        <w:t>QIAamp</w:t>
      </w:r>
      <w:proofErr w:type="spellEnd"/>
      <w:r w:rsidRPr="00EA6951">
        <w:rPr>
          <w:rFonts w:ascii="Times New Roman" w:hAnsi="Times New Roman" w:cs="Times New Roman"/>
          <w:sz w:val="24"/>
          <w:szCs w:val="24"/>
        </w:rPr>
        <w:t xml:space="preserve"> </w:t>
      </w:r>
      <w:proofErr w:type="spellStart"/>
      <w:r w:rsidRPr="00EA6951">
        <w:rPr>
          <w:rFonts w:ascii="Times New Roman" w:hAnsi="Times New Roman" w:cs="Times New Roman"/>
          <w:sz w:val="24"/>
          <w:szCs w:val="24"/>
        </w:rPr>
        <w:lastRenderedPageBreak/>
        <w:t>PowerFecal</w:t>
      </w:r>
      <w:proofErr w:type="spellEnd"/>
      <w:r w:rsidRPr="00EA6951">
        <w:rPr>
          <w:rFonts w:ascii="Times New Roman" w:hAnsi="Times New Roman" w:cs="Times New Roman"/>
          <w:sz w:val="24"/>
          <w:szCs w:val="24"/>
        </w:rPr>
        <w:t xml:space="preserve"> DNA Kit (</w:t>
      </w:r>
      <w:proofErr w:type="spellStart"/>
      <w:r w:rsidRPr="00EA6951">
        <w:rPr>
          <w:rFonts w:ascii="Times New Roman" w:hAnsi="Times New Roman" w:cs="Times New Roman"/>
          <w:sz w:val="24"/>
          <w:szCs w:val="24"/>
        </w:rPr>
        <w:t>Qiagen</w:t>
      </w:r>
      <w:proofErr w:type="spellEnd"/>
      <w:r w:rsidRPr="00EA6951">
        <w:rPr>
          <w:rFonts w:ascii="Times New Roman" w:hAnsi="Times New Roman" w:cs="Times New Roman"/>
          <w:sz w:val="24"/>
          <w:szCs w:val="24"/>
        </w:rPr>
        <w:t xml:space="preserve">, Venlo, NL) following the manufacturer’s recommendations. Frozen lung samples were likewise weighed and homogenized. 180 µl lysozyme </w:t>
      </w:r>
      <w:proofErr w:type="gramStart"/>
      <w:r w:rsidRPr="00EA6951">
        <w:rPr>
          <w:rFonts w:ascii="Times New Roman" w:hAnsi="Times New Roman" w:cs="Times New Roman"/>
          <w:sz w:val="24"/>
          <w:szCs w:val="24"/>
        </w:rPr>
        <w:t>solution</w:t>
      </w:r>
      <w:proofErr w:type="gramEnd"/>
      <w:r w:rsidRPr="00EA6951">
        <w:rPr>
          <w:rFonts w:ascii="Times New Roman" w:hAnsi="Times New Roman" w:cs="Times New Roman"/>
          <w:sz w:val="24"/>
          <w:szCs w:val="24"/>
        </w:rPr>
        <w:t xml:space="preserve"> (20 mg/ml) (Hoffmann - </w:t>
      </w:r>
      <w:proofErr w:type="spellStart"/>
      <w:r w:rsidRPr="00EA6951">
        <w:rPr>
          <w:rFonts w:ascii="Times New Roman" w:hAnsi="Times New Roman" w:cs="Times New Roman"/>
          <w:sz w:val="24"/>
          <w:szCs w:val="24"/>
        </w:rPr>
        <w:t>LaRoche</w:t>
      </w:r>
      <w:proofErr w:type="spellEnd"/>
      <w:r w:rsidRPr="00EA6951">
        <w:rPr>
          <w:rFonts w:ascii="Times New Roman" w:hAnsi="Times New Roman" w:cs="Times New Roman"/>
          <w:sz w:val="24"/>
          <w:szCs w:val="24"/>
        </w:rPr>
        <w:t xml:space="preserve">, Basel, Switzerland) was added to 200 µl tissue homogenate and the mixture was incubated at 37°C for 30 minutes under slow agitation. Further steps were conducted according to the manufacturer’s protocol for Gram-positive bacteria provided by the </w:t>
      </w:r>
      <w:proofErr w:type="spellStart"/>
      <w:r w:rsidRPr="00EA6951">
        <w:rPr>
          <w:rFonts w:ascii="Times New Roman" w:hAnsi="Times New Roman" w:cs="Times New Roman"/>
          <w:sz w:val="24"/>
          <w:szCs w:val="24"/>
        </w:rPr>
        <w:t>PureLink</w:t>
      </w:r>
      <w:proofErr w:type="spellEnd"/>
      <w:r w:rsidRPr="00EA6951">
        <w:rPr>
          <w:rFonts w:ascii="Times New Roman" w:hAnsi="Times New Roman" w:cs="Times New Roman"/>
          <w:sz w:val="24"/>
          <w:szCs w:val="24"/>
        </w:rPr>
        <w:t>™ Genomic DNA Mini Kit (</w:t>
      </w:r>
      <w:proofErr w:type="spellStart"/>
      <w:r w:rsidRPr="00EA6951">
        <w:rPr>
          <w:rFonts w:ascii="Times New Roman" w:hAnsi="Times New Roman" w:cs="Times New Roman"/>
          <w:sz w:val="24"/>
          <w:szCs w:val="24"/>
        </w:rPr>
        <w:t>ThermoFisher</w:t>
      </w:r>
      <w:proofErr w:type="spellEnd"/>
      <w:r w:rsidRPr="00EA6951">
        <w:rPr>
          <w:rFonts w:ascii="Times New Roman" w:hAnsi="Times New Roman" w:cs="Times New Roman"/>
          <w:sz w:val="24"/>
          <w:szCs w:val="24"/>
        </w:rPr>
        <w:t xml:space="preserve"> Scientific, Altham, USA). </w:t>
      </w:r>
    </w:p>
    <w:p w:rsidR="00286EA6" w:rsidRPr="00EA6951" w:rsidRDefault="00286EA6" w:rsidP="00286EA6">
      <w:pPr>
        <w:pStyle w:val="Heading2"/>
        <w:numPr>
          <w:ilvl w:val="0"/>
          <w:numId w:val="0"/>
        </w:numPr>
        <w:spacing w:before="0" w:after="0" w:line="360" w:lineRule="auto"/>
        <w:ind w:left="3117" w:hanging="567"/>
        <w:jc w:val="both"/>
        <w:rPr>
          <w:rFonts w:eastAsia="Calibri"/>
        </w:rPr>
      </w:pPr>
    </w:p>
    <w:p w:rsidR="00286EA6" w:rsidRPr="00EA6951" w:rsidRDefault="00286EA6" w:rsidP="00286EA6">
      <w:pPr>
        <w:pStyle w:val="Heading2"/>
        <w:numPr>
          <w:ilvl w:val="0"/>
          <w:numId w:val="0"/>
        </w:numPr>
        <w:spacing w:before="0" w:after="0" w:line="360" w:lineRule="auto"/>
        <w:ind w:left="567" w:hanging="567"/>
        <w:jc w:val="both"/>
        <w:rPr>
          <w:rFonts w:eastAsia="Calibri"/>
        </w:rPr>
      </w:pPr>
      <w:r w:rsidRPr="00EA6951">
        <w:rPr>
          <w:rFonts w:eastAsia="Calibri"/>
        </w:rPr>
        <w:t xml:space="preserve">16S </w:t>
      </w:r>
      <w:proofErr w:type="spellStart"/>
      <w:r w:rsidRPr="00EA6951">
        <w:rPr>
          <w:rFonts w:eastAsia="Calibri"/>
        </w:rPr>
        <w:t>rRNA</w:t>
      </w:r>
      <w:proofErr w:type="spellEnd"/>
      <w:r w:rsidRPr="00EA6951">
        <w:rPr>
          <w:rFonts w:eastAsia="Calibri"/>
        </w:rPr>
        <w:t xml:space="preserve"> gene amplification and high throughput sequencing</w:t>
      </w:r>
    </w:p>
    <w:p w:rsidR="00286EA6" w:rsidRPr="00EA6951" w:rsidRDefault="00286EA6" w:rsidP="00286EA6">
      <w:pPr>
        <w:spacing w:line="360" w:lineRule="auto"/>
        <w:jc w:val="both"/>
        <w:rPr>
          <w:rFonts w:ascii="Times New Roman" w:hAnsi="Times New Roman" w:cs="Times New Roman"/>
          <w:sz w:val="24"/>
          <w:szCs w:val="24"/>
        </w:rPr>
      </w:pPr>
      <w:r w:rsidRPr="00EA6951">
        <w:rPr>
          <w:rFonts w:ascii="Times New Roman" w:hAnsi="Times New Roman" w:cs="Times New Roman"/>
          <w:sz w:val="24"/>
          <w:szCs w:val="24"/>
        </w:rPr>
        <w:t xml:space="preserve">For both caecum and lung samples, we used the primer pair 347F / 803R, which amplifies the hypervariable regions V3-4 of the 16S </w:t>
      </w:r>
      <w:proofErr w:type="spellStart"/>
      <w:r w:rsidRPr="00EA6951">
        <w:rPr>
          <w:rFonts w:ascii="Times New Roman" w:hAnsi="Times New Roman" w:cs="Times New Roman"/>
          <w:sz w:val="24"/>
          <w:szCs w:val="24"/>
        </w:rPr>
        <w:t>rRNA</w:t>
      </w:r>
      <w:proofErr w:type="spellEnd"/>
      <w:r w:rsidRPr="00EA6951">
        <w:rPr>
          <w:rFonts w:ascii="Times New Roman" w:hAnsi="Times New Roman" w:cs="Times New Roman"/>
          <w:sz w:val="24"/>
          <w:szCs w:val="24"/>
        </w:rPr>
        <w:t xml:space="preserve"> gene </w:t>
      </w:r>
      <w:r w:rsidRPr="00EA6951">
        <w:rPr>
          <w:rFonts w:ascii="Times New Roman" w:hAnsi="Times New Roman" w:cs="Times New Roman"/>
          <w:sz w:val="24"/>
          <w:szCs w:val="24"/>
        </w:rPr>
        <w:fldChar w:fldCharType="begin">
          <w:fldData xml:space="preserve">PEVuZE5vdGU+PENpdGU+PEF1dGhvcj5Ob3NzYTwvQXV0aG9yPjxZZWFyPjIwMTA8L1llYXI+PFJl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</w:fldData>
        </w:fldChar>
      </w:r>
      <w:r w:rsidRPr="00EA6951">
        <w:rPr>
          <w:rFonts w:ascii="Times New Roman" w:hAnsi="Times New Roman" w:cs="Times New Roman"/>
          <w:sz w:val="24"/>
          <w:szCs w:val="24"/>
        </w:rPr>
        <w:instrText xml:space="preserve"> ADDIN EN.CITE </w:instrText>
      </w:r>
      <w:r w:rsidRPr="00EA6951">
        <w:rPr>
          <w:rFonts w:ascii="Times New Roman" w:hAnsi="Times New Roman" w:cs="Times New Roman"/>
          <w:sz w:val="24"/>
          <w:szCs w:val="24"/>
        </w:rPr>
        <w:fldChar w:fldCharType="begin">
          <w:fldData xml:space="preserve">PEVuZE5vdGU+PENpdGU+PEF1dGhvcj5Ob3NzYTwvQXV0aG9yPjxZZWFyPjIwMTA8L1llYXI+PFJl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</w:fldData>
        </w:fldChar>
      </w:r>
      <w:r w:rsidRPr="00EA6951">
        <w:rPr>
          <w:rFonts w:ascii="Times New Roman" w:hAnsi="Times New Roman" w:cs="Times New Roman"/>
          <w:sz w:val="24"/>
          <w:szCs w:val="24"/>
        </w:rPr>
        <w:instrText xml:space="preserve"> ADDIN EN.CITE.DATA </w:instrText>
      </w:r>
      <w:r w:rsidRPr="00EA6951">
        <w:rPr>
          <w:rFonts w:ascii="Times New Roman" w:hAnsi="Times New Roman" w:cs="Times New Roman"/>
          <w:sz w:val="24"/>
          <w:szCs w:val="24"/>
        </w:rPr>
      </w:r>
      <w:r w:rsidRPr="00EA6951">
        <w:rPr>
          <w:rFonts w:ascii="Times New Roman" w:hAnsi="Times New Roman" w:cs="Times New Roman"/>
          <w:sz w:val="24"/>
          <w:szCs w:val="24"/>
        </w:rPr>
        <w:fldChar w:fldCharType="end"/>
      </w:r>
      <w:r w:rsidRPr="00EA6951">
        <w:rPr>
          <w:rFonts w:ascii="Times New Roman" w:hAnsi="Times New Roman" w:cs="Times New Roman"/>
          <w:sz w:val="24"/>
          <w:szCs w:val="24"/>
        </w:rPr>
      </w:r>
      <w:r w:rsidRPr="00EA6951">
        <w:rPr>
          <w:rFonts w:ascii="Times New Roman" w:hAnsi="Times New Roman" w:cs="Times New Roman"/>
          <w:sz w:val="24"/>
          <w:szCs w:val="24"/>
        </w:rPr>
        <w:fldChar w:fldCharType="separate"/>
      </w:r>
      <w:r w:rsidRPr="00EA6951">
        <w:rPr>
          <w:rFonts w:ascii="Times New Roman" w:hAnsi="Times New Roman" w:cs="Times New Roman"/>
          <w:sz w:val="24"/>
          <w:szCs w:val="24"/>
        </w:rPr>
        <w:t>[7]</w:t>
      </w:r>
      <w:r w:rsidRPr="00EA6951">
        <w:rPr>
          <w:rFonts w:ascii="Times New Roman" w:hAnsi="Times New Roman" w:cs="Times New Roman"/>
          <w:sz w:val="24"/>
          <w:szCs w:val="24"/>
        </w:rPr>
        <w:fldChar w:fldCharType="end"/>
      </w:r>
      <w:r w:rsidRPr="00EA6951">
        <w:rPr>
          <w:rFonts w:ascii="Times New Roman" w:hAnsi="Times New Roman" w:cs="Times New Roman"/>
          <w:sz w:val="24"/>
          <w:szCs w:val="24"/>
        </w:rPr>
        <w:t xml:space="preserve">. PCRs were performed in triplicates to reduce common PCR bias and using the hot-start technique to reduce the probability of dimer formation. PCR conditions were as follows: Initial denaturation 98°C / 30 s; 33 cycles for lung samples and 20 cycles for caecum samples (denaturation 98°C / 30 s, annealing 58°C /30 s, elongation at 72°C / 30 s; final elongation 72°C / 5 m). In addition to the samples, we included NE controls as well as PCR negative controls (NTC). We further included for the lung samples one NE and NTC control that was spiked with 10 ng of the commercial bacterial mock community HM-783D (BEI Resources, NIAID, </w:t>
      </w:r>
      <w:proofErr w:type="gramStart"/>
      <w:r w:rsidRPr="00EA6951">
        <w:rPr>
          <w:rFonts w:ascii="Times New Roman" w:hAnsi="Times New Roman" w:cs="Times New Roman"/>
          <w:sz w:val="24"/>
          <w:szCs w:val="24"/>
        </w:rPr>
        <w:t>NIH</w:t>
      </w:r>
      <w:proofErr w:type="gramEnd"/>
      <w:r w:rsidRPr="00EA6951">
        <w:rPr>
          <w:rFonts w:ascii="Times New Roman" w:hAnsi="Times New Roman" w:cs="Times New Roman"/>
          <w:sz w:val="24"/>
          <w:szCs w:val="24"/>
        </w:rPr>
        <w:t xml:space="preserve">, USA) to estimate the contamination risks and chimeric biases that could be introduced due to the high number of amplification cycles. Success of each of the PCRs was veriﬁed with agarose gel electrophoresis. Pooled PCR triplicates were puriﬁed with </w:t>
      </w:r>
      <w:proofErr w:type="spellStart"/>
      <w:r w:rsidRPr="00EA6951">
        <w:rPr>
          <w:rFonts w:ascii="Times New Roman" w:hAnsi="Times New Roman" w:cs="Times New Roman"/>
          <w:sz w:val="24"/>
          <w:szCs w:val="24"/>
        </w:rPr>
        <w:t>Agencourt</w:t>
      </w:r>
      <w:proofErr w:type="spellEnd"/>
      <w:r w:rsidRPr="00EA6951">
        <w:rPr>
          <w:rFonts w:ascii="Times New Roman" w:hAnsi="Times New Roman" w:cs="Times New Roman"/>
          <w:sz w:val="24"/>
          <w:szCs w:val="24"/>
        </w:rPr>
        <w:t xml:space="preserve"> </w:t>
      </w:r>
      <w:proofErr w:type="spellStart"/>
      <w:r w:rsidRPr="00EA6951">
        <w:rPr>
          <w:rFonts w:ascii="Times New Roman" w:hAnsi="Times New Roman" w:cs="Times New Roman"/>
          <w:sz w:val="24"/>
          <w:szCs w:val="24"/>
        </w:rPr>
        <w:t>AMPure</w:t>
      </w:r>
      <w:proofErr w:type="spellEnd"/>
      <w:r w:rsidRPr="00EA6951">
        <w:rPr>
          <w:rFonts w:ascii="Times New Roman" w:hAnsi="Times New Roman" w:cs="Times New Roman"/>
          <w:sz w:val="24"/>
          <w:szCs w:val="24"/>
        </w:rPr>
        <w:t xml:space="preserve"> XP paramagnetic beads (Beckman Coulter, Brea, USA). Purified PCR products were checked for dimers and were quantified using the DNF-473 Standard Sensitivity NGS Fragment Analysis Kit on the Fragment </w:t>
      </w:r>
      <w:proofErr w:type="spellStart"/>
      <w:r w:rsidRPr="00EA6951">
        <w:rPr>
          <w:rFonts w:ascii="Times New Roman" w:hAnsi="Times New Roman" w:cs="Times New Roman"/>
          <w:sz w:val="24"/>
          <w:szCs w:val="24"/>
        </w:rPr>
        <w:t>Analyzer</w:t>
      </w:r>
      <w:proofErr w:type="spellEnd"/>
      <w:r w:rsidRPr="00EA6951">
        <w:rPr>
          <w:rFonts w:ascii="Times New Roman" w:hAnsi="Times New Roman" w:cs="Times New Roman"/>
          <w:sz w:val="24"/>
          <w:szCs w:val="24"/>
        </w:rPr>
        <w:t xml:space="preserve"> (Advanced Analytical, Ankeny, USA). The library preparation was conducted according to the Illumina guidelines for 16S rDNA gene amplicon preparation with modifications.</w:t>
      </w:r>
    </w:p>
    <w:p w:rsidR="00286EA6" w:rsidRPr="00EA6951" w:rsidRDefault="00286EA6" w:rsidP="00286EA6">
      <w:pPr>
        <w:spacing w:line="360" w:lineRule="auto"/>
        <w:jc w:val="both"/>
        <w:rPr>
          <w:rFonts w:ascii="Times New Roman" w:hAnsi="Times New Roman" w:cs="Times New Roman"/>
          <w:sz w:val="24"/>
          <w:szCs w:val="24"/>
        </w:rPr>
      </w:pPr>
      <w:r w:rsidRPr="00EA6951">
        <w:rPr>
          <w:rFonts w:ascii="Times New Roman" w:hAnsi="Times New Roman" w:cs="Times New Roman"/>
          <w:sz w:val="24"/>
          <w:szCs w:val="24"/>
        </w:rPr>
        <w:t>25µl Indexing PCR reactions contained 2.5 µl of forward and reverse indexing primers (</w:t>
      </w:r>
      <w:proofErr w:type="spellStart"/>
      <w:r w:rsidRPr="00EA6951">
        <w:rPr>
          <w:rFonts w:ascii="Times New Roman" w:hAnsi="Times New Roman" w:cs="Times New Roman"/>
          <w:sz w:val="24"/>
          <w:szCs w:val="24"/>
        </w:rPr>
        <w:t>Nextera</w:t>
      </w:r>
      <w:proofErr w:type="spellEnd"/>
      <w:r w:rsidRPr="00EA6951">
        <w:rPr>
          <w:rFonts w:ascii="Times New Roman" w:hAnsi="Times New Roman" w:cs="Times New Roman"/>
          <w:sz w:val="24"/>
          <w:szCs w:val="24"/>
        </w:rPr>
        <w:t xml:space="preserve">® XT Index Kits Illumina, Inc., CA, USA), 12.5 µl 2X PCR Master Mix and 10 ng of the </w:t>
      </w:r>
      <w:proofErr w:type="spellStart"/>
      <w:r w:rsidRPr="00EA6951">
        <w:rPr>
          <w:rFonts w:ascii="Times New Roman" w:hAnsi="Times New Roman" w:cs="Times New Roman"/>
          <w:sz w:val="24"/>
          <w:szCs w:val="24"/>
        </w:rPr>
        <w:t>NEBNext</w:t>
      </w:r>
      <w:proofErr w:type="spellEnd"/>
      <w:r w:rsidRPr="00EA6951">
        <w:rPr>
          <w:rFonts w:ascii="Times New Roman" w:hAnsi="Times New Roman" w:cs="Times New Roman"/>
          <w:sz w:val="24"/>
          <w:szCs w:val="24"/>
        </w:rPr>
        <w:t xml:space="preserve">® High-Fidelity 2X PCR Master Mix (New England </w:t>
      </w:r>
      <w:proofErr w:type="spellStart"/>
      <w:r w:rsidRPr="00EA6951">
        <w:rPr>
          <w:rFonts w:ascii="Times New Roman" w:hAnsi="Times New Roman" w:cs="Times New Roman"/>
          <w:sz w:val="24"/>
          <w:szCs w:val="24"/>
        </w:rPr>
        <w:t>Biolabs</w:t>
      </w:r>
      <w:proofErr w:type="spellEnd"/>
      <w:r w:rsidRPr="00EA6951">
        <w:rPr>
          <w:rFonts w:ascii="Times New Roman" w:hAnsi="Times New Roman" w:cs="Times New Roman"/>
          <w:sz w:val="24"/>
          <w:szCs w:val="24"/>
        </w:rPr>
        <w:t xml:space="preserve"> Inc., MA, USA). Indexing PCR conditions were as follows: 30 s of initial denaturation at 98°C; 8 cycles including denaturation at 98°C for 30 s, 30 s annealing at 55°C and 30 s elongation at 72°C; a final 5 min elongation step at 72°C. Verification of PCR, purification and quantification of PCR products was conducted as described for the amplicon PCR. PCR products were diluted </w:t>
      </w:r>
      <w:proofErr w:type="gramStart"/>
      <w:r w:rsidRPr="00EA6951">
        <w:rPr>
          <w:rFonts w:ascii="Times New Roman" w:hAnsi="Times New Roman" w:cs="Times New Roman"/>
          <w:sz w:val="24"/>
          <w:szCs w:val="24"/>
        </w:rPr>
        <w:t xml:space="preserve">to 4 </w:t>
      </w:r>
      <w:proofErr w:type="spellStart"/>
      <w:r w:rsidRPr="00EA6951">
        <w:rPr>
          <w:rFonts w:ascii="Times New Roman" w:hAnsi="Times New Roman" w:cs="Times New Roman"/>
          <w:sz w:val="24"/>
          <w:szCs w:val="24"/>
        </w:rPr>
        <w:t>nmol</w:t>
      </w:r>
      <w:proofErr w:type="spellEnd"/>
      <w:r w:rsidRPr="00EA6951">
        <w:rPr>
          <w:rFonts w:ascii="Times New Roman" w:hAnsi="Times New Roman" w:cs="Times New Roman"/>
          <w:sz w:val="24"/>
          <w:szCs w:val="24"/>
        </w:rPr>
        <w:t>/L</w:t>
      </w:r>
      <w:proofErr w:type="gramEnd"/>
      <w:r w:rsidRPr="00EA6951">
        <w:rPr>
          <w:rFonts w:ascii="Times New Roman" w:hAnsi="Times New Roman" w:cs="Times New Roman"/>
          <w:sz w:val="24"/>
          <w:szCs w:val="24"/>
        </w:rPr>
        <w:t xml:space="preserve"> and pooled. For sequencing, 8 </w:t>
      </w:r>
      <w:proofErr w:type="spellStart"/>
      <w:r w:rsidRPr="00EA6951">
        <w:rPr>
          <w:rFonts w:ascii="Times New Roman" w:hAnsi="Times New Roman" w:cs="Times New Roman"/>
          <w:sz w:val="24"/>
          <w:szCs w:val="24"/>
        </w:rPr>
        <w:t>pM</w:t>
      </w:r>
      <w:proofErr w:type="spellEnd"/>
      <w:r w:rsidRPr="00EA6951">
        <w:rPr>
          <w:rFonts w:ascii="Times New Roman" w:hAnsi="Times New Roman" w:cs="Times New Roman"/>
          <w:sz w:val="24"/>
          <w:szCs w:val="24"/>
        </w:rPr>
        <w:t xml:space="preserve"> of DNA spiked with 20 % </w:t>
      </w:r>
      <w:proofErr w:type="spellStart"/>
      <w:r w:rsidRPr="00EA6951">
        <w:rPr>
          <w:rFonts w:ascii="Times New Roman" w:hAnsi="Times New Roman" w:cs="Times New Roman"/>
          <w:sz w:val="24"/>
          <w:szCs w:val="24"/>
        </w:rPr>
        <w:t>PhiX</w:t>
      </w:r>
      <w:proofErr w:type="spellEnd"/>
      <w:r w:rsidRPr="00EA6951">
        <w:rPr>
          <w:rFonts w:ascii="Times New Roman" w:hAnsi="Times New Roman" w:cs="Times New Roman"/>
          <w:sz w:val="24"/>
          <w:szCs w:val="24"/>
        </w:rPr>
        <w:t xml:space="preserve"> were loaded </w:t>
      </w:r>
      <w:r w:rsidRPr="00EA6951">
        <w:rPr>
          <w:rFonts w:ascii="Times New Roman" w:hAnsi="Times New Roman" w:cs="Times New Roman"/>
          <w:sz w:val="24"/>
          <w:szCs w:val="24"/>
        </w:rPr>
        <w:lastRenderedPageBreak/>
        <w:t xml:space="preserve">and the paired-end sequencing was performed on a </w:t>
      </w:r>
      <w:proofErr w:type="spellStart"/>
      <w:r w:rsidRPr="00EA6951">
        <w:rPr>
          <w:rFonts w:ascii="Times New Roman" w:hAnsi="Times New Roman" w:cs="Times New Roman"/>
          <w:sz w:val="24"/>
          <w:szCs w:val="24"/>
        </w:rPr>
        <w:t>MiSeq</w:t>
      </w:r>
      <w:proofErr w:type="spellEnd"/>
      <w:r w:rsidRPr="00EA6951">
        <w:rPr>
          <w:rFonts w:ascii="Times New Roman" w:hAnsi="Times New Roman" w:cs="Times New Roman"/>
          <w:sz w:val="24"/>
          <w:szCs w:val="24"/>
        </w:rPr>
        <w:t xml:space="preserve">® System (Illumina, Inc., CA, USA) using the </w:t>
      </w:r>
      <w:proofErr w:type="spellStart"/>
      <w:r w:rsidRPr="00EA6951">
        <w:rPr>
          <w:rFonts w:ascii="Times New Roman" w:hAnsi="Times New Roman" w:cs="Times New Roman"/>
          <w:sz w:val="24"/>
          <w:szCs w:val="24"/>
        </w:rPr>
        <w:t>MiSeq</w:t>
      </w:r>
      <w:proofErr w:type="spellEnd"/>
      <w:r w:rsidRPr="00EA6951">
        <w:rPr>
          <w:rFonts w:ascii="Times New Roman" w:hAnsi="Times New Roman" w:cs="Times New Roman"/>
          <w:sz w:val="24"/>
          <w:szCs w:val="24"/>
        </w:rPr>
        <w:t>® Reagent Kit v3 (600 cycle) for paired-end sequencing according to the manufacturer’s guidelines.</w:t>
      </w:r>
    </w:p>
    <w:p w:rsidR="00286EA6" w:rsidRPr="00EA6951" w:rsidRDefault="00286EA6" w:rsidP="00286EA6">
      <w:pPr>
        <w:spacing w:after="0" w:line="360" w:lineRule="auto"/>
        <w:jc w:val="both"/>
        <w:rPr>
          <w:rFonts w:ascii="Times New Roman" w:eastAsia="Calibri" w:hAnsi="Times New Roman" w:cs="Times New Roman"/>
          <w:bCs/>
          <w:iCs/>
          <w:sz w:val="24"/>
          <w:szCs w:val="24"/>
        </w:rPr>
      </w:pPr>
    </w:p>
    <w:p w:rsidR="00286EA6" w:rsidRPr="00EA6951" w:rsidRDefault="00286EA6" w:rsidP="00286EA6">
      <w:pPr>
        <w:spacing w:line="360" w:lineRule="auto"/>
        <w:jc w:val="both"/>
        <w:rPr>
          <w:rFonts w:ascii="Times New Roman" w:eastAsia="Calibri" w:hAnsi="Times New Roman" w:cs="Times New Roman"/>
          <w:b/>
          <w:bCs/>
          <w:iCs/>
          <w:sz w:val="24"/>
          <w:szCs w:val="24"/>
        </w:rPr>
      </w:pPr>
      <w:r w:rsidRPr="00EA6951">
        <w:rPr>
          <w:rFonts w:ascii="Times New Roman" w:eastAsia="Calibri" w:hAnsi="Times New Roman" w:cs="Times New Roman"/>
          <w:b/>
          <w:bCs/>
          <w:iCs/>
          <w:sz w:val="24"/>
          <w:szCs w:val="24"/>
        </w:rPr>
        <w:t>Preparation of lung cells suspension</w:t>
      </w:r>
    </w:p>
    <w:p w:rsidR="00286EA6" w:rsidRPr="00EA6951" w:rsidRDefault="00286EA6" w:rsidP="00286EA6">
      <w:pPr>
        <w:tabs>
          <w:tab w:val="left" w:pos="1134"/>
        </w:tabs>
        <w:spacing w:line="360" w:lineRule="auto"/>
        <w:jc w:val="both"/>
        <w:rPr>
          <w:rFonts w:ascii="Times New Roman" w:eastAsia="Calibri" w:hAnsi="Times New Roman" w:cs="Times New Roman"/>
          <w:sz w:val="24"/>
          <w:szCs w:val="24"/>
        </w:rPr>
      </w:pPr>
      <w:r w:rsidRPr="00EA6951">
        <w:rPr>
          <w:rFonts w:ascii="Times New Roman" w:eastAsia="Calibri" w:hAnsi="Times New Roman" w:cs="Times New Roman"/>
          <w:sz w:val="24"/>
          <w:szCs w:val="24"/>
        </w:rPr>
        <w:t xml:space="preserve">The whole lung was cut into small pieces and digested for 45 min at 37 °C with collagenase diluted in PBS (0.5 mg/ml, Sigma-Aldrich </w:t>
      </w:r>
      <w:proofErr w:type="spellStart"/>
      <w:r w:rsidRPr="00EA6951">
        <w:rPr>
          <w:rFonts w:ascii="Times New Roman" w:eastAsia="Calibri" w:hAnsi="Times New Roman" w:cs="Times New Roman"/>
          <w:sz w:val="24"/>
          <w:szCs w:val="24"/>
        </w:rPr>
        <w:t>Chemie</w:t>
      </w:r>
      <w:proofErr w:type="spellEnd"/>
      <w:r w:rsidRPr="00EA6951">
        <w:rPr>
          <w:rFonts w:ascii="Times New Roman" w:eastAsia="Calibri" w:hAnsi="Times New Roman" w:cs="Times New Roman"/>
          <w:sz w:val="24"/>
          <w:szCs w:val="24"/>
        </w:rPr>
        <w:t xml:space="preserve"> GmbH, </w:t>
      </w:r>
      <w:proofErr w:type="spellStart"/>
      <w:r w:rsidRPr="00EA6951">
        <w:rPr>
          <w:rFonts w:ascii="Times New Roman" w:eastAsia="Calibri" w:hAnsi="Times New Roman" w:cs="Times New Roman"/>
          <w:sz w:val="24"/>
          <w:szCs w:val="24"/>
        </w:rPr>
        <w:t>Steinheim</w:t>
      </w:r>
      <w:proofErr w:type="spellEnd"/>
      <w:r w:rsidRPr="00EA6951">
        <w:rPr>
          <w:rFonts w:ascii="Times New Roman" w:eastAsia="Calibri" w:hAnsi="Times New Roman" w:cs="Times New Roman"/>
          <w:sz w:val="24"/>
          <w:szCs w:val="24"/>
        </w:rPr>
        <w:t xml:space="preserve">, Germany) under sterile conditions. The suspension was homogenized by repeated agitation through a long cannula and afterwards filtered using a 70 µm cell strainer. Next, red blood cells were lysed by </w:t>
      </w:r>
      <w:proofErr w:type="spellStart"/>
      <w:r w:rsidRPr="00EA6951">
        <w:rPr>
          <w:rFonts w:ascii="Times New Roman" w:eastAsia="Calibri" w:hAnsi="Times New Roman" w:cs="Times New Roman"/>
          <w:sz w:val="24"/>
          <w:szCs w:val="24"/>
        </w:rPr>
        <w:t>Gey´s</w:t>
      </w:r>
      <w:proofErr w:type="spellEnd"/>
      <w:r w:rsidRPr="00EA6951">
        <w:rPr>
          <w:rFonts w:ascii="Times New Roman" w:eastAsia="Calibri" w:hAnsi="Times New Roman" w:cs="Times New Roman"/>
          <w:sz w:val="24"/>
          <w:szCs w:val="24"/>
        </w:rPr>
        <w:t xml:space="preserve"> lysis buffer (10 </w:t>
      </w:r>
      <w:proofErr w:type="spellStart"/>
      <w:r w:rsidRPr="00EA6951">
        <w:rPr>
          <w:rFonts w:ascii="Times New Roman" w:eastAsia="Calibri" w:hAnsi="Times New Roman" w:cs="Times New Roman"/>
          <w:sz w:val="24"/>
          <w:szCs w:val="24"/>
        </w:rPr>
        <w:t>mM</w:t>
      </w:r>
      <w:proofErr w:type="spellEnd"/>
      <w:r w:rsidRPr="00EA6951">
        <w:rPr>
          <w:rFonts w:ascii="Times New Roman" w:eastAsia="Calibri" w:hAnsi="Times New Roman" w:cs="Times New Roman"/>
          <w:sz w:val="24"/>
          <w:szCs w:val="24"/>
        </w:rPr>
        <w:t xml:space="preserve"> KHCO</w:t>
      </w:r>
      <w:r w:rsidRPr="00EA6951">
        <w:rPr>
          <w:rFonts w:ascii="Times New Roman" w:eastAsia="Calibri" w:hAnsi="Times New Roman" w:cs="Times New Roman"/>
          <w:sz w:val="24"/>
          <w:szCs w:val="24"/>
          <w:vertAlign w:val="subscript"/>
        </w:rPr>
        <w:t>3</w:t>
      </w:r>
      <w:r w:rsidRPr="00EA6951">
        <w:rPr>
          <w:rFonts w:ascii="Times New Roman" w:eastAsia="Calibri" w:hAnsi="Times New Roman" w:cs="Times New Roman"/>
          <w:sz w:val="24"/>
          <w:szCs w:val="24"/>
        </w:rPr>
        <w:t xml:space="preserve"> Merck, 155 </w:t>
      </w:r>
      <w:proofErr w:type="spellStart"/>
      <w:r w:rsidRPr="00EA6951">
        <w:rPr>
          <w:rFonts w:ascii="Times New Roman" w:eastAsia="Calibri" w:hAnsi="Times New Roman" w:cs="Times New Roman"/>
          <w:sz w:val="24"/>
          <w:szCs w:val="24"/>
        </w:rPr>
        <w:t>mM</w:t>
      </w:r>
      <w:proofErr w:type="spellEnd"/>
      <w:r w:rsidRPr="00EA6951">
        <w:rPr>
          <w:rFonts w:ascii="Times New Roman" w:eastAsia="Calibri" w:hAnsi="Times New Roman" w:cs="Times New Roman"/>
          <w:sz w:val="24"/>
          <w:szCs w:val="24"/>
        </w:rPr>
        <w:t xml:space="preserve"> NH</w:t>
      </w:r>
      <w:r w:rsidRPr="00EA6951">
        <w:rPr>
          <w:rFonts w:ascii="Times New Roman" w:eastAsia="Calibri" w:hAnsi="Times New Roman" w:cs="Times New Roman"/>
          <w:sz w:val="24"/>
          <w:szCs w:val="24"/>
          <w:vertAlign w:val="subscript"/>
        </w:rPr>
        <w:t>4</w:t>
      </w:r>
      <w:r w:rsidRPr="00EA6951">
        <w:rPr>
          <w:rFonts w:ascii="Times New Roman" w:eastAsia="Calibri" w:hAnsi="Times New Roman" w:cs="Times New Roman"/>
          <w:sz w:val="24"/>
          <w:szCs w:val="24"/>
        </w:rPr>
        <w:t xml:space="preserve">Cl Merck, </w:t>
      </w:r>
      <w:proofErr w:type="gramStart"/>
      <w:r w:rsidRPr="00EA6951">
        <w:rPr>
          <w:rFonts w:ascii="Times New Roman" w:eastAsia="Calibri" w:hAnsi="Times New Roman" w:cs="Times New Roman"/>
          <w:sz w:val="24"/>
          <w:szCs w:val="24"/>
        </w:rPr>
        <w:t>100</w:t>
      </w:r>
      <w:proofErr w:type="gramEnd"/>
      <w:r w:rsidRPr="00EA6951">
        <w:rPr>
          <w:rFonts w:ascii="Times New Roman" w:eastAsia="Calibri" w:hAnsi="Times New Roman" w:cs="Times New Roman"/>
          <w:sz w:val="24"/>
          <w:szCs w:val="24"/>
        </w:rPr>
        <w:t xml:space="preserve"> µM EDTA Sigma in aqua </w:t>
      </w:r>
      <w:proofErr w:type="spellStart"/>
      <w:r w:rsidRPr="00EA6951">
        <w:rPr>
          <w:rFonts w:ascii="Times New Roman" w:eastAsia="Calibri" w:hAnsi="Times New Roman" w:cs="Times New Roman"/>
          <w:sz w:val="24"/>
          <w:szCs w:val="24"/>
        </w:rPr>
        <w:t>dest</w:t>
      </w:r>
      <w:proofErr w:type="spellEnd"/>
      <w:r w:rsidRPr="00EA6951">
        <w:rPr>
          <w:rFonts w:ascii="Times New Roman" w:eastAsia="Calibri" w:hAnsi="Times New Roman" w:cs="Times New Roman"/>
          <w:sz w:val="24"/>
          <w:szCs w:val="24"/>
        </w:rPr>
        <w:t xml:space="preserve">.) for 1 min, and washed twice with PBS. A sample of the single cell suspension (end volume 5 ml) was mixed with trypan blue (1:2) and counted using a </w:t>
      </w:r>
      <w:proofErr w:type="spellStart"/>
      <w:r w:rsidRPr="00EA6951">
        <w:rPr>
          <w:rFonts w:ascii="Times New Roman" w:eastAsia="Calibri" w:hAnsi="Times New Roman" w:cs="Times New Roman"/>
          <w:sz w:val="24"/>
          <w:szCs w:val="24"/>
        </w:rPr>
        <w:t>hemocytometer</w:t>
      </w:r>
      <w:proofErr w:type="spellEnd"/>
      <w:r w:rsidRPr="00EA6951">
        <w:rPr>
          <w:rFonts w:ascii="Times New Roman" w:eastAsia="Calibri" w:hAnsi="Times New Roman" w:cs="Times New Roman"/>
          <w:sz w:val="24"/>
          <w:szCs w:val="24"/>
        </w:rPr>
        <w:t xml:space="preserve">.  </w:t>
      </w:r>
    </w:p>
    <w:p w:rsidR="00286EA6" w:rsidRPr="00EA6951" w:rsidRDefault="00286EA6" w:rsidP="00286EA6">
      <w:pPr>
        <w:tabs>
          <w:tab w:val="left" w:pos="1134"/>
        </w:tabs>
        <w:spacing w:after="0" w:line="360" w:lineRule="auto"/>
        <w:jc w:val="both"/>
        <w:rPr>
          <w:rFonts w:ascii="Times New Roman" w:eastAsia="Calibri" w:hAnsi="Times New Roman" w:cs="Times New Roman"/>
          <w:b/>
          <w:sz w:val="24"/>
          <w:szCs w:val="24"/>
        </w:rPr>
      </w:pPr>
    </w:p>
    <w:p w:rsidR="00286EA6" w:rsidRPr="00EA6951" w:rsidRDefault="00286EA6" w:rsidP="00286EA6">
      <w:pPr>
        <w:tabs>
          <w:tab w:val="left" w:pos="1134"/>
        </w:tabs>
        <w:spacing w:line="360" w:lineRule="auto"/>
        <w:jc w:val="both"/>
        <w:rPr>
          <w:rFonts w:ascii="Times New Roman" w:eastAsia="Calibri" w:hAnsi="Times New Roman" w:cs="Times New Roman"/>
          <w:b/>
          <w:sz w:val="24"/>
          <w:szCs w:val="24"/>
        </w:rPr>
      </w:pPr>
      <w:r w:rsidRPr="00EA6951">
        <w:rPr>
          <w:rFonts w:ascii="Times New Roman" w:eastAsia="Calibri" w:hAnsi="Times New Roman" w:cs="Times New Roman"/>
          <w:b/>
          <w:sz w:val="24"/>
          <w:szCs w:val="24"/>
        </w:rPr>
        <w:t>Cytokines analysis</w:t>
      </w:r>
    </w:p>
    <w:p w:rsidR="00286EA6" w:rsidRPr="00EA6951" w:rsidRDefault="00286EA6" w:rsidP="00286EA6">
      <w:pPr>
        <w:spacing w:line="360" w:lineRule="auto"/>
        <w:jc w:val="both"/>
        <w:rPr>
          <w:rFonts w:ascii="Times New Roman" w:eastAsia="Calibri" w:hAnsi="Times New Roman" w:cs="Times New Roman"/>
          <w:bCs/>
          <w:iCs/>
          <w:sz w:val="24"/>
          <w:szCs w:val="24"/>
        </w:rPr>
      </w:pPr>
      <w:r w:rsidRPr="00EA6951">
        <w:rPr>
          <w:rFonts w:ascii="Times New Roman" w:eastAsia="Calibri" w:hAnsi="Times New Roman" w:cs="Times New Roman"/>
          <w:sz w:val="24"/>
          <w:szCs w:val="24"/>
        </w:rPr>
        <w:t>1*10</w:t>
      </w:r>
      <w:r w:rsidRPr="00EA6951">
        <w:rPr>
          <w:rFonts w:ascii="Times New Roman" w:eastAsia="Calibri" w:hAnsi="Times New Roman" w:cs="Times New Roman"/>
          <w:sz w:val="24"/>
          <w:szCs w:val="24"/>
          <w:vertAlign w:val="superscript"/>
        </w:rPr>
        <w:t>6</w:t>
      </w:r>
      <w:r w:rsidRPr="00EA6951">
        <w:rPr>
          <w:rFonts w:ascii="Times New Roman" w:eastAsia="Calibri" w:hAnsi="Times New Roman" w:cs="Times New Roman"/>
          <w:sz w:val="24"/>
          <w:szCs w:val="24"/>
        </w:rPr>
        <w:t xml:space="preserve"> lung cells were suspended in 500 µl </w:t>
      </w:r>
      <w:proofErr w:type="spellStart"/>
      <w:r w:rsidRPr="00EA6951">
        <w:rPr>
          <w:rFonts w:ascii="Times New Roman" w:eastAsia="Calibri" w:hAnsi="Times New Roman" w:cs="Times New Roman"/>
          <w:sz w:val="24"/>
          <w:szCs w:val="24"/>
        </w:rPr>
        <w:t>TexMACS</w:t>
      </w:r>
      <w:proofErr w:type="spellEnd"/>
      <w:r w:rsidRPr="00EA6951">
        <w:rPr>
          <w:rFonts w:ascii="Times New Roman" w:eastAsia="Calibri" w:hAnsi="Times New Roman" w:cs="Times New Roman"/>
          <w:sz w:val="24"/>
          <w:szCs w:val="24"/>
        </w:rPr>
        <w:t xml:space="preserve"> medium (</w:t>
      </w:r>
      <w:proofErr w:type="spellStart"/>
      <w:r w:rsidRPr="00EA6951">
        <w:rPr>
          <w:rFonts w:ascii="Times New Roman" w:eastAsia="Calibri" w:hAnsi="Times New Roman" w:cs="Times New Roman"/>
          <w:sz w:val="24"/>
          <w:szCs w:val="24"/>
        </w:rPr>
        <w:t>Miltenyi</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Biotec</w:t>
      </w:r>
      <w:proofErr w:type="spellEnd"/>
      <w:r w:rsidRPr="00EA6951">
        <w:rPr>
          <w:rFonts w:ascii="Times New Roman" w:eastAsia="Calibri" w:hAnsi="Times New Roman" w:cs="Times New Roman"/>
          <w:sz w:val="24"/>
          <w:szCs w:val="24"/>
        </w:rPr>
        <w:t xml:space="preserve"> GmbH, </w:t>
      </w:r>
      <w:proofErr w:type="spellStart"/>
      <w:r w:rsidRPr="00EA6951">
        <w:rPr>
          <w:rFonts w:ascii="Times New Roman" w:eastAsia="Calibri" w:hAnsi="Times New Roman" w:cs="Times New Roman"/>
          <w:sz w:val="24"/>
          <w:szCs w:val="24"/>
        </w:rPr>
        <w:t>Bergisch</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Gladbach</w:t>
      </w:r>
      <w:proofErr w:type="spellEnd"/>
      <w:r w:rsidRPr="00EA6951">
        <w:rPr>
          <w:rFonts w:ascii="Times New Roman" w:eastAsia="Calibri" w:hAnsi="Times New Roman" w:cs="Times New Roman"/>
          <w:sz w:val="24"/>
          <w:szCs w:val="24"/>
        </w:rPr>
        <w:t xml:space="preserve">, Germany) supplemented with 0.01 </w:t>
      </w:r>
      <w:proofErr w:type="spellStart"/>
      <w:r w:rsidRPr="00EA6951">
        <w:rPr>
          <w:rFonts w:ascii="Times New Roman" w:eastAsia="Calibri" w:hAnsi="Times New Roman" w:cs="Times New Roman"/>
          <w:sz w:val="24"/>
          <w:szCs w:val="24"/>
        </w:rPr>
        <w:t>mM</w:t>
      </w:r>
      <w:proofErr w:type="spellEnd"/>
      <w:r w:rsidRPr="00EA6951">
        <w:rPr>
          <w:rFonts w:ascii="Times New Roman" w:eastAsia="Calibri" w:hAnsi="Times New Roman" w:cs="Times New Roman"/>
          <w:sz w:val="24"/>
          <w:szCs w:val="24"/>
        </w:rPr>
        <w:t xml:space="preserve"> 2-Mercaptoethanol (</w:t>
      </w:r>
      <w:proofErr w:type="spellStart"/>
      <w:r w:rsidRPr="00EA6951">
        <w:rPr>
          <w:rFonts w:ascii="Times New Roman" w:eastAsia="Calibri" w:hAnsi="Times New Roman" w:cs="Times New Roman"/>
          <w:sz w:val="24"/>
          <w:szCs w:val="24"/>
        </w:rPr>
        <w:t>Miltenyi</w:t>
      </w:r>
      <w:proofErr w:type="spellEnd"/>
      <w:r w:rsidRPr="00EA6951">
        <w:rPr>
          <w:rFonts w:ascii="Times New Roman" w:eastAsia="Calibri" w:hAnsi="Times New Roman" w:cs="Times New Roman"/>
          <w:sz w:val="24"/>
          <w:szCs w:val="24"/>
        </w:rPr>
        <w:t>), 10 % FCS (</w:t>
      </w:r>
      <w:proofErr w:type="spellStart"/>
      <w:r w:rsidRPr="00EA6951">
        <w:rPr>
          <w:rFonts w:ascii="Times New Roman" w:eastAsia="Calibri" w:hAnsi="Times New Roman" w:cs="Times New Roman"/>
          <w:sz w:val="24"/>
          <w:szCs w:val="24"/>
        </w:rPr>
        <w:t>Biochrom</w:t>
      </w:r>
      <w:proofErr w:type="spellEnd"/>
      <w:r w:rsidRPr="00EA6951">
        <w:rPr>
          <w:rFonts w:ascii="Times New Roman" w:eastAsia="Calibri" w:hAnsi="Times New Roman" w:cs="Times New Roman"/>
          <w:sz w:val="24"/>
          <w:szCs w:val="24"/>
        </w:rPr>
        <w:t xml:space="preserve"> AG, Berlin, Germany) and 100 IU Penicillin/Streptomycin (</w:t>
      </w:r>
      <w:proofErr w:type="spellStart"/>
      <w:r w:rsidRPr="00EA6951">
        <w:rPr>
          <w:rFonts w:ascii="Times New Roman" w:eastAsia="Calibri" w:hAnsi="Times New Roman" w:cs="Times New Roman"/>
          <w:sz w:val="24"/>
          <w:szCs w:val="24"/>
        </w:rPr>
        <w:t>Biochrom</w:t>
      </w:r>
      <w:proofErr w:type="spellEnd"/>
      <w:r w:rsidRPr="00EA6951">
        <w:rPr>
          <w:rFonts w:ascii="Times New Roman" w:eastAsia="Calibri" w:hAnsi="Times New Roman" w:cs="Times New Roman"/>
          <w:sz w:val="24"/>
          <w:szCs w:val="24"/>
        </w:rPr>
        <w:t xml:space="preserve">) and stimulated with anti-CD3/CD28 MACS beads (T Cell Activation/Expansions Kit Mouse, </w:t>
      </w:r>
      <w:proofErr w:type="spellStart"/>
      <w:r w:rsidRPr="00EA6951">
        <w:rPr>
          <w:rFonts w:ascii="Times New Roman" w:eastAsia="Calibri" w:hAnsi="Times New Roman" w:cs="Times New Roman"/>
          <w:sz w:val="24"/>
          <w:szCs w:val="24"/>
        </w:rPr>
        <w:t>Miltenyi</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Biotec</w:t>
      </w:r>
      <w:proofErr w:type="spellEnd"/>
      <w:r w:rsidRPr="00EA6951">
        <w:rPr>
          <w:rFonts w:ascii="Times New Roman" w:eastAsia="Calibri" w:hAnsi="Times New Roman" w:cs="Times New Roman"/>
          <w:sz w:val="24"/>
          <w:szCs w:val="24"/>
        </w:rPr>
        <w:t>) overnight at 37 °C and 10% pCO</w:t>
      </w:r>
      <w:r w:rsidRPr="00EA6951">
        <w:rPr>
          <w:rFonts w:ascii="Times New Roman" w:eastAsia="Calibri" w:hAnsi="Times New Roman" w:cs="Times New Roman"/>
          <w:sz w:val="24"/>
          <w:szCs w:val="24"/>
          <w:vertAlign w:val="subscript"/>
        </w:rPr>
        <w:t>2</w:t>
      </w:r>
      <w:r w:rsidRPr="00EA6951">
        <w:rPr>
          <w:rFonts w:ascii="Times New Roman" w:eastAsia="Calibri" w:hAnsi="Times New Roman" w:cs="Times New Roman"/>
          <w:sz w:val="24"/>
          <w:szCs w:val="24"/>
        </w:rPr>
        <w:t xml:space="preserve">. Cell culture supernatant was collected (300x g, 10 min, 21 °C) and frozen at -80 °C until cytokine analysis. The BD cytometric bead array (CBA) Enhanced Sensitivity Flex Set System for mouse (all Becton Dickinson GmbH, Heidelberg, Germany) was used to measure IL-1β, IL-4, IL-5, IL-6, IL-10, IL-12p70, IL-13, IL-17A, IFN-γ and TNFα in the cell culture supernatant. The analysis was performed according to the manufacturer´s instructions </w:t>
      </w:r>
      <w:r w:rsidRPr="00EA6951">
        <w:rPr>
          <w:rFonts w:ascii="Times New Roman" w:hAnsi="Times New Roman" w:cs="Times New Roman"/>
          <w:sz w:val="24"/>
          <w:szCs w:val="24"/>
        </w:rPr>
        <w:t>except capture and detection antibodies were pre-diluted at 1:2</w:t>
      </w:r>
      <w:r w:rsidRPr="00EA6951">
        <w:rPr>
          <w:rFonts w:ascii="Times New Roman" w:eastAsia="Calibri" w:hAnsi="Times New Roman" w:cs="Times New Roman"/>
          <w:sz w:val="24"/>
          <w:szCs w:val="24"/>
        </w:rPr>
        <w:t>. MACSquant10 (</w:t>
      </w:r>
      <w:proofErr w:type="spellStart"/>
      <w:r w:rsidRPr="00EA6951">
        <w:rPr>
          <w:rFonts w:ascii="Times New Roman" w:eastAsia="Calibri" w:hAnsi="Times New Roman" w:cs="Times New Roman"/>
          <w:sz w:val="24"/>
          <w:szCs w:val="24"/>
        </w:rPr>
        <w:t>Miltenyi</w:t>
      </w:r>
      <w:proofErr w:type="spellEnd"/>
      <w:r w:rsidRPr="00EA6951">
        <w:rPr>
          <w:rFonts w:ascii="Times New Roman" w:eastAsia="Calibri" w:hAnsi="Times New Roman" w:cs="Times New Roman"/>
          <w:sz w:val="24"/>
          <w:szCs w:val="24"/>
        </w:rPr>
        <w:t xml:space="preserve">) was used for the measurements. </w:t>
      </w:r>
    </w:p>
    <w:p w:rsidR="00286EA6" w:rsidRPr="00EA6951" w:rsidRDefault="00286EA6" w:rsidP="00286EA6">
      <w:pPr>
        <w:tabs>
          <w:tab w:val="left" w:pos="1134"/>
        </w:tabs>
        <w:spacing w:after="0" w:line="360" w:lineRule="auto"/>
        <w:ind w:left="2550"/>
        <w:jc w:val="both"/>
        <w:rPr>
          <w:rFonts w:ascii="Times New Roman" w:eastAsia="Calibri" w:hAnsi="Times New Roman" w:cs="Times New Roman"/>
          <w:b/>
          <w:bCs/>
          <w:iCs/>
          <w:sz w:val="24"/>
          <w:szCs w:val="24"/>
        </w:rPr>
      </w:pPr>
    </w:p>
    <w:p w:rsidR="00286EA6" w:rsidRPr="00EA6951" w:rsidRDefault="00286EA6" w:rsidP="00286EA6">
      <w:pPr>
        <w:tabs>
          <w:tab w:val="left" w:pos="1134"/>
        </w:tabs>
        <w:spacing w:line="360" w:lineRule="auto"/>
        <w:jc w:val="both"/>
        <w:rPr>
          <w:rFonts w:ascii="Times New Roman" w:eastAsia="Calibri" w:hAnsi="Times New Roman" w:cs="Times New Roman"/>
          <w:b/>
          <w:bCs/>
          <w:iCs/>
          <w:sz w:val="24"/>
          <w:szCs w:val="24"/>
        </w:rPr>
      </w:pPr>
      <w:r w:rsidRPr="00EA6951">
        <w:rPr>
          <w:rFonts w:ascii="Times New Roman" w:eastAsia="Calibri" w:hAnsi="Times New Roman" w:cs="Times New Roman"/>
          <w:b/>
          <w:bCs/>
          <w:iCs/>
          <w:sz w:val="24"/>
          <w:szCs w:val="24"/>
        </w:rPr>
        <w:t>Flow cytometry</w:t>
      </w:r>
      <w:bookmarkStart w:id="0" w:name="_GoBack"/>
      <w:bookmarkEnd w:id="0"/>
    </w:p>
    <w:p w:rsidR="00286EA6" w:rsidRPr="00EA6951" w:rsidRDefault="00286EA6" w:rsidP="00286EA6">
      <w:pPr>
        <w:tabs>
          <w:tab w:val="left" w:pos="1134"/>
        </w:tabs>
        <w:spacing w:line="360" w:lineRule="auto"/>
        <w:jc w:val="both"/>
        <w:rPr>
          <w:rFonts w:ascii="Times New Roman" w:eastAsia="Calibri" w:hAnsi="Times New Roman" w:cs="Times New Roman"/>
          <w:sz w:val="24"/>
          <w:szCs w:val="24"/>
        </w:rPr>
      </w:pPr>
      <w:r w:rsidRPr="00EA6951">
        <w:rPr>
          <w:rFonts w:ascii="Times New Roman" w:eastAsia="Calibri" w:hAnsi="Times New Roman" w:cs="Times New Roman"/>
          <w:sz w:val="24"/>
          <w:szCs w:val="24"/>
        </w:rPr>
        <w:t>1*10</w:t>
      </w:r>
      <w:r w:rsidRPr="00EA6951">
        <w:rPr>
          <w:rFonts w:ascii="Times New Roman" w:eastAsia="Calibri" w:hAnsi="Times New Roman" w:cs="Times New Roman"/>
          <w:sz w:val="24"/>
          <w:szCs w:val="24"/>
          <w:vertAlign w:val="superscript"/>
        </w:rPr>
        <w:t>6</w:t>
      </w:r>
      <w:r w:rsidRPr="00EA6951">
        <w:rPr>
          <w:rFonts w:ascii="Times New Roman" w:eastAsia="Calibri" w:hAnsi="Times New Roman" w:cs="Times New Roman"/>
          <w:sz w:val="24"/>
          <w:szCs w:val="24"/>
        </w:rPr>
        <w:t xml:space="preserve"> lung cells of the single cell suspension were analysed to differentiate the T-cell populations by flow cytometry using the following antibodies: α-mouse CD3e-APC 1:100 (</w:t>
      </w:r>
      <w:proofErr w:type="spellStart"/>
      <w:r w:rsidRPr="00EA6951">
        <w:rPr>
          <w:rFonts w:ascii="Times New Roman" w:eastAsia="Calibri" w:hAnsi="Times New Roman" w:cs="Times New Roman"/>
          <w:sz w:val="24"/>
          <w:szCs w:val="24"/>
        </w:rPr>
        <w:t>Miltenyi</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Biotec</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Bergisch</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Gladbach</w:t>
      </w:r>
      <w:proofErr w:type="spellEnd"/>
      <w:r w:rsidRPr="00EA6951">
        <w:rPr>
          <w:rFonts w:ascii="Times New Roman" w:eastAsia="Calibri" w:hAnsi="Times New Roman" w:cs="Times New Roman"/>
          <w:sz w:val="24"/>
          <w:szCs w:val="24"/>
        </w:rPr>
        <w:t>, Germany, clone REA641</w:t>
      </w:r>
      <w:r w:rsidR="00C03530" w:rsidRPr="00EA6951">
        <w:rPr>
          <w:rFonts w:ascii="Times New Roman" w:eastAsia="Calibri" w:hAnsi="Times New Roman" w:cs="Times New Roman"/>
          <w:sz w:val="24"/>
          <w:szCs w:val="24"/>
        </w:rPr>
        <w:t>, 30 µg/ml</w:t>
      </w:r>
      <w:r w:rsidRPr="00EA6951">
        <w:rPr>
          <w:rFonts w:ascii="Times New Roman" w:eastAsia="Calibri" w:hAnsi="Times New Roman" w:cs="Times New Roman"/>
          <w:sz w:val="24"/>
          <w:szCs w:val="24"/>
        </w:rPr>
        <w:t>), α-mouse CD4-APC-H7 1:600 (Becton Dickinson Biosciences, Franklin Lakes, USA, clone GK1.5</w:t>
      </w:r>
      <w:r w:rsidR="00073386" w:rsidRPr="00EA6951">
        <w:rPr>
          <w:rFonts w:ascii="Times New Roman" w:eastAsia="Calibri" w:hAnsi="Times New Roman" w:cs="Times New Roman"/>
          <w:sz w:val="24"/>
          <w:szCs w:val="24"/>
        </w:rPr>
        <w:t xml:space="preserve">, 200 </w:t>
      </w:r>
      <w:r w:rsidR="00073386" w:rsidRPr="00EA6951">
        <w:rPr>
          <w:rFonts w:ascii="Times New Roman" w:eastAsia="Calibri" w:hAnsi="Times New Roman" w:cs="Times New Roman"/>
          <w:sz w:val="24"/>
          <w:szCs w:val="24"/>
        </w:rPr>
        <w:lastRenderedPageBreak/>
        <w:t>µg/ml</w:t>
      </w:r>
      <w:r w:rsidRPr="00EA6951">
        <w:rPr>
          <w:rFonts w:ascii="Times New Roman" w:eastAsia="Calibri" w:hAnsi="Times New Roman" w:cs="Times New Roman"/>
          <w:sz w:val="24"/>
          <w:szCs w:val="24"/>
        </w:rPr>
        <w:t>) and α-mouse CD8b-eFlour 450 1:400 (</w:t>
      </w:r>
      <w:proofErr w:type="spellStart"/>
      <w:r w:rsidRPr="00EA6951">
        <w:rPr>
          <w:rFonts w:ascii="Times New Roman" w:eastAsia="Calibri" w:hAnsi="Times New Roman" w:cs="Times New Roman"/>
          <w:sz w:val="24"/>
          <w:szCs w:val="24"/>
        </w:rPr>
        <w:t>eBioscience</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Affymetrics</w:t>
      </w:r>
      <w:proofErr w:type="spellEnd"/>
      <w:r w:rsidRPr="00EA6951">
        <w:rPr>
          <w:rFonts w:ascii="Times New Roman" w:eastAsia="Calibri" w:hAnsi="Times New Roman" w:cs="Times New Roman"/>
          <w:sz w:val="24"/>
          <w:szCs w:val="24"/>
        </w:rPr>
        <w:t>, San Diego, USA, clone eBioH35-17.2</w:t>
      </w:r>
      <w:r w:rsidR="009F7856" w:rsidRPr="00EA6951">
        <w:rPr>
          <w:rFonts w:ascii="Times New Roman" w:eastAsia="Calibri" w:hAnsi="Times New Roman" w:cs="Times New Roman"/>
          <w:sz w:val="24"/>
          <w:szCs w:val="24"/>
        </w:rPr>
        <w:t>, 500 µg/ml</w:t>
      </w:r>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Annexin</w:t>
      </w:r>
      <w:proofErr w:type="spellEnd"/>
      <w:r w:rsidRPr="00EA6951">
        <w:rPr>
          <w:rFonts w:ascii="Times New Roman" w:eastAsia="Calibri" w:hAnsi="Times New Roman" w:cs="Times New Roman"/>
          <w:sz w:val="24"/>
          <w:szCs w:val="24"/>
        </w:rPr>
        <w:t>-V-FITC 1:50 (</w:t>
      </w:r>
      <w:proofErr w:type="spellStart"/>
      <w:r w:rsidRPr="00EA6951">
        <w:rPr>
          <w:rFonts w:ascii="Times New Roman" w:eastAsia="Calibri" w:hAnsi="Times New Roman" w:cs="Times New Roman"/>
          <w:sz w:val="24"/>
          <w:szCs w:val="24"/>
        </w:rPr>
        <w:t>eBioscience</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Affymetrics</w:t>
      </w:r>
      <w:proofErr w:type="spellEnd"/>
      <w:r w:rsidRPr="00EA6951">
        <w:rPr>
          <w:rFonts w:ascii="Times New Roman" w:eastAsia="Calibri" w:hAnsi="Times New Roman" w:cs="Times New Roman"/>
          <w:sz w:val="24"/>
          <w:szCs w:val="24"/>
        </w:rPr>
        <w:t xml:space="preserve">) and Fixable Viability Dye </w:t>
      </w:r>
      <w:proofErr w:type="spellStart"/>
      <w:r w:rsidRPr="00EA6951">
        <w:rPr>
          <w:rFonts w:ascii="Times New Roman" w:eastAsia="Calibri" w:hAnsi="Times New Roman" w:cs="Times New Roman"/>
          <w:sz w:val="24"/>
          <w:szCs w:val="24"/>
        </w:rPr>
        <w:t>eFluor</w:t>
      </w:r>
      <w:proofErr w:type="spellEnd"/>
      <w:r w:rsidRPr="00EA6951">
        <w:rPr>
          <w:rFonts w:ascii="Times New Roman" w:eastAsia="Calibri" w:hAnsi="Times New Roman" w:cs="Times New Roman"/>
          <w:sz w:val="24"/>
          <w:szCs w:val="24"/>
        </w:rPr>
        <w:t xml:space="preserve"> 455UV 1:1000 (</w:t>
      </w:r>
      <w:proofErr w:type="spellStart"/>
      <w:r w:rsidRPr="00EA6951">
        <w:rPr>
          <w:rFonts w:ascii="Times New Roman" w:eastAsia="Calibri" w:hAnsi="Times New Roman" w:cs="Times New Roman"/>
          <w:sz w:val="24"/>
          <w:szCs w:val="24"/>
        </w:rPr>
        <w:t>eBioscience</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Thermo</w:t>
      </w:r>
      <w:proofErr w:type="spellEnd"/>
      <w:r w:rsidRPr="00EA6951">
        <w:rPr>
          <w:rFonts w:ascii="Times New Roman" w:eastAsia="Calibri" w:hAnsi="Times New Roman" w:cs="Times New Roman"/>
          <w:sz w:val="24"/>
          <w:szCs w:val="24"/>
        </w:rPr>
        <w:t xml:space="preserve"> Fisher, Waltham, USA) were used to identify living cells. Fc-receptors were blocked with Fc-Block (1:50, BD, clone 2.4G2</w:t>
      </w:r>
      <w:r w:rsidR="00B9769D" w:rsidRPr="00EA6951">
        <w:rPr>
          <w:rFonts w:ascii="Times New Roman" w:eastAsia="Calibri" w:hAnsi="Times New Roman" w:cs="Times New Roman"/>
          <w:sz w:val="24"/>
          <w:szCs w:val="24"/>
        </w:rPr>
        <w:t>, 500 µg/ml</w:t>
      </w:r>
      <w:r w:rsidRPr="00EA6951">
        <w:rPr>
          <w:rFonts w:ascii="Times New Roman" w:eastAsia="Calibri" w:hAnsi="Times New Roman" w:cs="Times New Roman"/>
          <w:sz w:val="24"/>
          <w:szCs w:val="24"/>
        </w:rPr>
        <w:t xml:space="preserve">) in PBS for 10 min at 4°C. Then, antibody mixture was added and incubated for 15 min, at room temperature (RT). After washing twice with PBS, the cells were incubated with Fixable Viability Dye for 15 min (RT, dark) followed by </w:t>
      </w:r>
      <w:proofErr w:type="spellStart"/>
      <w:r w:rsidRPr="00EA6951">
        <w:rPr>
          <w:rFonts w:ascii="Times New Roman" w:eastAsia="Calibri" w:hAnsi="Times New Roman" w:cs="Times New Roman"/>
          <w:sz w:val="24"/>
          <w:szCs w:val="24"/>
        </w:rPr>
        <w:t>Annexin</w:t>
      </w:r>
      <w:proofErr w:type="spellEnd"/>
      <w:r w:rsidRPr="00EA6951">
        <w:rPr>
          <w:rFonts w:ascii="Times New Roman" w:eastAsia="Calibri" w:hAnsi="Times New Roman" w:cs="Times New Roman"/>
          <w:sz w:val="24"/>
          <w:szCs w:val="24"/>
        </w:rPr>
        <w:t>-V staining (</w:t>
      </w:r>
      <w:proofErr w:type="spellStart"/>
      <w:r w:rsidRPr="00EA6951">
        <w:rPr>
          <w:rFonts w:ascii="Times New Roman" w:eastAsia="Calibri" w:hAnsi="Times New Roman" w:cs="Times New Roman"/>
          <w:sz w:val="24"/>
          <w:szCs w:val="24"/>
        </w:rPr>
        <w:t>Annexin</w:t>
      </w:r>
      <w:proofErr w:type="spellEnd"/>
      <w:r w:rsidRPr="00EA6951">
        <w:rPr>
          <w:rFonts w:ascii="Times New Roman" w:eastAsia="Calibri" w:hAnsi="Times New Roman" w:cs="Times New Roman"/>
          <w:sz w:val="24"/>
          <w:szCs w:val="24"/>
        </w:rPr>
        <w:t xml:space="preserve"> V Apoptosis Detection Kit, </w:t>
      </w:r>
      <w:proofErr w:type="spellStart"/>
      <w:r w:rsidRPr="00EA6951">
        <w:rPr>
          <w:rFonts w:ascii="Times New Roman" w:eastAsia="Calibri" w:hAnsi="Times New Roman" w:cs="Times New Roman"/>
          <w:sz w:val="24"/>
          <w:szCs w:val="24"/>
        </w:rPr>
        <w:t>eBioscience</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Affymetrics</w:t>
      </w:r>
      <w:proofErr w:type="spellEnd"/>
      <w:r w:rsidRPr="00EA6951">
        <w:rPr>
          <w:rFonts w:ascii="Times New Roman" w:eastAsia="Calibri" w:hAnsi="Times New Roman" w:cs="Times New Roman"/>
          <w:sz w:val="24"/>
          <w:szCs w:val="24"/>
        </w:rPr>
        <w:t>). After washing, cells were fixed with 4% paraformaldehyde (</w:t>
      </w:r>
      <w:proofErr w:type="spellStart"/>
      <w:r w:rsidRPr="00EA6951">
        <w:rPr>
          <w:rFonts w:ascii="Times New Roman" w:eastAsia="Calibri" w:hAnsi="Times New Roman" w:cs="Times New Roman"/>
          <w:sz w:val="24"/>
          <w:szCs w:val="24"/>
        </w:rPr>
        <w:t>Fluka</w:t>
      </w:r>
      <w:proofErr w:type="spellEnd"/>
      <w:r w:rsidRPr="00EA6951">
        <w:rPr>
          <w:rFonts w:ascii="Times New Roman" w:eastAsia="Calibri" w:hAnsi="Times New Roman" w:cs="Times New Roman"/>
          <w:sz w:val="24"/>
          <w:szCs w:val="24"/>
        </w:rPr>
        <w:t xml:space="preserve"> Honeywell, </w:t>
      </w:r>
      <w:proofErr w:type="spellStart"/>
      <w:r w:rsidRPr="00EA6951">
        <w:rPr>
          <w:rFonts w:ascii="Times New Roman" w:eastAsia="Calibri" w:hAnsi="Times New Roman" w:cs="Times New Roman"/>
          <w:sz w:val="24"/>
          <w:szCs w:val="24"/>
        </w:rPr>
        <w:t>Seelze</w:t>
      </w:r>
      <w:proofErr w:type="spellEnd"/>
      <w:r w:rsidRPr="00EA6951">
        <w:rPr>
          <w:rFonts w:ascii="Times New Roman" w:eastAsia="Calibri" w:hAnsi="Times New Roman" w:cs="Times New Roman"/>
          <w:sz w:val="24"/>
          <w:szCs w:val="24"/>
        </w:rPr>
        <w:t>, Germany) and finally suspended in PBS with 10% f</w:t>
      </w:r>
      <w:r w:rsidR="008626A6" w:rsidRPr="00EA6951">
        <w:rPr>
          <w:rFonts w:ascii="Times New Roman" w:eastAsia="Calibri" w:hAnsi="Times New Roman" w:cs="Times New Roman"/>
          <w:sz w:val="24"/>
          <w:szCs w:val="24"/>
        </w:rPr>
        <w:t>o</w:t>
      </w:r>
      <w:r w:rsidRPr="00EA6951">
        <w:rPr>
          <w:rFonts w:ascii="Times New Roman" w:eastAsia="Calibri" w:hAnsi="Times New Roman" w:cs="Times New Roman"/>
          <w:sz w:val="24"/>
          <w:szCs w:val="24"/>
        </w:rPr>
        <w:t>etal calf serum (</w:t>
      </w:r>
      <w:proofErr w:type="spellStart"/>
      <w:r w:rsidRPr="00EA6951">
        <w:rPr>
          <w:rFonts w:ascii="Times New Roman" w:eastAsia="Calibri" w:hAnsi="Times New Roman" w:cs="Times New Roman"/>
          <w:sz w:val="24"/>
          <w:szCs w:val="24"/>
        </w:rPr>
        <w:t>Biochrom</w:t>
      </w:r>
      <w:proofErr w:type="spellEnd"/>
      <w:r w:rsidRPr="00EA6951">
        <w:rPr>
          <w:rFonts w:ascii="Times New Roman" w:eastAsia="Calibri" w:hAnsi="Times New Roman" w:cs="Times New Roman"/>
          <w:sz w:val="24"/>
          <w:szCs w:val="24"/>
        </w:rPr>
        <w:t xml:space="preserve">, Berlin, Germany). The analysis was done on a BD LSR II using the software </w:t>
      </w:r>
      <w:proofErr w:type="spellStart"/>
      <w:r w:rsidRPr="00EA6951">
        <w:rPr>
          <w:rFonts w:ascii="Times New Roman" w:eastAsia="Calibri" w:hAnsi="Times New Roman" w:cs="Times New Roman"/>
          <w:sz w:val="24"/>
          <w:szCs w:val="24"/>
        </w:rPr>
        <w:t>FACSDiva</w:t>
      </w:r>
      <w:proofErr w:type="spellEnd"/>
      <w:r w:rsidRPr="00EA6951">
        <w:rPr>
          <w:rFonts w:ascii="Times New Roman" w:eastAsia="Calibri" w:hAnsi="Times New Roman" w:cs="Times New Roman"/>
          <w:sz w:val="24"/>
          <w:szCs w:val="24"/>
        </w:rPr>
        <w:t xml:space="preserve"> 8 (both Becton Dickinson). </w:t>
      </w:r>
    </w:p>
    <w:p w:rsidR="00286EA6" w:rsidRPr="00EA6951" w:rsidRDefault="00286EA6" w:rsidP="00286EA6">
      <w:pPr>
        <w:tabs>
          <w:tab w:val="left" w:pos="1134"/>
        </w:tabs>
        <w:spacing w:after="0" w:line="360" w:lineRule="auto"/>
        <w:jc w:val="both"/>
        <w:rPr>
          <w:rFonts w:ascii="Times New Roman" w:eastAsia="Calibri" w:hAnsi="Times New Roman" w:cs="Times New Roman"/>
          <w:sz w:val="24"/>
          <w:szCs w:val="24"/>
        </w:rPr>
      </w:pPr>
    </w:p>
    <w:p w:rsidR="00286EA6" w:rsidRPr="00EA6951" w:rsidRDefault="00286EA6" w:rsidP="00286EA6">
      <w:pPr>
        <w:pStyle w:val="Heading2"/>
        <w:numPr>
          <w:ilvl w:val="0"/>
          <w:numId w:val="0"/>
        </w:numPr>
        <w:spacing w:after="0" w:line="360" w:lineRule="auto"/>
        <w:ind w:left="567" w:hanging="567"/>
        <w:jc w:val="both"/>
        <w:rPr>
          <w:rFonts w:eastAsia="Calibri"/>
        </w:rPr>
      </w:pPr>
      <w:proofErr w:type="spellStart"/>
      <w:r w:rsidRPr="00EA6951">
        <w:rPr>
          <w:rFonts w:eastAsia="Calibri"/>
        </w:rPr>
        <w:t>Bioinformatic</w:t>
      </w:r>
      <w:proofErr w:type="spellEnd"/>
      <w:r w:rsidRPr="00EA6951">
        <w:rPr>
          <w:rFonts w:eastAsia="Calibri"/>
        </w:rPr>
        <w:t xml:space="preserve"> analysis</w:t>
      </w:r>
    </w:p>
    <w:p w:rsidR="00286EA6" w:rsidRPr="00EA6951" w:rsidRDefault="00286EA6" w:rsidP="00286EA6">
      <w:pPr>
        <w:spacing w:line="360" w:lineRule="auto"/>
        <w:jc w:val="both"/>
        <w:rPr>
          <w:rFonts w:ascii="Times New Roman" w:eastAsia="Calibri" w:hAnsi="Times New Roman" w:cs="Times New Roman"/>
          <w:sz w:val="24"/>
          <w:szCs w:val="24"/>
        </w:rPr>
      </w:pPr>
      <w:r w:rsidRPr="00EA6951">
        <w:rPr>
          <w:rFonts w:ascii="Times New Roman" w:eastAsia="Calibri" w:hAnsi="Times New Roman" w:cs="Times New Roman"/>
          <w:sz w:val="24"/>
          <w:szCs w:val="24"/>
        </w:rPr>
        <w:t>Amplicons were processed using established protocols (</w:t>
      </w:r>
      <w:r w:rsidRPr="00EA6951">
        <w:rPr>
          <w:rFonts w:ascii="Times New Roman" w:hAnsi="Times New Roman" w:cs="Times New Roman"/>
          <w:sz w:val="24"/>
          <w:szCs w:val="24"/>
        </w:rPr>
        <w:t>https://doi.org/10.5281/zenodo.1302799)</w:t>
      </w:r>
      <w:r w:rsidRPr="00EA6951">
        <w:rPr>
          <w:rFonts w:ascii="Times New Roman" w:eastAsia="Calibri" w:hAnsi="Times New Roman" w:cs="Times New Roman"/>
          <w:sz w:val="24"/>
          <w:szCs w:val="24"/>
        </w:rPr>
        <w:t xml:space="preserve"> based on USEARCH v.10.2.240 and VSEARCH </w:t>
      </w:r>
      <w:r w:rsidRPr="00EA6951">
        <w:rPr>
          <w:rFonts w:ascii="Times New Roman" w:eastAsia="Calibri" w:hAnsi="Times New Roman" w:cs="Times New Roman"/>
          <w:sz w:val="24"/>
          <w:szCs w:val="24"/>
        </w:rPr>
        <w:fldChar w:fldCharType="begin">
          <w:fldData xml:space="preserve">PEVuZE5vdGU+PENpdGU+PEF1dGhvcj5Sb2duZXM8L0F1dGhvcj48WWVhcj4yMDE2PC9ZZWFyPjxS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</w:fldData>
        </w:fldChar>
      </w:r>
      <w:r w:rsidRPr="00EA6951">
        <w:rPr>
          <w:rFonts w:ascii="Times New Roman" w:eastAsia="Calibri" w:hAnsi="Times New Roman" w:cs="Times New Roman"/>
          <w:sz w:val="24"/>
          <w:szCs w:val="24"/>
        </w:rPr>
        <w:instrText xml:space="preserve"> ADDIN EN.CITE </w:instrText>
      </w:r>
      <w:r w:rsidRPr="00EA6951">
        <w:rPr>
          <w:rFonts w:ascii="Times New Roman" w:eastAsia="Calibri" w:hAnsi="Times New Roman" w:cs="Times New Roman"/>
          <w:sz w:val="24"/>
          <w:szCs w:val="24"/>
        </w:rPr>
        <w:fldChar w:fldCharType="begin">
          <w:fldData xml:space="preserve">PEVuZE5vdGU+PENpdGU+PEF1dGhvcj5Sb2duZXM8L0F1dGhvcj48WWVhcj4yMDE2PC9ZZWFyPjxS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</w:fldData>
        </w:fldChar>
      </w:r>
      <w:r w:rsidRPr="00EA6951">
        <w:rPr>
          <w:rFonts w:ascii="Times New Roman" w:eastAsia="Calibri" w:hAnsi="Times New Roman" w:cs="Times New Roman"/>
          <w:sz w:val="24"/>
          <w:szCs w:val="24"/>
        </w:rPr>
        <w:instrText xml:space="preserve"> ADDIN EN.CITE.DATA </w:instrText>
      </w:r>
      <w:r w:rsidRPr="00EA6951">
        <w:rPr>
          <w:rFonts w:ascii="Times New Roman" w:eastAsia="Calibri" w:hAnsi="Times New Roman" w:cs="Times New Roman"/>
          <w:sz w:val="24"/>
          <w:szCs w:val="24"/>
        </w:rPr>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[9]</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 xml:space="preserve">. In short, USEARCH and VSEARCH were used to merge </w:t>
      </w:r>
      <w:proofErr w:type="spellStart"/>
      <w:r w:rsidRPr="00EA6951">
        <w:rPr>
          <w:rFonts w:ascii="Times New Roman" w:eastAsia="Calibri" w:hAnsi="Times New Roman" w:cs="Times New Roman"/>
          <w:sz w:val="24"/>
          <w:szCs w:val="24"/>
        </w:rPr>
        <w:t>demultiplexed</w:t>
      </w:r>
      <w:proofErr w:type="spellEnd"/>
      <w:r w:rsidRPr="00EA6951">
        <w:rPr>
          <w:rFonts w:ascii="Times New Roman" w:eastAsia="Calibri" w:hAnsi="Times New Roman" w:cs="Times New Roman"/>
          <w:sz w:val="24"/>
          <w:szCs w:val="24"/>
        </w:rPr>
        <w:t xml:space="preserve"> raw reads in a single file, remove primers and to perform quality filtering with </w:t>
      </w:r>
      <w:proofErr w:type="spellStart"/>
      <w:r w:rsidRPr="00EA6951">
        <w:rPr>
          <w:rFonts w:ascii="Times New Roman" w:eastAsia="Calibri" w:hAnsi="Times New Roman" w:cs="Times New Roman"/>
          <w:sz w:val="24"/>
          <w:szCs w:val="24"/>
        </w:rPr>
        <w:t>maxee</w:t>
      </w:r>
      <w:proofErr w:type="spellEnd"/>
      <w:r w:rsidRPr="00EA6951">
        <w:rPr>
          <w:rFonts w:ascii="Times New Roman" w:eastAsia="Calibri" w:hAnsi="Times New Roman" w:cs="Times New Roman"/>
          <w:sz w:val="24"/>
          <w:szCs w:val="24"/>
        </w:rPr>
        <w:t xml:space="preserve"> 1.0 as a threshold. </w:t>
      </w:r>
      <w:proofErr w:type="spellStart"/>
      <w:r w:rsidRPr="00EA6951">
        <w:rPr>
          <w:rFonts w:ascii="Times New Roman" w:eastAsia="Calibri" w:hAnsi="Times New Roman" w:cs="Times New Roman"/>
          <w:sz w:val="24"/>
          <w:szCs w:val="24"/>
        </w:rPr>
        <w:t>Denoising</w:t>
      </w:r>
      <w:proofErr w:type="spellEnd"/>
      <w:r w:rsidRPr="00EA6951">
        <w:rPr>
          <w:rFonts w:ascii="Times New Roman" w:eastAsia="Calibri" w:hAnsi="Times New Roman" w:cs="Times New Roman"/>
          <w:sz w:val="24"/>
          <w:szCs w:val="24"/>
        </w:rPr>
        <w:t xml:space="preserve"> was performed using the Unoise3 algorithm to identify sequence variants (zero radius OTUs = </w:t>
      </w:r>
      <w:proofErr w:type="spellStart"/>
      <w:r w:rsidRPr="00EA6951">
        <w:rPr>
          <w:rFonts w:ascii="Times New Roman" w:eastAsia="Calibri" w:hAnsi="Times New Roman" w:cs="Times New Roman"/>
          <w:sz w:val="24"/>
          <w:szCs w:val="24"/>
        </w:rPr>
        <w:t>zOTUs</w:t>
      </w:r>
      <w:proofErr w:type="spellEnd"/>
      <w:r w:rsidRPr="00EA6951">
        <w:rPr>
          <w:rFonts w:ascii="Times New Roman" w:eastAsia="Calibri" w:hAnsi="Times New Roman" w:cs="Times New Roman"/>
          <w:sz w:val="24"/>
          <w:szCs w:val="24"/>
        </w:rPr>
        <w:t xml:space="preserve">) with a minimum length of 350 </w:t>
      </w:r>
      <w:proofErr w:type="spellStart"/>
      <w:r w:rsidRPr="00EA6951">
        <w:rPr>
          <w:rFonts w:ascii="Times New Roman" w:eastAsia="Calibri" w:hAnsi="Times New Roman" w:cs="Times New Roman"/>
          <w:sz w:val="24"/>
          <w:szCs w:val="24"/>
        </w:rPr>
        <w:t>bp.</w:t>
      </w:r>
      <w:proofErr w:type="spellEnd"/>
      <w:r w:rsidRPr="00EA6951">
        <w:rPr>
          <w:rFonts w:ascii="Times New Roman" w:eastAsia="Calibri" w:hAnsi="Times New Roman" w:cs="Times New Roman"/>
          <w:sz w:val="24"/>
          <w:szCs w:val="24"/>
        </w:rPr>
        <w:t xml:space="preserve"> The resulting </w:t>
      </w:r>
      <w:proofErr w:type="spellStart"/>
      <w:r w:rsidRPr="00EA6951">
        <w:rPr>
          <w:rFonts w:ascii="Times New Roman" w:eastAsia="Calibri" w:hAnsi="Times New Roman" w:cs="Times New Roman"/>
          <w:sz w:val="24"/>
          <w:szCs w:val="24"/>
        </w:rPr>
        <w:t>zOTU</w:t>
      </w:r>
      <w:proofErr w:type="spellEnd"/>
      <w:r w:rsidRPr="00EA6951">
        <w:rPr>
          <w:rFonts w:ascii="Times New Roman" w:eastAsia="Calibri" w:hAnsi="Times New Roman" w:cs="Times New Roman"/>
          <w:sz w:val="24"/>
          <w:szCs w:val="24"/>
        </w:rPr>
        <w:t xml:space="preserve"> table was reanalysed using the UNCROSS algorithm to remove sequencing errors based on wrong barcoding assignment through cross-feed </w:t>
      </w:r>
      <w:r w:rsidRPr="00EA6951">
        <w:rPr>
          <w:rFonts w:ascii="Times New Roman" w:eastAsia="Calibri" w:hAnsi="Times New Roman" w:cs="Times New Roman"/>
          <w:sz w:val="24"/>
          <w:szCs w:val="24"/>
        </w:rPr>
        <w:fldChar w:fldCharType="begin"/>
      </w:r>
      <w:r w:rsidRPr="00EA6951">
        <w:rPr>
          <w:rFonts w:ascii="Times New Roman" w:eastAsia="Calibri" w:hAnsi="Times New Roman" w:cs="Times New Roman"/>
          <w:sz w:val="24"/>
          <w:szCs w:val="24"/>
        </w:rPr>
        <w:instrText xml:space="preserve"> ADDIN EN.CITE &lt;EndNote&gt;&lt;Cite&gt;&lt;Author&gt;Wright&lt;/Author&gt;&lt;Year&gt;2016&lt;/Year&gt;&lt;RecNum&gt;19&lt;/RecNum&gt;&lt;DisplayText&gt;[10]&lt;/DisplayText&gt;&lt;record&gt;&lt;rec-number&gt;19&lt;/rec-number&gt;&lt;foreign-keys&gt;&lt;key app="EN" db-id="pte50xaeqftedket9pav95av90darwdt5vda" timestamp="1629985142"&gt;19&lt;/key&gt;&lt;/foreign-keys&gt;&lt;ref-type name="Journal Article"&gt;17&lt;/ref-type&gt;&lt;contributors&gt;&lt;authors&gt;&lt;author&gt;Wright, E. S.&lt;/author&gt;&lt;author&gt;Vetsigian, K. H.&lt;/author&gt;&lt;/authors&gt;&lt;/contributors&gt;&lt;auth-address&gt;Department of Bacteriology, UW-Madison, Madison, USA.&amp;#xD;Wisconsin Institute for Discovery, UW-Madison, 330 N. Orchard St, Madison, 53715, WI, USA.&amp;#xD;Department of Bacteriology, UW-Madison, Madison, USA. kalin@discovery.wisc.edu.&amp;#xD;Wisconsin Institute for Discovery, UW-Madison, 330 N. Orchard St, Madison, 53715, WI, USA. kalin@discovery.wisc.edu.&lt;/auth-address&gt;&lt;titles&gt;&lt;title&gt;Quality filtering of Illumina index reads mitigates sample cross-talk&lt;/title&gt;&lt;secondary-title&gt;BMC Genomics&lt;/secondary-title&gt;&lt;/titles&gt;&lt;periodical&gt;&lt;full-title&gt;BMC Genomics&lt;/full-title&gt;&lt;/periodical&gt;&lt;pages&gt;876&lt;/pages&gt;&lt;volume&gt;17&lt;/volume&gt;&lt;number&gt;1&lt;/number&gt;&lt;edition&gt;2016/11/07&lt;/edition&gt;&lt;keywords&gt;&lt;keyword&gt;High-Throughput Nucleotide Sequencing/methods/*standards&lt;/keyword&gt;&lt;keyword&gt;*Quality Control&lt;/keyword&gt;&lt;keyword&gt;*Illumina&lt;/keyword&gt;&lt;keyword&gt;*Multiplexing&lt;/keyword&gt;&lt;keyword&gt;*Sequencing&lt;/keyword&gt;&lt;keyword&gt;*Sequencing errors&lt;/keyword&gt;&lt;/keywords&gt;&lt;dates&gt;&lt;year&gt;2016&lt;/year&gt;&lt;pub-dates&gt;&lt;date&gt;Nov 4&lt;/date&gt;&lt;/pub-dates&gt;&lt;/dates&gt;&lt;isbn&gt;1471-2164 (Electronic)&amp;#xD;1471-2164 (Linking)&lt;/isbn&gt;&lt;accession-num&gt;27814679&lt;/accession-num&gt;&lt;urls&gt;&lt;related-urls&gt;&lt;url&gt;https://www.ncbi.nlm.nih.gov/pubmed/27814679&lt;/url&gt;&lt;/related-urls&gt;&lt;/urls&gt;&lt;custom2&gt;PMC5097354&lt;/custom2&gt;&lt;electronic-resource-num&gt;10.1186/s12864-016-3217-x&lt;/electronic-resource-num&gt;&lt;/record&gt;&lt;/Cite&gt;&lt;/EndNote&gt;</w:instrText>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[10]</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 xml:space="preserve">. Taxonomy was predicted using RDP reference database v16 </w:t>
      </w:r>
      <w:r w:rsidRPr="00EA6951">
        <w:rPr>
          <w:rFonts w:ascii="Times New Roman" w:eastAsia="Calibri" w:hAnsi="Times New Roman" w:cs="Times New Roman"/>
          <w:sz w:val="24"/>
          <w:szCs w:val="24"/>
        </w:rPr>
        <w:fldChar w:fldCharType="begin"/>
      </w:r>
      <w:r w:rsidRPr="00EA6951">
        <w:rPr>
          <w:rFonts w:ascii="Times New Roman" w:eastAsia="Calibri" w:hAnsi="Times New Roman" w:cs="Times New Roman"/>
          <w:sz w:val="24"/>
          <w:szCs w:val="24"/>
        </w:rPr>
        <w:instrText xml:space="preserve"> ADDIN EN.CITE &lt;EndNote&gt;&lt;Cite&gt;&lt;Author&gt;Maidak&lt;/Author&gt;&lt;Year&gt;2001&lt;/Year&gt;&lt;RecNum&gt;20&lt;/RecNum&gt;&lt;DisplayText&gt;[11]&lt;/DisplayText&gt;&lt;record&gt;&lt;rec-number&gt;20&lt;/rec-number&gt;&lt;foreign-keys&gt;&lt;key app="EN" db-id="pte50xaeqftedket9pav95av90darwdt5vda" timestamp="1629985142"&gt;20&lt;/key&gt;&lt;/foreign-keys&gt;&lt;ref-type name="Journal Article"&gt;17&lt;/ref-type&gt;&lt;contributors&gt;&lt;authors&gt;&lt;author&gt;Maidak, B. L.&lt;/author&gt;&lt;author&gt;Cole, J. R.&lt;/author&gt;&lt;author&gt;Lilburn, T. G.&lt;/author&gt;&lt;author&gt;Parker, C. T., Jr.&lt;/author&gt;&lt;author&gt;Saxman, P. R.&lt;/author&gt;&lt;author&gt;Farris, R. J.&lt;/author&gt;&lt;author&gt;Garrity, G. M.&lt;/author&gt;&lt;author&gt;Olsen, G. J.&lt;/author&gt;&lt;author&gt;Schmidt, T. M.&lt;/author&gt;&lt;author&gt;Tiedje, J. M.&lt;/author&gt;&lt;/authors&gt;&lt;/contributors&gt;&lt;auth-address&gt;Center for Microbial Ecology, 540 Plant and Soil Sciences Building, Michigan State University, East Lansing, MI 48824-1325, USA.&lt;/auth-address&gt;&lt;titles&gt;&lt;title&gt;The RDP-II (Ribosomal Database Project)&lt;/title&gt;&lt;secondary-title&gt;Nucleic Acids Res&lt;/secondary-title&gt;&lt;/titles&gt;&lt;periodical&gt;&lt;full-title&gt;Nucleic Acids Res&lt;/full-title&gt;&lt;/periodical&gt;&lt;pages&gt;173-4&lt;/pages&gt;&lt;volume&gt;29&lt;/volume&gt;&lt;number&gt;1&lt;/number&gt;&lt;edition&gt;2000/12/23&lt;/edition&gt;&lt;keywords&gt;&lt;keyword&gt;*Databases, Factual&lt;/keyword&gt;&lt;keyword&gt;Information Services&lt;/keyword&gt;&lt;keyword&gt;Internet&lt;/keyword&gt;&lt;keyword&gt;Phylogeny&lt;/keyword&gt;&lt;keyword&gt;RNA, Ribosomal/*genetics&lt;/keyword&gt;&lt;keyword&gt;Ribosomes/*metabolism&lt;/keyword&gt;&lt;keyword&gt;Sequence Alignment&lt;/keyword&gt;&lt;/keywords&gt;&lt;dates&gt;&lt;year&gt;2001&lt;/year&gt;&lt;pub-dates&gt;&lt;date&gt;Jan 1&lt;/date&gt;&lt;/pub-dates&gt;&lt;/dates&gt;&lt;isbn&gt;1362-4962 (Electronic)&amp;#xD;0305-1048 (Linking)&lt;/isbn&gt;&lt;accession-num&gt;11125082&lt;/accession-num&gt;&lt;urls&gt;&lt;related-urls&gt;&lt;url&gt;https://www.ncbi.nlm.nih.gov/pubmed/11125082&lt;/url&gt;&lt;/related-urls&gt;&lt;/urls&gt;&lt;custom2&gt;PMC29785&lt;/custom2&gt;&lt;electronic-resource-num&gt;10.1093/nar/29.1.173&lt;/electronic-resource-num&gt;&lt;/record&gt;&lt;/Cite&gt;&lt;/EndNote&gt;</w:instrText>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[11]</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 xml:space="preserve"> using the SINTAX algorithm </w:t>
      </w:r>
      <w:r w:rsidRPr="00EA6951">
        <w:rPr>
          <w:rFonts w:ascii="Times New Roman" w:eastAsia="Calibri" w:hAnsi="Times New Roman" w:cs="Times New Roman"/>
          <w:sz w:val="24"/>
          <w:szCs w:val="24"/>
        </w:rPr>
        <w:fldChar w:fldCharType="begin"/>
      </w:r>
      <w:r w:rsidRPr="00EA6951">
        <w:rPr>
          <w:rFonts w:ascii="Times New Roman" w:eastAsia="Calibri" w:hAnsi="Times New Roman" w:cs="Times New Roman"/>
          <w:sz w:val="24"/>
          <w:szCs w:val="24"/>
        </w:rPr>
        <w:instrText xml:space="preserve"> ADDIN EN.CITE &lt;EndNote&gt;&lt;Cite&gt;&lt;Author&gt;Edgar&lt;/Author&gt;&lt;Year&gt;2018&lt;/Year&gt;&lt;RecNum&gt;17&lt;/RecNum&gt;&lt;DisplayText&gt;[12]&lt;/DisplayText&gt;&lt;record&gt;&lt;rec-number&gt;17&lt;/rec-number&gt;&lt;foreign-keys&gt;&lt;key app="EN" db-id="pte50xaeqftedket9pav95av90darwdt5vda" timestamp="1629985142"&gt;17&lt;/key&gt;&lt;/foreign-keys&gt;&lt;ref-type name="Journal Article"&gt;17&lt;/ref-type&gt;&lt;contributors&gt;&lt;authors&gt;&lt;author&gt;Edgar, R. C.&lt;/author&gt;&lt;/authors&gt;&lt;/contributors&gt;&lt;auth-address&gt;Sonoma, CA, USA.&lt;/auth-address&gt;&lt;titles&gt;&lt;title&gt;Accuracy of taxonomy prediction for 16S rRNA and fungal ITS sequences&lt;/title&gt;&lt;secondary-title&gt;PeerJ&lt;/secondary-title&gt;&lt;/titles&gt;&lt;periodical&gt;&lt;full-title&gt;PeerJ&lt;/full-title&gt;&lt;/periodical&gt;&lt;pages&gt;e4652&lt;/pages&gt;&lt;volume&gt;6&lt;/volume&gt;&lt;edition&gt;2018/04/24&lt;/edition&gt;&lt;keywords&gt;&lt;keyword&gt;Algorithm&lt;/keyword&gt;&lt;keyword&gt;Benchmark&lt;/keyword&gt;&lt;keyword&gt;Microbiome&lt;/keyword&gt;&lt;keyword&gt;Taxonomy&lt;/keyword&gt;&lt;/keywords&gt;&lt;dates&gt;&lt;year&gt;2018&lt;/year&gt;&lt;/dates&gt;&lt;isbn&gt;2167-8359 (Print)&amp;#xD;2167-8359 (Linking)&lt;/isbn&gt;&lt;accession-num&gt;29682424&lt;/accession-num&gt;&lt;urls&gt;&lt;related-urls&gt;&lt;url&gt;https://www.ncbi.nlm.nih.gov/pubmed/29682424&lt;/url&gt;&lt;/related-urls&gt;&lt;/urls&gt;&lt;custom2&gt;PMC5910792&lt;/custom2&gt;&lt;electronic-resource-num&gt;10.7717/peerj.4652&lt;/electronic-resource-num&gt;&lt;/record&gt;&lt;/Cite&gt;&lt;/EndNote&gt;</w:instrText>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[12]</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 xml:space="preserve"> with a conﬁdence cut-off at 0.5. A </w:t>
      </w:r>
      <w:proofErr w:type="spellStart"/>
      <w:r w:rsidRPr="00EA6951">
        <w:rPr>
          <w:rFonts w:ascii="Times New Roman" w:eastAsia="Calibri" w:hAnsi="Times New Roman" w:cs="Times New Roman"/>
          <w:sz w:val="24"/>
          <w:szCs w:val="24"/>
        </w:rPr>
        <w:t>Newick</w:t>
      </w:r>
      <w:proofErr w:type="spellEnd"/>
      <w:r w:rsidRPr="00EA6951">
        <w:rPr>
          <w:rFonts w:ascii="Times New Roman" w:eastAsia="Calibri" w:hAnsi="Times New Roman" w:cs="Times New Roman"/>
          <w:sz w:val="24"/>
          <w:szCs w:val="24"/>
        </w:rPr>
        <w:t xml:space="preserve"> taxonomic tree was generated with the cluster –</w:t>
      </w:r>
      <w:proofErr w:type="spellStart"/>
      <w:r w:rsidRPr="00EA6951">
        <w:rPr>
          <w:rFonts w:ascii="Times New Roman" w:eastAsia="Calibri" w:hAnsi="Times New Roman" w:cs="Times New Roman"/>
          <w:sz w:val="24"/>
          <w:szCs w:val="24"/>
        </w:rPr>
        <w:t>agg</w:t>
      </w:r>
      <w:proofErr w:type="spellEnd"/>
      <w:r w:rsidRPr="00EA6951">
        <w:rPr>
          <w:rFonts w:ascii="Times New Roman" w:eastAsia="Calibri" w:hAnsi="Times New Roman" w:cs="Times New Roman"/>
          <w:sz w:val="24"/>
          <w:szCs w:val="24"/>
        </w:rPr>
        <w:t xml:space="preserve"> command in USEARCH. </w:t>
      </w:r>
      <w:proofErr w:type="spellStart"/>
      <w:r w:rsidRPr="00EA6951">
        <w:rPr>
          <w:rFonts w:ascii="Times New Roman" w:eastAsia="Calibri" w:hAnsi="Times New Roman" w:cs="Times New Roman"/>
          <w:sz w:val="24"/>
          <w:szCs w:val="24"/>
        </w:rPr>
        <w:t>Nonprokaryotic</w:t>
      </w:r>
      <w:proofErr w:type="spellEnd"/>
      <w:r w:rsidRPr="00EA6951">
        <w:rPr>
          <w:rFonts w:ascii="Times New Roman" w:eastAsia="Calibri" w:hAnsi="Times New Roman" w:cs="Times New Roman"/>
          <w:sz w:val="24"/>
          <w:szCs w:val="24"/>
        </w:rPr>
        <w:t xml:space="preserve"> </w:t>
      </w:r>
      <w:proofErr w:type="spellStart"/>
      <w:r w:rsidRPr="00EA6951">
        <w:rPr>
          <w:rFonts w:ascii="Times New Roman" w:eastAsia="Calibri" w:hAnsi="Times New Roman" w:cs="Times New Roman"/>
          <w:sz w:val="24"/>
          <w:szCs w:val="24"/>
        </w:rPr>
        <w:t>zOTUs</w:t>
      </w:r>
      <w:proofErr w:type="spellEnd"/>
      <w:r w:rsidRPr="00EA6951">
        <w:rPr>
          <w:rFonts w:ascii="Times New Roman" w:eastAsia="Calibri" w:hAnsi="Times New Roman" w:cs="Times New Roman"/>
          <w:sz w:val="24"/>
          <w:szCs w:val="24"/>
        </w:rPr>
        <w:t xml:space="preserve"> (eukaryotes, chloroplast, and mitochondria) and singletons were removed. </w:t>
      </w:r>
      <w:proofErr w:type="spellStart"/>
      <w:r w:rsidRPr="00EA6951">
        <w:rPr>
          <w:rFonts w:ascii="Times New Roman" w:eastAsia="Calibri" w:hAnsi="Times New Roman" w:cs="Times New Roman"/>
          <w:sz w:val="24"/>
          <w:szCs w:val="24"/>
        </w:rPr>
        <w:t>zOTUs</w:t>
      </w:r>
      <w:proofErr w:type="spellEnd"/>
      <w:r w:rsidRPr="00EA6951">
        <w:rPr>
          <w:rFonts w:ascii="Times New Roman" w:eastAsia="Calibri" w:hAnsi="Times New Roman" w:cs="Times New Roman"/>
          <w:sz w:val="24"/>
          <w:szCs w:val="24"/>
        </w:rPr>
        <w:t xml:space="preserve"> that could be detected consistently in NE and NTC controls were removed, as recommended </w:t>
      </w:r>
      <w:r w:rsidRPr="00EA6951">
        <w:rPr>
          <w:rFonts w:ascii="Times New Roman" w:eastAsia="Calibri" w:hAnsi="Times New Roman" w:cs="Times New Roman"/>
          <w:sz w:val="24"/>
          <w:szCs w:val="24"/>
        </w:rPr>
        <w:fldChar w:fldCharType="begin"/>
      </w:r>
      <w:r w:rsidRPr="00EA6951">
        <w:rPr>
          <w:rFonts w:ascii="Times New Roman" w:eastAsia="Calibri" w:hAnsi="Times New Roman" w:cs="Times New Roman"/>
          <w:sz w:val="24"/>
          <w:szCs w:val="24"/>
        </w:rPr>
        <w:instrText xml:space="preserve"> ADDIN EN.CITE &lt;EndNote&gt;&lt;Cite&gt;&lt;Author&gt;Salter&lt;/Author&gt;&lt;Year&gt;2014&lt;/Year&gt;&lt;RecNum&gt;21&lt;/RecNum&gt;&lt;DisplayText&gt;[13]&lt;/DisplayText&gt;&lt;record&gt;&lt;rec-number&gt;21&lt;/rec-number&gt;&lt;foreign-keys&gt;&lt;key app="EN" db-id="pte50xaeqftedket9pav95av90darwdt5vda" timestamp="1629985142"&gt;21&lt;/key&gt;&lt;/foreign-keys&gt;&lt;ref-type name="Journal Article"&gt;17&lt;/ref-type&gt;&lt;contributors&gt;&lt;authors&gt;&lt;author&gt;Salter, S. J.&lt;/author&gt;&lt;author&gt;Cox, M. J.&lt;/author&gt;&lt;author&gt;Turek, E. M.&lt;/author&gt;&lt;author&gt;Calus, S. T.&lt;/author&gt;&lt;author&gt;Cookson, W. O.&lt;/author&gt;&lt;author&gt;Moffatt, M. F.&lt;/author&gt;&lt;author&gt;Turner, P.&lt;/author&gt;&lt;author&gt;Parkhill, J.&lt;/author&gt;&lt;author&gt;Loman, N. J.&lt;/author&gt;&lt;author&gt;Walker, A. W.&lt;/author&gt;&lt;/authors&gt;&lt;/contributors&gt;&lt;auth-address&gt;Pathogen Genomics Group, Wellcome Trust Sanger Institute, Hinxton, UK. sb18@sanger.ac.uk.&lt;/auth-address&gt;&lt;titles&gt;&lt;title&gt;Reagent and laboratory contamination can critically impact sequence-based microbiome analyses&lt;/title&gt;&lt;secondary-title&gt;BMC Biol&lt;/secondary-title&gt;&lt;/titles&gt;&lt;periodical&gt;&lt;full-title&gt;BMC Biol&lt;/full-title&gt;&lt;/periodical&gt;&lt;pages&gt;87&lt;/pages&gt;&lt;volume&gt;12&lt;/volume&gt;&lt;edition&gt;2014/11/13&lt;/edition&gt;&lt;keywords&gt;&lt;keyword&gt;*DNA Contamination&lt;/keyword&gt;&lt;keyword&gt;Indicators and Reagents/*analysis&lt;/keyword&gt;&lt;keyword&gt;*Laboratories&lt;/keyword&gt;&lt;keyword&gt;*Metagenomics&lt;/keyword&gt;&lt;keyword&gt;*Microbiota&lt;/keyword&gt;&lt;keyword&gt;Polymerase Chain Reaction&lt;/keyword&gt;&lt;keyword&gt;RNA, Ribosomal, 16S/analysis&lt;/keyword&gt;&lt;keyword&gt;Salmonella/*genetics&lt;/keyword&gt;&lt;keyword&gt;Sequence Analysis, DNA&lt;/keyword&gt;&lt;/keywords&gt;&lt;dates&gt;&lt;year&gt;2014&lt;/year&gt;&lt;pub-dates&gt;&lt;date&gt;Nov 12&lt;/date&gt;&lt;/pub-dates&gt;&lt;/dates&gt;&lt;isbn&gt;1741-7007 (Electronic)&amp;#xD;1741-7007 (Linking)&lt;/isbn&gt;&lt;accession-num&gt;25387460&lt;/accession-num&gt;&lt;urls&gt;&lt;related-urls&gt;&lt;url&gt;https://www.ncbi.nlm.nih.gov/pubmed/25387460&lt;/url&gt;&lt;/related-urls&gt;&lt;/urls&gt;&lt;custom2&gt;PMC4228153&lt;/custom2&gt;&lt;electronic-resource-num&gt;10.1186/s12915-014-0087-z&lt;/electronic-resource-num&gt;&lt;/record&gt;&lt;/Cite&gt;&lt;/EndNote&gt;</w:instrText>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[13]</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 xml:space="preserve">. Further, comparison of samples and controls spiked with the HMD783 mock community showed that the level of contamination was </w:t>
      </w:r>
      <w:proofErr w:type="spellStart"/>
      <w:r w:rsidRPr="00EA6951">
        <w:rPr>
          <w:rFonts w:ascii="Times New Roman" w:eastAsia="Calibri" w:hAnsi="Times New Roman" w:cs="Times New Roman"/>
          <w:sz w:val="24"/>
          <w:szCs w:val="24"/>
        </w:rPr>
        <w:t>neglectable</w:t>
      </w:r>
      <w:proofErr w:type="spellEnd"/>
      <w:r w:rsidRPr="00EA6951">
        <w:rPr>
          <w:rFonts w:ascii="Times New Roman" w:eastAsia="Calibri" w:hAnsi="Times New Roman" w:cs="Times New Roman"/>
          <w:sz w:val="24"/>
          <w:szCs w:val="24"/>
        </w:rPr>
        <w:t>.</w:t>
      </w:r>
    </w:p>
    <w:p w:rsidR="00286EA6" w:rsidRPr="00EA6951" w:rsidRDefault="00286EA6" w:rsidP="00286EA6">
      <w:pPr>
        <w:spacing w:after="0" w:line="360" w:lineRule="auto"/>
        <w:jc w:val="both"/>
        <w:rPr>
          <w:rFonts w:ascii="Times New Roman" w:hAnsi="Times New Roman" w:cs="Times New Roman"/>
          <w:sz w:val="24"/>
          <w:szCs w:val="24"/>
        </w:rPr>
      </w:pPr>
    </w:p>
    <w:p w:rsidR="00286EA6" w:rsidRPr="00EA6951" w:rsidRDefault="00286EA6" w:rsidP="00286EA6">
      <w:pPr>
        <w:pStyle w:val="Heading2"/>
        <w:numPr>
          <w:ilvl w:val="0"/>
          <w:numId w:val="0"/>
        </w:numPr>
        <w:spacing w:after="0" w:line="360" w:lineRule="auto"/>
        <w:ind w:left="567" w:hanging="567"/>
        <w:jc w:val="both"/>
      </w:pPr>
      <w:r w:rsidRPr="00EA6951">
        <w:t xml:space="preserve">Statistical analysis </w:t>
      </w:r>
    </w:p>
    <w:p w:rsidR="00286EA6" w:rsidRPr="00EA6951" w:rsidRDefault="00286EA6" w:rsidP="00286EA6">
      <w:pPr>
        <w:spacing w:line="360" w:lineRule="auto"/>
        <w:jc w:val="both"/>
        <w:rPr>
          <w:rFonts w:ascii="Times New Roman" w:eastAsia="Calibri" w:hAnsi="Times New Roman" w:cs="Times New Roman"/>
          <w:sz w:val="24"/>
          <w:szCs w:val="24"/>
        </w:rPr>
      </w:pPr>
      <w:r w:rsidRPr="00EA6951">
        <w:rPr>
          <w:rFonts w:ascii="Times New Roman" w:eastAsia="Calibri" w:hAnsi="Times New Roman" w:cs="Times New Roman"/>
          <w:sz w:val="24"/>
          <w:szCs w:val="24"/>
        </w:rPr>
        <w:t>To perform statistical analysis of the sequencing data in R, we applied FASPA-scripts (</w:t>
      </w:r>
      <w:r w:rsidRPr="00EA6951">
        <w:rPr>
          <w:rFonts w:ascii="Times New Roman" w:hAnsi="Times New Roman" w:cs="Times New Roman"/>
          <w:sz w:val="24"/>
          <w:szCs w:val="24"/>
        </w:rPr>
        <w:t xml:space="preserve">https://doi.org/10.5281/zenodo.1302799) </w:t>
      </w:r>
      <w:r w:rsidRPr="00EA6951">
        <w:rPr>
          <w:rFonts w:ascii="Times New Roman" w:eastAsia="Calibri" w:hAnsi="Times New Roman" w:cs="Times New Roman"/>
          <w:sz w:val="24"/>
          <w:szCs w:val="24"/>
        </w:rPr>
        <w:t xml:space="preserve">to enable downstream analysis using the R-packages </w:t>
      </w:r>
      <w:proofErr w:type="spellStart"/>
      <w:r w:rsidRPr="00EA6951">
        <w:rPr>
          <w:rFonts w:ascii="Times New Roman" w:eastAsia="Calibri" w:hAnsi="Times New Roman" w:cs="Times New Roman"/>
          <w:sz w:val="24"/>
          <w:szCs w:val="24"/>
        </w:rPr>
        <w:t>phyloseq</w:t>
      </w:r>
      <w:proofErr w:type="spellEnd"/>
      <w:r w:rsidRPr="00EA6951">
        <w:rPr>
          <w:rFonts w:ascii="Times New Roman" w:eastAsia="Calibri" w:hAnsi="Times New Roman" w:cs="Times New Roman"/>
          <w:sz w:val="24"/>
          <w:szCs w:val="24"/>
        </w:rPr>
        <w:t xml:space="preserve"> </w:t>
      </w:r>
      <w:r w:rsidRPr="00EA6951">
        <w:rPr>
          <w:rFonts w:ascii="Times New Roman" w:eastAsia="Calibri" w:hAnsi="Times New Roman" w:cs="Times New Roman"/>
          <w:sz w:val="24"/>
          <w:szCs w:val="24"/>
        </w:rPr>
        <w:fldChar w:fldCharType="begin"/>
      </w:r>
      <w:r w:rsidRPr="00EA6951">
        <w:rPr>
          <w:rFonts w:ascii="Times New Roman" w:eastAsia="Calibri" w:hAnsi="Times New Roman" w:cs="Times New Roman"/>
          <w:sz w:val="24"/>
          <w:szCs w:val="24"/>
        </w:rPr>
        <w:instrText xml:space="preserve"> ADDIN EN.CITE &lt;EndNote&gt;&lt;Cite&gt;&lt;Author&gt;McMurdie&lt;/Author&gt;&lt;Year&gt;2013&lt;/Year&gt;&lt;RecNum&gt;22&lt;/RecNum&gt;&lt;DisplayText&gt;[14]&lt;/DisplayText&gt;&lt;record&gt;&lt;rec-number&gt;22&lt;/rec-number&gt;&lt;foreign-keys&gt;&lt;key app="EN" db-id="pte50xaeqftedket9pav95av90darwdt5vda" timestamp="1629985142"&gt;22&lt;/key&gt;&lt;/foreign-keys&gt;&lt;ref-type name="Journal Article"&gt;17&lt;/ref-type&gt;&lt;contributors&gt;&lt;authors&gt;&lt;author&gt;McMurdie, P. J.&lt;/author&gt;&lt;author&gt;Holmes, S.&lt;/author&gt;&lt;/authors&gt;&lt;/contributors&gt;&lt;auth-address&gt;Department of Statistics, Stanford University, Stanford, California, United States of America.&lt;/auth-address&gt;&lt;titles&gt;&lt;title&gt;phyloseq: an R package for reproducible interactive analysis and graphics of microbiome census data&lt;/title&gt;&lt;secondary-title&gt;PLoS One&lt;/secondary-title&gt;&lt;/titles&gt;&lt;periodical&gt;&lt;full-title&gt;PLoS One&lt;/full-title&gt;&lt;/periodical&gt;&lt;pages&gt;e61217&lt;/pages&gt;&lt;volume&gt;8&lt;/volume&gt;&lt;number&gt;4&lt;/number&gt;&lt;edition&gt;2013/05/01&lt;/edition&gt;&lt;keywords&gt;&lt;keyword&gt;Data Interpretation, Statistical&lt;/keyword&gt;&lt;keyword&gt;Humans&lt;/keyword&gt;&lt;keyword&gt;*Metagenome&lt;/keyword&gt;&lt;keyword&gt;Multivariate Analysis&lt;/keyword&gt;&lt;keyword&gt;Phylogeny&lt;/keyword&gt;&lt;keyword&gt;Principal Component Analysis&lt;/keyword&gt;&lt;keyword&gt;Sequence Analysis, DNA&lt;/keyword&gt;&lt;keyword&gt;*Software&lt;/keyword&gt;&lt;/keywords&gt;&lt;dates&gt;&lt;year&gt;2013&lt;/year&gt;&lt;/dates&gt;&lt;isbn&gt;1932-6203 (Electronic)&amp;#xD;1932-6203 (Linking)&lt;/isbn&gt;&lt;accession-num&gt;23630581&lt;/accession-num&gt;&lt;urls&gt;&lt;related-urls&gt;&lt;url&gt;https://www.ncbi.nlm.nih.gov/pubmed/23630581&lt;/url&gt;&lt;/related-urls&gt;&lt;/urls&gt;&lt;custom2&gt;PMC3632530&lt;/custom2&gt;&lt;electronic-resource-num&gt;10.1371/journal.pone.0061217&lt;/electronic-resource-num&gt;&lt;/record&gt;&lt;/Cite&gt;&lt;/EndNote&gt;</w:instrText>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[14]</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 xml:space="preserve">, the Rhea script collection </w:t>
      </w:r>
      <w:r w:rsidRPr="00EA6951">
        <w:rPr>
          <w:rFonts w:ascii="Times New Roman" w:eastAsia="Calibri" w:hAnsi="Times New Roman" w:cs="Times New Roman"/>
          <w:sz w:val="24"/>
          <w:szCs w:val="24"/>
        </w:rPr>
        <w:fldChar w:fldCharType="begin"/>
      </w:r>
      <w:r w:rsidRPr="00EA6951">
        <w:rPr>
          <w:rFonts w:ascii="Times New Roman" w:eastAsia="Calibri" w:hAnsi="Times New Roman" w:cs="Times New Roman"/>
          <w:sz w:val="24"/>
          <w:szCs w:val="24"/>
        </w:rPr>
        <w:instrText xml:space="preserve"> ADDIN EN.CITE &lt;EndNote&gt;&lt;Cite&gt;&lt;Author&gt;Lagkouvardos&lt;/Author&gt;&lt;Year&gt;2017&lt;/Year&gt;&lt;RecNum&gt;23&lt;/RecNum&gt;&lt;DisplayText&gt;[15]&lt;/DisplayText&gt;&lt;record&gt;&lt;rec-number&gt;23&lt;/rec-number&gt;&lt;foreign-keys&gt;&lt;key app="EN" db-id="pte50xaeqftedket9pav95av90darwdt5vda" timestamp="1629985142"&gt;23&lt;/key&gt;&lt;/foreign-keys&gt;&lt;ref-type name="Journal Article"&gt;17&lt;/ref-type&gt;&lt;contributors&gt;&lt;authors&gt;&lt;author&gt;Lagkouvardos, I.&lt;/author&gt;&lt;author&gt;Fischer, S.&lt;/author&gt;&lt;author&gt;Kumar, N.&lt;/author&gt;&lt;author&gt;Clavel, T.&lt;/author&gt;&lt;/authors&gt;&lt;/contributors&gt;&lt;auth-address&gt;ZIEL-Core Facility Microbiome/NGS, Technical University of Munich , Freising , Germany.&lt;/auth-address&gt;&lt;titles&gt;&lt;title&gt;Rhea: a transparent and modular R pipeline for microbial profiling based on 16S rRNA gene amplicons&lt;/title&gt;&lt;secondary-title&gt;PeerJ&lt;/secondary-title&gt;&lt;/titles&gt;&lt;periodical&gt;&lt;full-title&gt;PeerJ&lt;/full-title&gt;&lt;/periodical&gt;&lt;pages&gt;e2836&lt;/pages&gt;&lt;volume&gt;5&lt;/volume&gt;&lt;edition&gt;2017/01/18&lt;/edition&gt;&lt;keywords&gt;&lt;keyword&gt;16S rRNA gene&lt;/keyword&gt;&lt;keyword&gt;Alpha-diversity&lt;/keyword&gt;&lt;keyword&gt;Beta-diversity&lt;/keyword&gt;&lt;keyword&gt;Correlations&lt;/keyword&gt;&lt;keyword&gt;Host-microbe interactions&lt;/keyword&gt;&lt;keyword&gt;Microbial profile&lt;/keyword&gt;&lt;keyword&gt;Microbiome analysis&lt;/keyword&gt;&lt;keyword&gt;R script&lt;/keyword&gt;&lt;keyword&gt;Statistical analysis&lt;/keyword&gt;&lt;/keywords&gt;&lt;dates&gt;&lt;year&gt;2017&lt;/year&gt;&lt;/dates&gt;&lt;isbn&gt;2167-8359 (Print)&amp;#xD;2167-8359 (Linking)&lt;/isbn&gt;&lt;accession-num&gt;28097056&lt;/accession-num&gt;&lt;urls&gt;&lt;related-urls&gt;&lt;url&gt;https://www.ncbi.nlm.nih.gov/pubmed/28097056&lt;/url&gt;&lt;/related-urls&gt;&lt;/urls&gt;&lt;custom2&gt;PMC5234437&lt;/custom2&gt;&lt;electronic-resource-num&gt;10.7717/peerj.2836&lt;/electronic-resource-num&gt;&lt;/record&gt;&lt;/Cite&gt;&lt;/EndNote&gt;</w:instrText>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[15]</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 xml:space="preserve">, vegan </w:t>
      </w:r>
      <w:r w:rsidRPr="00EA6951">
        <w:rPr>
          <w:rFonts w:ascii="Times New Roman" w:eastAsia="Calibri" w:hAnsi="Times New Roman" w:cs="Times New Roman"/>
          <w:sz w:val="24"/>
          <w:szCs w:val="24"/>
        </w:rPr>
        <w:lastRenderedPageBreak/>
        <w:t xml:space="preserve">(www.pelagicos.net/MARS6910_spring2015/manuals/R_vegan.pdf). Normalization to 5000 </w:t>
      </w:r>
      <w:proofErr w:type="spellStart"/>
      <w:r w:rsidRPr="00EA6951">
        <w:rPr>
          <w:rFonts w:ascii="Times New Roman" w:eastAsia="Calibri" w:hAnsi="Times New Roman" w:cs="Times New Roman"/>
          <w:sz w:val="24"/>
          <w:szCs w:val="24"/>
        </w:rPr>
        <w:t>zOTUs</w:t>
      </w:r>
      <w:proofErr w:type="spellEnd"/>
      <w:r w:rsidRPr="00EA6951">
        <w:rPr>
          <w:rFonts w:ascii="Times New Roman" w:eastAsia="Calibri" w:hAnsi="Times New Roman" w:cs="Times New Roman"/>
          <w:sz w:val="24"/>
          <w:szCs w:val="24"/>
        </w:rPr>
        <w:t xml:space="preserve">/sample, calculation of α-diversity </w:t>
      </w:r>
      <w:proofErr w:type="spellStart"/>
      <w:r w:rsidRPr="00EA6951">
        <w:rPr>
          <w:rFonts w:ascii="Times New Roman" w:eastAsia="Calibri" w:hAnsi="Times New Roman" w:cs="Times New Roman"/>
          <w:sz w:val="24"/>
          <w:szCs w:val="24"/>
        </w:rPr>
        <w:t>metrices</w:t>
      </w:r>
      <w:proofErr w:type="spellEnd"/>
      <w:r w:rsidRPr="00EA6951">
        <w:rPr>
          <w:rFonts w:ascii="Times New Roman" w:eastAsia="Calibri" w:hAnsi="Times New Roman" w:cs="Times New Roman"/>
          <w:sz w:val="24"/>
          <w:szCs w:val="24"/>
        </w:rPr>
        <w:t xml:space="preserve"> (Observed Species Richness, Shannon diversity), calculation of β-diversity unconstrained nonmetric multidimensional scaling (</w:t>
      </w:r>
      <w:proofErr w:type="spellStart"/>
      <w:r w:rsidRPr="00EA6951">
        <w:rPr>
          <w:rFonts w:ascii="Times New Roman" w:eastAsia="Calibri" w:hAnsi="Times New Roman" w:cs="Times New Roman"/>
          <w:sz w:val="24"/>
          <w:szCs w:val="24"/>
        </w:rPr>
        <w:t>nMDS</w:t>
      </w:r>
      <w:proofErr w:type="spellEnd"/>
      <w:r w:rsidRPr="00EA6951">
        <w:rPr>
          <w:rFonts w:ascii="Times New Roman" w:eastAsia="Calibri" w:hAnsi="Times New Roman" w:cs="Times New Roman"/>
          <w:sz w:val="24"/>
          <w:szCs w:val="24"/>
        </w:rPr>
        <w:t xml:space="preserve">) based on generalized UNIFRAC distances </w:t>
      </w:r>
      <w:r w:rsidRPr="00EA6951">
        <w:rPr>
          <w:rFonts w:ascii="Times New Roman" w:eastAsia="Calibri" w:hAnsi="Times New Roman" w:cs="Times New Roman"/>
          <w:sz w:val="24"/>
          <w:szCs w:val="24"/>
        </w:rPr>
        <w:fldChar w:fldCharType="begin"/>
      </w:r>
      <w:r w:rsidRPr="00EA6951">
        <w:rPr>
          <w:rFonts w:ascii="Times New Roman" w:eastAsia="Calibri" w:hAnsi="Times New Roman" w:cs="Times New Roman"/>
          <w:sz w:val="24"/>
          <w:szCs w:val="24"/>
        </w:rPr>
        <w:instrText xml:space="preserve"> ADDIN EN.CITE &lt;EndNote&gt;&lt;Cite&gt;&lt;Author&gt;Chen&lt;/Author&gt;&lt;Year&gt;2012&lt;/Year&gt;&lt;RecNum&gt;24&lt;/RecNum&gt;&lt;DisplayText&gt;[16]&lt;/DisplayText&gt;&lt;record&gt;&lt;rec-number&gt;24&lt;/rec-number&gt;&lt;foreign-keys&gt;&lt;key app="EN" db-id="pte50xaeqftedket9pav95av90darwdt5vda" timestamp="1629985142"&gt;24&lt;/key&gt;&lt;/foreign-keys&gt;&lt;ref-type name="Journal Article"&gt;17&lt;/ref-type&gt;&lt;contributors&gt;&lt;authors&gt;&lt;author&gt;Chen, J.&lt;/author&gt;&lt;author&gt;Bittinger, K.&lt;/author&gt;&lt;author&gt;Charlson, E. S.&lt;/author&gt;&lt;author&gt;Hoffmann, C.&lt;/author&gt;&lt;author&gt;Lewis, J.&lt;/author&gt;&lt;author&gt;Wu, G. D.&lt;/author&gt;&lt;author&gt;Collman, R. G.&lt;/author&gt;&lt;author&gt;Bushman, F. D.&lt;/author&gt;&lt;author&gt;Li, H.&lt;/author&gt;&lt;/authors&gt;&lt;/contributors&gt;&lt;auth-address&gt;Department of Biostatistics and Epidemiology, University of Pennsylvania Perelman School of Medicine, Philadelphia, PA 19104, USA.&lt;/auth-address&gt;&lt;titles&gt;&lt;title&gt;Associating microbiome composition with environmental covariates using generalized UniFrac distances&lt;/title&gt;&lt;secondary-title&gt;Bioinformatics&lt;/secondary-title&gt;&lt;/titles&gt;&lt;periodical&gt;&lt;full-title&gt;Bioinformatics&lt;/full-title&gt;&lt;/periodical&gt;&lt;pages&gt;2106-13&lt;/pages&gt;&lt;volume&gt;28&lt;/volume&gt;&lt;number&gt;16&lt;/number&gt;&lt;edition&gt;2012/06/20&lt;/edition&gt;&lt;keywords&gt;&lt;keyword&gt;Bacteria/genetics&lt;/keyword&gt;&lt;keyword&gt;Cluster Analysis&lt;/keyword&gt;&lt;keyword&gt;Computational Biology/*methods&lt;/keyword&gt;&lt;keyword&gt;Computer Simulation&lt;/keyword&gt;&lt;keyword&gt;Cross-Sectional Studies&lt;/keyword&gt;&lt;keyword&gt;Diet&lt;/keyword&gt;&lt;keyword&gt;Environment&lt;/keyword&gt;&lt;keyword&gt;Humans&lt;/keyword&gt;&lt;keyword&gt;Metagenome/*genetics&lt;/keyword&gt;&lt;keyword&gt;*Models, Statistical&lt;/keyword&gt;&lt;keyword&gt;Monte Carlo Method&lt;/keyword&gt;&lt;keyword&gt;Smoking&lt;/keyword&gt;&lt;/keywords&gt;&lt;dates&gt;&lt;year&gt;2012&lt;/year&gt;&lt;pub-dates&gt;&lt;date&gt;Aug 15&lt;/date&gt;&lt;/pub-dates&gt;&lt;/dates&gt;&lt;isbn&gt;1367-4811 (Electronic)&amp;#xD;1367-4803 (Linking)&lt;/isbn&gt;&lt;accession-num&gt;22711789&lt;/accession-num&gt;&lt;urls&gt;&lt;related-urls&gt;&lt;url&gt;https://www.ncbi.nlm.nih.gov/pubmed/22711789&lt;/url&gt;&lt;/related-urls&gt;&lt;/urls&gt;&lt;custom2&gt;PMC3413390&lt;/custom2&gt;&lt;electronic-resource-num&gt;10.1093/bioinformatics/bts342&lt;/electronic-resource-num&gt;&lt;/record&gt;&lt;/Cite&gt;&lt;/EndNote&gt;</w:instrText>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[16]</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 xml:space="preserve">, analysis of similarity (ANOSIM) and taxonomic binning were performed using Rhea </w:t>
      </w:r>
      <w:r w:rsidRPr="00EA6951">
        <w:rPr>
          <w:rFonts w:ascii="Times New Roman" w:eastAsia="Calibri" w:hAnsi="Times New Roman" w:cs="Times New Roman"/>
          <w:sz w:val="24"/>
          <w:szCs w:val="24"/>
        </w:rPr>
        <w:fldChar w:fldCharType="begin"/>
      </w:r>
      <w:r w:rsidRPr="00EA6951">
        <w:rPr>
          <w:rFonts w:ascii="Times New Roman" w:eastAsia="Calibri" w:hAnsi="Times New Roman" w:cs="Times New Roman"/>
          <w:sz w:val="24"/>
          <w:szCs w:val="24"/>
        </w:rPr>
        <w:instrText xml:space="preserve"> ADDIN EN.CITE &lt;EndNote&gt;&lt;Cite&gt;&lt;Author&gt;Lagkouvardos&lt;/Author&gt;&lt;Year&gt;2017&lt;/Year&gt;&lt;RecNum&gt;23&lt;/RecNum&gt;&lt;DisplayText&gt;[15]&lt;/DisplayText&gt;&lt;record&gt;&lt;rec-number&gt;23&lt;/rec-number&gt;&lt;foreign-keys&gt;&lt;key app="EN" db-id="pte50xaeqftedket9pav95av90darwdt5vda" timestamp="1629985142"&gt;23&lt;/key&gt;&lt;/foreign-keys&gt;&lt;ref-type name="Journal Article"&gt;17&lt;/ref-type&gt;&lt;contributors&gt;&lt;authors&gt;&lt;author&gt;Lagkouvardos, I.&lt;/author&gt;&lt;author&gt;Fischer, S.&lt;/author&gt;&lt;author&gt;Kumar, N.&lt;/author&gt;&lt;author&gt;Clavel, T.&lt;/author&gt;&lt;/authors&gt;&lt;/contributors&gt;&lt;auth-address&gt;ZIEL-Core Facility Microbiome/NGS, Technical University of Munich , Freising , Germany.&lt;/auth-address&gt;&lt;titles&gt;&lt;title&gt;Rhea: a transparent and modular R pipeline for microbial profiling based on 16S rRNA gene amplicons&lt;/title&gt;&lt;secondary-title&gt;PeerJ&lt;/secondary-title&gt;&lt;/titles&gt;&lt;periodical&gt;&lt;full-title&gt;PeerJ&lt;/full-title&gt;&lt;/periodical&gt;&lt;pages&gt;e2836&lt;/pages&gt;&lt;volume&gt;5&lt;/volume&gt;&lt;edition&gt;2017/01/18&lt;/edition&gt;&lt;keywords&gt;&lt;keyword&gt;16S rRNA gene&lt;/keyword&gt;&lt;keyword&gt;Alpha-diversity&lt;/keyword&gt;&lt;keyword&gt;Beta-diversity&lt;/keyword&gt;&lt;keyword&gt;Correlations&lt;/keyword&gt;&lt;keyword&gt;Host-microbe interactions&lt;/keyword&gt;&lt;keyword&gt;Microbial profile&lt;/keyword&gt;&lt;keyword&gt;Microbiome analysis&lt;/keyword&gt;&lt;keyword&gt;R script&lt;/keyword&gt;&lt;keyword&gt;Statistical analysis&lt;/keyword&gt;&lt;/keywords&gt;&lt;dates&gt;&lt;year&gt;2017&lt;/year&gt;&lt;/dates&gt;&lt;isbn&gt;2167-8359 (Print)&amp;#xD;2167-8359 (Linking)&lt;/isbn&gt;&lt;accession-num&gt;28097056&lt;/accession-num&gt;&lt;urls&gt;&lt;related-urls&gt;&lt;url&gt;https://www.ncbi.nlm.nih.gov/pubmed/28097056&lt;/url&gt;&lt;/related-urls&gt;&lt;/urls&gt;&lt;custom2&gt;PMC5234437&lt;/custom2&gt;&lt;electronic-resource-num&gt;10.7717/peerj.2836&lt;/electronic-resource-num&gt;&lt;/record&gt;&lt;/Cite&gt;&lt;/EndNote&gt;</w:instrText>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[15]</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 xml:space="preserve"> scripts. Distance-based Redundancy Analysis (</w:t>
      </w:r>
      <w:proofErr w:type="spellStart"/>
      <w:r w:rsidRPr="00EA6951">
        <w:rPr>
          <w:rFonts w:ascii="Times New Roman" w:eastAsia="Calibri" w:hAnsi="Times New Roman" w:cs="Times New Roman"/>
          <w:sz w:val="24"/>
          <w:szCs w:val="24"/>
        </w:rPr>
        <w:t>db</w:t>
      </w:r>
      <w:proofErr w:type="spellEnd"/>
      <w:r w:rsidRPr="00EA6951">
        <w:rPr>
          <w:rFonts w:ascii="Times New Roman" w:eastAsia="Calibri" w:hAnsi="Times New Roman" w:cs="Times New Roman"/>
          <w:sz w:val="24"/>
          <w:szCs w:val="24"/>
        </w:rPr>
        <w:t xml:space="preserve">-RDA) and constrained correspondence analysis (ANOVA CCA) with 1000 perturbations were performed with the </w:t>
      </w:r>
      <w:proofErr w:type="spellStart"/>
      <w:r w:rsidRPr="00EA6951">
        <w:rPr>
          <w:rFonts w:ascii="Times New Roman" w:eastAsia="Calibri" w:hAnsi="Times New Roman" w:cs="Times New Roman"/>
          <w:sz w:val="24"/>
          <w:szCs w:val="24"/>
        </w:rPr>
        <w:t>capscale</w:t>
      </w:r>
      <w:proofErr w:type="spellEnd"/>
      <w:r w:rsidRPr="00EA6951">
        <w:rPr>
          <w:rFonts w:ascii="Times New Roman" w:eastAsia="Calibri" w:hAnsi="Times New Roman" w:cs="Times New Roman"/>
          <w:sz w:val="24"/>
          <w:szCs w:val="24"/>
        </w:rPr>
        <w:t xml:space="preserve"> function of the R vegan package. ANOVA CCA p-values were compared to the ANOSIM p-values for the same categories. Serial-group comparisons were performed using Rhea </w:t>
      </w:r>
      <w:r w:rsidRPr="00EA6951">
        <w:rPr>
          <w:rFonts w:ascii="Times New Roman" w:eastAsia="Calibri" w:hAnsi="Times New Roman" w:cs="Times New Roman"/>
          <w:sz w:val="24"/>
          <w:szCs w:val="24"/>
        </w:rPr>
        <w:fldChar w:fldCharType="begin"/>
      </w:r>
      <w:r w:rsidRPr="00EA6951">
        <w:rPr>
          <w:rFonts w:ascii="Times New Roman" w:eastAsia="Calibri" w:hAnsi="Times New Roman" w:cs="Times New Roman"/>
          <w:sz w:val="24"/>
          <w:szCs w:val="24"/>
        </w:rPr>
        <w:instrText xml:space="preserve"> ADDIN EN.CITE &lt;EndNote&gt;&lt;Cite&gt;&lt;Author&gt;Lagkouvardos&lt;/Author&gt;&lt;Year&gt;2017&lt;/Year&gt;&lt;RecNum&gt;23&lt;/RecNum&gt;&lt;DisplayText&gt;[15]&lt;/DisplayText&gt;&lt;record&gt;&lt;rec-number&gt;23&lt;/rec-number&gt;&lt;foreign-keys&gt;&lt;key app="EN" db-id="pte50xaeqftedket9pav95av90darwdt5vda" timestamp="1629985142"&gt;23&lt;/key&gt;&lt;/foreign-keys&gt;&lt;ref-type name="Journal Article"&gt;17&lt;/ref-type&gt;&lt;contributors&gt;&lt;authors&gt;&lt;author&gt;Lagkouvardos, I.&lt;/author&gt;&lt;author&gt;Fischer, S.&lt;/author&gt;&lt;author&gt;Kumar, N.&lt;/author&gt;&lt;author&gt;Clavel, T.&lt;/author&gt;&lt;/authors&gt;&lt;/contributors&gt;&lt;auth-address&gt;ZIEL-Core Facility Microbiome/NGS, Technical University of Munich , Freising , Germany.&lt;/auth-address&gt;&lt;titles&gt;&lt;title&gt;Rhea: a transparent and modular R pipeline for microbial profiling based on 16S rRNA gene amplicons&lt;/title&gt;&lt;secondary-title&gt;PeerJ&lt;/secondary-title&gt;&lt;/titles&gt;&lt;periodical&gt;&lt;full-title&gt;PeerJ&lt;/full-title&gt;&lt;/periodical&gt;&lt;pages&gt;e2836&lt;/pages&gt;&lt;volume&gt;5&lt;/volume&gt;&lt;edition&gt;2017/01/18&lt;/edition&gt;&lt;keywords&gt;&lt;keyword&gt;16S rRNA gene&lt;/keyword&gt;&lt;keyword&gt;Alpha-diversity&lt;/keyword&gt;&lt;keyword&gt;Beta-diversity&lt;/keyword&gt;&lt;keyword&gt;Correlations&lt;/keyword&gt;&lt;keyword&gt;Host-microbe interactions&lt;/keyword&gt;&lt;keyword&gt;Microbial profile&lt;/keyword&gt;&lt;keyword&gt;Microbiome analysis&lt;/keyword&gt;&lt;keyword&gt;R script&lt;/keyword&gt;&lt;keyword&gt;Statistical analysis&lt;/keyword&gt;&lt;/keywords&gt;&lt;dates&gt;&lt;year&gt;2017&lt;/year&gt;&lt;/dates&gt;&lt;isbn&gt;2167-8359 (Print)&amp;#xD;2167-8359 (Linking)&lt;/isbn&gt;&lt;accession-num&gt;28097056&lt;/accession-num&gt;&lt;urls&gt;&lt;related-urls&gt;&lt;url&gt;https://www.ncbi.nlm.nih.gov/pubmed/28097056&lt;/url&gt;&lt;/related-urls&gt;&lt;/urls&gt;&lt;custom2&gt;PMC5234437&lt;/custom2&gt;&lt;electronic-resource-num&gt;10.7717/peerj.2836&lt;/electronic-resource-num&gt;&lt;/record&gt;&lt;/Cite&gt;&lt;/EndNote&gt;</w:instrText>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[15]</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 xml:space="preserve">: The default settings were used for the caecum samples as they are set for gut microbiome analysis. The cut-offs were decreased for the lung samples, due to the lower bacterial concentration. To test for significant group separation according to categorical metadata we used PERMANOVA (999 permutations) for all groups. Pairwise categorical differences between taxa and </w:t>
      </w:r>
      <w:proofErr w:type="spellStart"/>
      <w:r w:rsidRPr="00EA6951">
        <w:rPr>
          <w:rFonts w:ascii="Times New Roman" w:eastAsia="Calibri" w:hAnsi="Times New Roman" w:cs="Times New Roman"/>
          <w:sz w:val="24"/>
          <w:szCs w:val="24"/>
        </w:rPr>
        <w:t>zOTUs</w:t>
      </w:r>
      <w:proofErr w:type="spellEnd"/>
      <w:r w:rsidRPr="00EA6951">
        <w:rPr>
          <w:rFonts w:ascii="Times New Roman" w:eastAsia="Calibri" w:hAnsi="Times New Roman" w:cs="Times New Roman"/>
          <w:sz w:val="24"/>
          <w:szCs w:val="24"/>
        </w:rPr>
        <w:t xml:space="preserve"> were calculated using the Wilcoxon-Rank-Sum-Test with FDH correction. For correlation analysis </w:t>
      </w:r>
      <w:r w:rsidRPr="00EA6951">
        <w:rPr>
          <w:rFonts w:ascii="Times New Roman" w:eastAsia="Calibri" w:hAnsi="Times New Roman" w:cs="Times New Roman"/>
          <w:sz w:val="24"/>
          <w:szCs w:val="24"/>
        </w:rPr>
        <w:fldChar w:fldCharType="begin"/>
      </w:r>
      <w:r w:rsidRPr="00EA6951">
        <w:rPr>
          <w:rFonts w:ascii="Times New Roman" w:eastAsia="Calibri" w:hAnsi="Times New Roman" w:cs="Times New Roman"/>
          <w:sz w:val="24"/>
          <w:szCs w:val="24"/>
        </w:rPr>
        <w:instrText xml:space="preserve"> ADDIN EN.CITE &lt;EndNote&gt;&lt;Cite&gt;&lt;Author&gt;Lagkouvardos&lt;/Author&gt;&lt;Year&gt;2017&lt;/Year&gt;&lt;RecNum&gt;23&lt;/RecNum&gt;&lt;DisplayText&gt;[15]&lt;/DisplayText&gt;&lt;record&gt;&lt;rec-number&gt;23&lt;/rec-number&gt;&lt;foreign-keys&gt;&lt;key app="EN" db-id="pte50xaeqftedket9pav95av90darwdt5vda" timestamp="1629985142"&gt;23&lt;/key&gt;&lt;/foreign-keys&gt;&lt;ref-type name="Journal Article"&gt;17&lt;/ref-type&gt;&lt;contributors&gt;&lt;authors&gt;&lt;author&gt;Lagkouvardos, I.&lt;/author&gt;&lt;author&gt;Fischer, S.&lt;/author&gt;&lt;author&gt;Kumar, N.&lt;/author&gt;&lt;author&gt;Clavel, T.&lt;/author&gt;&lt;/authors&gt;&lt;/contributors&gt;&lt;auth-address&gt;ZIEL-Core Facility Microbiome/NGS, Technical University of Munich , Freising , Germany.&lt;/auth-address&gt;&lt;titles&gt;&lt;title&gt;Rhea: a transparent and modular R pipeline for microbial profiling based on 16S rRNA gene amplicons&lt;/title&gt;&lt;secondary-title&gt;PeerJ&lt;/secondary-title&gt;&lt;/titles&gt;&lt;periodical&gt;&lt;full-title&gt;PeerJ&lt;/full-title&gt;&lt;/periodical&gt;&lt;pages&gt;e2836&lt;/pages&gt;&lt;volume&gt;5&lt;/volume&gt;&lt;edition&gt;2017/01/18&lt;/edition&gt;&lt;keywords&gt;&lt;keyword&gt;16S rRNA gene&lt;/keyword&gt;&lt;keyword&gt;Alpha-diversity&lt;/keyword&gt;&lt;keyword&gt;Beta-diversity&lt;/keyword&gt;&lt;keyword&gt;Correlations&lt;/keyword&gt;&lt;keyword&gt;Host-microbe interactions&lt;/keyword&gt;&lt;keyword&gt;Microbial profile&lt;/keyword&gt;&lt;keyword&gt;Microbiome analysis&lt;/keyword&gt;&lt;keyword&gt;R script&lt;/keyword&gt;&lt;keyword&gt;Statistical analysis&lt;/keyword&gt;&lt;/keywords&gt;&lt;dates&gt;&lt;year&gt;2017&lt;/year&gt;&lt;/dates&gt;&lt;isbn&gt;2167-8359 (Print)&amp;#xD;2167-8359 (Linking)&lt;/isbn&gt;&lt;accession-num&gt;28097056&lt;/accession-num&gt;&lt;urls&gt;&lt;related-urls&gt;&lt;url&gt;https://www.ncbi.nlm.nih.gov/pubmed/28097056&lt;/url&gt;&lt;/related-urls&gt;&lt;/urls&gt;&lt;custom2&gt;PMC5234437&lt;/custom2&gt;&lt;electronic-resource-num&gt;10.7717/peerj.2836&lt;/electronic-resource-num&gt;&lt;/record&gt;&lt;/Cite&gt;&lt;/EndNote&gt;</w:instrText>
      </w:r>
      <w:r w:rsidRPr="00EA6951">
        <w:rPr>
          <w:rFonts w:ascii="Times New Roman" w:eastAsia="Calibri" w:hAnsi="Times New Roman" w:cs="Times New Roman"/>
          <w:sz w:val="24"/>
          <w:szCs w:val="24"/>
        </w:rPr>
        <w:fldChar w:fldCharType="separate"/>
      </w:r>
      <w:r w:rsidRPr="00EA6951">
        <w:rPr>
          <w:rFonts w:ascii="Times New Roman" w:eastAsia="Calibri" w:hAnsi="Times New Roman" w:cs="Times New Roman"/>
          <w:sz w:val="24"/>
          <w:szCs w:val="24"/>
        </w:rPr>
        <w:t>[15]</w:t>
      </w:r>
      <w:r w:rsidRPr="00EA6951">
        <w:rPr>
          <w:rFonts w:ascii="Times New Roman" w:eastAsia="Calibri" w:hAnsi="Times New Roman" w:cs="Times New Roman"/>
          <w:sz w:val="24"/>
          <w:szCs w:val="24"/>
        </w:rPr>
        <w:fldChar w:fldCharType="end"/>
      </w:r>
      <w:r w:rsidRPr="00EA6951">
        <w:rPr>
          <w:rFonts w:ascii="Times New Roman" w:eastAsia="Calibri" w:hAnsi="Times New Roman" w:cs="Times New Roman"/>
          <w:sz w:val="24"/>
          <w:szCs w:val="24"/>
        </w:rPr>
        <w:t>,</w:t>
      </w:r>
      <w:r w:rsidR="003A048E" w:rsidRPr="00EA6951">
        <w:rPr>
          <w:rFonts w:ascii="Times New Roman" w:eastAsia="Calibri" w:hAnsi="Times New Roman" w:cs="Times New Roman"/>
          <w:sz w:val="24"/>
          <w:szCs w:val="24"/>
        </w:rPr>
        <w:t xml:space="preserve"> taxonomic variables were centre</w:t>
      </w:r>
      <w:r w:rsidRPr="00EA6951">
        <w:rPr>
          <w:rFonts w:ascii="Times New Roman" w:eastAsia="Calibri" w:hAnsi="Times New Roman" w:cs="Times New Roman"/>
          <w:sz w:val="24"/>
          <w:szCs w:val="24"/>
        </w:rPr>
        <w:t xml:space="preserve"> log-transformed to remove compositional constraints, and then Pearson correlations within lineages were calculated for all pairs and tested for significance before and after Benjamin-Hochberg (FDH) correction.</w:t>
      </w:r>
    </w:p>
    <w:p w:rsidR="00286EA6" w:rsidRPr="00EA6951" w:rsidRDefault="00286EA6" w:rsidP="00286EA6">
      <w:pPr>
        <w:spacing w:line="360" w:lineRule="auto"/>
        <w:jc w:val="both"/>
        <w:rPr>
          <w:rFonts w:ascii="Times New Roman" w:eastAsia="Calibri" w:hAnsi="Times New Roman" w:cs="Times New Roman"/>
          <w:sz w:val="24"/>
          <w:szCs w:val="24"/>
        </w:rPr>
      </w:pPr>
      <w:r w:rsidRPr="00EA6951">
        <w:rPr>
          <w:rFonts w:ascii="Times New Roman" w:eastAsia="Calibri" w:hAnsi="Times New Roman" w:cs="Times New Roman"/>
          <w:sz w:val="24"/>
          <w:szCs w:val="24"/>
        </w:rPr>
        <w:t xml:space="preserve">Additionally, all other data generated in the study are shown as mean with their respective ranges. Statistical significance for immune data was calculated with </w:t>
      </w:r>
      <w:proofErr w:type="spellStart"/>
      <w:r w:rsidRPr="00EA6951">
        <w:rPr>
          <w:rFonts w:ascii="Times New Roman" w:eastAsia="Calibri" w:hAnsi="Times New Roman" w:cs="Times New Roman"/>
          <w:sz w:val="24"/>
          <w:szCs w:val="24"/>
        </w:rPr>
        <w:t>GraphPad</w:t>
      </w:r>
      <w:proofErr w:type="spellEnd"/>
      <w:r w:rsidRPr="00EA6951">
        <w:rPr>
          <w:rFonts w:ascii="Times New Roman" w:eastAsia="Calibri" w:hAnsi="Times New Roman" w:cs="Times New Roman"/>
          <w:sz w:val="24"/>
          <w:szCs w:val="24"/>
        </w:rPr>
        <w:t xml:space="preserve"> Prism 6 software (</w:t>
      </w:r>
      <w:proofErr w:type="spellStart"/>
      <w:r w:rsidRPr="00EA6951">
        <w:rPr>
          <w:rFonts w:ascii="Times New Roman" w:eastAsia="Calibri" w:hAnsi="Times New Roman" w:cs="Times New Roman"/>
          <w:sz w:val="24"/>
          <w:szCs w:val="24"/>
        </w:rPr>
        <w:t>GraphPad</w:t>
      </w:r>
      <w:proofErr w:type="spellEnd"/>
      <w:r w:rsidRPr="00EA6951">
        <w:rPr>
          <w:rFonts w:ascii="Times New Roman" w:eastAsia="Calibri" w:hAnsi="Times New Roman" w:cs="Times New Roman"/>
          <w:sz w:val="24"/>
          <w:szCs w:val="24"/>
        </w:rPr>
        <w:t xml:space="preserve"> Software Inc., San Diego, CA, USA) using 1-way analysis of variance (ANOVA) and Tukey´s multiple comparison as </w:t>
      </w:r>
      <w:proofErr w:type="spellStart"/>
      <w:r w:rsidRPr="00EA6951">
        <w:rPr>
          <w:rFonts w:ascii="Times New Roman" w:eastAsia="Calibri" w:hAnsi="Times New Roman" w:cs="Times New Roman"/>
          <w:sz w:val="24"/>
          <w:szCs w:val="24"/>
        </w:rPr>
        <w:t>post test</w:t>
      </w:r>
      <w:proofErr w:type="spellEnd"/>
      <w:r w:rsidRPr="00EA6951">
        <w:rPr>
          <w:rFonts w:ascii="Times New Roman" w:eastAsia="Calibri" w:hAnsi="Times New Roman" w:cs="Times New Roman"/>
          <w:sz w:val="24"/>
          <w:szCs w:val="24"/>
        </w:rPr>
        <w:t xml:space="preserve">, and statistical significance was set to p &lt;0.05. </w:t>
      </w:r>
    </w:p>
    <w:p w:rsidR="00286EA6" w:rsidRPr="00EA6951" w:rsidRDefault="00286EA6" w:rsidP="00286EA6">
      <w:pPr>
        <w:spacing w:line="360" w:lineRule="auto"/>
        <w:jc w:val="both"/>
        <w:rPr>
          <w:rFonts w:ascii="Times New Roman" w:eastAsia="Calibri" w:hAnsi="Times New Roman" w:cs="Times New Roman"/>
          <w:sz w:val="24"/>
          <w:szCs w:val="24"/>
        </w:rPr>
      </w:pPr>
    </w:p>
    <w:p w:rsidR="00286EA6" w:rsidRPr="00EA6951" w:rsidRDefault="00286EA6" w:rsidP="00286EA6">
      <w:pPr>
        <w:jc w:val="center"/>
        <w:rPr>
          <w:rFonts w:ascii="Times New Roman" w:hAnsi="Times New Roman" w:cs="Times New Roman"/>
          <w:b/>
          <w:bCs/>
          <w:sz w:val="36"/>
          <w:szCs w:val="36"/>
        </w:rPr>
      </w:pPr>
    </w:p>
    <w:p w:rsidR="00286EA6" w:rsidRPr="00EA6951" w:rsidRDefault="00286EA6" w:rsidP="00286EA6">
      <w:pPr>
        <w:jc w:val="center"/>
        <w:rPr>
          <w:rFonts w:ascii="Times New Roman" w:hAnsi="Times New Roman" w:cs="Times New Roman"/>
          <w:b/>
          <w:bCs/>
          <w:sz w:val="36"/>
          <w:szCs w:val="36"/>
        </w:rPr>
      </w:pPr>
    </w:p>
    <w:p w:rsidR="00286EA6" w:rsidRPr="00EA6951" w:rsidRDefault="00286EA6" w:rsidP="00286EA6">
      <w:pPr>
        <w:jc w:val="center"/>
        <w:rPr>
          <w:rFonts w:ascii="Times New Roman" w:hAnsi="Times New Roman" w:cs="Times New Roman"/>
          <w:b/>
          <w:bCs/>
          <w:sz w:val="36"/>
          <w:szCs w:val="36"/>
        </w:rPr>
      </w:pPr>
    </w:p>
    <w:p w:rsidR="00286EA6" w:rsidRPr="00EA6951" w:rsidRDefault="00286EA6" w:rsidP="00286EA6">
      <w:pPr>
        <w:jc w:val="center"/>
        <w:rPr>
          <w:rFonts w:ascii="Times New Roman" w:hAnsi="Times New Roman" w:cs="Times New Roman"/>
          <w:b/>
          <w:bCs/>
          <w:sz w:val="36"/>
          <w:szCs w:val="36"/>
        </w:rPr>
      </w:pPr>
    </w:p>
    <w:p w:rsidR="00286EA6" w:rsidRPr="00EA6951" w:rsidRDefault="00286EA6" w:rsidP="00286EA6">
      <w:pPr>
        <w:jc w:val="center"/>
        <w:rPr>
          <w:rFonts w:ascii="Times New Roman" w:hAnsi="Times New Roman" w:cs="Times New Roman"/>
          <w:b/>
          <w:bCs/>
          <w:sz w:val="36"/>
          <w:szCs w:val="36"/>
        </w:rPr>
      </w:pPr>
    </w:p>
    <w:p w:rsidR="00286EA6" w:rsidRPr="00EA6951" w:rsidRDefault="00286EA6" w:rsidP="00286EA6">
      <w:pPr>
        <w:jc w:val="center"/>
        <w:rPr>
          <w:rFonts w:ascii="Times New Roman" w:hAnsi="Times New Roman" w:cs="Times New Roman"/>
          <w:b/>
          <w:bCs/>
          <w:sz w:val="36"/>
          <w:szCs w:val="36"/>
        </w:rPr>
      </w:pPr>
    </w:p>
    <w:p w:rsidR="00286EA6" w:rsidRPr="00EA6951" w:rsidRDefault="00286EA6" w:rsidP="00286EA6">
      <w:pPr>
        <w:jc w:val="center"/>
        <w:rPr>
          <w:rFonts w:ascii="Times New Roman" w:hAnsi="Times New Roman" w:cs="Times New Roman"/>
          <w:b/>
          <w:bCs/>
          <w:sz w:val="36"/>
          <w:szCs w:val="36"/>
        </w:rPr>
      </w:pPr>
      <w:r w:rsidRPr="00EA6951">
        <w:rPr>
          <w:rFonts w:ascii="Times New Roman" w:hAnsi="Times New Roman" w:cs="Times New Roman"/>
          <w:b/>
          <w:bCs/>
          <w:sz w:val="36"/>
          <w:szCs w:val="36"/>
        </w:rPr>
        <w:lastRenderedPageBreak/>
        <w:t>Figures and Tables</w:t>
      </w:r>
    </w:p>
    <w:p w:rsidR="00286EA6" w:rsidRPr="00EA6951" w:rsidRDefault="00286EA6" w:rsidP="00286EA6">
      <w:pPr>
        <w:rPr>
          <w:rFonts w:ascii="Times New Roman" w:hAnsi="Times New Roman" w:cs="Times New Roman"/>
          <w:b/>
          <w:bCs/>
          <w:sz w:val="28"/>
          <w:szCs w:val="28"/>
        </w:rPr>
      </w:pPr>
      <w:r w:rsidRPr="00EA6951">
        <w:rPr>
          <w:rFonts w:ascii="Times New Roman" w:hAnsi="Times New Roman" w:cs="Times New Roman"/>
          <w:b/>
          <w:bCs/>
          <w:sz w:val="28"/>
          <w:szCs w:val="28"/>
        </w:rPr>
        <w:t>Suppl. Figure 1</w:t>
      </w:r>
    </w:p>
    <w:p w:rsidR="00286EA6" w:rsidRPr="00EA6951" w:rsidRDefault="00286EA6" w:rsidP="00286EA6">
      <w:pPr>
        <w:spacing w:after="160" w:line="259" w:lineRule="auto"/>
        <w:rPr>
          <w:b/>
          <w:bCs/>
          <w:szCs w:val="24"/>
        </w:rPr>
      </w:pPr>
      <w:r w:rsidRPr="00EA6951">
        <w:rPr>
          <w:b/>
          <w:bCs/>
          <w:noProof/>
          <w:szCs w:val="24"/>
          <w:lang w:eastAsia="en-GB"/>
        </w:rPr>
        <w:drawing>
          <wp:inline distT="0" distB="0" distL="0" distR="0" wp14:anchorId="788189DE" wp14:editId="1C930F79">
            <wp:extent cx="5760720" cy="2679690"/>
            <wp:effectExtent l="0" t="0" r="0" b="6985"/>
            <wp:docPr id="4" name="Picture 4" descr="C:\Users\Eistine Boateng\Desktop\Antibiotics-Basel\Figures\Flattened images\Suppl S1 flatte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stine Boateng\Desktop\Antibiotics-Basel\Figures\Flattened images\Suppl S1 flatten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679690"/>
                    </a:xfrm>
                    <a:prstGeom prst="rect">
                      <a:avLst/>
                    </a:prstGeom>
                    <a:noFill/>
                    <a:ln>
                      <a:noFill/>
                    </a:ln>
                  </pic:spPr>
                </pic:pic>
              </a:graphicData>
            </a:graphic>
          </wp:inline>
        </w:drawing>
      </w:r>
    </w:p>
    <w:p w:rsidR="00286EA6" w:rsidRPr="00EA6951" w:rsidRDefault="00286EA6" w:rsidP="00286EA6">
      <w:pPr>
        <w:spacing w:after="160" w:line="360" w:lineRule="auto"/>
        <w:jc w:val="both"/>
        <w:rPr>
          <w:rFonts w:ascii="Times New Roman" w:hAnsi="Times New Roman" w:cs="Times New Roman"/>
          <w:sz w:val="24"/>
          <w:szCs w:val="24"/>
        </w:rPr>
      </w:pPr>
      <w:r w:rsidRPr="00EA6951">
        <w:rPr>
          <w:rFonts w:ascii="Times New Roman" w:hAnsi="Times New Roman" w:cs="Times New Roman"/>
          <w:b/>
          <w:bCs/>
          <w:sz w:val="24"/>
          <w:szCs w:val="24"/>
        </w:rPr>
        <w:t xml:space="preserve">Suppl. Figure 1. </w:t>
      </w:r>
      <w:r w:rsidRPr="00EA6951">
        <w:rPr>
          <w:rFonts w:ascii="Times New Roman" w:hAnsi="Times New Roman" w:cs="Times New Roman"/>
          <w:bCs/>
          <w:sz w:val="24"/>
          <w:szCs w:val="24"/>
        </w:rPr>
        <w:t xml:space="preserve">Bacterial analysis of </w:t>
      </w:r>
      <w:proofErr w:type="spellStart"/>
      <w:r w:rsidRPr="00EA6951">
        <w:rPr>
          <w:rFonts w:ascii="Times New Roman" w:hAnsi="Times New Roman" w:cs="Times New Roman"/>
          <w:bCs/>
          <w:sz w:val="24"/>
          <w:szCs w:val="24"/>
        </w:rPr>
        <w:t>caecal</w:t>
      </w:r>
      <w:proofErr w:type="spellEnd"/>
      <w:r w:rsidRPr="00EA6951">
        <w:rPr>
          <w:rFonts w:ascii="Times New Roman" w:hAnsi="Times New Roman" w:cs="Times New Roman"/>
          <w:bCs/>
          <w:sz w:val="24"/>
          <w:szCs w:val="24"/>
        </w:rPr>
        <w:t xml:space="preserve"> samples:</w:t>
      </w:r>
      <w:r w:rsidRPr="00EA6951">
        <w:rPr>
          <w:rFonts w:ascii="Times New Roman" w:hAnsi="Times New Roman" w:cs="Times New Roman"/>
          <w:b/>
          <w:bCs/>
          <w:sz w:val="24"/>
          <w:szCs w:val="24"/>
        </w:rPr>
        <w:t xml:space="preserve"> (A-B)</w:t>
      </w:r>
      <w:r w:rsidRPr="00EA6951">
        <w:rPr>
          <w:rFonts w:ascii="Times New Roman" w:hAnsi="Times New Roman" w:cs="Times New Roman"/>
          <w:bCs/>
          <w:sz w:val="24"/>
          <w:szCs w:val="24"/>
        </w:rPr>
        <w:t xml:space="preserve"> α-diversity metrics of </w:t>
      </w:r>
      <w:proofErr w:type="spellStart"/>
      <w:r w:rsidRPr="00EA6951">
        <w:rPr>
          <w:rFonts w:ascii="Times New Roman" w:hAnsi="Times New Roman" w:cs="Times New Roman"/>
          <w:bCs/>
          <w:sz w:val="24"/>
          <w:szCs w:val="24"/>
        </w:rPr>
        <w:t>caecal</w:t>
      </w:r>
      <w:proofErr w:type="spellEnd"/>
      <w:r w:rsidRPr="00EA6951">
        <w:rPr>
          <w:rFonts w:ascii="Times New Roman" w:hAnsi="Times New Roman" w:cs="Times New Roman"/>
          <w:bCs/>
          <w:sz w:val="24"/>
          <w:szCs w:val="24"/>
        </w:rPr>
        <w:t xml:space="preserve"> bacterial species, n=48. </w:t>
      </w:r>
      <w:r w:rsidRPr="00EA6951">
        <w:rPr>
          <w:rFonts w:ascii="Times New Roman" w:hAnsi="Times New Roman" w:cs="Times New Roman"/>
          <w:b/>
          <w:bCs/>
          <w:sz w:val="24"/>
          <w:szCs w:val="24"/>
        </w:rPr>
        <w:t>(C)</w:t>
      </w:r>
      <w:r w:rsidRPr="00EA6951">
        <w:rPr>
          <w:rFonts w:ascii="Times New Roman" w:hAnsi="Times New Roman" w:cs="Times New Roman"/>
          <w:bCs/>
          <w:sz w:val="24"/>
          <w:szCs w:val="24"/>
        </w:rPr>
        <w:t xml:space="preserve"> Impact of antibiotic treatment on the class Clostridia. PBS (n = 16), CLA (n = 19), VAN (n = 13). In the brackets below the graphs e.g. PBS (16/16) in Suppl. Figure 2A means the species was detected in 16 samples out of the overall samples (16) analysed.  *p &lt; 0.05</w:t>
      </w: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r w:rsidRPr="00EA6951">
        <w:rPr>
          <w:rFonts w:ascii="Times New Roman" w:hAnsi="Times New Roman" w:cs="Times New Roman"/>
          <w:b/>
          <w:bCs/>
          <w:sz w:val="28"/>
          <w:szCs w:val="28"/>
        </w:rPr>
        <w:lastRenderedPageBreak/>
        <w:t>Suppl. Figure 2</w:t>
      </w:r>
    </w:p>
    <w:p w:rsidR="00286EA6" w:rsidRPr="00EA6951" w:rsidRDefault="00286EA6" w:rsidP="00286EA6">
      <w:pPr>
        <w:spacing w:after="160" w:line="259" w:lineRule="auto"/>
        <w:rPr>
          <w:b/>
          <w:bCs/>
          <w:szCs w:val="24"/>
        </w:rPr>
      </w:pPr>
    </w:p>
    <w:p w:rsidR="00286EA6" w:rsidRPr="00EA6951" w:rsidRDefault="00286EA6" w:rsidP="00286EA6">
      <w:pPr>
        <w:rPr>
          <w:b/>
          <w:bCs/>
          <w:szCs w:val="24"/>
        </w:rPr>
      </w:pPr>
      <w:r w:rsidRPr="00EA6951">
        <w:rPr>
          <w:b/>
          <w:bCs/>
          <w:noProof/>
          <w:szCs w:val="24"/>
          <w:lang w:eastAsia="en-GB"/>
        </w:rPr>
        <w:drawing>
          <wp:inline distT="0" distB="0" distL="0" distR="0" wp14:anchorId="50C5582B" wp14:editId="3DD440D7">
            <wp:extent cx="5540991" cy="4679546"/>
            <wp:effectExtent l="0" t="0" r="3175" b="6985"/>
            <wp:docPr id="5" name="Picture 5" descr="C:\Users\Eistine Boateng\Desktop\Antibiotics-Basel\Figures\Flattened images\Suppl S1 flatte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stine Boateng\Desktop\Antibiotics-Basel\Figures\Flattened images\Suppl S1 flattene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2304" cy="4680655"/>
                    </a:xfrm>
                    <a:prstGeom prst="rect">
                      <a:avLst/>
                    </a:prstGeom>
                    <a:noFill/>
                    <a:ln>
                      <a:noFill/>
                    </a:ln>
                  </pic:spPr>
                </pic:pic>
              </a:graphicData>
            </a:graphic>
          </wp:inline>
        </w:drawing>
      </w:r>
    </w:p>
    <w:p w:rsidR="00286EA6" w:rsidRPr="00EA6951" w:rsidRDefault="00286EA6" w:rsidP="00286EA6">
      <w:pPr>
        <w:spacing w:line="360" w:lineRule="auto"/>
        <w:jc w:val="both"/>
        <w:rPr>
          <w:rFonts w:ascii="Times New Roman" w:hAnsi="Times New Roman" w:cs="Times New Roman"/>
          <w:sz w:val="24"/>
          <w:szCs w:val="24"/>
        </w:rPr>
      </w:pPr>
      <w:r w:rsidRPr="00EA6951">
        <w:rPr>
          <w:rFonts w:ascii="Times New Roman" w:hAnsi="Times New Roman" w:cs="Times New Roman"/>
          <w:b/>
          <w:bCs/>
          <w:sz w:val="24"/>
          <w:szCs w:val="24"/>
        </w:rPr>
        <w:t xml:space="preserve">Suppl. Figure 2. </w:t>
      </w:r>
      <w:r w:rsidRPr="00EA6951">
        <w:rPr>
          <w:rFonts w:ascii="Times New Roman" w:hAnsi="Times New Roman" w:cs="Times New Roman"/>
          <w:sz w:val="24"/>
          <w:szCs w:val="24"/>
        </w:rPr>
        <w:t>Heat maps showing genera analysed in the caecum and lung: (</w:t>
      </w:r>
      <w:r w:rsidRPr="00EA6951">
        <w:rPr>
          <w:rFonts w:ascii="Times New Roman" w:hAnsi="Times New Roman" w:cs="Times New Roman"/>
          <w:b/>
          <w:sz w:val="24"/>
          <w:szCs w:val="24"/>
        </w:rPr>
        <w:t>A</w:t>
      </w:r>
      <w:r w:rsidRPr="00EA6951">
        <w:rPr>
          <w:rFonts w:ascii="Times New Roman" w:hAnsi="Times New Roman" w:cs="Times New Roman"/>
          <w:sz w:val="24"/>
          <w:szCs w:val="24"/>
        </w:rPr>
        <w:t>) Most abundant genera in the caecum. Each accounts for &gt; 0.5% of total relative abundance in all samples. PBS (n = 16), CLA (n = 19), and VAN (n = 13). (</w:t>
      </w:r>
      <w:r w:rsidRPr="00EA6951">
        <w:rPr>
          <w:rFonts w:ascii="Times New Roman" w:hAnsi="Times New Roman" w:cs="Times New Roman"/>
          <w:b/>
          <w:sz w:val="24"/>
          <w:szCs w:val="24"/>
        </w:rPr>
        <w:t>B</w:t>
      </w:r>
      <w:r w:rsidRPr="00EA6951">
        <w:rPr>
          <w:rFonts w:ascii="Times New Roman" w:hAnsi="Times New Roman" w:cs="Times New Roman"/>
          <w:sz w:val="24"/>
          <w:szCs w:val="24"/>
        </w:rPr>
        <w:t>) Most abundant genera in the lung. Each accounts for &gt; 0.5% total relative abundance in all samples. PBS (n = 12</w:t>
      </w:r>
      <w:r w:rsidR="00855DF6" w:rsidRPr="00EA6951">
        <w:rPr>
          <w:rFonts w:ascii="Times New Roman" w:hAnsi="Times New Roman" w:cs="Times New Roman"/>
          <w:sz w:val="24"/>
          <w:szCs w:val="24"/>
        </w:rPr>
        <w:t xml:space="preserve">), CLA (n = 9), and VAN (n = 7), </w:t>
      </w:r>
      <w:proofErr w:type="spellStart"/>
      <w:r w:rsidR="00855DF6" w:rsidRPr="00EA6951">
        <w:rPr>
          <w:rFonts w:ascii="Times New Roman" w:hAnsi="Times New Roman" w:cs="Times New Roman"/>
          <w:sz w:val="24"/>
          <w:szCs w:val="24"/>
        </w:rPr>
        <w:t>uncl</w:t>
      </w:r>
      <w:proofErr w:type="spellEnd"/>
      <w:r w:rsidR="00855DF6" w:rsidRPr="00EA6951">
        <w:rPr>
          <w:rFonts w:ascii="Times New Roman" w:hAnsi="Times New Roman" w:cs="Times New Roman"/>
          <w:sz w:val="24"/>
          <w:szCs w:val="24"/>
        </w:rPr>
        <w:t xml:space="preserve"> (unclassified).</w:t>
      </w: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r w:rsidRPr="00EA6951">
        <w:rPr>
          <w:rFonts w:ascii="Times New Roman" w:hAnsi="Times New Roman" w:cs="Times New Roman"/>
          <w:b/>
          <w:bCs/>
          <w:sz w:val="28"/>
          <w:szCs w:val="28"/>
        </w:rPr>
        <w:lastRenderedPageBreak/>
        <w:t>Suppl. Table 1</w:t>
      </w:r>
    </w:p>
    <w:p w:rsidR="00286EA6" w:rsidRPr="00EA6951" w:rsidRDefault="00286EA6" w:rsidP="00286EA6">
      <w:pPr>
        <w:spacing w:after="0"/>
        <w:rPr>
          <w:rFonts w:ascii="Times New Roman" w:hAnsi="Times New Roman" w:cs="Times New Roman"/>
          <w:b/>
          <w:bCs/>
          <w:sz w:val="24"/>
          <w:szCs w:val="24"/>
        </w:rPr>
      </w:pPr>
      <w:proofErr w:type="gramStart"/>
      <w:r w:rsidRPr="00EA6951">
        <w:rPr>
          <w:rFonts w:ascii="Times New Roman" w:eastAsia="Calibri" w:hAnsi="Times New Roman" w:cs="Times New Roman"/>
          <w:bCs/>
          <w:sz w:val="24"/>
          <w:szCs w:val="24"/>
        </w:rPr>
        <w:t>Twelve most abundant bacterial genera in the</w:t>
      </w:r>
      <w:r w:rsidRPr="00EA6951">
        <w:rPr>
          <w:rFonts w:ascii="Times New Roman" w:eastAsia="Calibri" w:hAnsi="Times New Roman" w:cs="Times New Roman"/>
          <w:b/>
          <w:bCs/>
          <w:sz w:val="24"/>
          <w:szCs w:val="24"/>
        </w:rPr>
        <w:t xml:space="preserve"> </w:t>
      </w:r>
      <w:r w:rsidRPr="00EA6951">
        <w:rPr>
          <w:rFonts w:ascii="Times New Roman" w:eastAsia="Calibri" w:hAnsi="Times New Roman" w:cs="Times New Roman"/>
          <w:bCs/>
          <w:sz w:val="24"/>
          <w:szCs w:val="24"/>
        </w:rPr>
        <w:t>caecum.</w:t>
      </w:r>
      <w:proofErr w:type="gramEnd"/>
    </w:p>
    <w:tbl>
      <w:tblPr>
        <w:tblpPr w:leftFromText="180" w:rightFromText="180" w:vertAnchor="text" w:horzAnchor="margin" w:tblpY="117"/>
        <w:tblW w:w="8791"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3223"/>
        <w:gridCol w:w="1310"/>
        <w:gridCol w:w="1873"/>
        <w:gridCol w:w="2385"/>
      </w:tblGrid>
      <w:tr w:rsidR="00286EA6" w:rsidRPr="00EA6951" w:rsidTr="007971A3">
        <w:trPr>
          <w:trHeight w:val="268"/>
        </w:trPr>
        <w:tc>
          <w:tcPr>
            <w:tcW w:w="3223" w:type="dxa"/>
            <w:tcBorders>
              <w:top w:val="single" w:sz="8" w:space="0" w:color="auto"/>
              <w:bottom w:val="single" w:sz="4" w:space="0" w:color="auto"/>
            </w:tcBorders>
            <w:shd w:val="clear" w:color="auto" w:fill="auto"/>
            <w:vAlign w:val="center"/>
          </w:tcPr>
          <w:p w:rsidR="00286EA6" w:rsidRPr="00EA6951" w:rsidRDefault="00286EA6" w:rsidP="007971A3">
            <w:pPr>
              <w:pStyle w:val="MDPI42tablebody"/>
              <w:autoSpaceDE w:val="0"/>
              <w:autoSpaceDN w:val="0"/>
              <w:spacing w:line="240" w:lineRule="auto"/>
              <w:rPr>
                <w:rFonts w:ascii="Times New Roman" w:hAnsi="Times New Roman"/>
                <w:b/>
                <w:snapToGrid/>
              </w:rPr>
            </w:pPr>
            <w:r w:rsidRPr="00EA6951">
              <w:rPr>
                <w:rFonts w:ascii="Times New Roman" w:hAnsi="Times New Roman"/>
                <w:b/>
                <w:snapToGrid/>
              </w:rPr>
              <w:t>Genus</w:t>
            </w:r>
          </w:p>
        </w:tc>
        <w:tc>
          <w:tcPr>
            <w:tcW w:w="1310" w:type="dxa"/>
            <w:tcBorders>
              <w:top w:val="single" w:sz="8" w:space="0" w:color="auto"/>
              <w:bottom w:val="single" w:sz="4" w:space="0" w:color="auto"/>
            </w:tcBorders>
            <w:shd w:val="clear" w:color="auto" w:fill="auto"/>
            <w:vAlign w:val="center"/>
          </w:tcPr>
          <w:p w:rsidR="00286EA6" w:rsidRPr="00EA6951" w:rsidRDefault="00286EA6" w:rsidP="007971A3">
            <w:pPr>
              <w:pStyle w:val="MDPI42tablebody"/>
              <w:autoSpaceDE w:val="0"/>
              <w:autoSpaceDN w:val="0"/>
              <w:spacing w:line="240" w:lineRule="auto"/>
              <w:rPr>
                <w:rFonts w:ascii="Times New Roman" w:hAnsi="Times New Roman"/>
                <w:b/>
                <w:snapToGrid/>
              </w:rPr>
            </w:pPr>
            <w:r w:rsidRPr="00EA6951">
              <w:rPr>
                <w:rFonts w:ascii="Times New Roman" w:hAnsi="Times New Roman"/>
                <w:b/>
                <w:snapToGrid/>
              </w:rPr>
              <w:t>PBS</w:t>
            </w:r>
          </w:p>
        </w:tc>
        <w:tc>
          <w:tcPr>
            <w:tcW w:w="1873" w:type="dxa"/>
            <w:tcBorders>
              <w:top w:val="single" w:sz="8" w:space="0" w:color="auto"/>
              <w:bottom w:val="single" w:sz="4" w:space="0" w:color="auto"/>
            </w:tcBorders>
            <w:shd w:val="clear" w:color="auto" w:fill="auto"/>
            <w:vAlign w:val="center"/>
          </w:tcPr>
          <w:p w:rsidR="00286EA6" w:rsidRPr="00EA6951" w:rsidRDefault="00286EA6" w:rsidP="007971A3">
            <w:pPr>
              <w:pStyle w:val="MDPI42tablebody"/>
              <w:autoSpaceDE w:val="0"/>
              <w:autoSpaceDN w:val="0"/>
              <w:spacing w:line="240" w:lineRule="auto"/>
              <w:rPr>
                <w:rFonts w:ascii="Times New Roman" w:hAnsi="Times New Roman"/>
                <w:b/>
                <w:snapToGrid/>
              </w:rPr>
            </w:pPr>
            <w:r w:rsidRPr="00EA6951">
              <w:rPr>
                <w:rFonts w:ascii="Times New Roman" w:hAnsi="Times New Roman"/>
                <w:b/>
                <w:snapToGrid/>
              </w:rPr>
              <w:t>CLA</w:t>
            </w:r>
          </w:p>
        </w:tc>
        <w:tc>
          <w:tcPr>
            <w:tcW w:w="2385" w:type="dxa"/>
            <w:tcBorders>
              <w:top w:val="single" w:sz="8" w:space="0" w:color="auto"/>
              <w:bottom w:val="single" w:sz="4" w:space="0" w:color="auto"/>
            </w:tcBorders>
          </w:tcPr>
          <w:p w:rsidR="00286EA6" w:rsidRPr="00EA6951" w:rsidRDefault="00286EA6" w:rsidP="007971A3">
            <w:pPr>
              <w:pStyle w:val="MDPI42tablebody"/>
              <w:autoSpaceDE w:val="0"/>
              <w:autoSpaceDN w:val="0"/>
              <w:spacing w:line="240" w:lineRule="auto"/>
              <w:rPr>
                <w:rFonts w:ascii="Times New Roman" w:hAnsi="Times New Roman"/>
                <w:b/>
                <w:snapToGrid/>
              </w:rPr>
            </w:pPr>
            <w:r w:rsidRPr="00EA6951">
              <w:rPr>
                <w:rFonts w:ascii="Times New Roman" w:hAnsi="Times New Roman"/>
                <w:b/>
                <w:snapToGrid/>
              </w:rPr>
              <w:t>VAN</w:t>
            </w:r>
          </w:p>
        </w:tc>
      </w:tr>
      <w:tr w:rsidR="00286EA6" w:rsidRPr="00EA6951" w:rsidTr="007971A3">
        <w:trPr>
          <w:trHeight w:val="32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eastAsia="de-DE"/>
              </w:rPr>
            </w:pPr>
            <w:proofErr w:type="spellStart"/>
            <w:r w:rsidRPr="00EA6951">
              <w:rPr>
                <w:rFonts w:ascii="Times New Roman" w:eastAsia="Times New Roman" w:hAnsi="Times New Roman" w:cs="Times New Roman"/>
                <w:i/>
                <w:iCs/>
                <w:lang w:eastAsia="de-DE"/>
              </w:rPr>
              <w:t>Clostridium_XlVa</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25.6</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27.8</w:t>
            </w:r>
          </w:p>
        </w:tc>
        <w:tc>
          <w:tcPr>
            <w:tcW w:w="2385" w:type="dxa"/>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2.0</w:t>
            </w:r>
          </w:p>
        </w:tc>
      </w:tr>
      <w:tr w:rsidR="00286EA6" w:rsidRPr="00EA6951" w:rsidTr="007971A3">
        <w:trPr>
          <w:trHeight w:val="31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eastAsia="de-DE"/>
              </w:rPr>
            </w:pPr>
            <w:proofErr w:type="spellStart"/>
            <w:r w:rsidRPr="00EA6951">
              <w:rPr>
                <w:rFonts w:ascii="Times New Roman" w:eastAsia="Times New Roman" w:hAnsi="Times New Roman" w:cs="Times New Roman"/>
                <w:i/>
                <w:iCs/>
                <w:lang w:eastAsia="de-DE"/>
              </w:rPr>
              <w:t>uncl_Lachnospiraceae</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19.2</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20.0</w:t>
            </w:r>
          </w:p>
        </w:tc>
        <w:tc>
          <w:tcPr>
            <w:tcW w:w="2385" w:type="dxa"/>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2.2</w:t>
            </w:r>
          </w:p>
        </w:tc>
      </w:tr>
      <w:tr w:rsidR="00286EA6" w:rsidRPr="00EA6951" w:rsidTr="007971A3">
        <w:trPr>
          <w:trHeight w:val="32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eastAsia="de-DE"/>
              </w:rPr>
            </w:pPr>
            <w:r w:rsidRPr="00EA6951">
              <w:rPr>
                <w:rFonts w:ascii="Times New Roman" w:eastAsia="Times New Roman" w:hAnsi="Times New Roman" w:cs="Times New Roman"/>
                <w:i/>
                <w:iCs/>
                <w:lang w:eastAsia="de-DE"/>
              </w:rPr>
              <w:t>Parabacteroides</w:t>
            </w:r>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6.5</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1.9</w:t>
            </w:r>
          </w:p>
        </w:tc>
        <w:tc>
          <w:tcPr>
            <w:tcW w:w="2385" w:type="dxa"/>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36.7</w:t>
            </w:r>
          </w:p>
        </w:tc>
      </w:tr>
      <w:tr w:rsidR="00286EA6" w:rsidRPr="00EA6951" w:rsidTr="007971A3">
        <w:trPr>
          <w:trHeight w:val="32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eastAsia="de-DE"/>
              </w:rPr>
              <w:t>Escherichi</w:t>
            </w:r>
            <w:proofErr w:type="spellEnd"/>
            <w:r w:rsidRPr="00EA6951">
              <w:rPr>
                <w:rFonts w:ascii="Times New Roman" w:eastAsia="Times New Roman" w:hAnsi="Times New Roman" w:cs="Times New Roman"/>
                <w:i/>
                <w:iCs/>
                <w:lang w:val="de-DE" w:eastAsia="de-DE"/>
              </w:rPr>
              <w:t>a/</w:t>
            </w:r>
            <w:proofErr w:type="spellStart"/>
            <w:r w:rsidRPr="00EA6951">
              <w:rPr>
                <w:rFonts w:ascii="Times New Roman" w:eastAsia="Times New Roman" w:hAnsi="Times New Roman" w:cs="Times New Roman"/>
                <w:i/>
                <w:iCs/>
                <w:lang w:val="de-DE" w:eastAsia="de-DE"/>
              </w:rPr>
              <w:t>Shigella</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0.0</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2.6</w:t>
            </w:r>
          </w:p>
        </w:tc>
        <w:tc>
          <w:tcPr>
            <w:tcW w:w="2385"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32.3</w:t>
            </w:r>
          </w:p>
        </w:tc>
      </w:tr>
      <w:tr w:rsidR="00286EA6" w:rsidRPr="00EA6951" w:rsidTr="007971A3">
        <w:trPr>
          <w:trHeight w:val="31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Alistipes</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2.8</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15.8</w:t>
            </w:r>
          </w:p>
        </w:tc>
        <w:tc>
          <w:tcPr>
            <w:tcW w:w="2385"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0.1</w:t>
            </w:r>
          </w:p>
        </w:tc>
      </w:tr>
      <w:tr w:rsidR="00286EA6" w:rsidRPr="00EA6951" w:rsidTr="007971A3">
        <w:trPr>
          <w:trHeight w:val="32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uncl_Porphyromonadaceae</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13.4</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5.0</w:t>
            </w:r>
          </w:p>
        </w:tc>
        <w:tc>
          <w:tcPr>
            <w:tcW w:w="2385"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2.3</w:t>
            </w:r>
          </w:p>
        </w:tc>
      </w:tr>
      <w:tr w:rsidR="00286EA6" w:rsidRPr="00EA6951" w:rsidTr="007971A3">
        <w:trPr>
          <w:trHeight w:val="31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Barnesiella</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8.0</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9.6</w:t>
            </w:r>
          </w:p>
        </w:tc>
        <w:tc>
          <w:tcPr>
            <w:tcW w:w="2385"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0.6</w:t>
            </w:r>
          </w:p>
        </w:tc>
      </w:tr>
      <w:tr w:rsidR="00286EA6" w:rsidRPr="00EA6951" w:rsidTr="007971A3">
        <w:trPr>
          <w:trHeight w:val="32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Bacteroides</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0.8</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6.6</w:t>
            </w:r>
          </w:p>
        </w:tc>
        <w:tc>
          <w:tcPr>
            <w:tcW w:w="2385"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5.8</w:t>
            </w:r>
          </w:p>
        </w:tc>
      </w:tr>
      <w:tr w:rsidR="00286EA6" w:rsidRPr="00EA6951" w:rsidTr="007971A3">
        <w:trPr>
          <w:trHeight w:val="32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Lactobacillus</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1.7</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0.8</w:t>
            </w:r>
          </w:p>
        </w:tc>
        <w:tc>
          <w:tcPr>
            <w:tcW w:w="2385"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11.2</w:t>
            </w:r>
          </w:p>
        </w:tc>
      </w:tr>
      <w:tr w:rsidR="00286EA6" w:rsidRPr="00EA6951" w:rsidTr="007971A3">
        <w:trPr>
          <w:trHeight w:val="31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uncl_Ruminococcaceae</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4.9</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1.9</w:t>
            </w:r>
          </w:p>
        </w:tc>
        <w:tc>
          <w:tcPr>
            <w:tcW w:w="2385"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0.6</w:t>
            </w:r>
          </w:p>
        </w:tc>
      </w:tr>
      <w:tr w:rsidR="00286EA6" w:rsidRPr="00EA6951" w:rsidTr="007971A3">
        <w:trPr>
          <w:trHeight w:val="32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Acetatifactor</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2.6</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2.8</w:t>
            </w:r>
          </w:p>
        </w:tc>
        <w:tc>
          <w:tcPr>
            <w:tcW w:w="2385"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0.2</w:t>
            </w:r>
          </w:p>
        </w:tc>
      </w:tr>
      <w:tr w:rsidR="00286EA6" w:rsidRPr="00EA6951" w:rsidTr="007971A3">
        <w:trPr>
          <w:trHeight w:val="317"/>
        </w:trPr>
        <w:tc>
          <w:tcPr>
            <w:tcW w:w="3223"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Prevotella</w:t>
            </w:r>
            <w:proofErr w:type="spellEnd"/>
          </w:p>
        </w:tc>
        <w:tc>
          <w:tcPr>
            <w:tcW w:w="1310"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3.7</w:t>
            </w:r>
          </w:p>
        </w:tc>
        <w:tc>
          <w:tcPr>
            <w:tcW w:w="1873"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w:t>
            </w:r>
          </w:p>
        </w:tc>
        <w:tc>
          <w:tcPr>
            <w:tcW w:w="2385"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0.7</w:t>
            </w:r>
          </w:p>
        </w:tc>
      </w:tr>
    </w:tbl>
    <w:p w:rsidR="00286EA6" w:rsidRPr="00EA6951" w:rsidRDefault="00286EA6" w:rsidP="00286EA6">
      <w:pPr>
        <w:spacing w:line="360" w:lineRule="auto"/>
        <w:jc w:val="both"/>
        <w:rPr>
          <w:rFonts w:ascii="Times New Roman" w:eastAsia="Calibri" w:hAnsi="Times New Roman" w:cs="Times New Roman"/>
          <w:sz w:val="24"/>
          <w:szCs w:val="24"/>
        </w:rPr>
      </w:pPr>
      <w:r w:rsidRPr="00EA6951">
        <w:rPr>
          <w:rFonts w:ascii="Times New Roman" w:eastAsia="Calibri" w:hAnsi="Times New Roman" w:cs="Times New Roman"/>
          <w:sz w:val="24"/>
          <w:szCs w:val="24"/>
        </w:rPr>
        <w:t xml:space="preserve">Genera are sorted based on overall relative abundance of all samples. Data are presented as mean (%) across samples from each antibiotic treatment and control for </w:t>
      </w:r>
      <w:proofErr w:type="spellStart"/>
      <w:r w:rsidRPr="00EA6951">
        <w:rPr>
          <w:rFonts w:ascii="Times New Roman" w:eastAsia="Calibri" w:hAnsi="Times New Roman" w:cs="Times New Roman"/>
          <w:sz w:val="24"/>
          <w:szCs w:val="24"/>
        </w:rPr>
        <w:t>ceacal</w:t>
      </w:r>
      <w:proofErr w:type="spellEnd"/>
      <w:r w:rsidRPr="00EA6951">
        <w:rPr>
          <w:rFonts w:ascii="Times New Roman" w:eastAsia="Calibri" w:hAnsi="Times New Roman" w:cs="Times New Roman"/>
          <w:sz w:val="24"/>
          <w:szCs w:val="24"/>
        </w:rPr>
        <w:t xml:space="preserve"> samples. PBS – Control (n = 16), CLA – </w:t>
      </w:r>
      <w:proofErr w:type="spellStart"/>
      <w:r w:rsidRPr="00EA6951">
        <w:rPr>
          <w:rFonts w:ascii="Times New Roman" w:eastAsia="Calibri" w:hAnsi="Times New Roman" w:cs="Times New Roman"/>
          <w:sz w:val="24"/>
          <w:szCs w:val="24"/>
        </w:rPr>
        <w:t>Clarithromyin</w:t>
      </w:r>
      <w:proofErr w:type="spellEnd"/>
      <w:r w:rsidRPr="00EA6951">
        <w:rPr>
          <w:rFonts w:ascii="Times New Roman" w:eastAsia="Calibri" w:hAnsi="Times New Roman" w:cs="Times New Roman"/>
          <w:sz w:val="24"/>
          <w:szCs w:val="24"/>
        </w:rPr>
        <w:t xml:space="preserve"> (n = 19), VAN – Vancomycin (n = 13), </w:t>
      </w:r>
      <w:proofErr w:type="spellStart"/>
      <w:r w:rsidRPr="00EA6951">
        <w:rPr>
          <w:rFonts w:ascii="Times New Roman" w:eastAsia="Calibri" w:hAnsi="Times New Roman" w:cs="Times New Roman"/>
          <w:sz w:val="24"/>
          <w:szCs w:val="24"/>
        </w:rPr>
        <w:t>uncl</w:t>
      </w:r>
      <w:proofErr w:type="spellEnd"/>
      <w:r w:rsidRPr="00EA6951">
        <w:rPr>
          <w:rFonts w:ascii="Times New Roman" w:eastAsia="Calibri" w:hAnsi="Times New Roman" w:cs="Times New Roman"/>
          <w:sz w:val="24"/>
          <w:szCs w:val="24"/>
        </w:rPr>
        <w:t xml:space="preserve"> – unclassified.</w:t>
      </w:r>
    </w:p>
    <w:p w:rsidR="00286EA6" w:rsidRPr="00EA6951" w:rsidRDefault="00286EA6" w:rsidP="00286EA6">
      <w:pPr>
        <w:spacing w:after="0" w:line="360" w:lineRule="auto"/>
        <w:rPr>
          <w:rFonts w:ascii="Times New Roman" w:eastAsia="Calibri" w:hAnsi="Times New Roman" w:cs="Times New Roman"/>
          <w:b/>
          <w:sz w:val="24"/>
          <w:szCs w:val="24"/>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p>
    <w:p w:rsidR="00286EA6" w:rsidRPr="00EA6951" w:rsidRDefault="00286EA6" w:rsidP="00286EA6">
      <w:pPr>
        <w:rPr>
          <w:rFonts w:ascii="Times New Roman" w:hAnsi="Times New Roman" w:cs="Times New Roman"/>
          <w:b/>
          <w:bCs/>
          <w:sz w:val="28"/>
          <w:szCs w:val="28"/>
        </w:rPr>
      </w:pPr>
      <w:r w:rsidRPr="00EA6951">
        <w:rPr>
          <w:rFonts w:ascii="Times New Roman" w:hAnsi="Times New Roman" w:cs="Times New Roman"/>
          <w:b/>
          <w:bCs/>
          <w:sz w:val="28"/>
          <w:szCs w:val="28"/>
        </w:rPr>
        <w:lastRenderedPageBreak/>
        <w:t>Suppl. Figure 3</w:t>
      </w:r>
    </w:p>
    <w:p w:rsidR="00286EA6" w:rsidRPr="00EA6951" w:rsidRDefault="00286EA6" w:rsidP="00286EA6">
      <w:pPr>
        <w:spacing w:after="160" w:line="259" w:lineRule="auto"/>
        <w:rPr>
          <w:szCs w:val="24"/>
        </w:rPr>
      </w:pPr>
    </w:p>
    <w:p w:rsidR="00286EA6" w:rsidRPr="00EA6951" w:rsidRDefault="00286EA6" w:rsidP="00286EA6">
      <w:pPr>
        <w:spacing w:after="160" w:line="259" w:lineRule="auto"/>
        <w:rPr>
          <w:b/>
          <w:bCs/>
          <w:szCs w:val="24"/>
        </w:rPr>
      </w:pPr>
      <w:r w:rsidRPr="00EA6951">
        <w:rPr>
          <w:b/>
          <w:bCs/>
          <w:noProof/>
          <w:szCs w:val="24"/>
          <w:lang w:eastAsia="en-GB"/>
        </w:rPr>
        <w:drawing>
          <wp:inline distT="0" distB="0" distL="0" distR="0" wp14:anchorId="12C83C12" wp14:editId="26B5285A">
            <wp:extent cx="5760720" cy="5594476"/>
            <wp:effectExtent l="0" t="0" r="0" b="6350"/>
            <wp:docPr id="6" name="Picture 6" descr="C:\Users\Eistine Boateng\Desktop\Antibiotics-Basel\Figures\Flattened images\Suppl S3 flatte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istine Boateng\Desktop\Antibiotics-Basel\Figures\Flattened images\Suppl S3 flatten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5594476"/>
                    </a:xfrm>
                    <a:prstGeom prst="rect">
                      <a:avLst/>
                    </a:prstGeom>
                    <a:noFill/>
                    <a:ln>
                      <a:noFill/>
                    </a:ln>
                  </pic:spPr>
                </pic:pic>
              </a:graphicData>
            </a:graphic>
          </wp:inline>
        </w:drawing>
      </w:r>
    </w:p>
    <w:p w:rsidR="00286EA6" w:rsidRPr="00EA6951" w:rsidRDefault="00286EA6" w:rsidP="00286EA6">
      <w:pPr>
        <w:spacing w:after="160" w:line="360" w:lineRule="auto"/>
        <w:jc w:val="both"/>
        <w:rPr>
          <w:rFonts w:ascii="Times New Roman" w:hAnsi="Times New Roman" w:cs="Times New Roman"/>
          <w:b/>
          <w:bCs/>
          <w:sz w:val="24"/>
          <w:szCs w:val="24"/>
        </w:rPr>
      </w:pPr>
      <w:r w:rsidRPr="00EA6951">
        <w:rPr>
          <w:rFonts w:ascii="Times New Roman" w:hAnsi="Times New Roman" w:cs="Times New Roman"/>
          <w:b/>
          <w:bCs/>
          <w:sz w:val="24"/>
          <w:szCs w:val="24"/>
        </w:rPr>
        <w:t xml:space="preserve">Suppl. Figure 3. </w:t>
      </w:r>
      <w:r w:rsidRPr="00EA6951">
        <w:rPr>
          <w:rFonts w:ascii="Times New Roman" w:hAnsi="Times New Roman" w:cs="Times New Roman"/>
          <w:sz w:val="24"/>
          <w:szCs w:val="24"/>
        </w:rPr>
        <w:t>Bacterial analysis of lung samples:</w:t>
      </w:r>
      <w:r w:rsidRPr="00EA6951">
        <w:rPr>
          <w:rFonts w:ascii="Times New Roman" w:hAnsi="Times New Roman" w:cs="Times New Roman"/>
          <w:b/>
          <w:sz w:val="24"/>
          <w:szCs w:val="24"/>
        </w:rPr>
        <w:t xml:space="preserve"> (A-B)</w:t>
      </w:r>
      <w:r w:rsidRPr="00EA6951">
        <w:rPr>
          <w:rFonts w:ascii="Times New Roman" w:hAnsi="Times New Roman" w:cs="Times New Roman"/>
          <w:sz w:val="24"/>
          <w:szCs w:val="24"/>
        </w:rPr>
        <w:t xml:space="preserve"> α-diversity metrics of lung bacterial species, n=28. </w:t>
      </w:r>
      <w:r w:rsidRPr="00EA6951">
        <w:rPr>
          <w:rFonts w:ascii="Times New Roman" w:hAnsi="Times New Roman" w:cs="Times New Roman"/>
          <w:b/>
          <w:sz w:val="24"/>
          <w:szCs w:val="24"/>
        </w:rPr>
        <w:t>(C-I)</w:t>
      </w:r>
      <w:r w:rsidRPr="00EA6951">
        <w:rPr>
          <w:rFonts w:ascii="Times New Roman" w:hAnsi="Times New Roman" w:cs="Times New Roman"/>
          <w:sz w:val="24"/>
          <w:szCs w:val="24"/>
        </w:rPr>
        <w:t xml:space="preserve"> </w:t>
      </w:r>
      <w:proofErr w:type="gramStart"/>
      <w:r w:rsidRPr="00EA6951">
        <w:rPr>
          <w:rFonts w:ascii="Times New Roman" w:hAnsi="Times New Roman" w:cs="Times New Roman"/>
          <w:sz w:val="24"/>
          <w:szCs w:val="24"/>
        </w:rPr>
        <w:t>Impact of antibiotics on some specific lung bacterial taxa.</w:t>
      </w:r>
      <w:proofErr w:type="gramEnd"/>
      <w:r w:rsidRPr="00EA6951">
        <w:rPr>
          <w:rFonts w:ascii="Times New Roman" w:hAnsi="Times New Roman" w:cs="Times New Roman"/>
          <w:sz w:val="24"/>
          <w:szCs w:val="24"/>
        </w:rPr>
        <w:t xml:space="preserve"> </w:t>
      </w:r>
      <w:proofErr w:type="gramStart"/>
      <w:r w:rsidRPr="00EA6951">
        <w:rPr>
          <w:rFonts w:ascii="Times New Roman" w:hAnsi="Times New Roman" w:cs="Times New Roman"/>
          <w:sz w:val="24"/>
          <w:szCs w:val="24"/>
        </w:rPr>
        <w:t>g</w:t>
      </w:r>
      <w:proofErr w:type="gramEnd"/>
      <w:r w:rsidRPr="00EA6951">
        <w:rPr>
          <w:rFonts w:ascii="Times New Roman" w:hAnsi="Times New Roman" w:cs="Times New Roman"/>
          <w:sz w:val="24"/>
          <w:szCs w:val="24"/>
        </w:rPr>
        <w:t xml:space="preserve"> (genus), p (phylum), c (class). PBS (n = 12), CLA (n = 9), and VAN (n = 7). </w:t>
      </w:r>
      <w:r w:rsidRPr="00EA6951">
        <w:rPr>
          <w:rFonts w:ascii="Times New Roman" w:hAnsi="Times New Roman" w:cs="Times New Roman"/>
          <w:bCs/>
          <w:sz w:val="24"/>
          <w:szCs w:val="24"/>
        </w:rPr>
        <w:t xml:space="preserve">In the brackets below graphs e.g. CLA (6/9) in Suppl. Figure 4I means the </w:t>
      </w:r>
      <w:proofErr w:type="spellStart"/>
      <w:r w:rsidRPr="00EA6951">
        <w:rPr>
          <w:rFonts w:ascii="Times New Roman" w:hAnsi="Times New Roman" w:cs="Times New Roman"/>
          <w:bCs/>
          <w:sz w:val="24"/>
          <w:szCs w:val="24"/>
        </w:rPr>
        <w:t>p_Actinobacteria</w:t>
      </w:r>
      <w:proofErr w:type="spellEnd"/>
      <w:r w:rsidRPr="00EA6951">
        <w:rPr>
          <w:rFonts w:ascii="Times New Roman" w:hAnsi="Times New Roman" w:cs="Times New Roman"/>
          <w:bCs/>
          <w:sz w:val="24"/>
          <w:szCs w:val="24"/>
        </w:rPr>
        <w:t xml:space="preserve"> was detected in 6 samples out of the overall samples (9) analysed.  </w:t>
      </w:r>
    </w:p>
    <w:p w:rsidR="00286EA6" w:rsidRPr="00EA6951" w:rsidRDefault="00286EA6" w:rsidP="00286EA6">
      <w:pPr>
        <w:spacing w:after="0" w:line="360" w:lineRule="auto"/>
        <w:rPr>
          <w:rFonts w:ascii="Times New Roman" w:eastAsia="Calibri" w:hAnsi="Times New Roman" w:cs="Times New Roman"/>
          <w:b/>
          <w:sz w:val="28"/>
          <w:szCs w:val="28"/>
        </w:rPr>
      </w:pPr>
    </w:p>
    <w:p w:rsidR="00286EA6" w:rsidRPr="00EA6951" w:rsidRDefault="00286EA6" w:rsidP="00286EA6">
      <w:pPr>
        <w:spacing w:after="0" w:line="360" w:lineRule="auto"/>
        <w:rPr>
          <w:rFonts w:ascii="Times New Roman" w:eastAsia="Calibri" w:hAnsi="Times New Roman" w:cs="Times New Roman"/>
          <w:b/>
          <w:sz w:val="28"/>
          <w:szCs w:val="28"/>
        </w:rPr>
      </w:pPr>
    </w:p>
    <w:p w:rsidR="00286EA6" w:rsidRPr="00EA6951" w:rsidRDefault="00286EA6" w:rsidP="00286EA6">
      <w:pPr>
        <w:spacing w:after="0" w:line="360" w:lineRule="auto"/>
        <w:rPr>
          <w:rFonts w:ascii="Times New Roman" w:eastAsia="Calibri" w:hAnsi="Times New Roman" w:cs="Times New Roman"/>
          <w:b/>
          <w:sz w:val="28"/>
          <w:szCs w:val="28"/>
        </w:rPr>
      </w:pPr>
    </w:p>
    <w:p w:rsidR="00286EA6" w:rsidRPr="00EA6951" w:rsidRDefault="00286EA6" w:rsidP="00286EA6">
      <w:pPr>
        <w:spacing w:after="0" w:line="360" w:lineRule="auto"/>
        <w:rPr>
          <w:rFonts w:ascii="Times New Roman" w:eastAsia="Calibri" w:hAnsi="Times New Roman" w:cs="Times New Roman"/>
          <w:b/>
          <w:sz w:val="28"/>
          <w:szCs w:val="28"/>
        </w:rPr>
      </w:pPr>
    </w:p>
    <w:p w:rsidR="00286EA6" w:rsidRPr="00EA6951" w:rsidRDefault="00286EA6" w:rsidP="00286EA6">
      <w:pPr>
        <w:spacing w:after="0" w:line="360" w:lineRule="auto"/>
        <w:rPr>
          <w:rFonts w:ascii="Times New Roman" w:eastAsia="Calibri" w:hAnsi="Times New Roman" w:cs="Times New Roman"/>
          <w:b/>
          <w:sz w:val="28"/>
          <w:szCs w:val="28"/>
        </w:rPr>
      </w:pPr>
      <w:r w:rsidRPr="00EA6951">
        <w:rPr>
          <w:rFonts w:ascii="Times New Roman" w:eastAsia="Calibri" w:hAnsi="Times New Roman" w:cs="Times New Roman"/>
          <w:b/>
          <w:sz w:val="28"/>
          <w:szCs w:val="28"/>
        </w:rPr>
        <w:lastRenderedPageBreak/>
        <w:t>Suppl. Table 2</w:t>
      </w:r>
    </w:p>
    <w:tbl>
      <w:tblPr>
        <w:tblpPr w:leftFromText="180" w:rightFromText="180" w:vertAnchor="text" w:horzAnchor="margin" w:tblpY="460"/>
        <w:tblW w:w="8790"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3120"/>
        <w:gridCol w:w="1697"/>
        <w:gridCol w:w="2024"/>
        <w:gridCol w:w="1949"/>
      </w:tblGrid>
      <w:tr w:rsidR="00286EA6" w:rsidRPr="00EA6951" w:rsidTr="007971A3">
        <w:trPr>
          <w:trHeight w:val="206"/>
        </w:trPr>
        <w:tc>
          <w:tcPr>
            <w:tcW w:w="3120" w:type="dxa"/>
            <w:tcBorders>
              <w:top w:val="single" w:sz="8" w:space="0" w:color="auto"/>
              <w:bottom w:val="single" w:sz="4" w:space="0" w:color="auto"/>
            </w:tcBorders>
            <w:shd w:val="clear" w:color="auto" w:fill="auto"/>
            <w:vAlign w:val="center"/>
          </w:tcPr>
          <w:p w:rsidR="00286EA6" w:rsidRPr="00EA6951" w:rsidRDefault="00286EA6" w:rsidP="007971A3">
            <w:pPr>
              <w:pStyle w:val="MDPI42tablebody"/>
              <w:autoSpaceDE w:val="0"/>
              <w:autoSpaceDN w:val="0"/>
              <w:spacing w:line="240" w:lineRule="auto"/>
              <w:rPr>
                <w:rFonts w:ascii="Times New Roman" w:hAnsi="Times New Roman"/>
                <w:b/>
                <w:snapToGrid/>
              </w:rPr>
            </w:pPr>
            <w:r w:rsidRPr="00EA6951">
              <w:rPr>
                <w:rFonts w:ascii="Times New Roman" w:hAnsi="Times New Roman"/>
                <w:b/>
                <w:snapToGrid/>
              </w:rPr>
              <w:t>Genus</w:t>
            </w:r>
          </w:p>
        </w:tc>
        <w:tc>
          <w:tcPr>
            <w:tcW w:w="1697" w:type="dxa"/>
            <w:tcBorders>
              <w:top w:val="single" w:sz="8" w:space="0" w:color="auto"/>
              <w:bottom w:val="single" w:sz="4" w:space="0" w:color="auto"/>
            </w:tcBorders>
            <w:shd w:val="clear" w:color="auto" w:fill="auto"/>
            <w:vAlign w:val="center"/>
          </w:tcPr>
          <w:p w:rsidR="00286EA6" w:rsidRPr="00EA6951" w:rsidRDefault="00286EA6" w:rsidP="007971A3">
            <w:pPr>
              <w:pStyle w:val="MDPI42tablebody"/>
              <w:autoSpaceDE w:val="0"/>
              <w:autoSpaceDN w:val="0"/>
              <w:spacing w:line="240" w:lineRule="auto"/>
              <w:rPr>
                <w:rFonts w:ascii="Times New Roman" w:hAnsi="Times New Roman"/>
                <w:b/>
                <w:snapToGrid/>
              </w:rPr>
            </w:pPr>
            <w:r w:rsidRPr="00EA6951">
              <w:rPr>
                <w:rFonts w:ascii="Times New Roman" w:hAnsi="Times New Roman"/>
                <w:b/>
                <w:snapToGrid/>
              </w:rPr>
              <w:t>PBS</w:t>
            </w:r>
          </w:p>
        </w:tc>
        <w:tc>
          <w:tcPr>
            <w:tcW w:w="2024" w:type="dxa"/>
            <w:tcBorders>
              <w:top w:val="single" w:sz="8" w:space="0" w:color="auto"/>
              <w:bottom w:val="single" w:sz="4" w:space="0" w:color="auto"/>
            </w:tcBorders>
            <w:shd w:val="clear" w:color="auto" w:fill="auto"/>
            <w:vAlign w:val="center"/>
          </w:tcPr>
          <w:p w:rsidR="00286EA6" w:rsidRPr="00EA6951" w:rsidRDefault="00286EA6" w:rsidP="007971A3">
            <w:pPr>
              <w:pStyle w:val="MDPI42tablebody"/>
              <w:autoSpaceDE w:val="0"/>
              <w:autoSpaceDN w:val="0"/>
              <w:spacing w:line="240" w:lineRule="auto"/>
              <w:rPr>
                <w:rFonts w:ascii="Times New Roman" w:hAnsi="Times New Roman"/>
                <w:b/>
                <w:snapToGrid/>
              </w:rPr>
            </w:pPr>
            <w:r w:rsidRPr="00EA6951">
              <w:rPr>
                <w:rFonts w:ascii="Times New Roman" w:hAnsi="Times New Roman"/>
                <w:b/>
                <w:snapToGrid/>
              </w:rPr>
              <w:t>CLA</w:t>
            </w:r>
          </w:p>
        </w:tc>
        <w:tc>
          <w:tcPr>
            <w:tcW w:w="1949" w:type="dxa"/>
            <w:tcBorders>
              <w:top w:val="single" w:sz="8" w:space="0" w:color="auto"/>
              <w:bottom w:val="single" w:sz="4" w:space="0" w:color="auto"/>
            </w:tcBorders>
          </w:tcPr>
          <w:p w:rsidR="00286EA6" w:rsidRPr="00EA6951" w:rsidRDefault="00286EA6" w:rsidP="007971A3">
            <w:pPr>
              <w:pStyle w:val="MDPI42tablebody"/>
              <w:autoSpaceDE w:val="0"/>
              <w:autoSpaceDN w:val="0"/>
              <w:spacing w:line="240" w:lineRule="auto"/>
              <w:rPr>
                <w:rFonts w:ascii="Times New Roman" w:hAnsi="Times New Roman"/>
                <w:b/>
                <w:snapToGrid/>
              </w:rPr>
            </w:pPr>
            <w:r w:rsidRPr="00EA6951">
              <w:rPr>
                <w:rFonts w:ascii="Times New Roman" w:hAnsi="Times New Roman"/>
                <w:b/>
                <w:snapToGrid/>
              </w:rPr>
              <w:t>VAN</w:t>
            </w:r>
          </w:p>
        </w:tc>
      </w:tr>
      <w:tr w:rsidR="00286EA6" w:rsidRPr="00EA6951" w:rsidTr="007971A3">
        <w:trPr>
          <w:trHeight w:val="255"/>
        </w:trPr>
        <w:tc>
          <w:tcPr>
            <w:tcW w:w="3120" w:type="dxa"/>
            <w:shd w:val="clear" w:color="auto" w:fill="auto"/>
            <w:vAlign w:val="bottom"/>
          </w:tcPr>
          <w:p w:rsidR="00286EA6" w:rsidRPr="00EA6951" w:rsidRDefault="00286EA6" w:rsidP="007971A3">
            <w:pPr>
              <w:rPr>
                <w:rFonts w:ascii="Times New Roman" w:eastAsia="Times New Roman" w:hAnsi="Times New Roman" w:cs="Times New Roman"/>
                <w:i/>
                <w:iCs/>
                <w:lang w:eastAsia="de-DE"/>
              </w:rPr>
            </w:pPr>
            <w:r w:rsidRPr="00EA6951">
              <w:rPr>
                <w:rFonts w:ascii="Times New Roman" w:eastAsia="Times New Roman" w:hAnsi="Times New Roman" w:cs="Times New Roman"/>
                <w:i/>
                <w:iCs/>
                <w:lang w:eastAsia="de-DE"/>
              </w:rPr>
              <w:t>Lactobacillus</w:t>
            </w:r>
          </w:p>
        </w:tc>
        <w:tc>
          <w:tcPr>
            <w:tcW w:w="1697"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62.4</w:t>
            </w:r>
          </w:p>
        </w:tc>
        <w:tc>
          <w:tcPr>
            <w:tcW w:w="2024"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62.4</w:t>
            </w:r>
          </w:p>
        </w:tc>
        <w:tc>
          <w:tcPr>
            <w:tcW w:w="1949" w:type="dxa"/>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61.9</w:t>
            </w:r>
          </w:p>
        </w:tc>
      </w:tr>
      <w:tr w:rsidR="00286EA6" w:rsidRPr="00EA6951" w:rsidTr="007971A3">
        <w:trPr>
          <w:trHeight w:val="255"/>
        </w:trPr>
        <w:tc>
          <w:tcPr>
            <w:tcW w:w="3120" w:type="dxa"/>
            <w:shd w:val="clear" w:color="auto" w:fill="auto"/>
            <w:vAlign w:val="bottom"/>
          </w:tcPr>
          <w:p w:rsidR="00286EA6" w:rsidRPr="00EA6951" w:rsidRDefault="00286EA6" w:rsidP="007971A3">
            <w:pPr>
              <w:rPr>
                <w:rFonts w:ascii="Times New Roman" w:eastAsia="Times New Roman" w:hAnsi="Times New Roman" w:cs="Times New Roman"/>
                <w:i/>
                <w:iCs/>
                <w:lang w:eastAsia="de-DE"/>
              </w:rPr>
            </w:pPr>
            <w:r w:rsidRPr="00EA6951">
              <w:rPr>
                <w:rFonts w:ascii="Times New Roman" w:eastAsia="Times New Roman" w:hAnsi="Times New Roman" w:cs="Times New Roman"/>
                <w:i/>
                <w:iCs/>
                <w:lang w:eastAsia="de-DE"/>
              </w:rPr>
              <w:t>Parabacteroides</w:t>
            </w:r>
          </w:p>
        </w:tc>
        <w:tc>
          <w:tcPr>
            <w:tcW w:w="1697"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6.4</w:t>
            </w:r>
          </w:p>
        </w:tc>
        <w:tc>
          <w:tcPr>
            <w:tcW w:w="2024"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w:t>
            </w:r>
          </w:p>
        </w:tc>
        <w:tc>
          <w:tcPr>
            <w:tcW w:w="1949" w:type="dxa"/>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6.5</w:t>
            </w:r>
          </w:p>
        </w:tc>
      </w:tr>
      <w:tr w:rsidR="00286EA6" w:rsidRPr="00EA6951" w:rsidTr="007971A3">
        <w:trPr>
          <w:trHeight w:val="255"/>
        </w:trPr>
        <w:tc>
          <w:tcPr>
            <w:tcW w:w="3120" w:type="dxa"/>
            <w:shd w:val="clear" w:color="auto" w:fill="auto"/>
            <w:vAlign w:val="bottom"/>
          </w:tcPr>
          <w:p w:rsidR="00286EA6" w:rsidRPr="00EA6951" w:rsidRDefault="00286EA6" w:rsidP="007971A3">
            <w:pPr>
              <w:rPr>
                <w:rFonts w:ascii="Times New Roman" w:eastAsia="Times New Roman" w:hAnsi="Times New Roman" w:cs="Times New Roman"/>
                <w:i/>
                <w:iCs/>
                <w:lang w:eastAsia="de-DE"/>
              </w:rPr>
            </w:pPr>
            <w:proofErr w:type="spellStart"/>
            <w:r w:rsidRPr="00EA6951">
              <w:rPr>
                <w:rFonts w:ascii="Times New Roman" w:eastAsia="Times New Roman" w:hAnsi="Times New Roman" w:cs="Times New Roman"/>
                <w:i/>
                <w:iCs/>
                <w:lang w:eastAsia="de-DE"/>
              </w:rPr>
              <w:t>Rothia</w:t>
            </w:r>
            <w:proofErr w:type="spellEnd"/>
          </w:p>
        </w:tc>
        <w:tc>
          <w:tcPr>
            <w:tcW w:w="1697"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7.6</w:t>
            </w:r>
          </w:p>
        </w:tc>
        <w:tc>
          <w:tcPr>
            <w:tcW w:w="2024"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w:t>
            </w:r>
          </w:p>
        </w:tc>
        <w:tc>
          <w:tcPr>
            <w:tcW w:w="1949" w:type="dxa"/>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1.6</w:t>
            </w:r>
          </w:p>
        </w:tc>
      </w:tr>
      <w:tr w:rsidR="00286EA6" w:rsidRPr="00EA6951" w:rsidTr="007971A3">
        <w:trPr>
          <w:trHeight w:val="255"/>
        </w:trPr>
        <w:tc>
          <w:tcPr>
            <w:tcW w:w="3120" w:type="dxa"/>
            <w:shd w:val="clear" w:color="auto" w:fill="auto"/>
            <w:vAlign w:val="bottom"/>
          </w:tcPr>
          <w:p w:rsidR="00286EA6" w:rsidRPr="00EA6951" w:rsidRDefault="00286EA6" w:rsidP="007971A3">
            <w:pPr>
              <w:rPr>
                <w:rFonts w:ascii="Times New Roman" w:eastAsia="Times New Roman" w:hAnsi="Times New Roman" w:cs="Times New Roman"/>
                <w:i/>
                <w:iCs/>
                <w:lang w:eastAsia="de-DE"/>
              </w:rPr>
            </w:pPr>
            <w:proofErr w:type="spellStart"/>
            <w:r w:rsidRPr="00EA6951">
              <w:rPr>
                <w:rFonts w:ascii="Times New Roman" w:eastAsia="Times New Roman" w:hAnsi="Times New Roman" w:cs="Times New Roman"/>
                <w:i/>
                <w:iCs/>
                <w:lang w:eastAsia="de-DE"/>
              </w:rPr>
              <w:t>uncl_Lachnospiraceae</w:t>
            </w:r>
            <w:proofErr w:type="spellEnd"/>
          </w:p>
        </w:tc>
        <w:tc>
          <w:tcPr>
            <w:tcW w:w="1697"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5.6</w:t>
            </w:r>
          </w:p>
        </w:tc>
        <w:tc>
          <w:tcPr>
            <w:tcW w:w="2024" w:type="dxa"/>
            <w:shd w:val="clear" w:color="auto" w:fill="auto"/>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1.9</w:t>
            </w:r>
          </w:p>
        </w:tc>
        <w:tc>
          <w:tcPr>
            <w:tcW w:w="1949" w:type="dxa"/>
            <w:vAlign w:val="bottom"/>
          </w:tcPr>
          <w:p w:rsidR="00286EA6" w:rsidRPr="00EA6951" w:rsidRDefault="00286EA6" w:rsidP="007971A3">
            <w:pPr>
              <w:jc w:val="center"/>
              <w:rPr>
                <w:rFonts w:ascii="Times New Roman" w:eastAsia="Times New Roman" w:hAnsi="Times New Roman" w:cs="Times New Roman"/>
                <w:lang w:eastAsia="de-DE"/>
              </w:rPr>
            </w:pPr>
            <w:r w:rsidRPr="00EA6951">
              <w:rPr>
                <w:rFonts w:ascii="Times New Roman" w:eastAsia="Times New Roman" w:hAnsi="Times New Roman" w:cs="Times New Roman"/>
                <w:lang w:eastAsia="de-DE"/>
              </w:rPr>
              <w:t>-</w:t>
            </w:r>
          </w:p>
        </w:tc>
      </w:tr>
      <w:tr w:rsidR="00286EA6" w:rsidRPr="00EA6951" w:rsidTr="007971A3">
        <w:trPr>
          <w:trHeight w:val="255"/>
        </w:trPr>
        <w:tc>
          <w:tcPr>
            <w:tcW w:w="3120"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r w:rsidRPr="00EA6951">
              <w:rPr>
                <w:rFonts w:ascii="Times New Roman" w:eastAsia="Times New Roman" w:hAnsi="Times New Roman" w:cs="Times New Roman"/>
                <w:i/>
                <w:iCs/>
                <w:lang w:eastAsia="de-DE"/>
              </w:rPr>
              <w:t>C</w:t>
            </w:r>
            <w:proofErr w:type="spellStart"/>
            <w:r w:rsidRPr="00EA6951">
              <w:rPr>
                <w:rFonts w:ascii="Times New Roman" w:eastAsia="Times New Roman" w:hAnsi="Times New Roman" w:cs="Times New Roman"/>
                <w:i/>
                <w:iCs/>
                <w:lang w:val="de-DE" w:eastAsia="de-DE"/>
              </w:rPr>
              <w:t>lostridium_XlVa</w:t>
            </w:r>
            <w:proofErr w:type="spellEnd"/>
          </w:p>
        </w:tc>
        <w:tc>
          <w:tcPr>
            <w:tcW w:w="1697"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4.8</w:t>
            </w:r>
          </w:p>
        </w:tc>
        <w:tc>
          <w:tcPr>
            <w:tcW w:w="2024"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2.9</w:t>
            </w:r>
          </w:p>
        </w:tc>
        <w:tc>
          <w:tcPr>
            <w:tcW w:w="1949"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w:t>
            </w:r>
          </w:p>
        </w:tc>
      </w:tr>
      <w:tr w:rsidR="00286EA6" w:rsidRPr="00EA6951" w:rsidTr="007971A3">
        <w:trPr>
          <w:trHeight w:val="255"/>
        </w:trPr>
        <w:tc>
          <w:tcPr>
            <w:tcW w:w="3120"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Staphylococcus</w:t>
            </w:r>
            <w:proofErr w:type="spellEnd"/>
          </w:p>
        </w:tc>
        <w:tc>
          <w:tcPr>
            <w:tcW w:w="1697"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0.3</w:t>
            </w:r>
          </w:p>
        </w:tc>
        <w:tc>
          <w:tcPr>
            <w:tcW w:w="2024"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5.2</w:t>
            </w:r>
          </w:p>
        </w:tc>
        <w:tc>
          <w:tcPr>
            <w:tcW w:w="1949"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2.3</w:t>
            </w:r>
          </w:p>
        </w:tc>
      </w:tr>
      <w:tr w:rsidR="00286EA6" w:rsidRPr="00EA6951" w:rsidTr="007971A3">
        <w:trPr>
          <w:trHeight w:val="255"/>
        </w:trPr>
        <w:tc>
          <w:tcPr>
            <w:tcW w:w="3120"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Sphingomonas</w:t>
            </w:r>
            <w:proofErr w:type="spellEnd"/>
          </w:p>
        </w:tc>
        <w:tc>
          <w:tcPr>
            <w:tcW w:w="1697"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0.4</w:t>
            </w:r>
          </w:p>
        </w:tc>
        <w:tc>
          <w:tcPr>
            <w:tcW w:w="2024"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2.7</w:t>
            </w:r>
          </w:p>
        </w:tc>
        <w:tc>
          <w:tcPr>
            <w:tcW w:w="1949"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0.9</w:t>
            </w:r>
          </w:p>
        </w:tc>
      </w:tr>
      <w:tr w:rsidR="00286EA6" w:rsidRPr="00EA6951" w:rsidTr="007971A3">
        <w:trPr>
          <w:trHeight w:val="255"/>
        </w:trPr>
        <w:tc>
          <w:tcPr>
            <w:tcW w:w="3120"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Pseudomonas</w:t>
            </w:r>
            <w:proofErr w:type="spellEnd"/>
          </w:p>
        </w:tc>
        <w:tc>
          <w:tcPr>
            <w:tcW w:w="1697"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0.1</w:t>
            </w:r>
          </w:p>
        </w:tc>
        <w:tc>
          <w:tcPr>
            <w:tcW w:w="2024"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3.0</w:t>
            </w:r>
          </w:p>
        </w:tc>
        <w:tc>
          <w:tcPr>
            <w:tcW w:w="1949"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1.2</w:t>
            </w:r>
          </w:p>
        </w:tc>
      </w:tr>
      <w:tr w:rsidR="00286EA6" w:rsidRPr="00EA6951" w:rsidTr="007971A3">
        <w:trPr>
          <w:trHeight w:val="255"/>
        </w:trPr>
        <w:tc>
          <w:tcPr>
            <w:tcW w:w="3120"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Ralstonia</w:t>
            </w:r>
            <w:proofErr w:type="spellEnd"/>
          </w:p>
        </w:tc>
        <w:tc>
          <w:tcPr>
            <w:tcW w:w="1697"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1.1</w:t>
            </w:r>
          </w:p>
        </w:tc>
        <w:tc>
          <w:tcPr>
            <w:tcW w:w="2024"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0.6</w:t>
            </w:r>
          </w:p>
        </w:tc>
        <w:tc>
          <w:tcPr>
            <w:tcW w:w="1949"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2.3</w:t>
            </w:r>
          </w:p>
        </w:tc>
      </w:tr>
      <w:tr w:rsidR="00286EA6" w:rsidRPr="00EA6951" w:rsidTr="007971A3">
        <w:trPr>
          <w:trHeight w:val="265"/>
        </w:trPr>
        <w:tc>
          <w:tcPr>
            <w:tcW w:w="3120" w:type="dxa"/>
            <w:shd w:val="clear" w:color="auto" w:fill="auto"/>
            <w:vAlign w:val="bottom"/>
          </w:tcPr>
          <w:p w:rsidR="00286EA6" w:rsidRPr="00EA6951" w:rsidRDefault="00286EA6" w:rsidP="007971A3">
            <w:pPr>
              <w:rPr>
                <w:rFonts w:ascii="Times New Roman" w:eastAsia="Times New Roman" w:hAnsi="Times New Roman" w:cs="Times New Roman"/>
                <w:i/>
                <w:iCs/>
                <w:lang w:val="de-DE" w:eastAsia="de-DE"/>
              </w:rPr>
            </w:pPr>
            <w:proofErr w:type="spellStart"/>
            <w:r w:rsidRPr="00EA6951">
              <w:rPr>
                <w:rFonts w:ascii="Times New Roman" w:eastAsia="Times New Roman" w:hAnsi="Times New Roman" w:cs="Times New Roman"/>
                <w:i/>
                <w:iCs/>
                <w:lang w:val="de-DE" w:eastAsia="de-DE"/>
              </w:rPr>
              <w:t>Enterococcus</w:t>
            </w:r>
            <w:proofErr w:type="spellEnd"/>
          </w:p>
        </w:tc>
        <w:tc>
          <w:tcPr>
            <w:tcW w:w="1697"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1.3</w:t>
            </w:r>
          </w:p>
        </w:tc>
        <w:tc>
          <w:tcPr>
            <w:tcW w:w="2024" w:type="dxa"/>
            <w:shd w:val="clear" w:color="auto" w:fill="auto"/>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w:t>
            </w:r>
          </w:p>
        </w:tc>
        <w:tc>
          <w:tcPr>
            <w:tcW w:w="1949" w:type="dxa"/>
            <w:vAlign w:val="bottom"/>
          </w:tcPr>
          <w:p w:rsidR="00286EA6" w:rsidRPr="00EA6951" w:rsidRDefault="00286EA6" w:rsidP="007971A3">
            <w:pPr>
              <w:jc w:val="center"/>
              <w:rPr>
                <w:rFonts w:ascii="Times New Roman" w:eastAsia="Times New Roman" w:hAnsi="Times New Roman" w:cs="Times New Roman"/>
                <w:lang w:val="de-DE" w:eastAsia="de-DE"/>
              </w:rPr>
            </w:pPr>
            <w:r w:rsidRPr="00EA6951">
              <w:rPr>
                <w:rFonts w:ascii="Times New Roman" w:eastAsia="Times New Roman" w:hAnsi="Times New Roman" w:cs="Times New Roman"/>
                <w:lang w:val="de-DE" w:eastAsia="de-DE"/>
              </w:rPr>
              <w:t>1.5</w:t>
            </w:r>
          </w:p>
        </w:tc>
      </w:tr>
    </w:tbl>
    <w:p w:rsidR="00286EA6" w:rsidRPr="00EA6951" w:rsidRDefault="00286EA6" w:rsidP="00286EA6">
      <w:pPr>
        <w:spacing w:after="0" w:line="360" w:lineRule="auto"/>
        <w:jc w:val="both"/>
        <w:rPr>
          <w:rFonts w:ascii="Times New Roman" w:eastAsia="Calibri" w:hAnsi="Times New Roman" w:cs="Times New Roman"/>
          <w:sz w:val="24"/>
          <w:szCs w:val="24"/>
        </w:rPr>
      </w:pPr>
      <w:proofErr w:type="gramStart"/>
      <w:r w:rsidRPr="00EA6951">
        <w:rPr>
          <w:rFonts w:ascii="Times New Roman" w:eastAsia="Calibri" w:hAnsi="Times New Roman" w:cs="Times New Roman"/>
          <w:bCs/>
          <w:sz w:val="24"/>
          <w:szCs w:val="24"/>
        </w:rPr>
        <w:t>Ten most abundant bacterial genera in the</w:t>
      </w:r>
      <w:r w:rsidRPr="00EA6951">
        <w:rPr>
          <w:rFonts w:ascii="Times New Roman" w:eastAsia="Calibri" w:hAnsi="Times New Roman" w:cs="Times New Roman"/>
          <w:b/>
          <w:bCs/>
          <w:sz w:val="24"/>
          <w:szCs w:val="24"/>
        </w:rPr>
        <w:t xml:space="preserve"> </w:t>
      </w:r>
      <w:r w:rsidRPr="00EA6951">
        <w:rPr>
          <w:rFonts w:ascii="Times New Roman" w:eastAsia="Calibri" w:hAnsi="Times New Roman" w:cs="Times New Roman"/>
          <w:bCs/>
          <w:sz w:val="24"/>
          <w:szCs w:val="24"/>
        </w:rPr>
        <w:t>lung.</w:t>
      </w:r>
      <w:proofErr w:type="gramEnd"/>
    </w:p>
    <w:p w:rsidR="00286EA6" w:rsidRPr="00EA6951" w:rsidRDefault="00286EA6" w:rsidP="00286EA6">
      <w:pPr>
        <w:spacing w:line="360" w:lineRule="auto"/>
        <w:jc w:val="both"/>
        <w:rPr>
          <w:rFonts w:ascii="Times New Roman" w:eastAsia="Calibri" w:hAnsi="Times New Roman" w:cs="Times New Roman"/>
          <w:sz w:val="24"/>
          <w:szCs w:val="24"/>
        </w:rPr>
      </w:pPr>
      <w:r w:rsidRPr="00EA6951">
        <w:rPr>
          <w:rFonts w:ascii="Times New Roman" w:eastAsia="Calibri" w:hAnsi="Times New Roman" w:cs="Times New Roman"/>
          <w:sz w:val="24"/>
          <w:szCs w:val="24"/>
        </w:rPr>
        <w:t xml:space="preserve">Genera are sorted based on overall relative abundance of all samples. Data are presented as mean (%) across samples from each antibiotic treatment and control for lung samples. PBS – Control (n = 12), CLA – </w:t>
      </w:r>
      <w:proofErr w:type="spellStart"/>
      <w:r w:rsidRPr="00EA6951">
        <w:rPr>
          <w:rFonts w:ascii="Times New Roman" w:eastAsia="Calibri" w:hAnsi="Times New Roman" w:cs="Times New Roman"/>
          <w:sz w:val="24"/>
          <w:szCs w:val="24"/>
        </w:rPr>
        <w:t>Clarithromyin</w:t>
      </w:r>
      <w:proofErr w:type="spellEnd"/>
      <w:r w:rsidRPr="00EA6951">
        <w:rPr>
          <w:rFonts w:ascii="Times New Roman" w:eastAsia="Calibri" w:hAnsi="Times New Roman" w:cs="Times New Roman"/>
          <w:sz w:val="24"/>
          <w:szCs w:val="24"/>
        </w:rPr>
        <w:t xml:space="preserve"> (n = 9), VAN – Vancomycin (n = 7), </w:t>
      </w:r>
      <w:proofErr w:type="spellStart"/>
      <w:r w:rsidRPr="00EA6951">
        <w:rPr>
          <w:rFonts w:ascii="Times New Roman" w:eastAsia="Calibri" w:hAnsi="Times New Roman" w:cs="Times New Roman"/>
          <w:sz w:val="24"/>
          <w:szCs w:val="24"/>
        </w:rPr>
        <w:t>uncl</w:t>
      </w:r>
      <w:proofErr w:type="spellEnd"/>
      <w:r w:rsidRPr="00EA6951">
        <w:rPr>
          <w:rFonts w:ascii="Times New Roman" w:eastAsia="Calibri" w:hAnsi="Times New Roman" w:cs="Times New Roman"/>
          <w:sz w:val="24"/>
          <w:szCs w:val="24"/>
        </w:rPr>
        <w:t>: unclassified.</w:t>
      </w:r>
    </w:p>
    <w:p w:rsidR="00286EA6" w:rsidRPr="00EA6951" w:rsidRDefault="00286EA6" w:rsidP="00286EA6">
      <w:pPr>
        <w:spacing w:after="160" w:line="259" w:lineRule="auto"/>
        <w:rPr>
          <w:b/>
          <w:bCs/>
          <w:szCs w:val="24"/>
        </w:rPr>
      </w:pPr>
    </w:p>
    <w:p w:rsidR="00286EA6" w:rsidRPr="00EA6951" w:rsidRDefault="00286EA6" w:rsidP="00286EA6">
      <w:pPr>
        <w:spacing w:after="160" w:line="259" w:lineRule="auto"/>
        <w:rPr>
          <w:szCs w:val="24"/>
        </w:rPr>
      </w:pPr>
      <w:r w:rsidRPr="00EA6951">
        <w:rPr>
          <w:szCs w:val="24"/>
        </w:rPr>
        <w:br w:type="page"/>
      </w:r>
      <w:r w:rsidRPr="00EA6951">
        <w:rPr>
          <w:rFonts w:ascii="Times New Roman" w:hAnsi="Times New Roman" w:cs="Times New Roman"/>
          <w:b/>
          <w:bCs/>
          <w:sz w:val="28"/>
          <w:szCs w:val="28"/>
        </w:rPr>
        <w:lastRenderedPageBreak/>
        <w:t>Suppl. Figure 4</w:t>
      </w:r>
    </w:p>
    <w:p w:rsidR="00286EA6" w:rsidRPr="00EA6951" w:rsidRDefault="00286EA6" w:rsidP="00286EA6">
      <w:pPr>
        <w:spacing w:after="160" w:line="259" w:lineRule="auto"/>
        <w:rPr>
          <w:b/>
          <w:bCs/>
          <w:szCs w:val="24"/>
        </w:rPr>
      </w:pPr>
    </w:p>
    <w:p w:rsidR="00286EA6" w:rsidRPr="00EA6951" w:rsidRDefault="00286EA6" w:rsidP="00286EA6">
      <w:pPr>
        <w:rPr>
          <w:b/>
          <w:bCs/>
          <w:szCs w:val="24"/>
        </w:rPr>
      </w:pPr>
      <w:r w:rsidRPr="00EA6951">
        <w:rPr>
          <w:b/>
          <w:bCs/>
          <w:noProof/>
          <w:szCs w:val="24"/>
          <w:lang w:eastAsia="en-GB"/>
        </w:rPr>
        <w:drawing>
          <wp:inline distT="0" distB="0" distL="0" distR="0" wp14:anchorId="0ED9C5D0" wp14:editId="53866A1E">
            <wp:extent cx="5760720" cy="5142238"/>
            <wp:effectExtent l="0" t="0" r="0" b="1270"/>
            <wp:docPr id="8" name="Picture 8" descr="C:\Users\Eistine Boateng\Desktop\Antibiotics-Basel\Figures\Flattened images\Suppl S5 flatte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stine Boateng\Desktop\Antibiotics-Basel\Figures\Flattened images\Suppl S5 flattene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5142238"/>
                    </a:xfrm>
                    <a:prstGeom prst="rect">
                      <a:avLst/>
                    </a:prstGeom>
                    <a:noFill/>
                    <a:ln>
                      <a:noFill/>
                    </a:ln>
                  </pic:spPr>
                </pic:pic>
              </a:graphicData>
            </a:graphic>
          </wp:inline>
        </w:drawing>
      </w:r>
    </w:p>
    <w:p w:rsidR="00286EA6" w:rsidRPr="00EA6951" w:rsidRDefault="00286EA6" w:rsidP="00286EA6">
      <w:pPr>
        <w:spacing w:line="360" w:lineRule="auto"/>
        <w:jc w:val="both"/>
        <w:rPr>
          <w:rFonts w:ascii="Times New Roman" w:hAnsi="Times New Roman" w:cs="Times New Roman"/>
          <w:sz w:val="24"/>
          <w:szCs w:val="24"/>
        </w:rPr>
      </w:pPr>
      <w:r w:rsidRPr="00EA6951">
        <w:rPr>
          <w:rFonts w:ascii="Times New Roman" w:hAnsi="Times New Roman" w:cs="Times New Roman"/>
          <w:b/>
          <w:bCs/>
          <w:sz w:val="24"/>
          <w:szCs w:val="24"/>
        </w:rPr>
        <w:t xml:space="preserve">Suppl. Figure 4. </w:t>
      </w:r>
      <w:r w:rsidRPr="00EA6951">
        <w:rPr>
          <w:rFonts w:ascii="Times New Roman" w:hAnsi="Times New Roman" w:cs="Times New Roman"/>
          <w:sz w:val="24"/>
          <w:szCs w:val="24"/>
        </w:rPr>
        <w:t xml:space="preserve">Gating strategy for flow cytometry of the T cell populations in the lungs: </w:t>
      </w:r>
      <w:r w:rsidRPr="00EA6951">
        <w:rPr>
          <w:rFonts w:ascii="Times New Roman" w:hAnsi="Times New Roman" w:cs="Times New Roman"/>
          <w:b/>
          <w:sz w:val="24"/>
          <w:szCs w:val="24"/>
        </w:rPr>
        <w:t xml:space="preserve">(A-B) </w:t>
      </w:r>
      <w:r w:rsidRPr="00EA6951">
        <w:rPr>
          <w:rFonts w:ascii="Times New Roman" w:hAnsi="Times New Roman" w:cs="Times New Roman"/>
          <w:sz w:val="24"/>
          <w:szCs w:val="24"/>
        </w:rPr>
        <w:t xml:space="preserve">Doublets were excluded and only living cells were gated (double negative for </w:t>
      </w:r>
      <w:proofErr w:type="spellStart"/>
      <w:r w:rsidRPr="00EA6951">
        <w:rPr>
          <w:rFonts w:ascii="Times New Roman" w:hAnsi="Times New Roman" w:cs="Times New Roman"/>
          <w:sz w:val="24"/>
          <w:szCs w:val="24"/>
        </w:rPr>
        <w:t>Annexin</w:t>
      </w:r>
      <w:proofErr w:type="spellEnd"/>
      <w:r w:rsidRPr="00EA6951">
        <w:rPr>
          <w:rFonts w:ascii="Times New Roman" w:hAnsi="Times New Roman" w:cs="Times New Roman"/>
          <w:sz w:val="24"/>
          <w:szCs w:val="24"/>
        </w:rPr>
        <w:t xml:space="preserve">-V and commercial live-dead dye). </w:t>
      </w:r>
      <w:r w:rsidRPr="00EA6951">
        <w:rPr>
          <w:rFonts w:ascii="Times New Roman" w:hAnsi="Times New Roman" w:cs="Times New Roman"/>
          <w:b/>
          <w:sz w:val="24"/>
          <w:szCs w:val="24"/>
        </w:rPr>
        <w:t xml:space="preserve">(C) </w:t>
      </w:r>
      <w:r w:rsidRPr="00EA6951">
        <w:rPr>
          <w:rFonts w:ascii="Times New Roman" w:hAnsi="Times New Roman" w:cs="Times New Roman"/>
          <w:sz w:val="24"/>
          <w:szCs w:val="24"/>
        </w:rPr>
        <w:t xml:space="preserve">Lung T cells specified with the marker CD3. </w:t>
      </w:r>
      <w:r w:rsidRPr="00EA6951">
        <w:rPr>
          <w:rFonts w:ascii="Times New Roman" w:hAnsi="Times New Roman" w:cs="Times New Roman"/>
          <w:b/>
          <w:sz w:val="24"/>
          <w:szCs w:val="24"/>
        </w:rPr>
        <w:t>(D)</w:t>
      </w:r>
      <w:r w:rsidRPr="00EA6951">
        <w:rPr>
          <w:rFonts w:ascii="Times New Roman" w:hAnsi="Times New Roman" w:cs="Times New Roman"/>
          <w:sz w:val="24"/>
          <w:szCs w:val="24"/>
        </w:rPr>
        <w:t xml:space="preserve"> Classification of the subpopulations of T cells with the markers CD4 and CD8.</w:t>
      </w:r>
    </w:p>
    <w:p w:rsidR="00286EA6" w:rsidRPr="00EA6951" w:rsidRDefault="00286EA6" w:rsidP="00286EA6">
      <w:pPr>
        <w:rPr>
          <w:sz w:val="18"/>
          <w:szCs w:val="18"/>
        </w:rPr>
      </w:pPr>
    </w:p>
    <w:p w:rsidR="00286EA6" w:rsidRPr="00EA6951" w:rsidRDefault="00286EA6" w:rsidP="00286EA6">
      <w:pPr>
        <w:rPr>
          <w:sz w:val="18"/>
          <w:szCs w:val="18"/>
        </w:rPr>
      </w:pPr>
    </w:p>
    <w:p w:rsidR="00286EA6" w:rsidRPr="00EA6951" w:rsidRDefault="00286EA6" w:rsidP="00286EA6">
      <w:pPr>
        <w:rPr>
          <w:sz w:val="18"/>
          <w:szCs w:val="18"/>
        </w:rPr>
      </w:pPr>
    </w:p>
    <w:p w:rsidR="00286EA6" w:rsidRPr="00EA6951" w:rsidRDefault="00286EA6" w:rsidP="00286EA6">
      <w:pPr>
        <w:rPr>
          <w:sz w:val="18"/>
          <w:szCs w:val="18"/>
        </w:rPr>
      </w:pPr>
    </w:p>
    <w:p w:rsidR="00286EA6" w:rsidRPr="00EA6951" w:rsidRDefault="00286EA6" w:rsidP="00286EA6">
      <w:pPr>
        <w:rPr>
          <w:sz w:val="18"/>
          <w:szCs w:val="18"/>
        </w:rPr>
      </w:pPr>
    </w:p>
    <w:p w:rsidR="00286EA6" w:rsidRPr="00EA6951" w:rsidRDefault="00286EA6" w:rsidP="00286EA6">
      <w:pPr>
        <w:rPr>
          <w:sz w:val="18"/>
          <w:szCs w:val="18"/>
        </w:rPr>
      </w:pPr>
    </w:p>
    <w:p w:rsidR="00286EA6" w:rsidRPr="00EA6951" w:rsidRDefault="00286EA6" w:rsidP="00286EA6">
      <w:pPr>
        <w:rPr>
          <w:sz w:val="18"/>
          <w:szCs w:val="18"/>
        </w:rPr>
      </w:pPr>
    </w:p>
    <w:p w:rsidR="00286EA6" w:rsidRPr="00EA6951" w:rsidRDefault="00286EA6" w:rsidP="00286EA6">
      <w:pPr>
        <w:rPr>
          <w:rFonts w:ascii="Times New Roman" w:hAnsi="Times New Roman" w:cs="Times New Roman"/>
          <w:b/>
          <w:bCs/>
          <w:sz w:val="28"/>
          <w:szCs w:val="28"/>
        </w:rPr>
      </w:pPr>
      <w:r w:rsidRPr="00EA6951">
        <w:rPr>
          <w:rFonts w:ascii="Times New Roman" w:hAnsi="Times New Roman" w:cs="Times New Roman"/>
          <w:b/>
          <w:bCs/>
          <w:sz w:val="28"/>
          <w:szCs w:val="28"/>
        </w:rPr>
        <w:lastRenderedPageBreak/>
        <w:t>Suppl. Figure 5</w:t>
      </w:r>
    </w:p>
    <w:p w:rsidR="00286EA6" w:rsidRPr="00EA6951" w:rsidRDefault="00286EA6" w:rsidP="00286EA6">
      <w:pPr>
        <w:rPr>
          <w:sz w:val="18"/>
          <w:szCs w:val="18"/>
        </w:rPr>
      </w:pPr>
    </w:p>
    <w:p w:rsidR="00286EA6" w:rsidRPr="00EA6951" w:rsidRDefault="00286EA6" w:rsidP="00286EA6">
      <w:pPr>
        <w:spacing w:after="160" w:line="259" w:lineRule="auto"/>
        <w:rPr>
          <w:b/>
          <w:bCs/>
          <w:szCs w:val="24"/>
        </w:rPr>
      </w:pPr>
      <w:r w:rsidRPr="00EA6951">
        <w:rPr>
          <w:b/>
          <w:bCs/>
          <w:noProof/>
          <w:szCs w:val="24"/>
          <w:lang w:eastAsia="en-GB"/>
        </w:rPr>
        <w:drawing>
          <wp:inline distT="0" distB="0" distL="0" distR="0" wp14:anchorId="66A1EB85" wp14:editId="6CD5395C">
            <wp:extent cx="5760720" cy="3264535"/>
            <wp:effectExtent l="0" t="0" r="0" b="0"/>
            <wp:docPr id="11" name="Picture 11" descr="C:\Users\Eistine Boateng\Desktop\Antibiotics-Basel\Figures\Flattened images\Suppl S4 flatte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stine Boateng\Desktop\Antibiotics-Basel\Figures\Flattened images\Suppl S4 flattene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264535"/>
                    </a:xfrm>
                    <a:prstGeom prst="rect">
                      <a:avLst/>
                    </a:prstGeom>
                    <a:noFill/>
                    <a:ln>
                      <a:noFill/>
                    </a:ln>
                  </pic:spPr>
                </pic:pic>
              </a:graphicData>
            </a:graphic>
          </wp:inline>
        </w:drawing>
      </w:r>
    </w:p>
    <w:p w:rsidR="00286EA6" w:rsidRPr="00C3088B" w:rsidRDefault="00286EA6" w:rsidP="00286EA6">
      <w:pPr>
        <w:spacing w:before="240" w:after="160" w:line="360" w:lineRule="auto"/>
        <w:jc w:val="both"/>
        <w:rPr>
          <w:rFonts w:ascii="Times New Roman" w:hAnsi="Times New Roman" w:cs="Times New Roman"/>
          <w:sz w:val="24"/>
          <w:szCs w:val="24"/>
        </w:rPr>
      </w:pPr>
      <w:r w:rsidRPr="00EA6951">
        <w:rPr>
          <w:rFonts w:ascii="Times New Roman" w:hAnsi="Times New Roman" w:cs="Times New Roman"/>
          <w:b/>
          <w:bCs/>
          <w:sz w:val="24"/>
          <w:szCs w:val="24"/>
        </w:rPr>
        <w:t xml:space="preserve">Suppl. Figure 5. </w:t>
      </w:r>
      <w:r w:rsidRPr="00EA6951">
        <w:rPr>
          <w:rFonts w:ascii="Times New Roman" w:hAnsi="Times New Roman" w:cs="Times New Roman"/>
          <w:sz w:val="24"/>
          <w:szCs w:val="24"/>
        </w:rPr>
        <w:t xml:space="preserve">Immune analyses of lung samples: </w:t>
      </w:r>
      <w:r w:rsidRPr="00EA6951">
        <w:rPr>
          <w:rFonts w:ascii="Times New Roman" w:hAnsi="Times New Roman" w:cs="Times New Roman"/>
          <w:b/>
          <w:sz w:val="24"/>
          <w:szCs w:val="24"/>
        </w:rPr>
        <w:t>(A-E)</w:t>
      </w:r>
      <w:r w:rsidRPr="00EA6951">
        <w:rPr>
          <w:rFonts w:ascii="Times New Roman" w:hAnsi="Times New Roman" w:cs="Times New Roman"/>
          <w:sz w:val="24"/>
          <w:szCs w:val="24"/>
        </w:rPr>
        <w:t xml:space="preserve"> Cytokines in the supernatant of CD3/CD28 stimulated cell cultures of lung cells. n = 3-5 pooled samples of 2 independent experiments. </w:t>
      </w:r>
      <w:proofErr w:type="gramStart"/>
      <w:r w:rsidRPr="00EA6951">
        <w:rPr>
          <w:rFonts w:ascii="Times New Roman" w:hAnsi="Times New Roman" w:cs="Times New Roman"/>
          <w:bCs/>
          <w:sz w:val="24"/>
          <w:szCs w:val="24"/>
        </w:rPr>
        <w:t>n</w:t>
      </w:r>
      <w:proofErr w:type="gramEnd"/>
      <w:r w:rsidRPr="00EA6951">
        <w:rPr>
          <w:rFonts w:ascii="Times New Roman" w:hAnsi="Times New Roman" w:cs="Times New Roman"/>
          <w:bCs/>
          <w:sz w:val="24"/>
          <w:szCs w:val="24"/>
        </w:rPr>
        <w:t xml:space="preserve"> for PBS, CLA, and VAN are 5, 4, 3, respectively, and each n represents pooled samples.</w:t>
      </w:r>
      <w:r w:rsidRPr="00EA6951">
        <w:rPr>
          <w:rFonts w:ascii="Times New Roman" w:hAnsi="Times New Roman" w:cs="Times New Roman"/>
          <w:sz w:val="24"/>
          <w:szCs w:val="24"/>
        </w:rPr>
        <w:t xml:space="preserve"> *p &lt; 0.05 represents significant difference.</w:t>
      </w:r>
    </w:p>
    <w:p w:rsidR="00286EA6" w:rsidRPr="00E42C33" w:rsidRDefault="00286EA6" w:rsidP="00286EA6">
      <w:pPr>
        <w:jc w:val="both"/>
        <w:rPr>
          <w:rFonts w:ascii="Times New Roman" w:hAnsi="Times New Roman" w:cs="Times New Roman"/>
          <w:sz w:val="24"/>
          <w:szCs w:val="24"/>
          <w:lang w:val="en-US"/>
        </w:rPr>
      </w:pPr>
    </w:p>
    <w:p w:rsidR="005317AA" w:rsidRDefault="005317AA"/>
    <w:sectPr w:rsidR="005317AA" w:rsidSect="00CD5319">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2C6" w:rsidRDefault="000552C6">
      <w:pPr>
        <w:spacing w:after="0" w:line="240" w:lineRule="auto"/>
      </w:pPr>
      <w:r>
        <w:separator/>
      </w:r>
    </w:p>
  </w:endnote>
  <w:endnote w:type="continuationSeparator" w:id="0">
    <w:p w:rsidR="000552C6" w:rsidRDefault="00055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544094"/>
      <w:docPartObj>
        <w:docPartGallery w:val="Page Numbers (Bottom of Page)"/>
        <w:docPartUnique/>
      </w:docPartObj>
    </w:sdtPr>
    <w:sdtEndPr>
      <w:rPr>
        <w:noProof/>
      </w:rPr>
    </w:sdtEndPr>
    <w:sdtContent>
      <w:p w:rsidR="00D30BBC" w:rsidRDefault="00286EA6">
        <w:pPr>
          <w:pStyle w:val="Footer"/>
          <w:jc w:val="center"/>
        </w:pPr>
        <w:r>
          <w:fldChar w:fldCharType="begin"/>
        </w:r>
        <w:r>
          <w:instrText xml:space="preserve"> PAGE   \* MERGEFORMAT </w:instrText>
        </w:r>
        <w:r>
          <w:fldChar w:fldCharType="separate"/>
        </w:r>
        <w:r w:rsidR="00EA6951">
          <w:rPr>
            <w:noProof/>
          </w:rPr>
          <w:t>4</w:t>
        </w:r>
        <w:r>
          <w:rPr>
            <w:noProof/>
          </w:rPr>
          <w:fldChar w:fldCharType="end"/>
        </w:r>
      </w:p>
    </w:sdtContent>
  </w:sdt>
  <w:p w:rsidR="00D30BBC" w:rsidRDefault="000552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2C6" w:rsidRDefault="000552C6">
      <w:pPr>
        <w:spacing w:after="0" w:line="240" w:lineRule="auto"/>
      </w:pPr>
      <w:r>
        <w:separator/>
      </w:r>
    </w:p>
  </w:footnote>
  <w:footnote w:type="continuationSeparator" w:id="0">
    <w:p w:rsidR="000552C6" w:rsidRDefault="000552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1017"/>
          </w:tabs>
          <w:ind w:left="1017" w:hanging="567"/>
        </w:pPr>
        <w:rPr>
          <w:rFonts w:hint="default"/>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EA6"/>
    <w:rsid w:val="000552C6"/>
    <w:rsid w:val="00073386"/>
    <w:rsid w:val="001001CB"/>
    <w:rsid w:val="00151C91"/>
    <w:rsid w:val="00286EA6"/>
    <w:rsid w:val="003A048E"/>
    <w:rsid w:val="003A3D16"/>
    <w:rsid w:val="0051200F"/>
    <w:rsid w:val="005317AA"/>
    <w:rsid w:val="00855DF6"/>
    <w:rsid w:val="008626A6"/>
    <w:rsid w:val="009F5419"/>
    <w:rsid w:val="009F7856"/>
    <w:rsid w:val="00B9769D"/>
    <w:rsid w:val="00C03530"/>
    <w:rsid w:val="00CB2866"/>
    <w:rsid w:val="00CD5319"/>
    <w:rsid w:val="00D93C69"/>
    <w:rsid w:val="00DF25BB"/>
    <w:rsid w:val="00EA6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EA6"/>
  </w:style>
  <w:style w:type="paragraph" w:styleId="Heading1">
    <w:name w:val="heading 1"/>
    <w:basedOn w:val="ListParagraph"/>
    <w:next w:val="Normal"/>
    <w:link w:val="Heading1Char"/>
    <w:uiPriority w:val="2"/>
    <w:qFormat/>
    <w:rsid w:val="00286EA6"/>
    <w:pPr>
      <w:numPr>
        <w:numId w:val="1"/>
      </w:numPr>
      <w:spacing w:before="240" w:after="240" w:line="240" w:lineRule="auto"/>
      <w:contextualSpacing w:val="0"/>
      <w:outlineLvl w:val="0"/>
    </w:pPr>
    <w:rPr>
      <w:rFonts w:ascii="Times New Roman" w:eastAsia="Cambria" w:hAnsi="Times New Roman" w:cs="Times New Roman"/>
      <w:b/>
      <w:sz w:val="24"/>
      <w:szCs w:val="24"/>
      <w:lang w:val="en-US"/>
    </w:rPr>
  </w:style>
  <w:style w:type="paragraph" w:styleId="Heading2">
    <w:name w:val="heading 2"/>
    <w:basedOn w:val="Heading1"/>
    <w:next w:val="Normal"/>
    <w:link w:val="Heading2Char"/>
    <w:uiPriority w:val="2"/>
    <w:qFormat/>
    <w:rsid w:val="00286EA6"/>
    <w:pPr>
      <w:numPr>
        <w:ilvl w:val="1"/>
      </w:numPr>
      <w:tabs>
        <w:tab w:val="clear" w:pos="1017"/>
        <w:tab w:val="num" w:pos="567"/>
      </w:tabs>
      <w:spacing w:after="200"/>
      <w:ind w:left="567"/>
      <w:outlineLvl w:val="1"/>
    </w:pPr>
  </w:style>
  <w:style w:type="paragraph" w:styleId="Heading3">
    <w:name w:val="heading 3"/>
    <w:basedOn w:val="Normal"/>
    <w:next w:val="Normal"/>
    <w:link w:val="Heading3Char"/>
    <w:uiPriority w:val="2"/>
    <w:qFormat/>
    <w:rsid w:val="00286EA6"/>
    <w:pPr>
      <w:keepNext/>
      <w:keepLines/>
      <w:numPr>
        <w:ilvl w:val="2"/>
        <w:numId w:val="1"/>
      </w:numPr>
      <w:spacing w:before="40" w:after="120" w:line="240" w:lineRule="auto"/>
      <w:outlineLvl w:val="2"/>
    </w:pPr>
    <w:rPr>
      <w:rFonts w:ascii="Times New Roman" w:eastAsiaTheme="majorEastAsia" w:hAnsi="Times New Roman" w:cstheme="majorBidi"/>
      <w:b/>
      <w:sz w:val="24"/>
      <w:szCs w:val="24"/>
      <w:lang w:val="en-US"/>
    </w:rPr>
  </w:style>
  <w:style w:type="paragraph" w:styleId="Heading4">
    <w:name w:val="heading 4"/>
    <w:basedOn w:val="Heading3"/>
    <w:next w:val="Normal"/>
    <w:link w:val="Heading4Char"/>
    <w:uiPriority w:val="2"/>
    <w:qFormat/>
    <w:rsid w:val="00286EA6"/>
    <w:pPr>
      <w:numPr>
        <w:ilvl w:val="3"/>
      </w:numPr>
      <w:outlineLvl w:val="3"/>
    </w:pPr>
    <w:rPr>
      <w:iCs/>
    </w:rPr>
  </w:style>
  <w:style w:type="paragraph" w:styleId="Heading5">
    <w:name w:val="heading 5"/>
    <w:basedOn w:val="Heading4"/>
    <w:next w:val="Normal"/>
    <w:link w:val="Heading5Char"/>
    <w:uiPriority w:val="2"/>
    <w:qFormat/>
    <w:rsid w:val="00286EA6"/>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286EA6"/>
    <w:rPr>
      <w:rFonts w:ascii="Times New Roman" w:eastAsia="Cambria" w:hAnsi="Times New Roman" w:cs="Times New Roman"/>
      <w:b/>
      <w:sz w:val="24"/>
      <w:szCs w:val="24"/>
      <w:lang w:val="en-US"/>
    </w:rPr>
  </w:style>
  <w:style w:type="character" w:customStyle="1" w:styleId="Heading2Char">
    <w:name w:val="Heading 2 Char"/>
    <w:basedOn w:val="DefaultParagraphFont"/>
    <w:link w:val="Heading2"/>
    <w:uiPriority w:val="2"/>
    <w:rsid w:val="00286EA6"/>
    <w:rPr>
      <w:rFonts w:ascii="Times New Roman" w:eastAsia="Cambria" w:hAnsi="Times New Roman" w:cs="Times New Roman"/>
      <w:b/>
      <w:sz w:val="24"/>
      <w:szCs w:val="24"/>
      <w:lang w:val="en-US"/>
    </w:rPr>
  </w:style>
  <w:style w:type="character" w:customStyle="1" w:styleId="Heading3Char">
    <w:name w:val="Heading 3 Char"/>
    <w:basedOn w:val="DefaultParagraphFont"/>
    <w:link w:val="Heading3"/>
    <w:uiPriority w:val="2"/>
    <w:rsid w:val="00286EA6"/>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2"/>
    <w:rsid w:val="00286EA6"/>
    <w:rPr>
      <w:rFonts w:ascii="Times New Roman" w:eastAsiaTheme="majorEastAsia" w:hAnsi="Times New Roman" w:cstheme="majorBidi"/>
      <w:b/>
      <w:iCs/>
      <w:sz w:val="24"/>
      <w:szCs w:val="24"/>
      <w:lang w:val="en-US"/>
    </w:rPr>
  </w:style>
  <w:style w:type="character" w:customStyle="1" w:styleId="Heading5Char">
    <w:name w:val="Heading 5 Char"/>
    <w:basedOn w:val="DefaultParagraphFont"/>
    <w:link w:val="Heading5"/>
    <w:uiPriority w:val="2"/>
    <w:rsid w:val="00286EA6"/>
    <w:rPr>
      <w:rFonts w:ascii="Times New Roman" w:eastAsiaTheme="majorEastAsia" w:hAnsi="Times New Roman" w:cstheme="majorBidi"/>
      <w:b/>
      <w:iCs/>
      <w:sz w:val="24"/>
      <w:szCs w:val="24"/>
      <w:lang w:val="en-US"/>
    </w:rPr>
  </w:style>
  <w:style w:type="paragraph" w:customStyle="1" w:styleId="MDPI42tablebody">
    <w:name w:val="MDPI_4.2_table_body"/>
    <w:qFormat/>
    <w:rsid w:val="00286EA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styleId="CommentReference">
    <w:name w:val="annotation reference"/>
    <w:uiPriority w:val="99"/>
    <w:rsid w:val="00286EA6"/>
    <w:rPr>
      <w:sz w:val="21"/>
      <w:szCs w:val="21"/>
    </w:rPr>
  </w:style>
  <w:style w:type="numbering" w:customStyle="1" w:styleId="Headings">
    <w:name w:val="Headings"/>
    <w:uiPriority w:val="99"/>
    <w:rsid w:val="00286EA6"/>
    <w:pPr>
      <w:numPr>
        <w:numId w:val="2"/>
      </w:numPr>
    </w:pPr>
  </w:style>
  <w:style w:type="paragraph" w:styleId="Footer">
    <w:name w:val="footer"/>
    <w:basedOn w:val="Normal"/>
    <w:link w:val="FooterChar"/>
    <w:uiPriority w:val="99"/>
    <w:unhideWhenUsed/>
    <w:rsid w:val="00286E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6EA6"/>
  </w:style>
  <w:style w:type="paragraph" w:styleId="ListParagraph">
    <w:name w:val="List Paragraph"/>
    <w:basedOn w:val="Normal"/>
    <w:uiPriority w:val="34"/>
    <w:qFormat/>
    <w:rsid w:val="00286EA6"/>
    <w:pPr>
      <w:ind w:left="720"/>
      <w:contextualSpacing/>
    </w:pPr>
  </w:style>
  <w:style w:type="character" w:styleId="LineNumber">
    <w:name w:val="line number"/>
    <w:basedOn w:val="DefaultParagraphFont"/>
    <w:uiPriority w:val="99"/>
    <w:semiHidden/>
    <w:unhideWhenUsed/>
    <w:rsid w:val="00286EA6"/>
  </w:style>
  <w:style w:type="paragraph" w:styleId="BalloonText">
    <w:name w:val="Balloon Text"/>
    <w:basedOn w:val="Normal"/>
    <w:link w:val="BalloonTextChar"/>
    <w:uiPriority w:val="99"/>
    <w:semiHidden/>
    <w:unhideWhenUsed/>
    <w:rsid w:val="00286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E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EA6"/>
  </w:style>
  <w:style w:type="paragraph" w:styleId="Heading1">
    <w:name w:val="heading 1"/>
    <w:basedOn w:val="ListParagraph"/>
    <w:next w:val="Normal"/>
    <w:link w:val="Heading1Char"/>
    <w:uiPriority w:val="2"/>
    <w:qFormat/>
    <w:rsid w:val="00286EA6"/>
    <w:pPr>
      <w:numPr>
        <w:numId w:val="1"/>
      </w:numPr>
      <w:spacing w:before="240" w:after="240" w:line="240" w:lineRule="auto"/>
      <w:contextualSpacing w:val="0"/>
      <w:outlineLvl w:val="0"/>
    </w:pPr>
    <w:rPr>
      <w:rFonts w:ascii="Times New Roman" w:eastAsia="Cambria" w:hAnsi="Times New Roman" w:cs="Times New Roman"/>
      <w:b/>
      <w:sz w:val="24"/>
      <w:szCs w:val="24"/>
      <w:lang w:val="en-US"/>
    </w:rPr>
  </w:style>
  <w:style w:type="paragraph" w:styleId="Heading2">
    <w:name w:val="heading 2"/>
    <w:basedOn w:val="Heading1"/>
    <w:next w:val="Normal"/>
    <w:link w:val="Heading2Char"/>
    <w:uiPriority w:val="2"/>
    <w:qFormat/>
    <w:rsid w:val="00286EA6"/>
    <w:pPr>
      <w:numPr>
        <w:ilvl w:val="1"/>
      </w:numPr>
      <w:tabs>
        <w:tab w:val="clear" w:pos="1017"/>
        <w:tab w:val="num" w:pos="567"/>
      </w:tabs>
      <w:spacing w:after="200"/>
      <w:ind w:left="567"/>
      <w:outlineLvl w:val="1"/>
    </w:pPr>
  </w:style>
  <w:style w:type="paragraph" w:styleId="Heading3">
    <w:name w:val="heading 3"/>
    <w:basedOn w:val="Normal"/>
    <w:next w:val="Normal"/>
    <w:link w:val="Heading3Char"/>
    <w:uiPriority w:val="2"/>
    <w:qFormat/>
    <w:rsid w:val="00286EA6"/>
    <w:pPr>
      <w:keepNext/>
      <w:keepLines/>
      <w:numPr>
        <w:ilvl w:val="2"/>
        <w:numId w:val="1"/>
      </w:numPr>
      <w:spacing w:before="40" w:after="120" w:line="240" w:lineRule="auto"/>
      <w:outlineLvl w:val="2"/>
    </w:pPr>
    <w:rPr>
      <w:rFonts w:ascii="Times New Roman" w:eastAsiaTheme="majorEastAsia" w:hAnsi="Times New Roman" w:cstheme="majorBidi"/>
      <w:b/>
      <w:sz w:val="24"/>
      <w:szCs w:val="24"/>
      <w:lang w:val="en-US"/>
    </w:rPr>
  </w:style>
  <w:style w:type="paragraph" w:styleId="Heading4">
    <w:name w:val="heading 4"/>
    <w:basedOn w:val="Heading3"/>
    <w:next w:val="Normal"/>
    <w:link w:val="Heading4Char"/>
    <w:uiPriority w:val="2"/>
    <w:qFormat/>
    <w:rsid w:val="00286EA6"/>
    <w:pPr>
      <w:numPr>
        <w:ilvl w:val="3"/>
      </w:numPr>
      <w:outlineLvl w:val="3"/>
    </w:pPr>
    <w:rPr>
      <w:iCs/>
    </w:rPr>
  </w:style>
  <w:style w:type="paragraph" w:styleId="Heading5">
    <w:name w:val="heading 5"/>
    <w:basedOn w:val="Heading4"/>
    <w:next w:val="Normal"/>
    <w:link w:val="Heading5Char"/>
    <w:uiPriority w:val="2"/>
    <w:qFormat/>
    <w:rsid w:val="00286EA6"/>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286EA6"/>
    <w:rPr>
      <w:rFonts w:ascii="Times New Roman" w:eastAsia="Cambria" w:hAnsi="Times New Roman" w:cs="Times New Roman"/>
      <w:b/>
      <w:sz w:val="24"/>
      <w:szCs w:val="24"/>
      <w:lang w:val="en-US"/>
    </w:rPr>
  </w:style>
  <w:style w:type="character" w:customStyle="1" w:styleId="Heading2Char">
    <w:name w:val="Heading 2 Char"/>
    <w:basedOn w:val="DefaultParagraphFont"/>
    <w:link w:val="Heading2"/>
    <w:uiPriority w:val="2"/>
    <w:rsid w:val="00286EA6"/>
    <w:rPr>
      <w:rFonts w:ascii="Times New Roman" w:eastAsia="Cambria" w:hAnsi="Times New Roman" w:cs="Times New Roman"/>
      <w:b/>
      <w:sz w:val="24"/>
      <w:szCs w:val="24"/>
      <w:lang w:val="en-US"/>
    </w:rPr>
  </w:style>
  <w:style w:type="character" w:customStyle="1" w:styleId="Heading3Char">
    <w:name w:val="Heading 3 Char"/>
    <w:basedOn w:val="DefaultParagraphFont"/>
    <w:link w:val="Heading3"/>
    <w:uiPriority w:val="2"/>
    <w:rsid w:val="00286EA6"/>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2"/>
    <w:rsid w:val="00286EA6"/>
    <w:rPr>
      <w:rFonts w:ascii="Times New Roman" w:eastAsiaTheme="majorEastAsia" w:hAnsi="Times New Roman" w:cstheme="majorBidi"/>
      <w:b/>
      <w:iCs/>
      <w:sz w:val="24"/>
      <w:szCs w:val="24"/>
      <w:lang w:val="en-US"/>
    </w:rPr>
  </w:style>
  <w:style w:type="character" w:customStyle="1" w:styleId="Heading5Char">
    <w:name w:val="Heading 5 Char"/>
    <w:basedOn w:val="DefaultParagraphFont"/>
    <w:link w:val="Heading5"/>
    <w:uiPriority w:val="2"/>
    <w:rsid w:val="00286EA6"/>
    <w:rPr>
      <w:rFonts w:ascii="Times New Roman" w:eastAsiaTheme="majorEastAsia" w:hAnsi="Times New Roman" w:cstheme="majorBidi"/>
      <w:b/>
      <w:iCs/>
      <w:sz w:val="24"/>
      <w:szCs w:val="24"/>
      <w:lang w:val="en-US"/>
    </w:rPr>
  </w:style>
  <w:style w:type="paragraph" w:customStyle="1" w:styleId="MDPI42tablebody">
    <w:name w:val="MDPI_4.2_table_body"/>
    <w:qFormat/>
    <w:rsid w:val="00286EA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styleId="CommentReference">
    <w:name w:val="annotation reference"/>
    <w:uiPriority w:val="99"/>
    <w:rsid w:val="00286EA6"/>
    <w:rPr>
      <w:sz w:val="21"/>
      <w:szCs w:val="21"/>
    </w:rPr>
  </w:style>
  <w:style w:type="numbering" w:customStyle="1" w:styleId="Headings">
    <w:name w:val="Headings"/>
    <w:uiPriority w:val="99"/>
    <w:rsid w:val="00286EA6"/>
    <w:pPr>
      <w:numPr>
        <w:numId w:val="2"/>
      </w:numPr>
    </w:pPr>
  </w:style>
  <w:style w:type="paragraph" w:styleId="Footer">
    <w:name w:val="footer"/>
    <w:basedOn w:val="Normal"/>
    <w:link w:val="FooterChar"/>
    <w:uiPriority w:val="99"/>
    <w:unhideWhenUsed/>
    <w:rsid w:val="00286E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6EA6"/>
  </w:style>
  <w:style w:type="paragraph" w:styleId="ListParagraph">
    <w:name w:val="List Paragraph"/>
    <w:basedOn w:val="Normal"/>
    <w:uiPriority w:val="34"/>
    <w:qFormat/>
    <w:rsid w:val="00286EA6"/>
    <w:pPr>
      <w:ind w:left="720"/>
      <w:contextualSpacing/>
    </w:pPr>
  </w:style>
  <w:style w:type="character" w:styleId="LineNumber">
    <w:name w:val="line number"/>
    <w:basedOn w:val="DefaultParagraphFont"/>
    <w:uiPriority w:val="99"/>
    <w:semiHidden/>
    <w:unhideWhenUsed/>
    <w:rsid w:val="00286EA6"/>
  </w:style>
  <w:style w:type="paragraph" w:styleId="BalloonText">
    <w:name w:val="Balloon Text"/>
    <w:basedOn w:val="Normal"/>
    <w:link w:val="BalloonTextChar"/>
    <w:uiPriority w:val="99"/>
    <w:semiHidden/>
    <w:unhideWhenUsed/>
    <w:rsid w:val="00286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E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4621</Words>
  <Characters>26342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Eistine Boateng</dc:creator>
  <cp:lastModifiedBy>Eistine Boateng</cp:lastModifiedBy>
  <cp:revision>14</cp:revision>
  <cp:lastPrinted>2022-04-06T07:05:00Z</cp:lastPrinted>
  <dcterms:created xsi:type="dcterms:W3CDTF">2022-04-04T10:00:00Z</dcterms:created>
  <dcterms:modified xsi:type="dcterms:W3CDTF">2022-05-31T08:11:00Z</dcterms:modified>
</cp:coreProperties>
</file>