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rPr>
          <w:rFonts w:ascii="Palatino Linotype" w:hAnsi="Palatino Linotype"/>
          <w:b/>
          <w:bCs/>
          <w:sz w:val="36"/>
          <w:szCs w:val="36"/>
        </w:rPr>
      </w:pPr>
      <w:r>
        <w:rPr>
          <w:rFonts w:ascii="Palatino Linotype" w:hAnsi="Palatino Linotype"/>
          <w:b/>
          <w:bCs/>
          <w:sz w:val="36"/>
          <w:szCs w:val="36"/>
        </w:rPr>
        <w:t>Supplementary Material</w:t>
      </w:r>
    </w:p>
    <w:p>
      <w:pPr>
        <w:jc w:val="center"/>
        <w:rPr>
          <w:rFonts w:ascii="Palatino Linotype" w:hAnsi="Palatino Linotype"/>
          <w:b/>
          <w:bCs/>
          <w:sz w:val="36"/>
          <w:szCs w:val="36"/>
        </w:rPr>
      </w:pPr>
    </w:p>
    <w:p>
      <w:pPr>
        <w:jc w:val="center"/>
        <w:rPr>
          <w:rFonts w:ascii="Palatino Linotype" w:hAnsi="Palatino Linotype"/>
          <w:b/>
          <w:bCs/>
          <w:sz w:val="32"/>
          <w:szCs w:val="32"/>
        </w:rPr>
      </w:pPr>
    </w:p>
    <w:p>
      <w:pPr>
        <w:jc w:val="center"/>
        <w:rPr>
          <w:rFonts w:ascii="Palatino Linotype" w:hAnsi="Palatino Linotype"/>
          <w:b/>
          <w:bCs/>
          <w:sz w:val="32"/>
          <w:szCs w:val="32"/>
        </w:rPr>
      </w:pPr>
      <w:r>
        <w:rPr>
          <w:rFonts w:ascii="Palatino Linotype" w:hAnsi="Palatino Linotype"/>
          <w:b/>
          <w:bCs/>
          <w:sz w:val="32"/>
          <w:szCs w:val="32"/>
        </w:rPr>
        <w:t>A Novel in-situ Method to Determine the Respiratory Tract Deposition of Carbonaceous Particles Reveals Dangers of Public Commuting in Highly Polluted Megacity</w:t>
      </w:r>
    </w:p>
    <w:p>
      <w:pPr>
        <w:rPr>
          <w:rFonts w:ascii="Palatino Linotype" w:hAnsi="Palatino Linotype"/>
          <w:b/>
          <w:bCs/>
          <w:sz w:val="36"/>
          <w:szCs w:val="36"/>
        </w:rPr>
      </w:pPr>
    </w:p>
    <w:p>
      <w:pPr>
        <w:rPr>
          <w:rFonts w:ascii="Palatino Linotype" w:hAnsi="Palatino Linotype"/>
          <w:b/>
          <w:bCs/>
          <w:i/>
          <w:iCs/>
          <w:color w:val="000000" w:themeColor="text1"/>
          <w:sz w:val="22"/>
          <w:szCs w:val="22"/>
          <w:lang w:val="de-DE"/>
        </w:rPr>
      </w:pPr>
      <w:r>
        <w:rPr>
          <w:rFonts w:ascii="Palatino Linotype" w:hAnsi="Palatino Linotype"/>
          <w:b/>
          <w:bCs/>
          <w:i/>
          <w:iCs/>
          <w:color w:val="000000" w:themeColor="text1"/>
          <w:sz w:val="22"/>
          <w:szCs w:val="22"/>
          <w:lang w:val="de-DE"/>
        </w:rPr>
        <w:t>Leizel Madueño</w:t>
      </w:r>
      <w:r>
        <w:rPr>
          <w:rFonts w:ascii="Palatino Linotype" w:hAnsi="Palatino Linotype"/>
          <w:b/>
          <w:bCs/>
          <w:i/>
          <w:iCs/>
          <w:color w:val="000000" w:themeColor="text1"/>
          <w:sz w:val="22"/>
          <w:szCs w:val="22"/>
          <w:vertAlign w:val="superscript"/>
          <w:lang w:val="de-DE"/>
        </w:rPr>
        <w:t>1</w:t>
      </w:r>
      <w:r>
        <w:rPr>
          <w:rFonts w:ascii="Palatino Linotype" w:hAnsi="Palatino Linotype"/>
          <w:b/>
          <w:bCs/>
          <w:i/>
          <w:iCs/>
          <w:color w:val="000000" w:themeColor="text1"/>
          <w:sz w:val="22"/>
          <w:szCs w:val="22"/>
          <w:lang w:val="de-DE"/>
        </w:rPr>
        <w:t>, Simonas Kecorius</w:t>
      </w:r>
      <w:r>
        <w:rPr>
          <w:rFonts w:ascii="Palatino Linotype" w:hAnsi="Palatino Linotype"/>
          <w:b/>
          <w:bCs/>
          <w:i/>
          <w:iCs/>
          <w:color w:val="000000" w:themeColor="text1"/>
          <w:sz w:val="22"/>
          <w:szCs w:val="22"/>
          <w:vertAlign w:val="superscript"/>
          <w:lang w:val="de-DE"/>
        </w:rPr>
        <w:t>1,5*</w:t>
      </w:r>
      <w:r>
        <w:rPr>
          <w:rFonts w:ascii="Palatino Linotype" w:hAnsi="Palatino Linotype"/>
          <w:b/>
          <w:bCs/>
          <w:i/>
          <w:iCs/>
          <w:color w:val="000000" w:themeColor="text1"/>
          <w:sz w:val="22"/>
          <w:szCs w:val="22"/>
          <w:lang w:val="de-DE"/>
        </w:rPr>
        <w:t>, Jakob Löndahl</w:t>
      </w:r>
      <w:r>
        <w:rPr>
          <w:rFonts w:ascii="Palatino Linotype" w:hAnsi="Palatino Linotype"/>
          <w:b/>
          <w:bCs/>
          <w:i/>
          <w:iCs/>
          <w:color w:val="000000" w:themeColor="text1"/>
          <w:sz w:val="22"/>
          <w:szCs w:val="22"/>
          <w:vertAlign w:val="superscript"/>
          <w:lang w:val="de-DE"/>
        </w:rPr>
        <w:t>2</w:t>
      </w:r>
      <w:r>
        <w:rPr>
          <w:rFonts w:ascii="Palatino Linotype" w:hAnsi="Palatino Linotype"/>
          <w:b/>
          <w:bCs/>
          <w:i/>
          <w:iCs/>
          <w:color w:val="000000" w:themeColor="text1"/>
          <w:sz w:val="22"/>
          <w:szCs w:val="22"/>
          <w:lang w:val="de-DE"/>
        </w:rPr>
        <w:t>, Jürgen Schnell-Kreis</w:t>
      </w:r>
      <w:r>
        <w:rPr>
          <w:rFonts w:ascii="Palatino Linotype" w:hAnsi="Palatino Linotype"/>
          <w:b/>
          <w:bCs/>
          <w:i/>
          <w:iCs/>
          <w:color w:val="000000" w:themeColor="text1"/>
          <w:sz w:val="22"/>
          <w:szCs w:val="22"/>
          <w:vertAlign w:val="superscript"/>
          <w:lang w:val="de-DE"/>
        </w:rPr>
        <w:t>3</w:t>
      </w:r>
      <w:r>
        <w:rPr>
          <w:rFonts w:ascii="Palatino Linotype" w:hAnsi="Palatino Linotype"/>
          <w:b/>
          <w:bCs/>
          <w:i/>
          <w:iCs/>
          <w:color w:val="000000" w:themeColor="text1"/>
          <w:sz w:val="22"/>
          <w:szCs w:val="22"/>
          <w:lang w:val="de-DE"/>
        </w:rPr>
        <w:t xml:space="preserve">, </w:t>
      </w:r>
    </w:p>
    <w:p>
      <w:pPr>
        <w:rPr>
          <w:rFonts w:ascii="Palatino Linotype" w:hAnsi="Palatino Linotype"/>
          <w:b/>
          <w:bCs/>
          <w:i/>
          <w:iCs/>
          <w:color w:val="000000" w:themeColor="text1"/>
          <w:sz w:val="22"/>
          <w:szCs w:val="22"/>
        </w:rPr>
      </w:pPr>
      <w:r>
        <w:rPr>
          <w:rFonts w:ascii="Palatino Linotype" w:hAnsi="Palatino Linotype"/>
          <w:b/>
          <w:bCs/>
          <w:i/>
          <w:iCs/>
          <w:color w:val="000000" w:themeColor="text1"/>
          <w:sz w:val="22"/>
          <w:szCs w:val="22"/>
        </w:rPr>
        <w:t>Alfred Wiedensohler</w:t>
      </w:r>
      <w:r>
        <w:rPr>
          <w:rFonts w:ascii="Palatino Linotype" w:hAnsi="Palatino Linotype"/>
          <w:b/>
          <w:bCs/>
          <w:i/>
          <w:iCs/>
          <w:color w:val="000000" w:themeColor="text1"/>
          <w:sz w:val="22"/>
          <w:szCs w:val="22"/>
          <w:vertAlign w:val="superscript"/>
        </w:rPr>
        <w:t>1,4</w:t>
      </w:r>
      <w:r>
        <w:rPr>
          <w:rFonts w:ascii="Palatino Linotype" w:hAnsi="Palatino Linotype"/>
          <w:b/>
          <w:bCs/>
          <w:i/>
          <w:iCs/>
          <w:color w:val="000000" w:themeColor="text1"/>
          <w:sz w:val="22"/>
          <w:szCs w:val="22"/>
        </w:rPr>
        <w:t>, Mira Pöhlker</w:t>
      </w:r>
      <w:r>
        <w:rPr>
          <w:rFonts w:ascii="Palatino Linotype" w:hAnsi="Palatino Linotype"/>
          <w:b/>
          <w:bCs/>
          <w:i/>
          <w:iCs/>
          <w:color w:val="000000" w:themeColor="text1"/>
          <w:sz w:val="22"/>
          <w:szCs w:val="22"/>
          <w:vertAlign w:val="superscript"/>
        </w:rPr>
        <w:t>1</w:t>
      </w:r>
    </w:p>
    <w:p>
      <w:pPr>
        <w:pStyle w:val="NormalWeb"/>
        <w:spacing w:before="0" w:beforeAutospacing="0" w:after="0" w:afterAutospacing="0"/>
        <w:rPr>
          <w:rFonts w:ascii="Palatino Linotype" w:eastAsiaTheme="minorHAnsi" w:hAnsi="Palatino Linotype"/>
          <w:color w:val="000000" w:themeColor="text1"/>
          <w:sz w:val="20"/>
          <w:szCs w:val="20"/>
          <w:vertAlign w:val="superscript"/>
        </w:rPr>
      </w:pPr>
    </w:p>
    <w:p>
      <w:pPr>
        <w:pStyle w:val="NormalWeb"/>
        <w:spacing w:before="0" w:beforeAutospacing="0" w:after="0" w:afterAutospacing="0"/>
        <w:rPr>
          <w:rFonts w:ascii="Palatino Linotype" w:eastAsiaTheme="minorHAnsi" w:hAnsi="Palatino Linotype"/>
          <w:color w:val="000000" w:themeColor="text1"/>
          <w:sz w:val="20"/>
          <w:szCs w:val="20"/>
          <w:vertAlign w:val="superscript"/>
        </w:rPr>
      </w:pPr>
      <w:r>
        <w:rPr>
          <w:rFonts w:ascii="Palatino Linotype" w:eastAsiaTheme="minorHAnsi" w:hAnsi="Palatino Linotype"/>
          <w:color w:val="000000" w:themeColor="text1"/>
          <w:sz w:val="20"/>
          <w:szCs w:val="20"/>
          <w:vertAlign w:val="superscript"/>
        </w:rPr>
        <w:t>1</w:t>
      </w:r>
      <w:r>
        <w:rPr>
          <w:rFonts w:ascii="Palatino Linotype" w:eastAsiaTheme="minorHAnsi" w:hAnsi="Palatino Linotype"/>
          <w:color w:val="000000" w:themeColor="text1"/>
          <w:sz w:val="20"/>
          <w:szCs w:val="20"/>
        </w:rPr>
        <w:t xml:space="preserve"> Experimental Aerosol and Cloud Mircophysics, Leibniz-Institute for Tropospheric Research, Leipzig, Germany</w:t>
      </w:r>
      <w:r>
        <w:rPr>
          <w:rFonts w:ascii="Palatino Linotype" w:eastAsiaTheme="minorHAnsi" w:hAnsi="Palatino Linotype"/>
          <w:color w:val="000000" w:themeColor="text1"/>
          <w:sz w:val="20"/>
          <w:szCs w:val="20"/>
        </w:rPr>
        <w:br/>
      </w:r>
      <w:r>
        <w:rPr>
          <w:rFonts w:ascii="Palatino Linotype" w:eastAsiaTheme="minorHAnsi" w:hAnsi="Palatino Linotype"/>
          <w:color w:val="000000" w:themeColor="text1"/>
          <w:sz w:val="20"/>
          <w:szCs w:val="20"/>
          <w:vertAlign w:val="superscript"/>
        </w:rPr>
        <w:t xml:space="preserve">2 </w:t>
      </w:r>
      <w:r>
        <w:rPr>
          <w:rFonts w:ascii="Palatino Linotype" w:eastAsiaTheme="minorHAnsi" w:hAnsi="Palatino Linotype"/>
          <w:color w:val="000000" w:themeColor="text1"/>
          <w:sz w:val="20"/>
          <w:szCs w:val="20"/>
        </w:rPr>
        <w:t>Ergonomics and Aerosol Technology, Lund University, Lund, Sweden</w:t>
      </w:r>
      <w:r>
        <w:rPr>
          <w:rFonts w:ascii="Palatino Linotype" w:eastAsiaTheme="minorHAnsi" w:hAnsi="Palatino Linotype"/>
          <w:color w:val="000000" w:themeColor="text1"/>
          <w:sz w:val="20"/>
          <w:szCs w:val="20"/>
          <w:vertAlign w:val="superscript"/>
        </w:rPr>
        <w:t xml:space="preserve"> </w:t>
      </w:r>
    </w:p>
    <w:p>
      <w:pPr>
        <w:pStyle w:val="NormalWeb"/>
        <w:spacing w:before="0" w:beforeAutospacing="0" w:after="0" w:afterAutospacing="0"/>
        <w:rPr>
          <w:rFonts w:ascii="Palatino Linotype" w:eastAsiaTheme="minorHAnsi" w:hAnsi="Palatino Linotype"/>
          <w:color w:val="000000" w:themeColor="text1"/>
          <w:sz w:val="20"/>
        </w:rPr>
      </w:pPr>
      <w:r>
        <w:rPr>
          <w:rFonts w:ascii="Palatino Linotype" w:eastAsiaTheme="minorHAnsi" w:hAnsi="Palatino Linotype"/>
          <w:color w:val="000000" w:themeColor="text1"/>
          <w:sz w:val="20"/>
          <w:vertAlign w:val="superscript"/>
        </w:rPr>
        <w:t>3</w:t>
      </w:r>
      <w:r>
        <w:rPr>
          <w:rFonts w:ascii="Palatino Linotype" w:eastAsiaTheme="minorHAnsi" w:hAnsi="Palatino Linotype"/>
          <w:color w:val="000000" w:themeColor="text1"/>
          <w:sz w:val="20"/>
        </w:rPr>
        <w:t xml:space="preserve"> Comprehensive Molecular Analytics, Helmholtz Zentrum Mu</w:t>
      </w:r>
      <w:r>
        <w:rPr>
          <w:rFonts w:eastAsiaTheme="minorHAnsi"/>
          <w:color w:val="000000" w:themeColor="text1"/>
          <w:sz w:val="20"/>
        </w:rPr>
        <w:t>̈</w:t>
      </w:r>
      <w:r>
        <w:rPr>
          <w:rFonts w:ascii="Palatino Linotype" w:eastAsiaTheme="minorHAnsi" w:hAnsi="Palatino Linotype"/>
          <w:color w:val="000000" w:themeColor="text1"/>
          <w:sz w:val="20"/>
        </w:rPr>
        <w:t>nchen—German Research Center for Environmental Health, Mu</w:t>
      </w:r>
      <w:r>
        <w:rPr>
          <w:rFonts w:eastAsiaTheme="minorHAnsi"/>
          <w:color w:val="000000" w:themeColor="text1"/>
          <w:sz w:val="20"/>
        </w:rPr>
        <w:t>̈</w:t>
      </w:r>
      <w:r>
        <w:rPr>
          <w:rFonts w:ascii="Palatino Linotype" w:eastAsiaTheme="minorHAnsi" w:hAnsi="Palatino Linotype"/>
          <w:color w:val="000000" w:themeColor="text1"/>
          <w:sz w:val="20"/>
        </w:rPr>
        <w:t>nchen, Germany</w:t>
      </w:r>
    </w:p>
    <w:p>
      <w:pPr>
        <w:pStyle w:val="NormalWeb"/>
        <w:spacing w:before="0" w:beforeAutospacing="0" w:after="0" w:afterAutospacing="0"/>
        <w:rPr>
          <w:rFonts w:ascii="Palatino Linotype" w:eastAsiaTheme="minorHAnsi" w:hAnsi="Palatino Linotype"/>
          <w:color w:val="000000" w:themeColor="text1"/>
          <w:sz w:val="20"/>
          <w:szCs w:val="20"/>
        </w:rPr>
      </w:pPr>
      <w:r>
        <w:rPr>
          <w:rFonts w:ascii="Palatino Linotype" w:eastAsiaTheme="minorHAnsi" w:hAnsi="Palatino Linotype"/>
          <w:color w:val="000000" w:themeColor="text1"/>
          <w:sz w:val="20"/>
          <w:szCs w:val="20"/>
          <w:vertAlign w:val="superscript"/>
        </w:rPr>
        <w:t>4</w:t>
      </w:r>
      <w:r>
        <w:rPr>
          <w:rFonts w:ascii="Palatino Linotype" w:eastAsiaTheme="minorHAnsi" w:hAnsi="Palatino Linotype"/>
          <w:color w:val="000000" w:themeColor="text1"/>
          <w:sz w:val="20"/>
          <w:szCs w:val="20"/>
        </w:rPr>
        <w:t xml:space="preserve"> World Calibration Center for Aerosol Physics, Leipzig, Germany</w:t>
      </w:r>
    </w:p>
    <w:p>
      <w:pPr>
        <w:pStyle w:val="NormalWeb"/>
        <w:spacing w:before="0" w:beforeAutospacing="0" w:after="0" w:afterAutospacing="0"/>
        <w:rPr>
          <w:rFonts w:ascii="Palatino Linotype" w:eastAsiaTheme="minorHAnsi" w:hAnsi="Palatino Linotype"/>
          <w:color w:val="000000" w:themeColor="text1"/>
          <w:sz w:val="20"/>
          <w:szCs w:val="20"/>
        </w:rPr>
      </w:pPr>
      <w:r>
        <w:rPr>
          <w:rFonts w:ascii="Palatino Linotype" w:eastAsiaTheme="minorHAnsi" w:hAnsi="Palatino Linotype"/>
          <w:color w:val="000000" w:themeColor="text1"/>
          <w:sz w:val="20"/>
          <w:szCs w:val="20"/>
          <w:vertAlign w:val="superscript"/>
        </w:rPr>
        <w:t>5</w:t>
      </w:r>
      <w:r>
        <w:rPr>
          <w:rFonts w:ascii="Palatino Linotype" w:eastAsiaTheme="minorHAnsi" w:hAnsi="Palatino Linotype"/>
          <w:color w:val="000000" w:themeColor="text1"/>
          <w:sz w:val="20"/>
          <w:szCs w:val="20"/>
        </w:rPr>
        <w:t xml:space="preserve"> currently at</w:t>
      </w:r>
      <w:r>
        <w:rPr>
          <w:rFonts w:ascii="Palatino Linotype" w:eastAsiaTheme="minorHAnsi" w:hAnsi="Palatino Linotype"/>
          <w:color w:val="000000" w:themeColor="text1"/>
          <w:sz w:val="20"/>
        </w:rPr>
        <w:t xml:space="preserve"> Institute of Epidemiology, Helmholtz Zentrum München—German Research Center for Environmental Health, </w:t>
      </w:r>
      <w:r>
        <w:rPr>
          <w:rFonts w:ascii="Palatino Linotype" w:eastAsiaTheme="minorHAnsi" w:hAnsi="Palatino Linotype"/>
          <w:color w:val="000000" w:themeColor="text1"/>
          <w:sz w:val="20"/>
          <w:szCs w:val="20"/>
        </w:rPr>
        <w:t>Neuherberg, Germany</w:t>
      </w:r>
    </w:p>
    <w:p>
      <w:pPr>
        <w:rPr>
          <w:rFonts w:ascii="Palatino Linotype" w:hAnsi="Palatino Linotype"/>
          <w:color w:val="FF0000"/>
        </w:rPr>
      </w:pPr>
    </w:p>
    <w:p>
      <w:pPr>
        <w:rPr>
          <w:rFonts w:ascii="Palatino Linotype" w:hAnsi="Palatino Linotype"/>
          <w:color w:val="FF0000"/>
        </w:rPr>
      </w:pPr>
    </w:p>
    <w:p>
      <w:pPr>
        <w:rPr>
          <w:rFonts w:ascii="Palatino Linotype" w:hAnsi="Palatino Linotype"/>
          <w:color w:val="000000" w:themeColor="text1"/>
        </w:rPr>
      </w:pPr>
      <w:r>
        <w:rPr>
          <w:rFonts w:ascii="Palatino Linotype" w:hAnsi="Palatino Linotype"/>
          <w:color w:val="000000" w:themeColor="text1"/>
        </w:rPr>
        <w:t xml:space="preserve">Corresponding Author: </w:t>
      </w:r>
    </w:p>
    <w:p>
      <w:pPr>
        <w:ind w:firstLine="720"/>
        <w:rPr>
          <w:rFonts w:ascii="Palatino Linotype" w:hAnsi="Palatino Linotype"/>
          <w:color w:val="000000" w:themeColor="text1"/>
        </w:rPr>
      </w:pPr>
      <w:r>
        <w:rPr>
          <w:rFonts w:ascii="Palatino Linotype" w:hAnsi="Palatino Linotype"/>
          <w:color w:val="000000" w:themeColor="text1"/>
        </w:rPr>
        <w:t>Simonas Kecorius (simonas.kecorius@helmholtz-muenchen.de)</w:t>
      </w:r>
    </w:p>
    <w:p>
      <w:pPr>
        <w:ind w:left="720"/>
        <w:rPr>
          <w:rFonts w:ascii="Palatino Linotype" w:eastAsiaTheme="minorHAnsi" w:hAnsi="Palatino Linotype"/>
          <w:i/>
          <w:color w:val="000000" w:themeColor="text1"/>
          <w:sz w:val="20"/>
        </w:rPr>
      </w:pPr>
      <w:r>
        <w:rPr>
          <w:rFonts w:ascii="Palatino Linotype" w:hAnsi="Palatino Linotype"/>
          <w:color w:val="000000" w:themeColor="text1"/>
          <w:sz w:val="20"/>
        </w:rPr>
        <w:t xml:space="preserve">Current Affiliation: </w:t>
      </w:r>
      <w:r>
        <w:rPr>
          <w:rFonts w:ascii="Palatino Linotype" w:eastAsiaTheme="minorHAnsi" w:hAnsi="Palatino Linotype"/>
          <w:i/>
          <w:color w:val="000000" w:themeColor="text1"/>
          <w:sz w:val="20"/>
        </w:rPr>
        <w:t xml:space="preserve">Institute of Epidemiology, Helmholtz Zentrum München, Ingolstädter </w:t>
      </w:r>
    </w:p>
    <w:p>
      <w:pPr>
        <w:ind w:left="2160"/>
        <w:rPr>
          <w:rFonts w:ascii="Palatino Linotype" w:hAnsi="Palatino Linotype"/>
          <w:color w:val="000000" w:themeColor="text1"/>
          <w:sz w:val="20"/>
        </w:rPr>
      </w:pPr>
      <w:r>
        <w:rPr>
          <w:rFonts w:ascii="Palatino Linotype" w:eastAsiaTheme="minorHAnsi" w:hAnsi="Palatino Linotype"/>
          <w:i/>
          <w:color w:val="000000" w:themeColor="text1"/>
          <w:sz w:val="20"/>
        </w:rPr>
        <w:t xml:space="preserve">  Landstr. 1, 85764, Neuherberg, Germany</w:t>
      </w:r>
    </w:p>
    <w:p>
      <w:pPr>
        <w:rPr>
          <w:rFonts w:ascii="Palatino Linotype" w:hAnsi="Palatino Linotype"/>
          <w:color w:val="FF0000"/>
        </w:rPr>
      </w:pPr>
    </w:p>
    <w:p>
      <w:pPr>
        <w:rPr>
          <w:rFonts w:ascii="Palatino Linotype" w:hAnsi="Palatino Linotype"/>
          <w:color w:val="FF0000"/>
        </w:rPr>
      </w:pPr>
    </w:p>
    <w:p>
      <w:pPr>
        <w:rPr>
          <w:rFonts w:ascii="Palatino Linotype" w:hAnsi="Palatino Linotype"/>
          <w:color w:val="000000" w:themeColor="text1"/>
        </w:rPr>
      </w:pPr>
      <w:r>
        <w:rPr>
          <w:rFonts w:ascii="Palatino Linotype" w:hAnsi="Palatino Linotype"/>
          <w:color w:val="000000" w:themeColor="text1"/>
        </w:rPr>
        <w:t>Contents of this Supplementary Material</w:t>
      </w:r>
    </w:p>
    <w:p>
      <w:pPr>
        <w:rPr>
          <w:rFonts w:ascii="Palatino Linotype" w:hAnsi="Palatino Linotype"/>
          <w:color w:val="000000" w:themeColor="text1"/>
        </w:rPr>
      </w:pPr>
    </w:p>
    <w:p>
      <w:pPr>
        <w:rPr>
          <w:rFonts w:ascii="Palatino Linotype" w:hAnsi="Palatino Linotype"/>
          <w:color w:val="000000" w:themeColor="text1"/>
          <w:sz w:val="20"/>
          <w:szCs w:val="20"/>
        </w:rPr>
      </w:pPr>
      <w:r>
        <w:rPr>
          <w:rFonts w:ascii="Palatino Linotype" w:hAnsi="Palatino Linotype"/>
          <w:color w:val="000000" w:themeColor="text1"/>
          <w:sz w:val="20"/>
          <w:szCs w:val="20"/>
        </w:rPr>
        <w:t xml:space="preserve">Table S1. List of related </w:t>
      </w:r>
      <w:r>
        <w:rPr>
          <w:rFonts w:ascii="Palatino Linotype" w:hAnsi="Palatino Linotype"/>
          <w:i/>
          <w:iCs/>
          <w:color w:val="000000" w:themeColor="text1"/>
          <w:sz w:val="20"/>
          <w:szCs w:val="20"/>
        </w:rPr>
        <w:t>in situ</w:t>
      </w:r>
      <w:r>
        <w:rPr>
          <w:rFonts w:ascii="Palatino Linotype" w:hAnsi="Palatino Linotype"/>
          <w:color w:val="000000" w:themeColor="text1"/>
          <w:sz w:val="20"/>
          <w:szCs w:val="20"/>
        </w:rPr>
        <w:t xml:space="preserve"> respiratory tract deposition dose studies.</w:t>
      </w:r>
    </w:p>
    <w:p>
      <w:pPr>
        <w:rPr>
          <w:rFonts w:ascii="Palatino Linotype" w:hAnsi="Palatino Linotype"/>
          <w:color w:val="000000" w:themeColor="text1"/>
          <w:sz w:val="20"/>
          <w:szCs w:val="20"/>
        </w:rPr>
      </w:pPr>
      <w:r>
        <w:rPr>
          <w:rFonts w:ascii="Palatino Linotype" w:hAnsi="Palatino Linotype"/>
          <w:color w:val="000000" w:themeColor="text1"/>
          <w:sz w:val="20"/>
          <w:szCs w:val="20"/>
        </w:rPr>
        <w:t>Table S2. Summary of related in situ respiratory tract deposition studies using hydrophobic particles.</w:t>
      </w:r>
    </w:p>
    <w:p>
      <w:pPr>
        <w:rPr>
          <w:rFonts w:ascii="Palatino Linotype" w:hAnsi="Palatino Linotype"/>
          <w:color w:val="000000" w:themeColor="text1"/>
          <w:sz w:val="20"/>
          <w:szCs w:val="20"/>
        </w:rPr>
      </w:pPr>
      <w:r>
        <w:rPr>
          <w:rFonts w:ascii="Palatino Linotype" w:hAnsi="Palatino Linotype"/>
          <w:color w:val="000000" w:themeColor="text1"/>
          <w:sz w:val="20"/>
          <w:szCs w:val="20"/>
        </w:rPr>
        <w:t>Table S3. Mean DDR estimated using different assessment methods.</w:t>
      </w:r>
    </w:p>
    <w:p>
      <w:pPr>
        <w:rPr>
          <w:rFonts w:ascii="Palatino Linotype" w:hAnsi="Palatino Linotype"/>
          <w:color w:val="000000" w:themeColor="text1"/>
          <w:sz w:val="20"/>
          <w:szCs w:val="20"/>
        </w:rPr>
      </w:pPr>
    </w:p>
    <w:p>
      <w:pPr>
        <w:rPr>
          <w:rFonts w:ascii="Palatino Linotype" w:hAnsi="Palatino Linotype"/>
          <w:bCs/>
          <w:sz w:val="20"/>
          <w:szCs w:val="20"/>
        </w:rPr>
      </w:pPr>
      <w:r>
        <w:rPr>
          <w:rFonts w:ascii="Palatino Linotype" w:hAnsi="Palatino Linotype"/>
          <w:bCs/>
          <w:sz w:val="20"/>
          <w:szCs w:val="20"/>
        </w:rPr>
        <w:t>Figure S1. Instrument laboratory intercomparison with reference system.</w:t>
      </w:r>
    </w:p>
    <w:p>
      <w:pPr>
        <w:rPr>
          <w:rFonts w:ascii="Palatino Linotype" w:hAnsi="Palatino Linotype"/>
          <w:bCs/>
          <w:sz w:val="20"/>
          <w:szCs w:val="20"/>
        </w:rPr>
      </w:pPr>
      <w:r>
        <w:rPr>
          <w:rFonts w:ascii="Palatino Linotype" w:hAnsi="Palatino Linotype"/>
          <w:bCs/>
          <w:sz w:val="20"/>
          <w:szCs w:val="20"/>
        </w:rPr>
        <w:t>Figure S2. Micro-aethalometer intercomparison in Leipzig, Germany.</w:t>
      </w:r>
    </w:p>
    <w:p>
      <w:pPr>
        <w:rPr>
          <w:rFonts w:ascii="Palatino Linotype" w:hAnsi="Palatino Linotype"/>
          <w:bCs/>
          <w:sz w:val="20"/>
          <w:szCs w:val="20"/>
        </w:rPr>
      </w:pPr>
      <w:r>
        <w:rPr>
          <w:rFonts w:ascii="Palatino Linotype" w:hAnsi="Palatino Linotype"/>
          <w:bCs/>
          <w:sz w:val="20"/>
          <w:szCs w:val="20"/>
        </w:rPr>
        <w:t>Figure S3. Micro-aethalometer intercomparison in Metro Manila, Philippines, using ambient street-site aerosol.</w:t>
      </w:r>
    </w:p>
    <w:p>
      <w:pPr>
        <w:rPr>
          <w:rFonts w:ascii="Palatino Linotype" w:hAnsi="Palatino Linotype"/>
          <w:bCs/>
          <w:sz w:val="20"/>
          <w:szCs w:val="20"/>
        </w:rPr>
      </w:pPr>
      <w:r>
        <w:rPr>
          <w:rFonts w:ascii="Palatino Linotype" w:hAnsi="Palatino Linotype"/>
          <w:bCs/>
          <w:sz w:val="20"/>
          <w:szCs w:val="20"/>
        </w:rPr>
        <w:t>Figure S4. Flow rate through dry and wet (after exposing to breath air) particulate filter.</w:t>
      </w:r>
    </w:p>
    <w:p>
      <w:pPr>
        <w:rPr>
          <w:rFonts w:ascii="Palatino Linotype" w:hAnsi="Palatino Linotype"/>
          <w:bCs/>
          <w:sz w:val="20"/>
          <w:szCs w:val="20"/>
        </w:rPr>
      </w:pPr>
      <w:r>
        <w:rPr>
          <w:rFonts w:ascii="Palatino Linotype" w:hAnsi="Palatino Linotype"/>
          <w:bCs/>
          <w:sz w:val="20"/>
          <w:szCs w:val="20"/>
        </w:rPr>
        <w:t>Figure S5. Descriptive statistics of measured parameters in TMEs between public transport and walking.</w:t>
      </w:r>
    </w:p>
    <w:p>
      <w:pPr>
        <w:rPr>
          <w:rFonts w:ascii="Palatino Linotype" w:hAnsi="Palatino Linotype"/>
          <w:bCs/>
          <w:sz w:val="20"/>
          <w:szCs w:val="20"/>
        </w:rPr>
      </w:pPr>
      <w:r>
        <w:rPr>
          <w:rFonts w:ascii="Palatino Linotype" w:hAnsi="Palatino Linotype"/>
          <w:bCs/>
          <w:sz w:val="20"/>
          <w:szCs w:val="20"/>
        </w:rPr>
        <w:t>Figure S6. Descriptive statistics of measured parameters separated between males and females.</w:t>
      </w:r>
    </w:p>
    <w:p>
      <w:pPr>
        <w:rPr>
          <w:rFonts w:ascii="Palatino Linotype" w:hAnsi="Palatino Linotype"/>
          <w:bCs/>
          <w:sz w:val="20"/>
          <w:szCs w:val="20"/>
        </w:rPr>
      </w:pPr>
      <w:r>
        <w:rPr>
          <w:rFonts w:ascii="Palatino Linotype" w:hAnsi="Palatino Linotype"/>
          <w:bCs/>
          <w:sz w:val="20"/>
          <w:szCs w:val="20"/>
        </w:rPr>
        <w:t>Figure S7. Deposition dose rate as a function of measured BC exposure concentrations.</w:t>
      </w:r>
    </w:p>
    <w:p>
      <w:pPr>
        <w:rPr>
          <w:rFonts w:ascii="Palatino Linotype" w:hAnsi="Palatino Linotype"/>
          <w:bCs/>
          <w:sz w:val="20"/>
          <w:szCs w:val="20"/>
        </w:rPr>
      </w:pPr>
      <w:r>
        <w:rPr>
          <w:rFonts w:ascii="Palatino Linotype" w:hAnsi="Palatino Linotype"/>
          <w:bCs/>
          <w:sz w:val="20"/>
          <w:szCs w:val="20"/>
        </w:rPr>
        <w:br w:type="page"/>
      </w:r>
    </w:p>
    <w:p>
      <w:pPr>
        <w:rPr>
          <w:rFonts w:ascii="Palatino Linotype" w:hAnsi="Palatino Linotype"/>
          <w:bCs/>
          <w:sz w:val="20"/>
          <w:szCs w:val="20"/>
        </w:rPr>
        <w:sectPr>
          <w:pgSz w:w="11900" w:h="16840"/>
          <w:pgMar w:top="1440" w:right="1440" w:bottom="1440" w:left="1440" w:header="720" w:footer="720" w:gutter="0"/>
          <w:cols w:space="720"/>
          <w:docGrid w:linePitch="360"/>
        </w:sectPr>
      </w:pPr>
    </w:p>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lastRenderedPageBreak/>
        <w:t xml:space="preserve">Table S1. Review of related literature. There are few </w:t>
      </w:r>
      <w:r>
        <w:rPr>
          <w:rFonts w:ascii="Palatino Linotype" w:hAnsi="Palatino Linotype"/>
          <w:i/>
          <w:iCs/>
          <w:color w:val="000000" w:themeColor="text1"/>
          <w:sz w:val="20"/>
          <w:szCs w:val="20"/>
        </w:rPr>
        <w:t>in situ</w:t>
      </w:r>
      <w:r>
        <w:rPr>
          <w:rFonts w:ascii="Palatino Linotype" w:hAnsi="Palatino Linotype"/>
          <w:color w:val="000000" w:themeColor="text1"/>
          <w:sz w:val="20"/>
          <w:szCs w:val="20"/>
        </w:rPr>
        <w:t xml:space="preserve"> studies on respiratory tract deposition (RTD) conducted in developed regions, but almost none have investigated roadside ambient air and none of the studies have focused on black carbon particles. The discussion in the main manuscript was focused only on the related studies where total mass RTD of hydrophobic particles was investigated on young and healthy adults. </w:t>
      </w:r>
    </w:p>
    <w:tbl>
      <w:tblPr>
        <w:tblStyle w:val="TableGrid"/>
        <w:tblpPr w:leftFromText="180" w:rightFromText="180" w:vertAnchor="text" w:tblpY="1"/>
        <w:tblOverlap w:val="never"/>
        <w:tblW w:w="1421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3"/>
        <w:gridCol w:w="1425"/>
        <w:gridCol w:w="1339"/>
        <w:gridCol w:w="2022"/>
        <w:gridCol w:w="1936"/>
        <w:gridCol w:w="3092"/>
        <w:gridCol w:w="1948"/>
      </w:tblGrid>
      <w:tr>
        <w:tc>
          <w:tcPr>
            <w:tcW w:w="2453" w:type="dxa"/>
            <w:tcBorders>
              <w:top w:val="single" w:sz="4" w:space="0" w:color="auto"/>
              <w:bottom w:val="single" w:sz="4" w:space="0" w:color="auto"/>
            </w:tcBorders>
          </w:tcPr>
          <w:p>
            <w:pPr>
              <w:jc w:val="both"/>
              <w:rPr>
                <w:rFonts w:ascii="Palatino Linotype" w:hAnsi="Palatino Linotype"/>
                <w:color w:val="000000" w:themeColor="text1"/>
                <w:sz w:val="20"/>
                <w:szCs w:val="20"/>
              </w:rPr>
            </w:pPr>
          </w:p>
        </w:tc>
        <w:tc>
          <w:tcPr>
            <w:tcW w:w="1425" w:type="dxa"/>
            <w:tcBorders>
              <w:top w:val="single" w:sz="4" w:space="0" w:color="auto"/>
              <w:bottom w:val="single" w:sz="4" w:space="0" w:color="auto"/>
            </w:tcBorders>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Location</w:t>
            </w:r>
          </w:p>
        </w:tc>
        <w:tc>
          <w:tcPr>
            <w:tcW w:w="1339" w:type="dxa"/>
            <w:tcBorders>
              <w:top w:val="single" w:sz="4" w:space="0" w:color="auto"/>
              <w:bottom w:val="single" w:sz="4" w:space="0" w:color="auto"/>
            </w:tcBorders>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Subjects</w:t>
            </w:r>
          </w:p>
        </w:tc>
        <w:tc>
          <w:tcPr>
            <w:tcW w:w="2022" w:type="dxa"/>
            <w:tcBorders>
              <w:top w:val="single" w:sz="4" w:space="0" w:color="auto"/>
              <w:bottom w:val="single" w:sz="4" w:space="0" w:color="auto"/>
            </w:tcBorders>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Age, Health Status</w:t>
            </w:r>
          </w:p>
        </w:tc>
        <w:tc>
          <w:tcPr>
            <w:tcW w:w="1936" w:type="dxa"/>
            <w:tcBorders>
              <w:top w:val="single" w:sz="4" w:space="0" w:color="auto"/>
              <w:bottom w:val="single" w:sz="4" w:space="0" w:color="auto"/>
            </w:tcBorders>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Aerosol</w:t>
            </w:r>
          </w:p>
        </w:tc>
        <w:tc>
          <w:tcPr>
            <w:tcW w:w="3092" w:type="dxa"/>
            <w:tcBorders>
              <w:top w:val="single" w:sz="4" w:space="0" w:color="auto"/>
              <w:bottom w:val="single" w:sz="4" w:space="0" w:color="auto"/>
            </w:tcBorders>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Breathing</w:t>
            </w:r>
          </w:p>
        </w:tc>
        <w:tc>
          <w:tcPr>
            <w:tcW w:w="1948" w:type="dxa"/>
            <w:tcBorders>
              <w:top w:val="single" w:sz="4" w:space="0" w:color="auto"/>
              <w:bottom w:val="single" w:sz="4" w:space="0" w:color="auto"/>
            </w:tcBorders>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Particle Detection</w:t>
            </w:r>
          </w:p>
        </w:tc>
      </w:tr>
      <w:tr>
        <w:tc>
          <w:tcPr>
            <w:tcW w:w="2453" w:type="dxa"/>
            <w:tcBorders>
              <w:top w:val="single" w:sz="4" w:space="0" w:color="auto"/>
              <w:bottom w:val="nil"/>
            </w:tcBorders>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 xml:space="preserve">Daigle et al., </w:t>
            </w:r>
            <w:r>
              <w:rPr>
                <w:rFonts w:ascii="Palatino Linotype" w:hAnsi="Palatino Linotype"/>
                <w:color w:val="000000" w:themeColor="text1"/>
                <w:sz w:val="20"/>
                <w:szCs w:val="20"/>
              </w:rPr>
              <w:fldChar w:fldCharType="begin" w:fldLock="1"/>
            </w:r>
            <w:r>
              <w:rPr>
                <w:rFonts w:ascii="Palatino Linotype" w:hAnsi="Palatino Linotype"/>
                <w:color w:val="000000" w:themeColor="text1"/>
                <w:sz w:val="20"/>
                <w:szCs w:val="20"/>
              </w:rPr>
              <w:instrText>ADDIN CSL_CITATION {"citationItems":[{"id":"ITEM-1","itemData":{"DOI":"10.1080/08958370304468","ISSN":"08958378","PMID":"12692730","abstract":"Ultrafine particles (diameter &lt; 100 nm) may be important in the health effects of air pollution, in part because of their predicted high respiratory deposition. However, there are few measurements of ultrafine particle deposition during spontaneous breathing. The fractional deposition for the total respiratory tract of ultrafine carbon particles (count median diameter = 26 nm, geometric standard deviation = 1.6) was measured in 12 healthy subjects (6 female, 6 male) at rest (minute ventilation 9.0 ± 1.3 L/min) using a mouthpiece exposure system. The mean ± SD fractional deposition was 0.66 ± 0. 11 by particle number and 0.58 ± 0.13 by particle mass concentration, similar to model predictions. The number deposition fraction increased as particle size decreased, reaching 0.80 ± 0.09 for the smallest particles (midpoint count median diameter = 8.7 nm). No gender differences were observed. In an additional 7 subjects (2 female, 5 male) alternating rest with moderate exercise (minute ventilation 38.1 ± 9.5 L/min), the deposition fraction during exercise increased to 0.83 ± 0.04 and 0.76 ± 0.06 by particle number and mass concentration, respectively, and reached 0.94 ± 0.02 for the smallest particles. Experimental deposition data exceeded model predictions during exercise. The total number of deposited particles was more than 4.5-fold higher during exercise than at rest because of the combined increase in deposition fraction and minute ventilation. Fractional deposition of ultrafine particles during mouth breathing is high in healthy subjects, and increases further with exercise.","author":[{"dropping-particle":"","family":"Daigle","given":"Christopher C.","non-dropping-particle":"","parse-names":false,"suffix":""},{"dropping-particle":"","family":"Chalupa","given":"David C.","non-dropping-particle":"","parse-names":false,"suffix":""},{"dropping-particle":"","family":"Gibb","given":"F. Raymond","non-dropping-particle":"","parse-names":false,"suffix":""},{"dropping-particle":"","family":"Morrow","given":"Paul E.","non-dropping-particle":"","parse-names":false,"suffix":""},{"dropping-particle":"","family":"Oberdörster","given":"Günter","non-dropping-particle":"","parse-names":false,"suffix":""},{"dropping-particle":"","family":"Utell","given":"Mark J.","non-dropping-particle":"","parse-names":false,"suffix":""},{"dropping-particle":"","family":"Frampton","given":"Mark W.","non-dropping-particle":"","parse-names":false,"suffix":""}],"container-title":"Inhalation Toxicology","id":"ITEM-1","issue":"6","issued":{"date-parts":[["2003"]]},"page":"539-552","title":"Ultrafine particle deposition in humans during rest and exercise","type":"article-journal","volume":"15"},"uris":["http://www.mendeley.com/documents/?uuid=1ee00940-b629-4ed2-b698-c5778f123dc2"]}],"mendeley":{"formattedCitation":"[1]","plainTextFormattedCitation":"[1]","previouslyFormattedCitation":"[1]"},"properties":{"noteIndex":0},"schema":"https://github.com/citation-style-language/schema/raw/master/csl-citation.json"}</w:instrText>
            </w:r>
            <w:r>
              <w:rPr>
                <w:rFonts w:ascii="Palatino Linotype" w:hAnsi="Palatino Linotype"/>
                <w:color w:val="000000" w:themeColor="text1"/>
                <w:sz w:val="20"/>
                <w:szCs w:val="20"/>
              </w:rPr>
              <w:fldChar w:fldCharType="separate"/>
            </w:r>
            <w:r>
              <w:rPr>
                <w:rFonts w:ascii="Palatino Linotype" w:hAnsi="Palatino Linotype"/>
                <w:noProof/>
                <w:color w:val="000000" w:themeColor="text1"/>
                <w:sz w:val="20"/>
                <w:szCs w:val="20"/>
              </w:rPr>
              <w:t>[1]</w:t>
            </w:r>
            <w:r>
              <w:rPr>
                <w:rFonts w:ascii="Palatino Linotype" w:hAnsi="Palatino Linotype"/>
                <w:color w:val="000000" w:themeColor="text1"/>
                <w:sz w:val="20"/>
                <w:szCs w:val="20"/>
              </w:rPr>
              <w:fldChar w:fldCharType="end"/>
            </w:r>
          </w:p>
        </w:tc>
        <w:tc>
          <w:tcPr>
            <w:tcW w:w="1425" w:type="dxa"/>
            <w:tcBorders>
              <w:top w:val="single" w:sz="4" w:space="0" w:color="auto"/>
              <w:bottom w:val="nil"/>
            </w:tcBorders>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USA</w:t>
            </w:r>
          </w:p>
        </w:tc>
        <w:tc>
          <w:tcPr>
            <w:tcW w:w="1339" w:type="dxa"/>
            <w:tcBorders>
              <w:top w:val="single" w:sz="4" w:space="0" w:color="auto"/>
              <w:bottom w:val="nil"/>
            </w:tcBorders>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11M/8F</w:t>
            </w:r>
          </w:p>
        </w:tc>
        <w:tc>
          <w:tcPr>
            <w:tcW w:w="2022" w:type="dxa"/>
            <w:tcBorders>
              <w:top w:val="single" w:sz="4" w:space="0" w:color="auto"/>
              <w:bottom w:val="nil"/>
            </w:tcBorders>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18-52, Healthy</w:t>
            </w:r>
          </w:p>
        </w:tc>
        <w:tc>
          <w:tcPr>
            <w:tcW w:w="1936" w:type="dxa"/>
            <w:tcBorders>
              <w:top w:val="single" w:sz="4" w:space="0" w:color="auto"/>
              <w:bottom w:val="nil"/>
            </w:tcBorders>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Spark discharge</w:t>
            </w:r>
          </w:p>
        </w:tc>
        <w:tc>
          <w:tcPr>
            <w:tcW w:w="3092" w:type="dxa"/>
            <w:tcBorders>
              <w:top w:val="single" w:sz="4" w:space="0" w:color="auto"/>
              <w:bottom w:val="nil"/>
            </w:tcBorders>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Mouth, Spontaneous</w:t>
            </w:r>
          </w:p>
        </w:tc>
        <w:tc>
          <w:tcPr>
            <w:tcW w:w="1948" w:type="dxa"/>
            <w:tcBorders>
              <w:top w:val="single" w:sz="4" w:space="0" w:color="auto"/>
              <w:bottom w:val="nil"/>
            </w:tcBorders>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SMPS, CPC</w:t>
            </w:r>
          </w:p>
        </w:tc>
      </w:tr>
      <w:tr>
        <w:tc>
          <w:tcPr>
            <w:tcW w:w="2453" w:type="dxa"/>
            <w:tcBorders>
              <w:top w:val="nil"/>
            </w:tcBorders>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 xml:space="preserve">Chalupa </w:t>
            </w:r>
            <w:r>
              <w:rPr>
                <w:rFonts w:ascii="Palatino Linotype" w:hAnsi="Palatino Linotype"/>
                <w:i/>
                <w:iCs/>
                <w:color w:val="000000" w:themeColor="text1"/>
                <w:sz w:val="20"/>
                <w:szCs w:val="20"/>
              </w:rPr>
              <w:t>et al.</w:t>
            </w:r>
            <w:r>
              <w:rPr>
                <w:rFonts w:ascii="Palatino Linotype" w:hAnsi="Palatino Linotype"/>
                <w:color w:val="000000" w:themeColor="text1"/>
                <w:sz w:val="20"/>
                <w:szCs w:val="20"/>
              </w:rPr>
              <w:t xml:space="preserve">, </w:t>
            </w:r>
            <w:r>
              <w:rPr>
                <w:rFonts w:ascii="Palatino Linotype" w:hAnsi="Palatino Linotype"/>
                <w:color w:val="000000" w:themeColor="text1"/>
                <w:sz w:val="20"/>
                <w:szCs w:val="20"/>
              </w:rPr>
              <w:fldChar w:fldCharType="begin" w:fldLock="1"/>
            </w:r>
            <w:r>
              <w:rPr>
                <w:rFonts w:ascii="Palatino Linotype" w:hAnsi="Palatino Linotype"/>
                <w:color w:val="000000" w:themeColor="text1"/>
                <w:sz w:val="20"/>
                <w:szCs w:val="20"/>
              </w:rPr>
              <w:instrText>ADDIN CSL_CITATION {"citationItems":[{"id":"ITEM-1","itemData":{"DOI":"10.1289/ehp.6851","ISSN":"00916765","PMID":"15175176","abstract":"Ambient air particles in the ultrafine size range (diameter &lt; 100 nm) may contribute to the health effects of particulate matter. However, there are few data on ultrafine particle deposition during spontaneous breathing, and none in people with asthma. Sixteen subjects with mild to moderate asthma were exposed for 2 hr, by mouthpiece, to ultraline carbon particles with a count median diameter (CMD) of 23 nm and a geometric standard deviation of 1.6. Deposition was measured during spontaneous breathing at rest (minute ventilation, 13.3 ± 2.0 L/min) and exercise (minute ventilation, 41.9 ± 9.0 L/min). The mean ± SD fractional deposition was 0.76 ± 0.05 by particle number and 0.69 ± 0.07 by particle mass concentration. The number deposition fraction increased as particle size decreased, reaching 0.84 ± 0.03 for the smallest particles (midpoint CMD = 8.7 nm). No differences between sexes were observed. The deposition fraction increased during exercise to 0.86 ± 0.04 and 0.79 ± 0.05 by particle number and mass concentration, respectively, and reached 0.93 ± 0.02 for the smallest particles. Experimental deposition data exceeded model predictions during exercise. The deposition at rest was greater in these subjects with asthma than in previously studied healthy subjects (0.76 ± 0.05 vs. 0.65 ± 0.10, p &lt; 0.001). The efficient respiratory deposition of ultrafine particles increases further in subjects with asthma. Key words: air pollution, asthma, deposition, dosimetry, inhalation, ultrafine particles.","author":[{"dropping-particle":"","family":"Chalupa","given":"David C.","non-dropping-particle":"","parse-names":false,"suffix":""},{"dropping-particle":"","family":"Morrow","given":"Paul E.","non-dropping-particle":"","parse-names":false,"suffix":""},{"dropping-particle":"","family":"Oberdörster","given":"Günter","non-dropping-particle":"","parse-names":false,"suffix":""},{"dropping-particle":"","family":"Utell","given":"Mark J.","non-dropping-particle":"","parse-names":false,"suffix":""},{"dropping-particle":"","family":"Frampton","given":"Mark W.","non-dropping-particle":"","parse-names":false,"suffix":""}],"container-title":"Environmental Health Perspectives","id":"ITEM-1","issue":"8","issued":{"date-parts":[["2004"]]},"page":"879-882","title":"Ultrafine particle deposition in subjects with asthma","type":"article-journal","volume":"112"},"uris":["http://www.mendeley.com/documents/?uuid=e29e46a9-a41b-4423-87b5-6aba4e333870"]}],"mendeley":{"formattedCitation":"[2]","plainTextFormattedCitation":"[2]","previouslyFormattedCitation":"[2]"},"properties":{"noteIndex":0},"schema":"https://github.com/citation-style-language/schema/raw/master/csl-citation.json"}</w:instrText>
            </w:r>
            <w:r>
              <w:rPr>
                <w:rFonts w:ascii="Palatino Linotype" w:hAnsi="Palatino Linotype"/>
                <w:color w:val="000000" w:themeColor="text1"/>
                <w:sz w:val="20"/>
                <w:szCs w:val="20"/>
              </w:rPr>
              <w:fldChar w:fldCharType="separate"/>
            </w:r>
            <w:r>
              <w:rPr>
                <w:rFonts w:ascii="Palatino Linotype" w:hAnsi="Palatino Linotype"/>
                <w:noProof/>
                <w:color w:val="000000" w:themeColor="text1"/>
                <w:sz w:val="20"/>
                <w:szCs w:val="20"/>
              </w:rPr>
              <w:t>[2]</w:t>
            </w:r>
            <w:r>
              <w:rPr>
                <w:rFonts w:ascii="Palatino Linotype" w:hAnsi="Palatino Linotype"/>
                <w:color w:val="000000" w:themeColor="text1"/>
                <w:sz w:val="20"/>
                <w:szCs w:val="20"/>
              </w:rPr>
              <w:fldChar w:fldCharType="end"/>
            </w:r>
          </w:p>
        </w:tc>
        <w:tc>
          <w:tcPr>
            <w:tcW w:w="1425" w:type="dxa"/>
            <w:tcBorders>
              <w:top w:val="nil"/>
            </w:tcBorders>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USA</w:t>
            </w:r>
          </w:p>
        </w:tc>
        <w:tc>
          <w:tcPr>
            <w:tcW w:w="1339" w:type="dxa"/>
            <w:tcBorders>
              <w:top w:val="nil"/>
            </w:tcBorders>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8M/8F</w:t>
            </w:r>
          </w:p>
        </w:tc>
        <w:tc>
          <w:tcPr>
            <w:tcW w:w="2022" w:type="dxa"/>
            <w:tcBorders>
              <w:top w:val="nil"/>
            </w:tcBorders>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18-55, Asthma</w:t>
            </w:r>
          </w:p>
        </w:tc>
        <w:tc>
          <w:tcPr>
            <w:tcW w:w="1936" w:type="dxa"/>
            <w:tcBorders>
              <w:top w:val="nil"/>
            </w:tcBorders>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Spark discharge</w:t>
            </w:r>
          </w:p>
        </w:tc>
        <w:tc>
          <w:tcPr>
            <w:tcW w:w="3092" w:type="dxa"/>
            <w:tcBorders>
              <w:top w:val="nil"/>
            </w:tcBorders>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Mouth, Spontaneous</w:t>
            </w:r>
          </w:p>
        </w:tc>
        <w:tc>
          <w:tcPr>
            <w:tcW w:w="1948" w:type="dxa"/>
            <w:tcBorders>
              <w:top w:val="nil"/>
            </w:tcBorders>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SMPS</w:t>
            </w:r>
          </w:p>
        </w:tc>
      </w:tr>
      <w:tr>
        <w:tc>
          <w:tcPr>
            <w:tcW w:w="2453"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 xml:space="preserve">Morawska </w:t>
            </w:r>
            <w:r>
              <w:rPr>
                <w:rFonts w:ascii="Palatino Linotype" w:hAnsi="Palatino Linotype"/>
                <w:i/>
                <w:iCs/>
                <w:color w:val="000000" w:themeColor="text1"/>
                <w:sz w:val="20"/>
                <w:szCs w:val="20"/>
              </w:rPr>
              <w:t>et al.</w:t>
            </w:r>
            <w:r>
              <w:rPr>
                <w:rFonts w:ascii="Palatino Linotype" w:hAnsi="Palatino Linotype"/>
                <w:color w:val="000000" w:themeColor="text1"/>
                <w:sz w:val="20"/>
                <w:szCs w:val="20"/>
              </w:rPr>
              <w:t xml:space="preserve">, </w:t>
            </w:r>
            <w:r>
              <w:rPr>
                <w:rFonts w:ascii="Palatino Linotype" w:hAnsi="Palatino Linotype"/>
                <w:color w:val="000000" w:themeColor="text1"/>
                <w:sz w:val="20"/>
                <w:szCs w:val="20"/>
              </w:rPr>
              <w:fldChar w:fldCharType="begin" w:fldLock="1"/>
            </w:r>
            <w:r>
              <w:rPr>
                <w:rFonts w:ascii="Palatino Linotype" w:hAnsi="Palatino Linotype"/>
                <w:color w:val="000000" w:themeColor="text1"/>
                <w:sz w:val="20"/>
                <w:szCs w:val="20"/>
              </w:rPr>
              <w:instrText>ADDIN CSL_CITATION {"citationItems":[{"id":"ITEM-1","itemData":{"DOI":"10.1016/j.jaerosci.2005.03.015","ISSN":"00218502","abstract":"The total deposition of environmental tobacco smoke (ETS), diesel and petrol smoke in the respiratory tract of 14 non-smokers between the ages of 20 and 30 was determined experimentally. A scanning mobility particle sizer (SMPS) measuring a size range of 0.016-0.626μm was used to characterise the inhaled and exhaled aerosol during relaxed nasal breathing over a period of 10 min. The ETS, diesel, and petrol particles had average count median diameter (and geometric standard deviation) of 0.183μm (1.7), 0.125μm (1.7), and 0.069μm (1.7), respectively. The average total number deposition of ETS was 36% (standard deviation 10%), of diesel smoke 30% (standard deviation 9%), and of petrol smoke 41% (standard deviation 8%). The analysis of the deposition patterns as a function of particle size for the three aerosols in each individual showed that there is a significant difference between each aerosol for a majority of individuals (12 out of 14). This is an important result as it indicates that differences persist regardless of inter-subject variability. © 2005 Elsevier Ltd. All rights reserved.","author":[{"dropping-particle":"","family":"Morawska","given":"Lidia","non-dropping-particle":"","parse-names":false,"suffix":""},{"dropping-particle":"","family":"Hofmann","given":"Werner","non-dropping-particle":"","parse-names":false,"suffix":""},{"dropping-particle":"","family":"Hitchins-Loveday","given":"Jane","non-dropping-particle":"","parse-names":false,"suffix":""},{"dropping-particle":"","family":"Swanson","given":"Cheryl","non-dropping-particle":"","parse-names":false,"suffix":""},{"dropping-particle":"","family":"Mengersen","given":"Kerrie","non-dropping-particle":"","parse-names":false,"suffix":""}],"container-title":"Journal of Aerosol Science","id":"ITEM-1","issue":"8","issued":{"date-parts":[["2005"]]},"page":"939-957","title":"Experimental study of the deposition of combustion aerosols in the human respiratory tract","type":"article-journal","volume":"36"},"uris":["http://www.mendeley.com/documents/?uuid=b4df1468-9655-46a5-b6a9-cb5a5b59ac5d"]}],"mendeley":{"formattedCitation":"[3]","plainTextFormattedCitation":"[3]"},"properties":{"noteIndex":0},"schema":"https://github.com/citation-style-language/schema/raw/master/csl-citation.json"}</w:instrText>
            </w:r>
            <w:r>
              <w:rPr>
                <w:rFonts w:ascii="Palatino Linotype" w:hAnsi="Palatino Linotype"/>
                <w:color w:val="000000" w:themeColor="text1"/>
                <w:sz w:val="20"/>
                <w:szCs w:val="20"/>
              </w:rPr>
              <w:fldChar w:fldCharType="separate"/>
            </w:r>
            <w:r>
              <w:rPr>
                <w:rFonts w:ascii="Palatino Linotype" w:hAnsi="Palatino Linotype"/>
                <w:noProof/>
                <w:color w:val="000000" w:themeColor="text1"/>
                <w:sz w:val="20"/>
                <w:szCs w:val="20"/>
              </w:rPr>
              <w:t>[3]</w:t>
            </w:r>
            <w:r>
              <w:rPr>
                <w:rFonts w:ascii="Palatino Linotype" w:hAnsi="Palatino Linotype"/>
                <w:color w:val="000000" w:themeColor="text1"/>
                <w:sz w:val="20"/>
                <w:szCs w:val="20"/>
              </w:rPr>
              <w:fldChar w:fldCharType="end"/>
            </w:r>
          </w:p>
        </w:tc>
        <w:tc>
          <w:tcPr>
            <w:tcW w:w="1425"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Australia</w:t>
            </w:r>
          </w:p>
        </w:tc>
        <w:tc>
          <w:tcPr>
            <w:tcW w:w="1339"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8M/6F</w:t>
            </w:r>
          </w:p>
        </w:tc>
        <w:tc>
          <w:tcPr>
            <w:tcW w:w="2022" w:type="dxa"/>
          </w:tcPr>
          <w:p>
            <w:pPr>
              <w:tabs>
                <w:tab w:val="left" w:pos="952"/>
              </w:tabs>
              <w:rPr>
                <w:rFonts w:ascii="Palatino Linotype" w:hAnsi="Palatino Linotype"/>
                <w:color w:val="000000" w:themeColor="text1"/>
                <w:sz w:val="20"/>
                <w:szCs w:val="20"/>
              </w:rPr>
            </w:pPr>
            <w:r>
              <w:rPr>
                <w:rFonts w:ascii="Palatino Linotype" w:hAnsi="Palatino Linotype"/>
                <w:color w:val="000000" w:themeColor="text1"/>
                <w:sz w:val="20"/>
                <w:szCs w:val="20"/>
              </w:rPr>
              <w:t>20-30, Non-smoker</w:t>
            </w:r>
          </w:p>
        </w:tc>
        <w:tc>
          <w:tcPr>
            <w:tcW w:w="1936"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Combustion</w:t>
            </w:r>
          </w:p>
        </w:tc>
        <w:tc>
          <w:tcPr>
            <w:tcW w:w="3092"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Nose, Spontaneous</w:t>
            </w:r>
          </w:p>
        </w:tc>
        <w:tc>
          <w:tcPr>
            <w:tcW w:w="1948"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SMPS</w:t>
            </w:r>
          </w:p>
        </w:tc>
      </w:tr>
      <w:tr>
        <w:tc>
          <w:tcPr>
            <w:tcW w:w="2453"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 xml:space="preserve">Londahl </w:t>
            </w:r>
            <w:r>
              <w:rPr>
                <w:rFonts w:ascii="Palatino Linotype" w:hAnsi="Palatino Linotype"/>
                <w:i/>
                <w:iCs/>
                <w:color w:val="000000" w:themeColor="text1"/>
                <w:sz w:val="20"/>
                <w:szCs w:val="20"/>
              </w:rPr>
              <w:t>et al.</w:t>
            </w:r>
            <w:r>
              <w:rPr>
                <w:rFonts w:ascii="Palatino Linotype" w:hAnsi="Palatino Linotype"/>
                <w:color w:val="000000" w:themeColor="text1"/>
                <w:sz w:val="20"/>
                <w:szCs w:val="20"/>
              </w:rPr>
              <w:t xml:space="preserve">, </w:t>
            </w:r>
            <w:r>
              <w:rPr>
                <w:rFonts w:ascii="Palatino Linotype" w:hAnsi="Palatino Linotype"/>
                <w:color w:val="000000" w:themeColor="text1"/>
                <w:sz w:val="20"/>
                <w:szCs w:val="20"/>
              </w:rPr>
              <w:fldChar w:fldCharType="begin" w:fldLock="1"/>
            </w:r>
            <w:r>
              <w:rPr>
                <w:rFonts w:ascii="Palatino Linotype" w:hAnsi="Palatino Linotype"/>
                <w:color w:val="000000" w:themeColor="text1"/>
                <w:sz w:val="20"/>
                <w:szCs w:val="20"/>
              </w:rPr>
              <w:instrText>ADDIN CSL_CITATION {"citationItems":[{"id":"ITEM-1","itemData":{"DOI":"10.1016/j.jaerosci.2005.11.004","ISSN":"00218502","abstract":"Respiratory tract deposition data of ultrafine aerosol particles, hygroscopic particles and ambient particles in general are scarce. Measurements are associated with several difficulties. The objective of this work was to design a method for fast determination of highly size-resolved fine and ultrafine particle deposition, to be used on larger groups of human subjects in exposure studies and in typical ambient and indoor environments. The particle size distributions in dried samples of the inhaled and exhaled air are characterised with an electrical mobility spectrometer. A particle counter desmearing procedure reduces the spectrometer scan time. The precision and sensitivity of the method was tested for hygroscopic sodium chloride (NaCl) and hydrophobic Di-Ethyl-Hexyl-Sebacate (DEHS) aerosols in repeated identical experiments and experiments with different breathing frequencies on a single subject. The accuracy of the method was estimated by comparing results from three subjects with previous data obtained with monodisperse particles and with the well-established International Commission on Radiological Protection model (1994). Potential errors due to size shifts between the inhaled and exhaled samples and coagulation were simulated. The system has low losses in the studied particle size range (10-475 nm), typically 10% or less of the fraction deposited in the respiratory tract. Coagulation is noticeable at 105 cm- 3 but can be corrected for up to 5 × 105 cm- 3. The precision in the determined deposited fraction is 0.02-0.08. The method is sensitive enough to quantify differences between breathing patterns and differences between hygroscopic and hydrophobic aerosols. Our results for NaCl and DEHS are in agreement with the ICRP 66 model [International Commission on Radiological Protection. (1994). Human respiratory tract model for radiological protection (ICRP Publication 66). Oxford, UK: Elsevier Science], and also suggest that the relative humidity in the respiratory tract is close to 99.5%. A respiratory tract deposition measurement can be done in 15-30 min. Recommendations are given for field applications of the method. © 2005 Elsevier Ltd. All rights reserved.","author":[{"dropping-particle":"","family":"Löndahl","given":"Jakob","non-dropping-particle":"","parse-names":false,"suffix":""},{"dropping-particle":"","family":"Pagels","given":"Joakim","non-dropping-particle":"","parse-names":false,"suffix":""},{"dropping-particle":"","family":"Swietlicki","given":"Erik","non-dropping-particle":"","parse-names":false,"suffix":""},{"dropping-particle":"","family":"Zhou","given":"Jingchuan","non-dropping-particle":"","parse-names":false,"suffix":""},{"dropping-particle":"","family":"Ketzel","given":"Matthias","non-dropping-particle":"","parse-names":false,"suffix":""},{"dropping-particle":"","family":"Massling","given":"Andreas","non-dropping-particle":"","parse-names":false,"suffix":""},{"dropping-particle":"","family":"Bohgard","given":"Mats","non-dropping-particle":"","parse-names":false,"suffix":""}],"container-title":"Journal of Aerosol Science","id":"ITEM-1","issue":"9","issued":{"date-parts":[["2006"]]},"page":"1152-1163","title":"A set-up for field studies of respiratory tract deposition of fine and ultrafine particles in humans","type":"article-journal","volume":"37"},"uris":["http://www.mendeley.com/documents/?uuid=26c09eb2-2eb5-49cc-ab5f-ad05558d8782"]}],"mendeley":{"formattedCitation":"[4]","plainTextFormattedCitation":"[4]","previouslyFormattedCitation":"[3]"},"properties":{"noteIndex":0},"schema":"https://github.com/citation-style-language/schema/raw/master/csl-citation.json"}</w:instrText>
            </w:r>
            <w:r>
              <w:rPr>
                <w:rFonts w:ascii="Palatino Linotype" w:hAnsi="Palatino Linotype"/>
                <w:color w:val="000000" w:themeColor="text1"/>
                <w:sz w:val="20"/>
                <w:szCs w:val="20"/>
              </w:rPr>
              <w:fldChar w:fldCharType="separate"/>
            </w:r>
            <w:r>
              <w:rPr>
                <w:rFonts w:ascii="Palatino Linotype" w:hAnsi="Palatino Linotype"/>
                <w:noProof/>
                <w:color w:val="000000" w:themeColor="text1"/>
                <w:sz w:val="20"/>
                <w:szCs w:val="20"/>
              </w:rPr>
              <w:t>[4]</w:t>
            </w:r>
            <w:r>
              <w:rPr>
                <w:rFonts w:ascii="Palatino Linotype" w:hAnsi="Palatino Linotype"/>
                <w:color w:val="000000" w:themeColor="text1"/>
                <w:sz w:val="20"/>
                <w:szCs w:val="20"/>
              </w:rPr>
              <w:fldChar w:fldCharType="end"/>
            </w:r>
          </w:p>
        </w:tc>
        <w:tc>
          <w:tcPr>
            <w:tcW w:w="1425"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Sweden</w:t>
            </w:r>
          </w:p>
        </w:tc>
        <w:tc>
          <w:tcPr>
            <w:tcW w:w="1339"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3M</w:t>
            </w:r>
          </w:p>
        </w:tc>
        <w:tc>
          <w:tcPr>
            <w:tcW w:w="2022"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26-31, Healthy</w:t>
            </w:r>
          </w:p>
        </w:tc>
        <w:tc>
          <w:tcPr>
            <w:tcW w:w="1936"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NaCl; DEHS</w:t>
            </w:r>
          </w:p>
        </w:tc>
        <w:tc>
          <w:tcPr>
            <w:tcW w:w="3092"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Mouth Spontaneous</w:t>
            </w:r>
          </w:p>
        </w:tc>
        <w:tc>
          <w:tcPr>
            <w:tcW w:w="1948"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SMPS</w:t>
            </w:r>
          </w:p>
        </w:tc>
      </w:tr>
      <w:tr>
        <w:tc>
          <w:tcPr>
            <w:tcW w:w="2453"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 xml:space="preserve">Londahl </w:t>
            </w:r>
            <w:r>
              <w:rPr>
                <w:rFonts w:ascii="Palatino Linotype" w:hAnsi="Palatino Linotype"/>
                <w:i/>
                <w:iCs/>
                <w:color w:val="000000" w:themeColor="text1"/>
                <w:sz w:val="20"/>
                <w:szCs w:val="20"/>
              </w:rPr>
              <w:t>et al.</w:t>
            </w:r>
            <w:r>
              <w:rPr>
                <w:rFonts w:ascii="Palatino Linotype" w:hAnsi="Palatino Linotype"/>
                <w:color w:val="000000" w:themeColor="text1"/>
                <w:sz w:val="20"/>
                <w:szCs w:val="20"/>
              </w:rPr>
              <w:t xml:space="preserve">, </w:t>
            </w:r>
            <w:r>
              <w:rPr>
                <w:rFonts w:ascii="Palatino Linotype" w:hAnsi="Palatino Linotype"/>
                <w:color w:val="000000" w:themeColor="text1"/>
                <w:sz w:val="20"/>
                <w:szCs w:val="20"/>
              </w:rPr>
              <w:fldChar w:fldCharType="begin" w:fldLock="1"/>
            </w:r>
            <w:r>
              <w:rPr>
                <w:rFonts w:ascii="Palatino Linotype" w:hAnsi="Palatino Linotype"/>
                <w:color w:val="000000" w:themeColor="text1"/>
                <w:sz w:val="20"/>
                <w:szCs w:val="20"/>
              </w:rPr>
              <w:instrText>ADDIN CSL_CITATION {"citationItems":[{"id":"ITEM-1","itemData":{"DOI":"10.1080/08958370601051677","ISSN":"08958378","PMID":"17169858","abstract":"Airborne ultrafine particles (diameter &lt;100 nm) are ubiquitous in the environment and have been associated with adverse health effects. The respiratory-tract deposition of these particles is fundamentally influenced by their hygroscopicity: their ability to grow by condensation of water in the humid respiratory system. Ambient particles are typically hygroscopic, to varying degrees. This article investigates the influence of hygroscopicity, exercise level, gender, and intersubject variability on size-dependent deposition of fine and ultrafine particles during spontaneous breathing. Using a novel and well-characterized setup, respiratory-tract deposition in the range 12-320 nm has been measured for 29 healthy adults (20 men, 9 women). Each subject completed four sessions: rest and light exercise on an ergometer bicycle while inhaling both hydrophobic (diethylhexylsebacate) and hygroscopic (NaCl) particles. The deposited fraction (DF) based on dry diameters was two to four times higher for the hydrophobic ultrafine particles than for the hygroscopic. The DF of hygroscopic ultrafine particles could be estimated by calculating their equilibrium size at 99.5% relative humidity. The differences in average DF due to exercise level and gender were essentially less than 0.03. However, the minute ventilation increased fourfold during exercise and was 18-46% higher for the men than for the women. Consequently the deposited dose of particles was fourfold higher during exercise and considerably increased for the male subjects. Some individuals consistently had a high DF in all four sessions. As an example, the results show that an average person exposed to 100-nm hydrophobic particles during exercise will receive a 16 times higher dose than a relaxed person exposed to an equal amount of hygroscopic (NaCl) particles. Copyright © Informa Healthcare.","author":[{"dropping-particle":"","family":"Löndahl","given":"Jakob","non-dropping-particle":"","parse-names":false,"suffix":""},{"dropping-particle":"","family":"Massling","given":"Andreas","non-dropping-particle":"","parse-names":false,"suffix":""},{"dropping-particle":"","family":"Pagels","given":"Joakim","non-dropping-particle":"","parse-names":false,"suffix":""},{"dropping-particle":"","family":"Swietlicki","given":"Erik","non-dropping-particle":"","parse-names":false,"suffix":""},{"dropping-particle":"","family":"Vaclavik","given":"Elvira","non-dropping-particle":"","parse-names":false,"suffix":""},{"dropping-particle":"","family":"Loft","given":"Steffen","non-dropping-particle":"","parse-names":false,"suffix":""}],"container-title":"Inhalation Toxicology","id":"ITEM-1","issue":"2","issued":{"date-parts":[["2007"]]},"page":"109-116","title":"Size-resolved respiratory-tract deposition of fine and ultrafine hydrophobic and hygroscopic aerosol particles during rest and exercise","type":"article-journal","volume":"19"},"uris":["http://www.mendeley.com/documents/?uuid=bd3a221c-b421-41c7-91f5-b15678119ea4"]}],"mendeley":{"formattedCitation":"[5]","plainTextFormattedCitation":"[5]","previouslyFormattedCitation":"[4]"},"properties":{"noteIndex":0},"schema":"https://github.com/citation-style-language/schema/raw/master/csl-citation.json"}</w:instrText>
            </w:r>
            <w:r>
              <w:rPr>
                <w:rFonts w:ascii="Palatino Linotype" w:hAnsi="Palatino Linotype"/>
                <w:color w:val="000000" w:themeColor="text1"/>
                <w:sz w:val="20"/>
                <w:szCs w:val="20"/>
              </w:rPr>
              <w:fldChar w:fldCharType="separate"/>
            </w:r>
            <w:r>
              <w:rPr>
                <w:rFonts w:ascii="Palatino Linotype" w:hAnsi="Palatino Linotype"/>
                <w:noProof/>
                <w:color w:val="000000" w:themeColor="text1"/>
                <w:sz w:val="20"/>
                <w:szCs w:val="20"/>
              </w:rPr>
              <w:t>[5]</w:t>
            </w:r>
            <w:r>
              <w:rPr>
                <w:rFonts w:ascii="Palatino Linotype" w:hAnsi="Palatino Linotype"/>
                <w:color w:val="000000" w:themeColor="text1"/>
                <w:sz w:val="20"/>
                <w:szCs w:val="20"/>
              </w:rPr>
              <w:fldChar w:fldCharType="end"/>
            </w:r>
          </w:p>
        </w:tc>
        <w:tc>
          <w:tcPr>
            <w:tcW w:w="1425"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Sweden</w:t>
            </w:r>
          </w:p>
        </w:tc>
        <w:tc>
          <w:tcPr>
            <w:tcW w:w="1339"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19M/9F</w:t>
            </w:r>
          </w:p>
        </w:tc>
        <w:tc>
          <w:tcPr>
            <w:tcW w:w="2022"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23-34, Healthy</w:t>
            </w:r>
          </w:p>
        </w:tc>
        <w:tc>
          <w:tcPr>
            <w:tcW w:w="1936"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NaCl; DEHS</w:t>
            </w:r>
          </w:p>
        </w:tc>
        <w:tc>
          <w:tcPr>
            <w:tcW w:w="3092"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Mouth Spontaneous</w:t>
            </w:r>
          </w:p>
        </w:tc>
        <w:tc>
          <w:tcPr>
            <w:tcW w:w="1948"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SMPS</w:t>
            </w:r>
          </w:p>
        </w:tc>
      </w:tr>
      <w:tr>
        <w:tc>
          <w:tcPr>
            <w:tcW w:w="2453"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 xml:space="preserve">Londahl </w:t>
            </w:r>
            <w:r>
              <w:rPr>
                <w:rFonts w:ascii="Palatino Linotype" w:hAnsi="Palatino Linotype"/>
                <w:i/>
                <w:iCs/>
                <w:color w:val="000000" w:themeColor="text1"/>
                <w:sz w:val="20"/>
                <w:szCs w:val="20"/>
              </w:rPr>
              <w:t>et al.</w:t>
            </w:r>
            <w:r>
              <w:rPr>
                <w:rFonts w:ascii="Palatino Linotype" w:hAnsi="Palatino Linotype"/>
                <w:color w:val="000000" w:themeColor="text1"/>
                <w:sz w:val="20"/>
                <w:szCs w:val="20"/>
              </w:rPr>
              <w:t xml:space="preserve">, </w:t>
            </w:r>
            <w:r>
              <w:rPr>
                <w:rFonts w:ascii="Palatino Linotype" w:hAnsi="Palatino Linotype"/>
                <w:color w:val="000000" w:themeColor="text1"/>
                <w:sz w:val="20"/>
                <w:szCs w:val="20"/>
              </w:rPr>
              <w:fldChar w:fldCharType="begin" w:fldLock="1"/>
            </w:r>
            <w:r>
              <w:rPr>
                <w:rFonts w:ascii="Palatino Linotype" w:hAnsi="Palatino Linotype"/>
                <w:color w:val="000000" w:themeColor="text1"/>
                <w:sz w:val="20"/>
                <w:szCs w:val="20"/>
              </w:rPr>
              <w:instrText>ADDIN CSL_CITATION {"citationItems":[{"id":"ITEM-1","itemData":{"DOI":"10.1080/08958370802087124","ISBN":"0895837080208","ISSN":"08958378","PMID":"18668412","abstract":"Smoke from biomass combustion has been identified as a major environmental risk factor associated with adverse health effects globally. Deposition of the smoke particles in the lungs is a crucial factor for toxicological effects, but has not previously been studied experimentally. We investigated the size-dependent respiratory-tract deposition of aerosol particles from wood combustion in humans. Two combustion conditions were studied in a wood pellet burner: efficient (\"complete\") combustion and low-temperature (incomplete) combustion simulating \"wood smoke.\" The size-dependent deposition fraction of 15-to 680-nm particles was measured for 10 healthy subjects with a novel setup. Both aerosols were extensively characterized with regard to chemical and physical particle properties. The deposition was additionally estimated with the ICRP model, modified for the determined aerosol properties, in order to validate the experiments and allow a generalization of the results. The measured total deposited fraction of particles from both efficient combustion and low-temperature combustion was 0.21-0.24 by number, surface, and mass. The deposition behavior can be explained by the size distributions of the particles and by their ability to grow by water uptake in the lungs, where the relative humidity is close to saturation. The experiments were in basic agreement with the model calculations. Our findings illustrate: (1) that particles from biomass combustion obtain a size in the respiratory tract at which the deposition probability is close to its minimum, (2) that particle water absorption has substantial impact on deposition, and (3) that deposition is markedly influenced by individual factors. Copyright © Informa UK Ltd.","author":[{"dropping-particle":"","family":"Londahl","given":"Jakob","non-dropping-particle":"","parse-names":false,"suffix":""},{"dropping-particle":"","family":"Pagels","given":"Joakim","non-dropping-particle":"","parse-names":false,"suffix":""},{"dropping-particle":"","family":"Boman","given":"Christoffer","non-dropping-particle":"","parse-names":false,"suffix":""},{"dropping-particle":"","family":"Swietlicki","given":"Erik","non-dropping-particle":"","parse-names":false,"suffix":""},{"dropping-particle":"","family":"Massling","given":"Andreas","non-dropping-particle":"","parse-names":false,"suffix":""},{"dropping-particle":"","family":"Rissler","given":"Jenny","non-dropping-particle":"","parse-names":false,"suffix":""},{"dropping-particle":"","family":"Blomberg","given":"Anders","non-dropping-particle":"","parse-names":false,"suffix":""},{"dropping-particle":"","family":"Bohgard","given":"Mats","non-dropping-particle":"","parse-names":false,"suffix":""},{"dropping-particle":"","family":"Sandstrom","given":"Thomas","non-dropping-particle":"","parse-names":false,"suffix":""}],"container-title":"Inhalation Toxicology","id":"ITEM-1","issue":"10","issued":{"date-parts":[["2008"]]},"page":"923-933","title":"Deposition of biomass combustion aerosol particles in the human respiratory tract","type":"article-journal","volume":"20"},"uris":["http://www.mendeley.com/documents/?uuid=a630f294-123a-41da-a1ac-349ed211a485"]}],"mendeley":{"formattedCitation":"[6]","plainTextFormattedCitation":"[6]","previouslyFormattedCitation":"[5]"},"properties":{"noteIndex":0},"schema":"https://github.com/citation-style-language/schema/raw/master/csl-citation.json"}</w:instrText>
            </w:r>
            <w:r>
              <w:rPr>
                <w:rFonts w:ascii="Palatino Linotype" w:hAnsi="Palatino Linotype"/>
                <w:color w:val="000000" w:themeColor="text1"/>
                <w:sz w:val="20"/>
                <w:szCs w:val="20"/>
              </w:rPr>
              <w:fldChar w:fldCharType="separate"/>
            </w:r>
            <w:r>
              <w:rPr>
                <w:rFonts w:ascii="Palatino Linotype" w:hAnsi="Palatino Linotype"/>
                <w:noProof/>
                <w:color w:val="000000" w:themeColor="text1"/>
                <w:sz w:val="20"/>
                <w:szCs w:val="20"/>
              </w:rPr>
              <w:t>[6]</w:t>
            </w:r>
            <w:r>
              <w:rPr>
                <w:rFonts w:ascii="Palatino Linotype" w:hAnsi="Palatino Linotype"/>
                <w:color w:val="000000" w:themeColor="text1"/>
                <w:sz w:val="20"/>
                <w:szCs w:val="20"/>
              </w:rPr>
              <w:fldChar w:fldCharType="end"/>
            </w:r>
          </w:p>
        </w:tc>
        <w:tc>
          <w:tcPr>
            <w:tcW w:w="1425"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Sweden</w:t>
            </w:r>
          </w:p>
        </w:tc>
        <w:tc>
          <w:tcPr>
            <w:tcW w:w="1339"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4M/6F</w:t>
            </w:r>
          </w:p>
        </w:tc>
        <w:tc>
          <w:tcPr>
            <w:tcW w:w="2022"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21-31, Healthy</w:t>
            </w:r>
          </w:p>
        </w:tc>
        <w:tc>
          <w:tcPr>
            <w:tcW w:w="1936" w:type="dxa"/>
          </w:tcPr>
          <w:p>
            <w:pPr>
              <w:rPr>
                <w:rFonts w:ascii="Palatino Linotype" w:hAnsi="Palatino Linotype"/>
                <w:color w:val="000000" w:themeColor="text1"/>
                <w:sz w:val="20"/>
                <w:szCs w:val="20"/>
              </w:rPr>
            </w:pPr>
            <w:r>
              <w:rPr>
                <w:rFonts w:ascii="Palatino Linotype" w:hAnsi="Palatino Linotype"/>
                <w:color w:val="000000" w:themeColor="text1"/>
                <w:sz w:val="20"/>
                <w:szCs w:val="20"/>
              </w:rPr>
              <w:t>Biomass combustion; DEHS</w:t>
            </w:r>
          </w:p>
        </w:tc>
        <w:tc>
          <w:tcPr>
            <w:tcW w:w="3092"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Mouth Spontaneous</w:t>
            </w:r>
          </w:p>
        </w:tc>
        <w:tc>
          <w:tcPr>
            <w:tcW w:w="1948"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SMPS</w:t>
            </w:r>
          </w:p>
        </w:tc>
      </w:tr>
      <w:tr>
        <w:tc>
          <w:tcPr>
            <w:tcW w:w="2453"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 xml:space="preserve">Londahl </w:t>
            </w:r>
            <w:r>
              <w:rPr>
                <w:rFonts w:ascii="Palatino Linotype" w:hAnsi="Palatino Linotype"/>
                <w:i/>
                <w:iCs/>
                <w:color w:val="000000" w:themeColor="text1"/>
                <w:sz w:val="20"/>
                <w:szCs w:val="20"/>
              </w:rPr>
              <w:t>et al.</w:t>
            </w:r>
            <w:r>
              <w:rPr>
                <w:rFonts w:ascii="Palatino Linotype" w:hAnsi="Palatino Linotype"/>
                <w:color w:val="000000" w:themeColor="text1"/>
                <w:sz w:val="20"/>
                <w:szCs w:val="20"/>
              </w:rPr>
              <w:t xml:space="preserve">, </w:t>
            </w:r>
            <w:r>
              <w:rPr>
                <w:rFonts w:ascii="Palatino Linotype" w:hAnsi="Palatino Linotype"/>
                <w:color w:val="000000" w:themeColor="text1"/>
                <w:sz w:val="20"/>
                <w:szCs w:val="20"/>
              </w:rPr>
              <w:fldChar w:fldCharType="begin" w:fldLock="1"/>
            </w:r>
            <w:r>
              <w:rPr>
                <w:rFonts w:ascii="Palatino Linotype" w:hAnsi="Palatino Linotype"/>
                <w:color w:val="000000" w:themeColor="text1"/>
                <w:sz w:val="20"/>
                <w:szCs w:val="20"/>
              </w:rPr>
              <w:instrText>ADDIN CSL_CITATION {"citationItems":[{"id":"ITEM-1","itemData":{"DOI":"10.1021/es803029b","ISSN":"0013936X","PMID":"19673248","abstract":"Traffic is one of the major sources of harmful airborne particles worldwide. To relate exposure to adverse health effects it is important to determine the deposition probability of the inhaled particles in the human respiratory tract. The size-dependent deposition of 12-580 nm particles was measured with a novel setup in 9 healthy subjects breathing by mouth on the windward side of a busy street in Copenhagen, Denmark. The aerosol was characterized both at the curbside and, to obtain the background concentration, at rooftop level. Particle hygroscopicity, a key parameter affecting respiratory tract deposition, was also measured at the same time of exposure. The total deposition fraction of the curbside particles in the range 12-580 nm was 0.60 by number, 0.29 by surface area, and 0.23 by mass. The deposition fractions of the \"traffic exhaust\" contribution, calculated as the hydrophobic fraction of the curbside particles, was 0.68, 0.35, and 0.28 by number, surface area, and mass, respectively. The deposited amount of traffic exhaust particles was 16 times higher by number and 3 times higher by surface area compared to the deposition of residential biofuel combustion particles investigated previously (equal inhaled mass concentrations). This was because the traffic exhaust particles had both a higher deposition probability and a higher number and surface area concentration per unit mass. To validate the results, the respiratory tract deposition was estimated by using the well-established ICRP model. Predictions were in agreement with experimental results when the effects of particle hygroscopicity were considered in the model. © 2009 American Chemical Society.","author":[{"dropping-particle":"","family":"Löndahl","given":"Jakob","non-dropping-particle":"","parse-names":false,"suffix":""},{"dropping-particle":"","family":"Massling","given":"Andreas","non-dropping-particle":"","parse-names":false,"suffix":""},{"dropping-particle":"","family":"Swietlicki","given":"Erik","non-dropping-particle":"","parse-names":false,"suffix":""},{"dropping-particle":"","family":"Bräuner","given":"Elvira Vaclavik","non-dropping-particle":"","parse-names":false,"suffix":""},{"dropping-particle":"","family":"Ketzel","given":"Matthias","non-dropping-particle":"","parse-names":false,"suffix":""},{"dropping-particle":"","family":"Pagels","given":"Joakim","non-dropping-particle":"","parse-names":false,"suffix":""},{"dropping-particle":"","family":"Loft","given":"Steffen","non-dropping-particle":"","parse-names":false,"suffix":""}],"container-title":"Environmental Science and Technology","id":"ITEM-1","issue":"13","issued":{"date-parts":[["2009"]]},"page":"4659-4664","title":"Experimentally determined human respiratory tract deposition of airborne particles at a busy street","type":"article-journal","volume":"43"},"uris":["http://www.mendeley.com/documents/?uuid=d8d51263-c57e-4153-b0ea-8571160b0b8c"]}],"mendeley":{"formattedCitation":"[7]","plainTextFormattedCitation":"[7]","previouslyFormattedCitation":"[6]"},"properties":{"noteIndex":0},"schema":"https://github.com/citation-style-language/schema/raw/master/csl-citation.json"}</w:instrText>
            </w:r>
            <w:r>
              <w:rPr>
                <w:rFonts w:ascii="Palatino Linotype" w:hAnsi="Palatino Linotype"/>
                <w:color w:val="000000" w:themeColor="text1"/>
                <w:sz w:val="20"/>
                <w:szCs w:val="20"/>
              </w:rPr>
              <w:fldChar w:fldCharType="separate"/>
            </w:r>
            <w:r>
              <w:rPr>
                <w:rFonts w:ascii="Palatino Linotype" w:hAnsi="Palatino Linotype"/>
                <w:noProof/>
                <w:color w:val="000000" w:themeColor="text1"/>
                <w:sz w:val="20"/>
                <w:szCs w:val="20"/>
              </w:rPr>
              <w:t>[7]</w:t>
            </w:r>
            <w:r>
              <w:rPr>
                <w:rFonts w:ascii="Palatino Linotype" w:hAnsi="Palatino Linotype"/>
                <w:color w:val="000000" w:themeColor="text1"/>
                <w:sz w:val="20"/>
                <w:szCs w:val="20"/>
              </w:rPr>
              <w:fldChar w:fldCharType="end"/>
            </w:r>
          </w:p>
        </w:tc>
        <w:tc>
          <w:tcPr>
            <w:tcW w:w="1425"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Sweden</w:t>
            </w:r>
          </w:p>
        </w:tc>
        <w:tc>
          <w:tcPr>
            <w:tcW w:w="1339"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5M/4F</w:t>
            </w:r>
          </w:p>
        </w:tc>
        <w:tc>
          <w:tcPr>
            <w:tcW w:w="2022"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21-38, Healthy</w:t>
            </w:r>
          </w:p>
        </w:tc>
        <w:tc>
          <w:tcPr>
            <w:tcW w:w="1936"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Street</w:t>
            </w:r>
          </w:p>
        </w:tc>
        <w:tc>
          <w:tcPr>
            <w:tcW w:w="3092"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Mouth, Spontaneous</w:t>
            </w:r>
          </w:p>
        </w:tc>
        <w:tc>
          <w:tcPr>
            <w:tcW w:w="1948"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SMPS</w:t>
            </w:r>
          </w:p>
        </w:tc>
      </w:tr>
      <w:tr>
        <w:tc>
          <w:tcPr>
            <w:tcW w:w="2453"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 xml:space="preserve">Jakobsson </w:t>
            </w:r>
            <w:r>
              <w:rPr>
                <w:rFonts w:ascii="Palatino Linotype" w:hAnsi="Palatino Linotype"/>
                <w:i/>
                <w:iCs/>
                <w:color w:val="000000" w:themeColor="text1"/>
                <w:sz w:val="20"/>
                <w:szCs w:val="20"/>
              </w:rPr>
              <w:t>et al.</w:t>
            </w:r>
            <w:r>
              <w:rPr>
                <w:rFonts w:ascii="Palatino Linotype" w:hAnsi="Palatino Linotype"/>
                <w:color w:val="000000" w:themeColor="text1"/>
                <w:sz w:val="20"/>
                <w:szCs w:val="20"/>
              </w:rPr>
              <w:t xml:space="preserve">, </w:t>
            </w:r>
            <w:r>
              <w:rPr>
                <w:rFonts w:ascii="Palatino Linotype" w:hAnsi="Palatino Linotype"/>
                <w:color w:val="000000" w:themeColor="text1"/>
                <w:sz w:val="20"/>
                <w:szCs w:val="20"/>
              </w:rPr>
              <w:fldChar w:fldCharType="begin" w:fldLock="1"/>
            </w:r>
            <w:r>
              <w:rPr>
                <w:rFonts w:ascii="Palatino Linotype" w:hAnsi="Palatino Linotype"/>
                <w:color w:val="000000" w:themeColor="text1"/>
                <w:sz w:val="20"/>
                <w:szCs w:val="20"/>
              </w:rPr>
              <w:instrText>ADDIN CSL_CITATION {"citationItems":[{"id":"ITEM-1","itemData":{"DOI":"10.1038/srep36147","ISSN":"20452322","PMID":"27819335","abstract":"Assessment of respiratory tract deposition of nanoparticles is a key link to understanding their health impacts. An instrument was developed to measure respiratory tract deposition of nanoparticles in a single breath. Monodisperse nanoparticles are generated, inhaled and sampled from a determined volumetric lung depth after a controlled residence time in the lung. The instrument was characterized for sensitivity to inter-subject variability, particle size (22, 50, 75 and 100 nm) and breath-holding time (3-20 s) in a group of seven healthy subjects. The measured particle recovery had an inter-subject variability 26-50 times larger than the measurement uncertainty and the results for various particle sizes and breath-holding times were in accordance with the theory for Brownian diffusion and values calculated from the Multiple-Path Particle Dosimetry model. The recovery was found to be determined by residence time and particle size, while respiratory flow-rate had minor importance in the studied range 1-10 L/s. The instrument will be used to investigate deposition of nanoparticles in patients with respiratory disease. The fast and precise measurement allows for both diagnostic applications, where the disease may be identified based on particle recovery, and for studies with controlled delivery of aerosol-based nanomedicine to specific regions of the lungs.","author":[{"dropping-particle":"","family":"Jakobsson","given":"Jonas K.F.","non-dropping-particle":"","parse-names":false,"suffix":""},{"dropping-particle":"","family":"Hedlund","given":"Johan","non-dropping-particle":"","parse-names":false,"suffix":""},{"dropping-particle":"","family":"Kumlin","given":"John","non-dropping-particle":"","parse-names":false,"suffix":""},{"dropping-particle":"","family":"Wollmer","given":"Per","non-dropping-particle":"","parse-names":false,"suffix":""},{"dropping-particle":"","family":"Löndahl","given":"Jakob","non-dropping-particle":"","parse-names":false,"suffix":""}],"container-title":"Scientific Reports","id":"ITEM-1","issue":"October","issued":{"date-parts":[["2016"]]},"page":"1-10","publisher":"Nature Publishing Group","title":"A new method for measuring lung deposition efficiency of airborne nanoparticles in a single breath","type":"article-journal","volume":"6"},"uris":["http://www.mendeley.com/documents/?uuid=2fc688c1-10cd-4d3a-ac6b-f047edc92cb4"]}],"mendeley":{"formattedCitation":"[8]","plainTextFormattedCitation":"[8]","previouslyFormattedCitation":"[7]"},"properties":{"noteIndex":0},"schema":"https://github.com/citation-style-language/schema/raw/master/csl-citation.json"}</w:instrText>
            </w:r>
            <w:r>
              <w:rPr>
                <w:rFonts w:ascii="Palatino Linotype" w:hAnsi="Palatino Linotype"/>
                <w:color w:val="000000" w:themeColor="text1"/>
                <w:sz w:val="20"/>
                <w:szCs w:val="20"/>
              </w:rPr>
              <w:fldChar w:fldCharType="separate"/>
            </w:r>
            <w:r>
              <w:rPr>
                <w:rFonts w:ascii="Palatino Linotype" w:hAnsi="Palatino Linotype"/>
                <w:noProof/>
                <w:color w:val="000000" w:themeColor="text1"/>
                <w:sz w:val="20"/>
                <w:szCs w:val="20"/>
              </w:rPr>
              <w:t>[8]</w:t>
            </w:r>
            <w:r>
              <w:rPr>
                <w:rFonts w:ascii="Palatino Linotype" w:hAnsi="Palatino Linotype"/>
                <w:color w:val="000000" w:themeColor="text1"/>
                <w:sz w:val="20"/>
                <w:szCs w:val="20"/>
              </w:rPr>
              <w:fldChar w:fldCharType="end"/>
            </w:r>
          </w:p>
        </w:tc>
        <w:tc>
          <w:tcPr>
            <w:tcW w:w="1425"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Sweden</w:t>
            </w:r>
          </w:p>
        </w:tc>
        <w:tc>
          <w:tcPr>
            <w:tcW w:w="1339"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5M/2F</w:t>
            </w:r>
          </w:p>
        </w:tc>
        <w:tc>
          <w:tcPr>
            <w:tcW w:w="2022"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20-34, Healthy</w:t>
            </w:r>
          </w:p>
        </w:tc>
        <w:tc>
          <w:tcPr>
            <w:tcW w:w="1936"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PSL</w:t>
            </w:r>
          </w:p>
        </w:tc>
        <w:tc>
          <w:tcPr>
            <w:tcW w:w="3092"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Single breath</w:t>
            </w:r>
          </w:p>
        </w:tc>
        <w:tc>
          <w:tcPr>
            <w:tcW w:w="1948"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CPC</w:t>
            </w:r>
          </w:p>
        </w:tc>
      </w:tr>
      <w:tr>
        <w:tc>
          <w:tcPr>
            <w:tcW w:w="2453"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 xml:space="preserve">Rissler </w:t>
            </w:r>
            <w:r>
              <w:rPr>
                <w:rFonts w:ascii="Palatino Linotype" w:hAnsi="Palatino Linotype"/>
                <w:i/>
                <w:iCs/>
                <w:color w:val="000000" w:themeColor="text1"/>
                <w:sz w:val="20"/>
                <w:szCs w:val="20"/>
              </w:rPr>
              <w:t>et al.</w:t>
            </w:r>
            <w:r>
              <w:rPr>
                <w:rFonts w:ascii="Palatino Linotype" w:hAnsi="Palatino Linotype"/>
                <w:color w:val="000000" w:themeColor="text1"/>
                <w:sz w:val="20"/>
                <w:szCs w:val="20"/>
              </w:rPr>
              <w:t xml:space="preserve">, </w:t>
            </w:r>
            <w:r>
              <w:rPr>
                <w:rFonts w:ascii="Palatino Linotype" w:hAnsi="Palatino Linotype"/>
                <w:color w:val="000000" w:themeColor="text1"/>
                <w:sz w:val="20"/>
                <w:szCs w:val="20"/>
              </w:rPr>
              <w:fldChar w:fldCharType="begin" w:fldLock="1"/>
            </w:r>
            <w:r>
              <w:rPr>
                <w:rFonts w:ascii="Palatino Linotype" w:hAnsi="Palatino Linotype"/>
                <w:color w:val="000000" w:themeColor="text1"/>
                <w:sz w:val="20"/>
                <w:szCs w:val="20"/>
              </w:rPr>
              <w:instrText>ADDIN CSL_CITATION {"citationItems":[{"id":"ITEM-1","itemData":{"DOI":"10.4209/aaqr.2016.09.0425","ISSN":"20711409","abstract":"Exposure to airborne particulate matter is associated with a number of negative health effects ranging from respiratory diseases to systemic effects and cancer. One important factor for understanding the health effects is the individual variation in the respiratory tract deposition of inhaled particles. In this study, we describe an experimental set-up for size-resolved measurements of the lung deposited fraction of airborne particles, covering the diameter range from 15 to 5000 nm. The set-up includes a system for generating a stable aerosol with a sufficiently broad size distribution. We used a scanning mobility particle sizer and an aerodynamic particle sizer to determine particle number and size. The set-up was used to investigate individual differences in the deposition fraction (DF) of particles in the respiratory tract for a group of 67 subjects of both sexes aged 7–70 years. The measured DF was applied to two model aerosols, one representing an urban environment and one a rural environment, and the particle deposition rates were derived (i.e., the deposited amount of particles per unit time). Furthermore, the deposition rates were normalized to lung surface area and body mass – two dose measures that are considered relevant for the health effects of airborne particles. In addition to validation of the set-up, we show that there is a large individual variation in DF, with some subjects having a DF that is more than twice as high as that of others. Although we observe differences in the DF between different subgroups, most individual variation was explained neither by age nor by gender. When normalizing the deposition rates to lung surface area or body mass, the deposition rates of children become significantly higher than those of adults. Furthermore, the individual variability is larger for the lung surface area or body mass normalized deposition rates than for DF.","author":[{"dropping-particle":"","family":"Rissler","given":"Jenny","non-dropping-particle":"","parse-names":false,"suffix":""},{"dropping-particle":"","family":"Nicklasson","given":"Hanna","non-dropping-particle":"","parse-names":false,"suffix":""},{"dropping-particle":"","family":"Gudmundsson","given":"Anders","non-dropping-particle":"","parse-names":false,"suffix":""},{"dropping-particle":"","family":"Wollmer","given":"Per","non-dropping-particle":"","parse-names":false,"suffix":""},{"dropping-particle":"","family":"Swietlicki","given":"Erik","non-dropping-particle":"","parse-names":false,"suffix":""},{"dropping-particle":"","family":"Löndahl","given":"Jakob","non-dropping-particle":"","parse-names":false,"suffix":""}],"container-title":"Aerosol and Air Quality Research","id":"ITEM-1","issue":"5","issued":{"date-parts":[["2017"]]},"page":"1244-1255","title":"A set-up for respiratory tract deposition efficiency measurements (15–5000 nm) and first results for a group of children and adults","type":"article-journal","volume":"17"},"uris":["http://www.mendeley.com/documents/?uuid=9feb958b-23bd-447e-8093-9b11e19799ab"]}],"mendeley":{"formattedCitation":"[9]","plainTextFormattedCitation":"[9]","previouslyFormattedCitation":"[8]"},"properties":{"noteIndex":0},"schema":"https://github.com/citation-style-language/schema/raw/master/csl-citation.json"}</w:instrText>
            </w:r>
            <w:r>
              <w:rPr>
                <w:rFonts w:ascii="Palatino Linotype" w:hAnsi="Palatino Linotype"/>
                <w:color w:val="000000" w:themeColor="text1"/>
                <w:sz w:val="20"/>
                <w:szCs w:val="20"/>
              </w:rPr>
              <w:fldChar w:fldCharType="separate"/>
            </w:r>
            <w:r>
              <w:rPr>
                <w:rFonts w:ascii="Palatino Linotype" w:hAnsi="Palatino Linotype"/>
                <w:noProof/>
                <w:color w:val="000000" w:themeColor="text1"/>
                <w:sz w:val="20"/>
                <w:szCs w:val="20"/>
              </w:rPr>
              <w:t>[9]</w:t>
            </w:r>
            <w:r>
              <w:rPr>
                <w:rFonts w:ascii="Palatino Linotype" w:hAnsi="Palatino Linotype"/>
                <w:color w:val="000000" w:themeColor="text1"/>
                <w:sz w:val="20"/>
                <w:szCs w:val="20"/>
              </w:rPr>
              <w:fldChar w:fldCharType="end"/>
            </w:r>
          </w:p>
        </w:tc>
        <w:tc>
          <w:tcPr>
            <w:tcW w:w="1425"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Sweden</w:t>
            </w:r>
          </w:p>
        </w:tc>
        <w:tc>
          <w:tcPr>
            <w:tcW w:w="1339"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25M/35F</w:t>
            </w:r>
          </w:p>
        </w:tc>
        <w:tc>
          <w:tcPr>
            <w:tcW w:w="2022"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7-70, Healthy</w:t>
            </w:r>
          </w:p>
        </w:tc>
        <w:tc>
          <w:tcPr>
            <w:tcW w:w="1936" w:type="dxa"/>
          </w:tcPr>
          <w:p>
            <w:pPr>
              <w:rPr>
                <w:rFonts w:ascii="Palatino Linotype" w:hAnsi="Palatino Linotype"/>
                <w:color w:val="000000" w:themeColor="text1"/>
                <w:sz w:val="20"/>
                <w:szCs w:val="20"/>
              </w:rPr>
            </w:pPr>
            <w:r>
              <w:rPr>
                <w:rFonts w:ascii="Palatino Linotype" w:hAnsi="Palatino Linotype"/>
                <w:color w:val="000000" w:themeColor="text1"/>
                <w:sz w:val="20"/>
                <w:szCs w:val="20"/>
              </w:rPr>
              <w:t>Carnuba wax particles, glass particles</w:t>
            </w:r>
          </w:p>
        </w:tc>
        <w:tc>
          <w:tcPr>
            <w:tcW w:w="3092"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Mouth, Spontaneous</w:t>
            </w:r>
          </w:p>
        </w:tc>
        <w:tc>
          <w:tcPr>
            <w:tcW w:w="1948"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SMPS, APS</w:t>
            </w:r>
          </w:p>
        </w:tc>
      </w:tr>
      <w:tr>
        <w:tc>
          <w:tcPr>
            <w:tcW w:w="2453"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 xml:space="preserve">Lin </w:t>
            </w:r>
            <w:r>
              <w:rPr>
                <w:rFonts w:ascii="Palatino Linotype" w:hAnsi="Palatino Linotype"/>
                <w:i/>
                <w:iCs/>
                <w:color w:val="000000" w:themeColor="text1"/>
                <w:sz w:val="20"/>
                <w:szCs w:val="20"/>
              </w:rPr>
              <w:t>et al.</w:t>
            </w:r>
            <w:r>
              <w:rPr>
                <w:rFonts w:ascii="Palatino Linotype" w:hAnsi="Palatino Linotype"/>
                <w:color w:val="000000" w:themeColor="text1"/>
                <w:sz w:val="20"/>
                <w:szCs w:val="20"/>
              </w:rPr>
              <w:t xml:space="preserve">, </w:t>
            </w:r>
            <w:r>
              <w:rPr>
                <w:rFonts w:ascii="Palatino Linotype" w:hAnsi="Palatino Linotype"/>
                <w:color w:val="000000" w:themeColor="text1"/>
                <w:sz w:val="20"/>
                <w:szCs w:val="20"/>
              </w:rPr>
              <w:fldChar w:fldCharType="begin" w:fldLock="1"/>
            </w:r>
            <w:r>
              <w:rPr>
                <w:rFonts w:ascii="Palatino Linotype" w:hAnsi="Palatino Linotype"/>
                <w:color w:val="000000" w:themeColor="text1"/>
                <w:sz w:val="20"/>
                <w:szCs w:val="20"/>
              </w:rPr>
              <w:instrText>ADDIN CSL_CITATION {"citationItems":[{"id":"ITEM-1","itemData":{"DOI":"10.4209/aaqr.2018.06.0213","ISBN":"8862239386","ISSN":"20711409","abstract":"Inhalation is the most important route of entry for aerosol particles. Deposition in the respiratory tract is affected by many factors, such as particle size, shape, charge, density, breathing pattern and physical tract structure. However, most of the currently available lung deposition data are on Caucasians, with very limited data on Taiwanese. Therefore, it is essential to clarify whether there is a significant difference in respiratory tract deposition between Caucasian and Taiwanese individuals. This work is thus aimed at characterizing regional lung deposition in Taiwanese. A rapid method of measuring regional lung deposition was employed in the present study. The experimental system consisted of an aerosol chamber, a mouthpiece, a pneumotachograph flow meter, and a particle counter. A cylinder-piston type breathing machine was used to generate a series of “standard” breathing patterns for subjects to follow. In addition to oral breathing, nasal breathing was also conducted. A special respirator was employed to facilitate measurements of the nasal route deposition. The regional lung deposition data obtained in this work showed good agreement with previous studies based on the bolus technique, indicating that the difference in lung deposition between Taiwanese and Caucasian individuals is negligible. The local deposition efficiency increased with the penetration volume. This increased trend was particularly prominent in the deep lungs, which was likely due to the dilution effect caused by the relatively clean air in the functional residual capacity. When a fixed fraction of the forced vital capacity was used to replace the fixed tidal volume, the total lung deposition became less dependent on the tidal volume. Primarily due to nostril hairs and the complex configuration of the nasal turbinate, the local deposition efficiency of the nasal route was higher than that of the oral route but only in the early stage of penetration (200 mL).","author":[{"dropping-particle":"","family":"Lin","given":"Chih Wei","non-dropping-particle":"","parse-names":false,"suffix":""},{"dropping-particle":"","family":"Huang","given":"Sheng Hsiu","non-dropping-particle":"","parse-names":false,"suffix":""},{"dropping-particle":"","family":"Chang","given":"Kuang Nan","non-dropping-particle":"","parse-names":false,"suffix":""},{"dropping-particle":"","family":"Kuo","given":"Yu Mei","non-dropping-particle":"","parse-names":false,"suffix":""},{"dropping-particle":"","family":"Wu","given":"Huey Dong","non-dropping-particle":"","parse-names":false,"suffix":""},{"dropping-particle":"","family":"Lai","given":"Chane Yu","non-dropping-particle":"","parse-names":false,"suffix":""},{"dropping-particle":"","family":"Chen","given":"Chih Chieh","non-dropping-particle":"","parse-names":false,"suffix":""}],"container-title":"Aerosol and Air Quality Research","id":"ITEM-1","issue":"4","issued":{"date-parts":[["2019"]]},"page":"832-839","title":"Experimental measurements of regional lung deposition in taiwanese","type":"article-journal","volume":"19"},"uris":["http://www.mendeley.com/documents/?uuid=ff04c7c0-c2cf-4342-a793-5ef6a7637b33"]}],"mendeley":{"formattedCitation":"[10]","plainTextFormattedCitation":"[10]","previouslyFormattedCitation":"[9]"},"properties":{"noteIndex":0},"schema":"https://github.com/citation-style-language/schema/raw/master/csl-citation.json"}</w:instrText>
            </w:r>
            <w:r>
              <w:rPr>
                <w:rFonts w:ascii="Palatino Linotype" w:hAnsi="Palatino Linotype"/>
                <w:color w:val="000000" w:themeColor="text1"/>
                <w:sz w:val="20"/>
                <w:szCs w:val="20"/>
              </w:rPr>
              <w:fldChar w:fldCharType="separate"/>
            </w:r>
            <w:r>
              <w:rPr>
                <w:rFonts w:ascii="Palatino Linotype" w:hAnsi="Palatino Linotype"/>
                <w:noProof/>
                <w:color w:val="000000" w:themeColor="text1"/>
                <w:sz w:val="20"/>
                <w:szCs w:val="20"/>
              </w:rPr>
              <w:t>[10]</w:t>
            </w:r>
            <w:r>
              <w:rPr>
                <w:rFonts w:ascii="Palatino Linotype" w:hAnsi="Palatino Linotype"/>
                <w:color w:val="000000" w:themeColor="text1"/>
                <w:sz w:val="20"/>
                <w:szCs w:val="20"/>
              </w:rPr>
              <w:fldChar w:fldCharType="end"/>
            </w:r>
          </w:p>
        </w:tc>
        <w:tc>
          <w:tcPr>
            <w:tcW w:w="1425"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Taiwan</w:t>
            </w:r>
          </w:p>
        </w:tc>
        <w:tc>
          <w:tcPr>
            <w:tcW w:w="1339"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10M/2F</w:t>
            </w:r>
          </w:p>
        </w:tc>
        <w:tc>
          <w:tcPr>
            <w:tcW w:w="2022"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22-37, Healthy</w:t>
            </w:r>
          </w:p>
        </w:tc>
        <w:tc>
          <w:tcPr>
            <w:tcW w:w="1936"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DEHS</w:t>
            </w:r>
          </w:p>
        </w:tc>
        <w:tc>
          <w:tcPr>
            <w:tcW w:w="3092"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Nose; Mouth</w:t>
            </w:r>
          </w:p>
        </w:tc>
        <w:tc>
          <w:tcPr>
            <w:tcW w:w="1948"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CPC</w:t>
            </w:r>
          </w:p>
        </w:tc>
      </w:tr>
      <w:tr>
        <w:tc>
          <w:tcPr>
            <w:tcW w:w="2453"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 xml:space="preserve">Madueno </w:t>
            </w:r>
            <w:r>
              <w:rPr>
                <w:rFonts w:ascii="Palatino Linotype" w:hAnsi="Palatino Linotype"/>
                <w:i/>
                <w:iCs/>
                <w:color w:val="000000" w:themeColor="text1"/>
                <w:sz w:val="20"/>
                <w:szCs w:val="20"/>
              </w:rPr>
              <w:t>et al.</w:t>
            </w:r>
            <w:r>
              <w:rPr>
                <w:rFonts w:ascii="Palatino Linotype" w:hAnsi="Palatino Linotype"/>
                <w:color w:val="000000" w:themeColor="text1"/>
                <w:sz w:val="20"/>
                <w:szCs w:val="20"/>
              </w:rPr>
              <w:t xml:space="preserve">, </w:t>
            </w:r>
            <w:r>
              <w:rPr>
                <w:rFonts w:ascii="Palatino Linotype" w:hAnsi="Palatino Linotype"/>
                <w:color w:val="000000" w:themeColor="text1"/>
                <w:sz w:val="20"/>
                <w:szCs w:val="20"/>
              </w:rPr>
              <w:fldChar w:fldCharType="begin" w:fldLock="1"/>
            </w:r>
            <w:r>
              <w:rPr>
                <w:rFonts w:ascii="Palatino Linotype" w:hAnsi="Palatino Linotype"/>
                <w:color w:val="000000" w:themeColor="text1"/>
                <w:sz w:val="20"/>
                <w:szCs w:val="20"/>
              </w:rPr>
              <w:instrText>ADDIN CSL_CITATION {"citationItems":[{"id":"ITEM-1","itemData":{"DOI":"10.1016/j.envpol.2019.02.021","ISSN":"18736424","PMID":"30802743","abstract":"In this study, we present the development of a mobile system to measure real-world total respiratory tract deposition of inhaled ambient black carbon (BC). Such information can be used to supplement the existing knowledge on air pollution-related health effects, especially in the regions where the use of standard methods and intricate instrumentation is limited. The study is divided in two parts. Firstly, we present the design of portable system and methodology to evaluate the exhaled air BC content. We demonstrate that under real-world conditions, the proposed system exhibit negligible particle losses, and can additionally be used to determine the minute ventilation. Secondly, exemplary experimental data from the system is presented. A feasibility study was conducted in the city of La Paz, Bolivia. In a pilot experiment, we found that the cumulative total respiratory tract deposition dose over 1-h commuting trip would result in approximately 2.6 μg of BC. This is up to 5 times lower than the values obtained from conjectural approach (e.g. using physical parameters from previously reported worksheets). Measured total respiratory tract deposited BC fraction varied from 39% to 48% during walking and commuting inside a micro-bus, respectively. To the best of our knowledge, no studies focusing on experimental determination of real-world deposition dose of BC have been performed in developing regions. This can be especially important because the BC mass concentration is significant and determines a large fraction of particle mass concentration. In this work, we propose a potential method, recommendations, as well as the limitations in establishing an easy and relatively cheap way to estimate the respiratory tract deposition of BC. In this study we present a novel method to measure real-world respiratory tract deposition dose of Black Carbon. Results from a pilot study in La Paz, Bolivia, are presented.","author":[{"dropping-particle":"","family":"Madueño","given":"Leizel","non-dropping-particle":"","parse-names":false,"suffix":""},{"dropping-particle":"","family":"Kecorius","given":"Simonas","non-dropping-particle":"","parse-names":false,"suffix":""},{"dropping-particle":"","family":"Löndahl","given":"Jakob","non-dropping-particle":"","parse-names":false,"suffix":""},{"dropping-particle":"","family":"Müller","given":"Thomas","non-dropping-particle":"","parse-names":false,"suffix":""},{"dropping-particle":"","family":"Pfeifer","given":"Sascha","non-dropping-particle":"","parse-names":false,"suffix":""},{"dropping-particle":"","family":"Haudek","given":"Andrea","non-dropping-particle":"","parse-names":false,"suffix":""},{"dropping-particle":"","family":"Mardoñez","given":"Valeria","non-dropping-particle":"","parse-names":false,"suffix":""},{"dropping-particle":"","family":"Wiedensohler","given":"Alfred","non-dropping-particle":"","parse-names":false,"suffix":""}],"container-title":"Environmental Pollution","id":"ITEM-1","issued":{"date-parts":[["2019"]]},"page":"295-303","title":"A new method to measure real-world respiratory tract deposition of inhaled ambient black carbon","type":"article-journal","volume":"248"},"uris":["http://www.mendeley.com/documents/?uuid=7d27fade-b6cd-4ca6-9f55-703d9d224103"]}],"mendeley":{"formattedCitation":"[11]","plainTextFormattedCitation":"[11]","previouslyFormattedCitation":"[10]"},"properties":{"noteIndex":0},"schema":"https://github.com/citation-style-language/schema/raw/master/csl-citation.json"}</w:instrText>
            </w:r>
            <w:r>
              <w:rPr>
                <w:rFonts w:ascii="Palatino Linotype" w:hAnsi="Palatino Linotype"/>
                <w:color w:val="000000" w:themeColor="text1"/>
                <w:sz w:val="20"/>
                <w:szCs w:val="20"/>
              </w:rPr>
              <w:fldChar w:fldCharType="separate"/>
            </w:r>
            <w:r>
              <w:rPr>
                <w:rFonts w:ascii="Palatino Linotype" w:hAnsi="Palatino Linotype"/>
                <w:noProof/>
                <w:color w:val="000000" w:themeColor="text1"/>
                <w:sz w:val="20"/>
                <w:szCs w:val="20"/>
              </w:rPr>
              <w:t>[11]</w:t>
            </w:r>
            <w:r>
              <w:rPr>
                <w:rFonts w:ascii="Palatino Linotype" w:hAnsi="Palatino Linotype"/>
                <w:color w:val="000000" w:themeColor="text1"/>
                <w:sz w:val="20"/>
                <w:szCs w:val="20"/>
              </w:rPr>
              <w:fldChar w:fldCharType="end"/>
            </w:r>
          </w:p>
        </w:tc>
        <w:tc>
          <w:tcPr>
            <w:tcW w:w="1425"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Bolivia</w:t>
            </w:r>
          </w:p>
        </w:tc>
        <w:tc>
          <w:tcPr>
            <w:tcW w:w="1339"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1M</w:t>
            </w:r>
          </w:p>
        </w:tc>
        <w:tc>
          <w:tcPr>
            <w:tcW w:w="2022"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35, Healthy</w:t>
            </w:r>
          </w:p>
        </w:tc>
        <w:tc>
          <w:tcPr>
            <w:tcW w:w="1936"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Roadside</w:t>
            </w:r>
          </w:p>
        </w:tc>
        <w:tc>
          <w:tcPr>
            <w:tcW w:w="3092"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Nose; Mouth, Spontaneous</w:t>
            </w:r>
          </w:p>
        </w:tc>
        <w:tc>
          <w:tcPr>
            <w:tcW w:w="1948"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Light absorption</w:t>
            </w:r>
          </w:p>
        </w:tc>
      </w:tr>
      <w:tr>
        <w:tc>
          <w:tcPr>
            <w:tcW w:w="2453"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 xml:space="preserve">Guo </w:t>
            </w:r>
            <w:r>
              <w:rPr>
                <w:rFonts w:ascii="Palatino Linotype" w:hAnsi="Palatino Linotype"/>
                <w:i/>
                <w:iCs/>
                <w:color w:val="000000" w:themeColor="text1"/>
                <w:sz w:val="20"/>
                <w:szCs w:val="20"/>
              </w:rPr>
              <w:t>et al.</w:t>
            </w:r>
            <w:r>
              <w:rPr>
                <w:rFonts w:ascii="Palatino Linotype" w:hAnsi="Palatino Linotype"/>
                <w:color w:val="000000" w:themeColor="text1"/>
                <w:sz w:val="20"/>
                <w:szCs w:val="20"/>
              </w:rPr>
              <w:t xml:space="preserve">, </w:t>
            </w:r>
            <w:r>
              <w:rPr>
                <w:rFonts w:ascii="Palatino Linotype" w:hAnsi="Palatino Linotype"/>
                <w:color w:val="000000" w:themeColor="text1"/>
                <w:sz w:val="20"/>
                <w:szCs w:val="20"/>
              </w:rPr>
              <w:fldChar w:fldCharType="begin" w:fldLock="1"/>
            </w:r>
            <w:r>
              <w:rPr>
                <w:rFonts w:ascii="Palatino Linotype" w:hAnsi="Palatino Linotype"/>
                <w:color w:val="000000" w:themeColor="text1"/>
                <w:sz w:val="20"/>
                <w:szCs w:val="20"/>
              </w:rPr>
              <w:instrText>ADDIN CSL_CITATION {"citationItems":[{"id":"ITEM-1","itemData":{"DOI":"10.1016/j.jaerosci.2019.105465","ISSN":"18791964","abstract":"Because of ethical and practical constraints, there are few experimental studies on the deposition of ultrafine particles (&lt;100 nm; UFPs) in the respiratory tract of children. To address this deficiency, we developed a novel method based on a flow-through chamber bag inhalation system, which is capable of measuring in situ size-resolved and total deposition of ambient UFP in a large number of children. The method was validated on four children (aged 9–11 years) at an urban primary school in Brisbane, Australia with breathing frequency ranging from 12 to 28 breaths/min, with repeated measurements conducted for a reference adult on 4 different days to test its repeatability. A stochastic lung deposition model (IDEAL) was used to predict total particle deposition to further asses the performance of the method. The total deposition fraction was 0.59 ± 0.02 (Mean ± SD) in 4 experiments of the reference adult, while it was 0.59 ± 0.13 in 4 children and in good agreement with the model calculated value of 0.57 ± 0.09. The method was repeatable (with precision ranging from 0.01 to 0.06) and sensitive enough to reflect the influence of breathing patterns on size resolve deposition fraction and the impact of particle size distribution on total deposition. Three measurements of size-resolved (10–379 nm) and total deposition fraction can be finished in 15 min (with the exposure time of only half of this), even at concentrations as low as 1.7 × 103 cm−3. We demonstrated that the novel method is capable of providing fast and reliable quantification of size-resolved and total deposition of UFP in respiratory tracts of children and adults.","author":[{"dropping-particle":"","family":"Guo","given":"Lingli","non-dropping-particle":"","parse-names":false,"suffix":""},{"dropping-particle":"","family":"Johnson","given":"Graham R.","non-dropping-particle":"","parse-names":false,"suffix":""},{"dropping-particle":"","family":"Hofmann","given":"Werner","non-dropping-particle":"","parse-names":false,"suffix":""},{"dropping-particle":"","family":"Wang","given":"Hao","non-dropping-particle":"","parse-names":false,"suffix":""},{"dropping-particle":"","family":"Morawska","given":"Lidia","non-dropping-particle":"","parse-names":false,"suffix":""}],"container-title":"Journal of Aerosol Science","id":"ITEM-1","issued":{"date-parts":[["2020"]]},"page":"105465","publisher":"Elsevier Ltd","title":"Deposition of ambient ultrafine particles in the respiratory tract of children: A novel experimental method and its application","type":"article-journal","volume":"139"},"uris":["http://www.mendeley.com/documents/?uuid=ddb26ae2-2936-4214-b2ad-4528c410a709"]}],"mendeley":{"formattedCitation":"[12]","plainTextFormattedCitation":"[12]","previouslyFormattedCitation":"[11]"},"properties":{"noteIndex":0},"schema":"https://github.com/citation-style-language/schema/raw/master/csl-citation.json"}</w:instrText>
            </w:r>
            <w:r>
              <w:rPr>
                <w:rFonts w:ascii="Palatino Linotype" w:hAnsi="Palatino Linotype"/>
                <w:color w:val="000000" w:themeColor="text1"/>
                <w:sz w:val="20"/>
                <w:szCs w:val="20"/>
              </w:rPr>
              <w:fldChar w:fldCharType="separate"/>
            </w:r>
            <w:r>
              <w:rPr>
                <w:rFonts w:ascii="Palatino Linotype" w:hAnsi="Palatino Linotype"/>
                <w:noProof/>
                <w:color w:val="000000" w:themeColor="text1"/>
                <w:sz w:val="20"/>
                <w:szCs w:val="20"/>
              </w:rPr>
              <w:t>[12]</w:t>
            </w:r>
            <w:r>
              <w:rPr>
                <w:rFonts w:ascii="Palatino Linotype" w:hAnsi="Palatino Linotype"/>
                <w:color w:val="000000" w:themeColor="text1"/>
                <w:sz w:val="20"/>
                <w:szCs w:val="20"/>
              </w:rPr>
              <w:fldChar w:fldCharType="end"/>
            </w:r>
          </w:p>
        </w:tc>
        <w:tc>
          <w:tcPr>
            <w:tcW w:w="1425"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Australia</w:t>
            </w:r>
          </w:p>
        </w:tc>
        <w:tc>
          <w:tcPr>
            <w:tcW w:w="1339"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63M/65F</w:t>
            </w:r>
          </w:p>
        </w:tc>
        <w:tc>
          <w:tcPr>
            <w:tcW w:w="2022"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8-11, Healthy</w:t>
            </w:r>
          </w:p>
        </w:tc>
        <w:tc>
          <w:tcPr>
            <w:tcW w:w="1936"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Roadside;</w:t>
            </w:r>
          </w:p>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Urban Background</w:t>
            </w:r>
          </w:p>
        </w:tc>
        <w:tc>
          <w:tcPr>
            <w:tcW w:w="3092"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Mouth, Spontaneous</w:t>
            </w:r>
          </w:p>
        </w:tc>
        <w:tc>
          <w:tcPr>
            <w:tcW w:w="1948"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SMPS</w:t>
            </w:r>
          </w:p>
        </w:tc>
      </w:tr>
      <w:tr>
        <w:tc>
          <w:tcPr>
            <w:tcW w:w="2453"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This study</w:t>
            </w:r>
          </w:p>
        </w:tc>
        <w:tc>
          <w:tcPr>
            <w:tcW w:w="1425"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Philippines</w:t>
            </w:r>
          </w:p>
        </w:tc>
        <w:tc>
          <w:tcPr>
            <w:tcW w:w="1339"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20M/20F</w:t>
            </w:r>
          </w:p>
        </w:tc>
        <w:tc>
          <w:tcPr>
            <w:tcW w:w="2022"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18-27, Healthy</w:t>
            </w:r>
          </w:p>
        </w:tc>
        <w:tc>
          <w:tcPr>
            <w:tcW w:w="1936"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Roadside</w:t>
            </w:r>
          </w:p>
        </w:tc>
        <w:tc>
          <w:tcPr>
            <w:tcW w:w="3092"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Nose; Mouth, Spontaneous</w:t>
            </w:r>
          </w:p>
        </w:tc>
        <w:tc>
          <w:tcPr>
            <w:tcW w:w="1948" w:type="dxa"/>
          </w:tcPr>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Light absorption</w:t>
            </w:r>
          </w:p>
        </w:tc>
      </w:tr>
    </w:tbl>
    <w:p>
      <w:pPr>
        <w:rPr>
          <w:rFonts w:ascii="Palatino Linotype" w:hAnsi="Palatino Linotype"/>
          <w:color w:val="000000" w:themeColor="text1"/>
          <w:sz w:val="20"/>
          <w:szCs w:val="20"/>
        </w:rPr>
      </w:pPr>
      <w:r>
        <w:rPr>
          <w:rFonts w:ascii="Palatino Linotype" w:hAnsi="Palatino Linotype"/>
          <w:color w:val="000000" w:themeColor="text1"/>
          <w:sz w:val="20"/>
          <w:szCs w:val="20"/>
        </w:rPr>
        <w:t>NaCl: Sodium chloride</w:t>
      </w:r>
    </w:p>
    <w:p>
      <w:pPr>
        <w:rPr>
          <w:rFonts w:ascii="Palatino Linotype" w:hAnsi="Palatino Linotype"/>
          <w:color w:val="000000" w:themeColor="text1"/>
          <w:sz w:val="20"/>
          <w:szCs w:val="20"/>
        </w:rPr>
      </w:pPr>
      <w:r>
        <w:rPr>
          <w:rFonts w:ascii="Palatino Linotype" w:hAnsi="Palatino Linotype"/>
          <w:color w:val="000000" w:themeColor="text1"/>
          <w:sz w:val="20"/>
          <w:szCs w:val="20"/>
        </w:rPr>
        <w:t>DEHS: Di(2-ethylhexyl) sebacate</w:t>
      </w:r>
    </w:p>
    <w:p>
      <w:pPr>
        <w:rPr>
          <w:rFonts w:ascii="Palatino Linotype" w:hAnsi="Palatino Linotype"/>
          <w:color w:val="000000" w:themeColor="text1"/>
          <w:sz w:val="20"/>
          <w:szCs w:val="20"/>
        </w:rPr>
        <w:sectPr>
          <w:pgSz w:w="16840" w:h="11900" w:orient="landscape"/>
          <w:pgMar w:top="1440" w:right="1440" w:bottom="1440" w:left="1440" w:header="720" w:footer="720" w:gutter="0"/>
          <w:cols w:space="720"/>
          <w:docGrid w:linePitch="360"/>
        </w:sectPr>
      </w:pPr>
      <w:r>
        <w:rPr>
          <w:rFonts w:ascii="Palatino Linotype" w:hAnsi="Palatino Linotype"/>
          <w:color w:val="000000" w:themeColor="text1"/>
          <w:sz w:val="20"/>
          <w:szCs w:val="20"/>
        </w:rPr>
        <w:t>PSL: Polystyrene Latex</w:t>
      </w:r>
    </w:p>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lastRenderedPageBreak/>
        <w:t>Table S2. Summary of related in situ respiratory tract deposition studies using hydrophobic particles. DF presented in Mean ± SD; C</w:t>
      </w:r>
      <w:r>
        <w:rPr>
          <w:rFonts w:ascii="Palatino Linotype" w:hAnsi="Palatino Linotype"/>
          <w:color w:val="000000" w:themeColor="text1"/>
          <w:sz w:val="20"/>
          <w:szCs w:val="20"/>
          <w:vertAlign w:val="subscript"/>
        </w:rPr>
        <w:t>in</w:t>
      </w:r>
      <w:r>
        <w:rPr>
          <w:rFonts w:ascii="Palatino Linotype" w:hAnsi="Palatino Linotype"/>
          <w:color w:val="000000" w:themeColor="text1"/>
          <w:sz w:val="20"/>
          <w:szCs w:val="20"/>
        </w:rPr>
        <w:t xml:space="preserve"> is the exposure mass concentration used in the respective experiments. DD is the deposition dose.</w:t>
      </w:r>
    </w:p>
    <w:p>
      <w:pPr>
        <w:rPr>
          <w:rFonts w:ascii="Palatino Linotype" w:hAnsi="Palatino Linotype"/>
          <w:color w:val="000000" w:themeColor="text1"/>
          <w:sz w:val="20"/>
          <w:szCs w:val="20"/>
        </w:rPr>
      </w:pPr>
    </w:p>
    <w:tbl>
      <w:tblPr>
        <w:tblStyle w:val="TableGrid"/>
        <w:tblW w:w="9888"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
        <w:gridCol w:w="1260"/>
        <w:gridCol w:w="1440"/>
        <w:gridCol w:w="708"/>
        <w:gridCol w:w="1080"/>
        <w:gridCol w:w="990"/>
        <w:gridCol w:w="1080"/>
        <w:gridCol w:w="1170"/>
        <w:gridCol w:w="1237"/>
        <w:gridCol w:w="23"/>
      </w:tblGrid>
      <w:tr>
        <w:tc>
          <w:tcPr>
            <w:tcW w:w="900" w:type="dxa"/>
            <w:tcBorders>
              <w:top w:val="single" w:sz="8" w:space="0" w:color="000000"/>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Study</w:t>
            </w:r>
          </w:p>
        </w:tc>
        <w:tc>
          <w:tcPr>
            <w:tcW w:w="1260" w:type="dxa"/>
            <w:tcBorders>
              <w:top w:val="single" w:sz="8" w:space="0" w:color="000000"/>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Aerosol Type</w:t>
            </w:r>
          </w:p>
        </w:tc>
        <w:tc>
          <w:tcPr>
            <w:tcW w:w="1440" w:type="dxa"/>
            <w:tcBorders>
              <w:top w:val="single" w:sz="8" w:space="0" w:color="000000"/>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Breathing Pattern</w:t>
            </w:r>
          </w:p>
        </w:tc>
        <w:tc>
          <w:tcPr>
            <w:tcW w:w="708" w:type="dxa"/>
            <w:tcBorders>
              <w:top w:val="single" w:sz="8" w:space="0" w:color="000000"/>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Age</w:t>
            </w:r>
          </w:p>
        </w:tc>
        <w:tc>
          <w:tcPr>
            <w:tcW w:w="1080" w:type="dxa"/>
            <w:tcBorders>
              <w:top w:val="single" w:sz="8" w:space="0" w:color="000000"/>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Subjects*</w:t>
            </w:r>
          </w:p>
        </w:tc>
        <w:tc>
          <w:tcPr>
            <w:tcW w:w="990" w:type="dxa"/>
            <w:tcBorders>
              <w:top w:val="single" w:sz="8" w:space="0" w:color="000000"/>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Activity</w:t>
            </w:r>
          </w:p>
        </w:tc>
        <w:tc>
          <w:tcPr>
            <w:tcW w:w="1080" w:type="dxa"/>
            <w:tcBorders>
              <w:top w:val="single" w:sz="8" w:space="0" w:color="000000"/>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Mass DF</w:t>
            </w:r>
            <w:r>
              <w:rPr>
                <w:rFonts w:ascii="Palatino Linotype" w:hAnsi="Palatino Linotype"/>
                <w:i/>
                <w:iCs/>
                <w:color w:val="000000" w:themeColor="text1"/>
                <w:sz w:val="20"/>
                <w:szCs w:val="20"/>
                <w:vertAlign w:val="subscript"/>
              </w:rPr>
              <w:t>in situ</w:t>
            </w:r>
            <w:r>
              <w:rPr>
                <w:rFonts w:ascii="Palatino Linotype" w:hAnsi="Palatino Linotype"/>
                <w:color w:val="000000" w:themeColor="text1"/>
                <w:sz w:val="20"/>
                <w:szCs w:val="20"/>
              </w:rPr>
              <w:t>*, %</w:t>
            </w:r>
          </w:p>
        </w:tc>
        <w:tc>
          <w:tcPr>
            <w:tcW w:w="1170" w:type="dxa"/>
            <w:tcBorders>
              <w:top w:val="single" w:sz="8" w:space="0" w:color="000000"/>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C</w:t>
            </w:r>
            <w:r>
              <w:rPr>
                <w:rFonts w:ascii="Palatino Linotype" w:hAnsi="Palatino Linotype"/>
                <w:color w:val="000000" w:themeColor="text1"/>
                <w:sz w:val="20"/>
                <w:szCs w:val="20"/>
                <w:vertAlign w:val="subscript"/>
              </w:rPr>
              <w:t>in</w:t>
            </w:r>
            <w:r>
              <w:rPr>
                <w:rFonts w:ascii="Palatino Linotype" w:hAnsi="Palatino Linotype"/>
                <w:color w:val="000000" w:themeColor="text1"/>
                <w:sz w:val="20"/>
                <w:szCs w:val="20"/>
              </w:rPr>
              <w:t xml:space="preserve">, </w:t>
            </w:r>
            <w:r>
              <w:rPr>
                <w:rFonts w:ascii="Palatino Linotype" w:hAnsi="Palatino Linotype"/>
                <w:color w:val="000000" w:themeColor="text1"/>
                <w:sz w:val="20"/>
                <w:szCs w:val="20"/>
              </w:rPr>
              <w:sym w:font="Symbol" w:char="F06D"/>
            </w:r>
            <w:r>
              <w:rPr>
                <w:rFonts w:ascii="Palatino Linotype" w:hAnsi="Palatino Linotype"/>
                <w:color w:val="000000" w:themeColor="text1"/>
                <w:sz w:val="20"/>
                <w:szCs w:val="20"/>
              </w:rPr>
              <w:t>g m</w:t>
            </w:r>
            <w:r>
              <w:rPr>
                <w:rFonts w:ascii="Palatino Linotype" w:hAnsi="Palatino Linotype"/>
                <w:color w:val="000000" w:themeColor="text1"/>
                <w:sz w:val="20"/>
                <w:szCs w:val="20"/>
                <w:vertAlign w:val="superscript"/>
              </w:rPr>
              <w:t>-3</w:t>
            </w:r>
          </w:p>
        </w:tc>
        <w:tc>
          <w:tcPr>
            <w:tcW w:w="1260" w:type="dxa"/>
            <w:gridSpan w:val="2"/>
            <w:tcBorders>
              <w:top w:val="single" w:sz="8" w:space="0" w:color="000000"/>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Norm. DD</w:t>
            </w:r>
            <w:r>
              <w:rPr>
                <w:rFonts w:ascii="Palatino Linotype" w:hAnsi="Palatino Linotype"/>
                <w:color w:val="000000" w:themeColor="text1"/>
                <w:sz w:val="20"/>
                <w:szCs w:val="20"/>
                <w:vertAlign w:val="superscript"/>
              </w:rPr>
              <w:t>§</w:t>
            </w:r>
            <w:r>
              <w:rPr>
                <w:rFonts w:ascii="Palatino Linotype" w:hAnsi="Palatino Linotype"/>
                <w:color w:val="000000" w:themeColor="text1"/>
                <w:sz w:val="20"/>
                <w:szCs w:val="20"/>
              </w:rPr>
              <w:t xml:space="preserve">, </w:t>
            </w:r>
            <w:r>
              <w:rPr>
                <w:rFonts w:ascii="Palatino Linotype" w:hAnsi="Palatino Linotype"/>
                <w:color w:val="000000" w:themeColor="text1"/>
                <w:sz w:val="20"/>
                <w:szCs w:val="20"/>
              </w:rPr>
              <w:sym w:font="Symbol" w:char="F06D"/>
            </w:r>
            <w:r>
              <w:rPr>
                <w:rFonts w:ascii="Palatino Linotype" w:hAnsi="Palatino Linotype"/>
                <w:color w:val="000000" w:themeColor="text1"/>
                <w:sz w:val="20"/>
                <w:szCs w:val="20"/>
              </w:rPr>
              <w:t xml:space="preserve">g </w:t>
            </w:r>
          </w:p>
        </w:tc>
      </w:tr>
      <w:tr>
        <w:tc>
          <w:tcPr>
            <w:tcW w:w="900" w:type="dxa"/>
            <w:vMerge w:val="restart"/>
            <w:tcBorders>
              <w:top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 xml:space="preserve">Daigle </w:t>
            </w:r>
            <w:r>
              <w:rPr>
                <w:rFonts w:ascii="Palatino Linotype" w:hAnsi="Palatino Linotype"/>
                <w:i/>
                <w:iCs/>
                <w:color w:val="000000" w:themeColor="text1"/>
                <w:sz w:val="20"/>
                <w:szCs w:val="20"/>
              </w:rPr>
              <w:t>et al.</w:t>
            </w:r>
            <w:r>
              <w:rPr>
                <w:rFonts w:ascii="Palatino Linotype" w:hAnsi="Palatino Linotype"/>
                <w:color w:val="000000" w:themeColor="text1"/>
                <w:sz w:val="20"/>
                <w:szCs w:val="20"/>
              </w:rPr>
              <w:t xml:space="preserve"> </w:t>
            </w:r>
            <w:r>
              <w:rPr>
                <w:rFonts w:ascii="Palatino Linotype" w:hAnsi="Palatino Linotype"/>
                <w:color w:val="000000" w:themeColor="text1"/>
                <w:sz w:val="20"/>
                <w:szCs w:val="20"/>
                <w:vertAlign w:val="superscript"/>
              </w:rPr>
              <w:fldChar w:fldCharType="begin" w:fldLock="1"/>
            </w:r>
            <w:r>
              <w:rPr>
                <w:rFonts w:ascii="Palatino Linotype" w:hAnsi="Palatino Linotype"/>
                <w:color w:val="000000" w:themeColor="text1"/>
                <w:sz w:val="20"/>
                <w:szCs w:val="20"/>
                <w:vertAlign w:val="superscript"/>
              </w:rPr>
              <w:instrText>ADDIN CSL_CITATION {"citationItems":[{"id":"ITEM-1","itemData":{"DOI":"10.1080/08958370304468","ISSN":"08958378","PMID":"12692730","abstract":"Ultrafine particles (diameter &lt; 100 nm) may be important in the health effects of air pollution, in part because of their predicted high respiratory deposition. However, there are few measurements of ultrafine particle deposition during spontaneous breathing. The fractional deposition for the total respiratory tract of ultrafine carbon particles (count median diameter = 26 nm, geometric standard deviation = 1.6) was measured in 12 healthy subjects (6 female, 6 male) at rest (minute ventilation 9.0 ± 1.3 L/min) using a mouthpiece exposure system. The mean ± SD fractional deposition was 0.66 ± 0. 11 by particle number and 0.58 ± 0.13 by particle mass concentration, similar to model predictions. The number deposition fraction increased as particle size decreased, reaching 0.80 ± 0.09 for the smallest particles (midpoint count median diameter = 8.7 nm). No gender differences were observed. In an additional 7 subjects (2 female, 5 male) alternating rest with moderate exercise (minute ventilation 38.1 ± 9.5 L/min), the deposition fraction during exercise increased to 0.83 ± 0.04 and 0.76 ± 0.06 by particle number and mass concentration, respectively, and reached 0.94 ± 0.02 for the smallest particles. Experimental deposition data exceeded model predictions during exercise. The total number of deposited particles was more than 4.5-fold higher during exercise than at rest because of the combined increase in deposition fraction and minute ventilation. Fractional deposition of ultrafine particles during mouth breathing is high in healthy subjects, and increases further with exercise.","author":[{"dropping-particle":"","family":"Daigle","given":"Christopher C.","non-dropping-particle":"","parse-names":false,"suffix":""},{"dropping-particle":"","family":"Chalupa","given":"David C.","non-dropping-particle":"","parse-names":false,"suffix":""},{"dropping-particle":"","family":"Gibb","given":"F. Raymond","non-dropping-particle":"","parse-names":false,"suffix":""},{"dropping-particle":"","family":"Morrow","given":"Paul E.","non-dropping-particle":"","parse-names":false,"suffix":""},{"dropping-particle":"","family":"Oberdörster","given":"Günter","non-dropping-particle":"","parse-names":false,"suffix":""},{"dropping-particle":"","family":"Utell","given":"Mark J.","non-dropping-particle":"","parse-names":false,"suffix":""},{"dropping-particle":"","family":"Frampton","given":"Mark W.","non-dropping-particle":"","parse-names":false,"suffix":""}],"container-title":"Inhalation Toxicology","id":"ITEM-1","issue":"6","issued":{"date-parts":[["2003"]]},"page":"539-552","title":"Ultrafine particle deposition in humans during rest and exercise","type":"article-journal","volume":"15"},"uris":["http://www.mendeley.com/documents/?uuid=1ee00940-b629-4ed2-b698-c5778f123dc2"]}],"mendeley":{"formattedCitation":"[1]","plainTextFormattedCitation":"[1]","previouslyFormattedCitation":"[1]"},"properties":{"noteIndex":0},"schema":"https://github.com/citation-style-language/schema/raw/master/csl-citation.json"}</w:instrText>
            </w:r>
            <w:r>
              <w:rPr>
                <w:rFonts w:ascii="Palatino Linotype" w:hAnsi="Palatino Linotype"/>
                <w:color w:val="000000" w:themeColor="text1"/>
                <w:sz w:val="20"/>
                <w:vertAlign w:val="superscript"/>
              </w:rPr>
              <w:fldChar w:fldCharType="separate"/>
            </w:r>
            <w:r>
              <w:rPr>
                <w:rFonts w:ascii="Palatino Linotype" w:hAnsi="Palatino Linotype"/>
                <w:noProof/>
                <w:color w:val="000000" w:themeColor="text1"/>
                <w:sz w:val="20"/>
                <w:szCs w:val="20"/>
              </w:rPr>
              <w:t>[1]</w:t>
            </w:r>
            <w:r>
              <w:rPr>
                <w:rFonts w:ascii="Palatino Linotype" w:hAnsi="Palatino Linotype"/>
                <w:color w:val="000000" w:themeColor="text1"/>
                <w:sz w:val="20"/>
                <w:szCs w:val="20"/>
                <w:vertAlign w:val="superscript"/>
              </w:rPr>
              <w:fldChar w:fldCharType="end"/>
            </w:r>
          </w:p>
        </w:tc>
        <w:tc>
          <w:tcPr>
            <w:tcW w:w="1260" w:type="dxa"/>
            <w:vMerge w:val="restart"/>
            <w:tcBorders>
              <w:top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Spark discharge</w:t>
            </w:r>
          </w:p>
        </w:tc>
        <w:tc>
          <w:tcPr>
            <w:tcW w:w="1440" w:type="dxa"/>
            <w:vMerge w:val="restart"/>
            <w:tcBorders>
              <w:top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Nose clipped, mouth breathing;</w:t>
            </w:r>
          </w:p>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Spontaneous</w:t>
            </w:r>
          </w:p>
        </w:tc>
        <w:tc>
          <w:tcPr>
            <w:tcW w:w="708" w:type="dxa"/>
            <w:vMerge w:val="restart"/>
            <w:tcBorders>
              <w:top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18-52</w:t>
            </w:r>
          </w:p>
        </w:tc>
        <w:tc>
          <w:tcPr>
            <w:tcW w:w="1080" w:type="dxa"/>
            <w:vMerge w:val="restart"/>
            <w:tcBorders>
              <w:top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6M/6F</w:t>
            </w:r>
          </w:p>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12</w:t>
            </w:r>
          </w:p>
        </w:tc>
        <w:tc>
          <w:tcPr>
            <w:tcW w:w="990" w:type="dxa"/>
            <w:tcBorders>
              <w:top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sitting</w:t>
            </w:r>
          </w:p>
        </w:tc>
        <w:tc>
          <w:tcPr>
            <w:tcW w:w="1080" w:type="dxa"/>
            <w:tcBorders>
              <w:top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60 ± 13 / 59 ± 14</w:t>
            </w:r>
          </w:p>
        </w:tc>
        <w:tc>
          <w:tcPr>
            <w:tcW w:w="1170" w:type="dxa"/>
            <w:tcBorders>
              <w:top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10</w:t>
            </w:r>
          </w:p>
        </w:tc>
        <w:tc>
          <w:tcPr>
            <w:tcW w:w="1260" w:type="dxa"/>
            <w:gridSpan w:val="2"/>
            <w:tcBorders>
              <w:top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32.1 / 31.9</w:t>
            </w:r>
          </w:p>
        </w:tc>
      </w:tr>
      <w:tr>
        <w:tc>
          <w:tcPr>
            <w:tcW w:w="900" w:type="dxa"/>
            <w:vMerge/>
            <w:vAlign w:val="center"/>
          </w:tcPr>
          <w:p>
            <w:pPr>
              <w:jc w:val="center"/>
              <w:rPr>
                <w:rFonts w:ascii="Palatino Linotype" w:hAnsi="Palatino Linotype"/>
                <w:color w:val="000000" w:themeColor="text1"/>
                <w:sz w:val="20"/>
                <w:szCs w:val="20"/>
              </w:rPr>
            </w:pPr>
          </w:p>
        </w:tc>
        <w:tc>
          <w:tcPr>
            <w:tcW w:w="1260" w:type="dxa"/>
            <w:vMerge/>
            <w:vAlign w:val="center"/>
          </w:tcPr>
          <w:p>
            <w:pPr>
              <w:jc w:val="center"/>
              <w:rPr>
                <w:rFonts w:ascii="Palatino Linotype" w:hAnsi="Palatino Linotype"/>
                <w:color w:val="000000" w:themeColor="text1"/>
                <w:sz w:val="20"/>
                <w:szCs w:val="20"/>
              </w:rPr>
            </w:pPr>
          </w:p>
        </w:tc>
        <w:tc>
          <w:tcPr>
            <w:tcW w:w="1440" w:type="dxa"/>
            <w:vMerge/>
            <w:vAlign w:val="center"/>
          </w:tcPr>
          <w:p>
            <w:pPr>
              <w:jc w:val="center"/>
              <w:rPr>
                <w:rFonts w:ascii="Palatino Linotype" w:hAnsi="Palatino Linotype"/>
                <w:color w:val="000000" w:themeColor="text1"/>
                <w:sz w:val="20"/>
                <w:szCs w:val="20"/>
              </w:rPr>
            </w:pPr>
          </w:p>
        </w:tc>
        <w:tc>
          <w:tcPr>
            <w:tcW w:w="708" w:type="dxa"/>
            <w:vMerge/>
            <w:tcBorders>
              <w:bottom w:val="single" w:sz="4" w:space="0" w:color="000000"/>
            </w:tcBorders>
            <w:vAlign w:val="center"/>
          </w:tcPr>
          <w:p>
            <w:pPr>
              <w:jc w:val="center"/>
              <w:rPr>
                <w:rFonts w:ascii="Palatino Linotype" w:hAnsi="Palatino Linotype"/>
                <w:color w:val="000000" w:themeColor="text1"/>
                <w:sz w:val="20"/>
                <w:szCs w:val="20"/>
              </w:rPr>
            </w:pPr>
          </w:p>
        </w:tc>
        <w:tc>
          <w:tcPr>
            <w:tcW w:w="1080" w:type="dxa"/>
            <w:vMerge/>
            <w:tcBorders>
              <w:bottom w:val="single" w:sz="4" w:space="0" w:color="000000"/>
            </w:tcBorders>
            <w:vAlign w:val="center"/>
          </w:tcPr>
          <w:p>
            <w:pPr>
              <w:jc w:val="center"/>
              <w:rPr>
                <w:rFonts w:ascii="Palatino Linotype" w:hAnsi="Palatino Linotype"/>
                <w:color w:val="000000" w:themeColor="text1"/>
                <w:sz w:val="20"/>
                <w:szCs w:val="20"/>
              </w:rPr>
            </w:pPr>
          </w:p>
        </w:tc>
        <w:tc>
          <w:tcPr>
            <w:tcW w:w="99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sitting</w:t>
            </w:r>
          </w:p>
        </w:tc>
        <w:tc>
          <w:tcPr>
            <w:tcW w:w="108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58 ± 13</w:t>
            </w:r>
          </w:p>
        </w:tc>
        <w:tc>
          <w:tcPr>
            <w:tcW w:w="117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10</w:t>
            </w:r>
          </w:p>
        </w:tc>
        <w:tc>
          <w:tcPr>
            <w:tcW w:w="1260" w:type="dxa"/>
            <w:gridSpan w:val="2"/>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31.3</w:t>
            </w:r>
          </w:p>
        </w:tc>
      </w:tr>
      <w:tr>
        <w:tc>
          <w:tcPr>
            <w:tcW w:w="900" w:type="dxa"/>
            <w:vMerge/>
            <w:vAlign w:val="center"/>
          </w:tcPr>
          <w:p>
            <w:pPr>
              <w:jc w:val="center"/>
              <w:rPr>
                <w:rFonts w:ascii="Palatino Linotype" w:hAnsi="Palatino Linotype"/>
                <w:color w:val="000000" w:themeColor="text1"/>
                <w:sz w:val="20"/>
                <w:szCs w:val="20"/>
              </w:rPr>
            </w:pPr>
          </w:p>
        </w:tc>
        <w:tc>
          <w:tcPr>
            <w:tcW w:w="1260" w:type="dxa"/>
            <w:vMerge/>
            <w:vAlign w:val="center"/>
          </w:tcPr>
          <w:p>
            <w:pPr>
              <w:jc w:val="center"/>
              <w:rPr>
                <w:rFonts w:ascii="Palatino Linotype" w:hAnsi="Palatino Linotype"/>
                <w:color w:val="000000" w:themeColor="text1"/>
                <w:sz w:val="20"/>
                <w:szCs w:val="20"/>
              </w:rPr>
            </w:pPr>
          </w:p>
        </w:tc>
        <w:tc>
          <w:tcPr>
            <w:tcW w:w="1440" w:type="dxa"/>
            <w:vMerge/>
            <w:vAlign w:val="center"/>
          </w:tcPr>
          <w:p>
            <w:pPr>
              <w:jc w:val="center"/>
              <w:rPr>
                <w:rFonts w:ascii="Palatino Linotype" w:hAnsi="Palatino Linotype"/>
                <w:color w:val="000000" w:themeColor="text1"/>
                <w:sz w:val="20"/>
                <w:szCs w:val="20"/>
              </w:rPr>
            </w:pPr>
          </w:p>
        </w:tc>
        <w:tc>
          <w:tcPr>
            <w:tcW w:w="708" w:type="dxa"/>
            <w:vMerge w:val="restart"/>
            <w:tcBorders>
              <w:top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18-33</w:t>
            </w:r>
          </w:p>
        </w:tc>
        <w:tc>
          <w:tcPr>
            <w:tcW w:w="1080" w:type="dxa"/>
            <w:vMerge w:val="restart"/>
            <w:tcBorders>
              <w:top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7</w:t>
            </w:r>
          </w:p>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7</w:t>
            </w:r>
          </w:p>
        </w:tc>
        <w:tc>
          <w:tcPr>
            <w:tcW w:w="990" w:type="dxa"/>
            <w:tcBorders>
              <w:top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sitting</w:t>
            </w:r>
          </w:p>
        </w:tc>
        <w:tc>
          <w:tcPr>
            <w:tcW w:w="1080" w:type="dxa"/>
            <w:tcBorders>
              <w:top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60 ± 4</w:t>
            </w:r>
          </w:p>
        </w:tc>
        <w:tc>
          <w:tcPr>
            <w:tcW w:w="1170" w:type="dxa"/>
            <w:tcBorders>
              <w:top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10; 25</w:t>
            </w:r>
          </w:p>
        </w:tc>
        <w:tc>
          <w:tcPr>
            <w:tcW w:w="1260" w:type="dxa"/>
            <w:gridSpan w:val="2"/>
            <w:tcBorders>
              <w:top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32.4</w:t>
            </w:r>
          </w:p>
        </w:tc>
      </w:tr>
      <w:tr>
        <w:tc>
          <w:tcPr>
            <w:tcW w:w="900" w:type="dxa"/>
            <w:vMerge/>
            <w:vAlign w:val="center"/>
          </w:tcPr>
          <w:p>
            <w:pPr>
              <w:jc w:val="center"/>
              <w:rPr>
                <w:rFonts w:ascii="Palatino Linotype" w:hAnsi="Palatino Linotype"/>
                <w:color w:val="000000" w:themeColor="text1"/>
                <w:sz w:val="20"/>
                <w:szCs w:val="20"/>
              </w:rPr>
            </w:pPr>
          </w:p>
        </w:tc>
        <w:tc>
          <w:tcPr>
            <w:tcW w:w="1260" w:type="dxa"/>
            <w:vMerge/>
            <w:tcBorders>
              <w:bottom w:val="single" w:sz="4" w:space="0" w:color="000000"/>
            </w:tcBorders>
            <w:vAlign w:val="center"/>
          </w:tcPr>
          <w:p>
            <w:pPr>
              <w:jc w:val="center"/>
              <w:rPr>
                <w:rFonts w:ascii="Palatino Linotype" w:hAnsi="Palatino Linotype"/>
                <w:color w:val="000000" w:themeColor="text1"/>
                <w:sz w:val="20"/>
                <w:szCs w:val="20"/>
              </w:rPr>
            </w:pPr>
          </w:p>
        </w:tc>
        <w:tc>
          <w:tcPr>
            <w:tcW w:w="1440" w:type="dxa"/>
            <w:vMerge/>
            <w:tcBorders>
              <w:bottom w:val="single" w:sz="4" w:space="0" w:color="000000"/>
            </w:tcBorders>
            <w:vAlign w:val="center"/>
          </w:tcPr>
          <w:p>
            <w:pPr>
              <w:jc w:val="center"/>
              <w:rPr>
                <w:rFonts w:ascii="Palatino Linotype" w:hAnsi="Palatino Linotype"/>
                <w:color w:val="000000" w:themeColor="text1"/>
                <w:sz w:val="20"/>
                <w:szCs w:val="20"/>
              </w:rPr>
            </w:pPr>
          </w:p>
        </w:tc>
        <w:tc>
          <w:tcPr>
            <w:tcW w:w="708" w:type="dxa"/>
            <w:vMerge/>
            <w:tcBorders>
              <w:bottom w:val="single" w:sz="4" w:space="0" w:color="000000"/>
            </w:tcBorders>
            <w:vAlign w:val="center"/>
          </w:tcPr>
          <w:p>
            <w:pPr>
              <w:jc w:val="center"/>
              <w:rPr>
                <w:rFonts w:ascii="Palatino Linotype" w:hAnsi="Palatino Linotype"/>
                <w:color w:val="000000" w:themeColor="text1"/>
                <w:sz w:val="20"/>
                <w:szCs w:val="20"/>
              </w:rPr>
            </w:pPr>
          </w:p>
        </w:tc>
        <w:tc>
          <w:tcPr>
            <w:tcW w:w="1080" w:type="dxa"/>
            <w:vMerge/>
            <w:tcBorders>
              <w:bottom w:val="single" w:sz="4" w:space="0" w:color="000000"/>
            </w:tcBorders>
            <w:vAlign w:val="center"/>
          </w:tcPr>
          <w:p>
            <w:pPr>
              <w:jc w:val="center"/>
              <w:rPr>
                <w:rFonts w:ascii="Palatino Linotype" w:hAnsi="Palatino Linotype"/>
                <w:color w:val="000000" w:themeColor="text1"/>
                <w:sz w:val="20"/>
                <w:szCs w:val="20"/>
              </w:rPr>
            </w:pPr>
          </w:p>
        </w:tc>
        <w:tc>
          <w:tcPr>
            <w:tcW w:w="99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exercise</w:t>
            </w:r>
          </w:p>
        </w:tc>
        <w:tc>
          <w:tcPr>
            <w:tcW w:w="108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76 ± 6</w:t>
            </w:r>
          </w:p>
        </w:tc>
        <w:tc>
          <w:tcPr>
            <w:tcW w:w="117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10; 25</w:t>
            </w:r>
          </w:p>
        </w:tc>
        <w:tc>
          <w:tcPr>
            <w:tcW w:w="1260" w:type="dxa"/>
            <w:gridSpan w:val="2"/>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174.0</w:t>
            </w:r>
          </w:p>
        </w:tc>
      </w:tr>
      <w:tr>
        <w:tc>
          <w:tcPr>
            <w:tcW w:w="900" w:type="dxa"/>
            <w:vAlign w:val="center"/>
          </w:tcPr>
          <w:p>
            <w:pPr>
              <w:ind w:left="-108"/>
              <w:jc w:val="center"/>
              <w:rPr>
                <w:rFonts w:ascii="Palatino Linotype" w:hAnsi="Palatino Linotype"/>
                <w:color w:val="000000" w:themeColor="text1"/>
                <w:sz w:val="20"/>
                <w:szCs w:val="20"/>
              </w:rPr>
            </w:pPr>
            <w:r>
              <w:rPr>
                <w:rFonts w:ascii="Palatino Linotype" w:hAnsi="Palatino Linotype"/>
                <w:color w:val="000000" w:themeColor="text1"/>
                <w:sz w:val="20"/>
                <w:szCs w:val="20"/>
              </w:rPr>
              <w:t xml:space="preserve">Löndahl </w:t>
            </w:r>
            <w:r>
              <w:rPr>
                <w:rFonts w:ascii="Palatino Linotype" w:hAnsi="Palatino Linotype"/>
                <w:i/>
                <w:iCs/>
                <w:color w:val="000000" w:themeColor="text1"/>
                <w:sz w:val="20"/>
                <w:szCs w:val="20"/>
              </w:rPr>
              <w:t>et al.</w:t>
            </w:r>
            <w:r>
              <w:rPr>
                <w:rFonts w:ascii="Palatino Linotype" w:hAnsi="Palatino Linotype"/>
                <w:color w:val="000000" w:themeColor="text1"/>
                <w:sz w:val="20"/>
                <w:szCs w:val="20"/>
              </w:rPr>
              <w:fldChar w:fldCharType="begin" w:fldLock="1"/>
            </w:r>
            <w:r>
              <w:rPr>
                <w:rFonts w:ascii="Palatino Linotype" w:hAnsi="Palatino Linotype"/>
                <w:color w:val="000000" w:themeColor="text1"/>
                <w:sz w:val="20"/>
                <w:szCs w:val="20"/>
              </w:rPr>
              <w:instrText>ADDIN CSL_CITATION {"citationItems":[{"id":"ITEM-1","itemData":{"DOI":"10.1080/08958370802087124","ISBN":"0895837080208","ISSN":"08958378","PMID":"18668412","abstract":"Smoke from biomass combustion has been identified as a major environmental risk factor associated with adverse health effects globally. Deposition of the smoke particles in the lungs is a crucial factor for toxicological effects, but has not previously been studied experimentally. We investigated the size-dependent respiratory-tract deposition of aerosol particles from wood combustion in humans. Two combustion conditions were studied in a wood pellet burner: efficient (\"complete\") combustion and low-temperature (incomplete) combustion simulating \"wood smoke.\" The size-dependent deposition fraction of 15-to 680-nm particles was measured for 10 healthy subjects with a novel setup. Both aerosols were extensively characterized with regard to chemical and physical particle properties. The deposition was additionally estimated with the ICRP model, modified for the determined aerosol properties, in order to validate the experiments and allow a generalization of the results. The measured total deposited fraction of particles from both efficient combustion and low-temperature combustion was 0.21-0.24 by number, surface, and mass. The deposition behavior can be explained by the size distributions of the particles and by their ability to grow by water uptake in the lungs, where the relative humidity is close to saturation. The experiments were in basic agreement with the model calculations. Our findings illustrate: (1) that particles from biomass combustion obtain a size in the respiratory tract at which the deposition probability is close to its minimum, (2) that particle water absorption has substantial impact on deposition, and (3) that deposition is markedly influenced by individual factors. Copyright © Informa UK Ltd.","author":[{"dropping-particle":"","family":"Londahl","given":"Jakob","non-dropping-particle":"","parse-names":false,"suffix":""},{"dropping-particle":"","family":"Pagels","given":"Joakim","non-dropping-particle":"","parse-names":false,"suffix":""},{"dropping-particle":"","family":"Boman","given":"Christoffer","non-dropping-particle":"","parse-names":false,"suffix":""},{"dropping-particle":"","family":"Swietlicki","given":"Erik","non-dropping-particle":"","parse-names":false,"suffix":""},{"dropping-particle":"","family":"Massling","given":"Andreas","non-dropping-particle":"","parse-names":false,"suffix":""},{"dropping-particle":"","family":"Rissler","given":"Jenny","non-dropping-particle":"","parse-names":false,"suffix":""},{"dropping-particle":"","family":"Blomberg","given":"Anders","non-dropping-particle":"","parse-names":false,"suffix":""},{"dropping-particle":"","family":"Bohgard","given":"Mats","non-dropping-particle":"","parse-names":false,"suffix":""},{"dropping-particle":"","family":"Sandstrom","given":"Thomas","non-dropping-particle":"","parse-names":false,"suffix":""}],"container-title":"Inhalation Toxicology","id":"ITEM-1","issue":"10","issued":{"date-parts":[["2008"]]},"page":"923-933","title":"Deposition of biomass combustion aerosol particles in the human respiratory tract","type":"article-journal","volume":"20"},"uris":["http://www.mendeley.com/documents/?uuid=634f68e7-774e-42ae-99e6-7d821c28530a"]}],"mendeley":{"formattedCitation":"[6]","plainTextFormattedCitation":"[6]","previouslyFormattedCitation":"[5]"},"properties":{"noteIndex":0},"schema":"https://github.com/citation-style-language/schema/raw/master/csl-citation.json"}</w:instrText>
            </w:r>
            <w:r>
              <w:rPr>
                <w:rFonts w:ascii="Palatino Linotype" w:hAnsi="Palatino Linotype"/>
                <w:color w:val="000000" w:themeColor="text1"/>
                <w:sz w:val="20"/>
              </w:rPr>
              <w:fldChar w:fldCharType="separate"/>
            </w:r>
            <w:r>
              <w:rPr>
                <w:rFonts w:ascii="Palatino Linotype" w:hAnsi="Palatino Linotype"/>
                <w:noProof/>
                <w:color w:val="000000" w:themeColor="text1"/>
                <w:sz w:val="20"/>
                <w:szCs w:val="20"/>
              </w:rPr>
              <w:t>[6]</w:t>
            </w:r>
            <w:r>
              <w:rPr>
                <w:rFonts w:ascii="Palatino Linotype" w:hAnsi="Palatino Linotype"/>
                <w:color w:val="000000" w:themeColor="text1"/>
                <w:sz w:val="20"/>
                <w:szCs w:val="20"/>
              </w:rPr>
              <w:fldChar w:fldCharType="end"/>
            </w:r>
          </w:p>
        </w:tc>
        <w:tc>
          <w:tcPr>
            <w:tcW w:w="126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Efficient biomass combustion</w:t>
            </w:r>
          </w:p>
        </w:tc>
        <w:tc>
          <w:tcPr>
            <w:tcW w:w="144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Nose clipped, mouth breathing;</w:t>
            </w:r>
          </w:p>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Spontaneous</w:t>
            </w:r>
          </w:p>
        </w:tc>
        <w:tc>
          <w:tcPr>
            <w:tcW w:w="708"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21-31</w:t>
            </w:r>
          </w:p>
        </w:tc>
        <w:tc>
          <w:tcPr>
            <w:tcW w:w="108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10</w:t>
            </w:r>
          </w:p>
        </w:tc>
        <w:tc>
          <w:tcPr>
            <w:tcW w:w="99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sitting</w:t>
            </w:r>
          </w:p>
        </w:tc>
        <w:tc>
          <w:tcPr>
            <w:tcW w:w="108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24 ± 7</w:t>
            </w:r>
          </w:p>
        </w:tc>
        <w:tc>
          <w:tcPr>
            <w:tcW w:w="117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130; 250</w:t>
            </w:r>
          </w:p>
        </w:tc>
        <w:tc>
          <w:tcPr>
            <w:tcW w:w="1260" w:type="dxa"/>
            <w:gridSpan w:val="2"/>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11.8</w:t>
            </w:r>
          </w:p>
        </w:tc>
      </w:tr>
      <w:tr>
        <w:tc>
          <w:tcPr>
            <w:tcW w:w="900" w:type="dxa"/>
            <w:vAlign w:val="center"/>
          </w:tcPr>
          <w:p>
            <w:pPr>
              <w:ind w:left="-108"/>
              <w:jc w:val="center"/>
              <w:rPr>
                <w:rFonts w:ascii="Palatino Linotype" w:hAnsi="Palatino Linotype"/>
                <w:color w:val="000000" w:themeColor="text1"/>
                <w:sz w:val="20"/>
                <w:szCs w:val="20"/>
              </w:rPr>
            </w:pPr>
            <w:r>
              <w:rPr>
                <w:rFonts w:ascii="Palatino Linotype" w:hAnsi="Palatino Linotype"/>
                <w:color w:val="000000" w:themeColor="text1"/>
                <w:sz w:val="20"/>
                <w:szCs w:val="20"/>
              </w:rPr>
              <w:t xml:space="preserve">Löndahl </w:t>
            </w:r>
            <w:r>
              <w:rPr>
                <w:rFonts w:ascii="Palatino Linotype" w:hAnsi="Palatino Linotype"/>
                <w:i/>
                <w:iCs/>
                <w:color w:val="000000" w:themeColor="text1"/>
                <w:sz w:val="20"/>
                <w:szCs w:val="20"/>
              </w:rPr>
              <w:t>et al.</w:t>
            </w:r>
            <w:r>
              <w:rPr>
                <w:rFonts w:ascii="Palatino Linotype" w:hAnsi="Palatino Linotype"/>
                <w:color w:val="000000" w:themeColor="text1"/>
                <w:sz w:val="20"/>
                <w:szCs w:val="20"/>
              </w:rPr>
              <w:fldChar w:fldCharType="begin" w:fldLock="1"/>
            </w:r>
            <w:r>
              <w:rPr>
                <w:rFonts w:ascii="Palatino Linotype" w:hAnsi="Palatino Linotype"/>
                <w:color w:val="000000" w:themeColor="text1"/>
                <w:sz w:val="20"/>
                <w:szCs w:val="20"/>
              </w:rPr>
              <w:instrText>ADDIN CSL_CITATION {"citationItems":[{"id":"ITEM-1","itemData":{"DOI":"10.1021/es803029b","ISSN":"0013936X","PMID":"19673248","abstract":"Traffic is one of the major sources of harmful airborne particles worldwide. To relate exposure to adverse health effects it is important to determine the deposition probability of the inhaled particles in the human respiratory tract. The size-dependent deposition of 12-580 nm particles was measured with a novel setup in 9 healthy subjects breathing by mouth on the windward side of a busy street in Copenhagen, Denmark. The aerosol was characterized both at the curbside and, to obtain the background concentration, at rooftop level. Particle hygroscopicity, a key parameter affecting respiratory tract deposition, was also measured at the same time of exposure. The total deposition fraction of the curbside particles in the range 12-580 nm was 0.60 by number, 0.29 by surface area, and 0.23 by mass. The deposition fractions of the \"traffic exhaust\" contribution, calculated as the hydrophobic fraction of the curbside particles, was 0.68, 0.35, and 0.28 by number, surface area, and mass, respectively. The deposited amount of traffic exhaust particles was 16 times higher by number and 3 times higher by surface area compared to the deposition of residential biofuel combustion particles investigated previously (equal inhaled mass concentrations). This was because the traffic exhaust particles had both a higher deposition probability and a higher number and surface area concentration per unit mass. To validate the results, the respiratory tract deposition was estimated by using the well-established ICRP model. Predictions were in agreement with experimental results when the effects of particle hygroscopicity were considered in the model. © 2009 American Chemical Society.","author":[{"dropping-particle":"","family":"Löndahl","given":"Jakob","non-dropping-particle":"","parse-names":false,"suffix":""},{"dropping-particle":"","family":"Massling","given":"Andreas","non-dropping-particle":"","parse-names":false,"suffix":""},{"dropping-particle":"","family":"Swietlicki","given":"Erik","non-dropping-particle":"","parse-names":false,"suffix":""},{"dropping-particle":"","family":"Bräuner","given":"Elvira Vaclavik","non-dropping-particle":"","parse-names":false,"suffix":""},{"dropping-particle":"","family":"Ketzel","given":"Matthias","non-dropping-particle":"","parse-names":false,"suffix":""},{"dropping-particle":"","family":"Pagels","given":"Joakim","non-dropping-particle":"","parse-names":false,"suffix":""},{"dropping-particle":"","family":"Loft","given":"Steffen","non-dropping-particle":"","parse-names":false,"suffix":""}],"container-title":"Environmental Science and Technology","id":"ITEM-1","issue":"13","issued":{"date-parts":[["2009"]]},"page":"4659-4664","title":"Experimentally determined human respiratory tract deposition of airborne particles at a busy street","type":"article-journal","volume":"43"},"uris":["http://www.mendeley.com/documents/?uuid=d8d51263-c57e-4153-b0ea-8571160b0b8c"]}],"mendeley":{"formattedCitation":"[7]","plainTextFormattedCitation":"[7]","previouslyFormattedCitation":"[6]"},"properties":{"noteIndex":0},"schema":"https://github.com/citation-style-language/schema/raw/master/csl-citation.json"}</w:instrText>
            </w:r>
            <w:r>
              <w:rPr>
                <w:rFonts w:ascii="Palatino Linotype" w:hAnsi="Palatino Linotype"/>
                <w:color w:val="000000" w:themeColor="text1"/>
                <w:sz w:val="20"/>
              </w:rPr>
              <w:fldChar w:fldCharType="separate"/>
            </w:r>
            <w:r>
              <w:rPr>
                <w:rFonts w:ascii="Palatino Linotype" w:hAnsi="Palatino Linotype"/>
                <w:noProof/>
                <w:color w:val="000000" w:themeColor="text1"/>
                <w:sz w:val="20"/>
                <w:szCs w:val="20"/>
              </w:rPr>
              <w:t>[7]</w:t>
            </w:r>
            <w:r>
              <w:rPr>
                <w:rFonts w:ascii="Palatino Linotype" w:hAnsi="Palatino Linotype"/>
                <w:color w:val="000000" w:themeColor="text1"/>
                <w:sz w:val="20"/>
                <w:szCs w:val="20"/>
              </w:rPr>
              <w:fldChar w:fldCharType="end"/>
            </w:r>
          </w:p>
        </w:tc>
        <w:tc>
          <w:tcPr>
            <w:tcW w:w="126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Ambient Traffic Exhaust</w:t>
            </w:r>
          </w:p>
        </w:tc>
        <w:tc>
          <w:tcPr>
            <w:tcW w:w="144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Nose clipped, mouth breathing; Spontaneous</w:t>
            </w:r>
          </w:p>
        </w:tc>
        <w:tc>
          <w:tcPr>
            <w:tcW w:w="708"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21-38</w:t>
            </w:r>
          </w:p>
        </w:tc>
        <w:tc>
          <w:tcPr>
            <w:tcW w:w="108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5M/4F</w:t>
            </w:r>
          </w:p>
        </w:tc>
        <w:tc>
          <w:tcPr>
            <w:tcW w:w="99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sitting</w:t>
            </w:r>
          </w:p>
        </w:tc>
        <w:tc>
          <w:tcPr>
            <w:tcW w:w="108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28 ± 3</w:t>
            </w:r>
          </w:p>
        </w:tc>
        <w:tc>
          <w:tcPr>
            <w:tcW w:w="117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40 (PM</w:t>
            </w:r>
            <w:r>
              <w:rPr>
                <w:rFonts w:ascii="Palatino Linotype" w:hAnsi="Palatino Linotype"/>
                <w:color w:val="000000" w:themeColor="text1"/>
                <w:sz w:val="20"/>
                <w:szCs w:val="20"/>
                <w:vertAlign w:val="subscript"/>
              </w:rPr>
              <w:t>10</w:t>
            </w:r>
            <w:r>
              <w:rPr>
                <w:rFonts w:ascii="Palatino Linotype" w:hAnsi="Palatino Linotype"/>
                <w:color w:val="000000" w:themeColor="text1"/>
                <w:sz w:val="20"/>
                <w:szCs w:val="20"/>
              </w:rPr>
              <w:t>)</w:t>
            </w:r>
          </w:p>
        </w:tc>
        <w:tc>
          <w:tcPr>
            <w:tcW w:w="1260" w:type="dxa"/>
            <w:gridSpan w:val="2"/>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12.9</w:t>
            </w:r>
          </w:p>
        </w:tc>
      </w:tr>
      <w:tr>
        <w:trPr>
          <w:trHeight w:val="107"/>
        </w:trPr>
        <w:tc>
          <w:tcPr>
            <w:tcW w:w="900" w:type="dxa"/>
            <w:vAlign w:val="center"/>
          </w:tcPr>
          <w:p>
            <w:pPr>
              <w:jc w:val="center"/>
              <w:rPr>
                <w:rFonts w:ascii="Palatino Linotype" w:hAnsi="Palatino Linotype"/>
                <w:color w:val="000000" w:themeColor="text1"/>
                <w:sz w:val="6"/>
                <w:szCs w:val="6"/>
              </w:rPr>
            </w:pPr>
          </w:p>
        </w:tc>
        <w:tc>
          <w:tcPr>
            <w:tcW w:w="1260" w:type="dxa"/>
            <w:tcBorders>
              <w:top w:val="single" w:sz="4" w:space="0" w:color="000000"/>
            </w:tcBorders>
            <w:vAlign w:val="center"/>
          </w:tcPr>
          <w:p>
            <w:pPr>
              <w:jc w:val="center"/>
              <w:rPr>
                <w:rFonts w:ascii="Palatino Linotype" w:hAnsi="Palatino Linotype"/>
                <w:color w:val="000000" w:themeColor="text1"/>
                <w:sz w:val="6"/>
                <w:szCs w:val="6"/>
              </w:rPr>
            </w:pPr>
          </w:p>
        </w:tc>
        <w:tc>
          <w:tcPr>
            <w:tcW w:w="1440" w:type="dxa"/>
            <w:tcBorders>
              <w:top w:val="single" w:sz="4" w:space="0" w:color="000000"/>
            </w:tcBorders>
            <w:vAlign w:val="center"/>
          </w:tcPr>
          <w:p>
            <w:pPr>
              <w:jc w:val="center"/>
              <w:rPr>
                <w:rFonts w:ascii="Palatino Linotype" w:hAnsi="Palatino Linotype"/>
                <w:color w:val="000000" w:themeColor="text1"/>
                <w:sz w:val="6"/>
                <w:szCs w:val="6"/>
              </w:rPr>
            </w:pPr>
          </w:p>
        </w:tc>
        <w:tc>
          <w:tcPr>
            <w:tcW w:w="708" w:type="dxa"/>
            <w:tcBorders>
              <w:top w:val="single" w:sz="4" w:space="0" w:color="000000"/>
            </w:tcBorders>
            <w:vAlign w:val="center"/>
          </w:tcPr>
          <w:p>
            <w:pPr>
              <w:jc w:val="center"/>
              <w:rPr>
                <w:rFonts w:ascii="Palatino Linotype" w:hAnsi="Palatino Linotype"/>
                <w:color w:val="000000" w:themeColor="text1"/>
                <w:sz w:val="6"/>
                <w:szCs w:val="6"/>
              </w:rPr>
            </w:pPr>
          </w:p>
        </w:tc>
        <w:tc>
          <w:tcPr>
            <w:tcW w:w="1080" w:type="dxa"/>
            <w:tcBorders>
              <w:top w:val="single" w:sz="4" w:space="0" w:color="000000"/>
            </w:tcBorders>
            <w:vAlign w:val="center"/>
          </w:tcPr>
          <w:p>
            <w:pPr>
              <w:jc w:val="center"/>
              <w:rPr>
                <w:rFonts w:ascii="Palatino Linotype" w:hAnsi="Palatino Linotype"/>
                <w:color w:val="000000" w:themeColor="text1"/>
                <w:sz w:val="6"/>
                <w:szCs w:val="6"/>
              </w:rPr>
            </w:pPr>
          </w:p>
        </w:tc>
        <w:tc>
          <w:tcPr>
            <w:tcW w:w="990" w:type="dxa"/>
            <w:tcBorders>
              <w:top w:val="single" w:sz="4" w:space="0" w:color="000000"/>
            </w:tcBorders>
            <w:vAlign w:val="center"/>
          </w:tcPr>
          <w:p>
            <w:pPr>
              <w:jc w:val="center"/>
              <w:rPr>
                <w:rFonts w:ascii="Palatino Linotype" w:hAnsi="Palatino Linotype"/>
                <w:color w:val="000000" w:themeColor="text1"/>
                <w:sz w:val="6"/>
                <w:szCs w:val="6"/>
              </w:rPr>
            </w:pPr>
          </w:p>
        </w:tc>
        <w:tc>
          <w:tcPr>
            <w:tcW w:w="1080" w:type="dxa"/>
            <w:tcBorders>
              <w:top w:val="single" w:sz="4" w:space="0" w:color="000000"/>
            </w:tcBorders>
            <w:vAlign w:val="center"/>
          </w:tcPr>
          <w:p>
            <w:pPr>
              <w:jc w:val="center"/>
              <w:rPr>
                <w:rFonts w:ascii="Palatino Linotype" w:hAnsi="Palatino Linotype"/>
                <w:color w:val="000000" w:themeColor="text1"/>
                <w:sz w:val="6"/>
                <w:szCs w:val="6"/>
              </w:rPr>
            </w:pPr>
          </w:p>
        </w:tc>
        <w:tc>
          <w:tcPr>
            <w:tcW w:w="1170" w:type="dxa"/>
            <w:tcBorders>
              <w:top w:val="single" w:sz="4" w:space="0" w:color="000000"/>
            </w:tcBorders>
            <w:vAlign w:val="center"/>
          </w:tcPr>
          <w:p>
            <w:pPr>
              <w:jc w:val="center"/>
              <w:rPr>
                <w:rFonts w:ascii="Palatino Linotype" w:hAnsi="Palatino Linotype"/>
                <w:color w:val="000000" w:themeColor="text1"/>
                <w:sz w:val="6"/>
                <w:szCs w:val="6"/>
              </w:rPr>
            </w:pPr>
          </w:p>
        </w:tc>
        <w:tc>
          <w:tcPr>
            <w:tcW w:w="1260" w:type="dxa"/>
            <w:gridSpan w:val="2"/>
            <w:tcBorders>
              <w:top w:val="single" w:sz="4" w:space="0" w:color="000000"/>
            </w:tcBorders>
            <w:vAlign w:val="center"/>
          </w:tcPr>
          <w:p>
            <w:pPr>
              <w:jc w:val="center"/>
              <w:rPr>
                <w:rFonts w:ascii="Palatino Linotype" w:hAnsi="Palatino Linotype"/>
                <w:color w:val="000000" w:themeColor="text1"/>
                <w:sz w:val="6"/>
                <w:szCs w:val="6"/>
              </w:rPr>
            </w:pPr>
          </w:p>
        </w:tc>
      </w:tr>
      <w:tr>
        <w:tc>
          <w:tcPr>
            <w:tcW w:w="900" w:type="dxa"/>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 xml:space="preserve">Rissler </w:t>
            </w:r>
            <w:r>
              <w:rPr>
                <w:rFonts w:ascii="Palatino Linotype" w:hAnsi="Palatino Linotype"/>
                <w:i/>
                <w:iCs/>
                <w:color w:val="000000" w:themeColor="text1"/>
                <w:sz w:val="20"/>
                <w:szCs w:val="20"/>
              </w:rPr>
              <w:t>et al.</w:t>
            </w:r>
            <w:r>
              <w:rPr>
                <w:rFonts w:ascii="Palatino Linotype" w:hAnsi="Palatino Linotype"/>
                <w:color w:val="000000" w:themeColor="text1"/>
                <w:sz w:val="20"/>
                <w:szCs w:val="20"/>
              </w:rPr>
              <w:fldChar w:fldCharType="begin" w:fldLock="1"/>
            </w:r>
            <w:r>
              <w:rPr>
                <w:rFonts w:ascii="Palatino Linotype" w:hAnsi="Palatino Linotype"/>
                <w:color w:val="000000" w:themeColor="text1"/>
                <w:sz w:val="20"/>
                <w:szCs w:val="20"/>
              </w:rPr>
              <w:instrText>ADDIN CSL_CITATION {"citationItems":[{"id":"ITEM-1","itemData":{"DOI":"10.1016/j.jaerosci.2012.01.005","ISSN":"18791964","abstract":"Diesel emissions are a major contributor to combustion-generated airborne ambient particles. To understand the role of diesel particulate emissions on health effects, it is important to predict the actual particulate dose deposited in the human respiratory tract, with respect to number, surface area and mass. This is complicated by the agglomerate nature of some of these particles. In this study the respiratory tract deposition fraction in the size range 10-500. nm, was determined for 10 healthy volunteers during both idling and transient engine running conditions of a heavy duty diesel engine. The aerosol was characterized with respect to both chemical and physical properties including size resolved particle effective density. The dominating part of the emitted particles had an agglomerate structure. For those formed during transient running conditions, the relationship between particle mass and mobility diameter could be described by a power law function. This was not the case during idling, most likely because of volatile compounds condensing on the agglomerates. The respiratory tract particle deposition revealed large intra-subject variability with some subjects receiving a dose that was twice as high as that of others, when exposed to the same particle concentration. Associations were found between total deposited fractions (TDF), and breathing pattern. There was a difference between the idling and transient cycle with TDF being higher with respect to number during idling. The measured size-dependent deposition fraction of the agglomerated exhaust particles from both running conditions was nearly identical and closely resembled that of spherical hydrophobic particles, if plotted as a function of mobility diameter. Thus, for the size range covered, the mobility diameter could well describe the diameter-dependent particle respiratory tract deposition probability, regardless of the agglomeration state of the particles. Whilst mobility diameter well describes the deposition fraction, more information about particle characteristics is needed to convert this to volume equivalent diameter or estimate dose with respect to surface area or mass. A methodology is presented and applied to calculate deposited dose by surface area and mass of agglomerated particles. The methodology may be useful in similar studies estimating dose to the lung, deposition onto cell cultures and in animal studies. © 2012 Elsevier Ltd.","author":[{"dropping-particle":"","family":"Rissler","given":"Jenny","non-dropping-particle":"","parse-names":false,"suffix":""},{"dropping-particle":"","family":"Swietlicki","given":"Erik","non-dropping-particle":"","parse-names":false,"suffix":""},{"dropping-particle":"","family":"Bengtsson","given":"Agneta","non-dropping-particle":"","parse-names":false,"suffix":""},{"dropping-particle":"","family":"Boman","given":"Christoffer","non-dropping-particle":"","parse-names":false,"suffix":""},{"dropping-particle":"","family":"Pagels","given":"Joakim","non-dropping-particle":"","parse-names":false,"suffix":""},{"dropping-particle":"","family":"Sandström","given":"Thomas","non-dropping-particle":"","parse-names":false,"suffix":""},{"dropping-particle":"","family":"Blomberg","given":"Anders","non-dropping-particle":"","parse-names":false,"suffix":""},{"dropping-particle":"","family":"Löndahl","given":"Jakob","non-dropping-particle":"","parse-names":false,"suffix":""}],"container-title":"Journal of Aerosol Science","id":"ITEM-1","issued":{"date-parts":[["2012"]]},"page":"18-33","title":"Experimental determination of deposition of diesel exhaust particles in the human respiratory tract","type":"article-journal","volume":"48"},"uris":["http://www.mendeley.com/documents/?uuid=183db6fc-8e23-4aea-823a-8c6a54dcda53"]}],"mendeley":{"formattedCitation":"[13]","plainTextFormattedCitation":"[13]","previouslyFormattedCitation":"[12]"},"properties":{"noteIndex":0},"schema":"https://github.com/citation-style-language/schema/raw/master/csl-citation.json"}</w:instrText>
            </w:r>
            <w:r>
              <w:rPr>
                <w:rFonts w:ascii="Palatino Linotype" w:hAnsi="Palatino Linotype"/>
                <w:color w:val="000000" w:themeColor="text1"/>
                <w:sz w:val="20"/>
              </w:rPr>
              <w:fldChar w:fldCharType="separate"/>
            </w:r>
            <w:r>
              <w:rPr>
                <w:rFonts w:ascii="Palatino Linotype" w:hAnsi="Palatino Linotype"/>
                <w:noProof/>
                <w:color w:val="000000" w:themeColor="text1"/>
                <w:sz w:val="20"/>
                <w:szCs w:val="20"/>
              </w:rPr>
              <w:t>[13]</w:t>
            </w:r>
            <w:r>
              <w:rPr>
                <w:rFonts w:ascii="Palatino Linotype" w:hAnsi="Palatino Linotype"/>
                <w:color w:val="000000" w:themeColor="text1"/>
                <w:sz w:val="20"/>
                <w:szCs w:val="20"/>
              </w:rPr>
              <w:fldChar w:fldCharType="end"/>
            </w:r>
          </w:p>
        </w:tc>
        <w:tc>
          <w:tcPr>
            <w:tcW w:w="126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Diesel Exhaust Particles</w:t>
            </w:r>
          </w:p>
        </w:tc>
        <w:tc>
          <w:tcPr>
            <w:tcW w:w="144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Nose clipped, mouth breathing;</w:t>
            </w:r>
          </w:p>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Spontaneous</w:t>
            </w:r>
          </w:p>
        </w:tc>
        <w:tc>
          <w:tcPr>
            <w:tcW w:w="708"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23-45</w:t>
            </w:r>
          </w:p>
        </w:tc>
        <w:tc>
          <w:tcPr>
            <w:tcW w:w="108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10</w:t>
            </w:r>
          </w:p>
        </w:tc>
        <w:tc>
          <w:tcPr>
            <w:tcW w:w="99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sitting</w:t>
            </w:r>
          </w:p>
        </w:tc>
        <w:tc>
          <w:tcPr>
            <w:tcW w:w="108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27 ± 7</w:t>
            </w:r>
          </w:p>
        </w:tc>
        <w:tc>
          <w:tcPr>
            <w:tcW w:w="117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300; 59, diluted 100-250 times</w:t>
            </w:r>
          </w:p>
        </w:tc>
        <w:tc>
          <w:tcPr>
            <w:tcW w:w="1260" w:type="dxa"/>
            <w:gridSpan w:val="2"/>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14.6</w:t>
            </w:r>
          </w:p>
        </w:tc>
      </w:tr>
      <w:tr>
        <w:tc>
          <w:tcPr>
            <w:tcW w:w="900" w:type="dxa"/>
            <w:vAlign w:val="center"/>
          </w:tcPr>
          <w:p>
            <w:pPr>
              <w:jc w:val="center"/>
              <w:rPr>
                <w:rFonts w:ascii="Palatino Linotype" w:hAnsi="Palatino Linotype"/>
                <w:color w:val="000000" w:themeColor="text1"/>
                <w:sz w:val="6"/>
                <w:szCs w:val="6"/>
              </w:rPr>
            </w:pPr>
          </w:p>
        </w:tc>
        <w:tc>
          <w:tcPr>
            <w:tcW w:w="1260" w:type="dxa"/>
            <w:tcBorders>
              <w:top w:val="single" w:sz="4" w:space="0" w:color="000000"/>
            </w:tcBorders>
            <w:vAlign w:val="center"/>
          </w:tcPr>
          <w:p>
            <w:pPr>
              <w:jc w:val="center"/>
              <w:rPr>
                <w:rFonts w:ascii="Palatino Linotype" w:hAnsi="Palatino Linotype"/>
                <w:color w:val="000000" w:themeColor="text1"/>
                <w:sz w:val="6"/>
                <w:szCs w:val="6"/>
              </w:rPr>
            </w:pPr>
          </w:p>
        </w:tc>
        <w:tc>
          <w:tcPr>
            <w:tcW w:w="1440" w:type="dxa"/>
            <w:tcBorders>
              <w:top w:val="single" w:sz="4" w:space="0" w:color="000000"/>
            </w:tcBorders>
            <w:vAlign w:val="center"/>
          </w:tcPr>
          <w:p>
            <w:pPr>
              <w:jc w:val="center"/>
              <w:rPr>
                <w:rFonts w:ascii="Palatino Linotype" w:hAnsi="Palatino Linotype"/>
                <w:color w:val="000000" w:themeColor="text1"/>
                <w:sz w:val="6"/>
                <w:szCs w:val="6"/>
              </w:rPr>
            </w:pPr>
          </w:p>
        </w:tc>
        <w:tc>
          <w:tcPr>
            <w:tcW w:w="708" w:type="dxa"/>
            <w:tcBorders>
              <w:top w:val="single" w:sz="4" w:space="0" w:color="000000"/>
            </w:tcBorders>
            <w:vAlign w:val="center"/>
          </w:tcPr>
          <w:p>
            <w:pPr>
              <w:jc w:val="center"/>
              <w:rPr>
                <w:rFonts w:ascii="Palatino Linotype" w:hAnsi="Palatino Linotype"/>
                <w:color w:val="000000" w:themeColor="text1"/>
                <w:sz w:val="6"/>
                <w:szCs w:val="6"/>
              </w:rPr>
            </w:pPr>
          </w:p>
        </w:tc>
        <w:tc>
          <w:tcPr>
            <w:tcW w:w="1080" w:type="dxa"/>
            <w:tcBorders>
              <w:top w:val="single" w:sz="4" w:space="0" w:color="000000"/>
            </w:tcBorders>
            <w:vAlign w:val="center"/>
          </w:tcPr>
          <w:p>
            <w:pPr>
              <w:jc w:val="center"/>
              <w:rPr>
                <w:rFonts w:ascii="Palatino Linotype" w:hAnsi="Palatino Linotype"/>
                <w:color w:val="000000" w:themeColor="text1"/>
                <w:sz w:val="6"/>
                <w:szCs w:val="6"/>
              </w:rPr>
            </w:pPr>
          </w:p>
        </w:tc>
        <w:tc>
          <w:tcPr>
            <w:tcW w:w="990" w:type="dxa"/>
            <w:tcBorders>
              <w:top w:val="single" w:sz="4" w:space="0" w:color="000000"/>
            </w:tcBorders>
            <w:vAlign w:val="center"/>
          </w:tcPr>
          <w:p>
            <w:pPr>
              <w:jc w:val="center"/>
              <w:rPr>
                <w:rFonts w:ascii="Palatino Linotype" w:hAnsi="Palatino Linotype"/>
                <w:color w:val="000000" w:themeColor="text1"/>
                <w:sz w:val="6"/>
                <w:szCs w:val="6"/>
              </w:rPr>
            </w:pPr>
          </w:p>
        </w:tc>
        <w:tc>
          <w:tcPr>
            <w:tcW w:w="1080" w:type="dxa"/>
            <w:tcBorders>
              <w:top w:val="single" w:sz="4" w:space="0" w:color="000000"/>
            </w:tcBorders>
            <w:vAlign w:val="center"/>
          </w:tcPr>
          <w:p>
            <w:pPr>
              <w:jc w:val="center"/>
              <w:rPr>
                <w:rFonts w:ascii="Palatino Linotype" w:hAnsi="Palatino Linotype"/>
                <w:color w:val="000000" w:themeColor="text1"/>
                <w:sz w:val="6"/>
                <w:szCs w:val="6"/>
              </w:rPr>
            </w:pPr>
          </w:p>
        </w:tc>
        <w:tc>
          <w:tcPr>
            <w:tcW w:w="1170" w:type="dxa"/>
            <w:tcBorders>
              <w:top w:val="single" w:sz="4" w:space="0" w:color="000000"/>
            </w:tcBorders>
            <w:vAlign w:val="center"/>
          </w:tcPr>
          <w:p>
            <w:pPr>
              <w:jc w:val="center"/>
              <w:rPr>
                <w:rFonts w:ascii="Palatino Linotype" w:hAnsi="Palatino Linotype"/>
                <w:color w:val="000000" w:themeColor="text1"/>
                <w:sz w:val="6"/>
                <w:szCs w:val="6"/>
              </w:rPr>
            </w:pPr>
          </w:p>
        </w:tc>
        <w:tc>
          <w:tcPr>
            <w:tcW w:w="1260" w:type="dxa"/>
            <w:gridSpan w:val="2"/>
            <w:tcBorders>
              <w:top w:val="single" w:sz="4" w:space="0" w:color="000000"/>
            </w:tcBorders>
            <w:vAlign w:val="center"/>
          </w:tcPr>
          <w:p>
            <w:pPr>
              <w:jc w:val="center"/>
              <w:rPr>
                <w:rFonts w:ascii="Palatino Linotype" w:hAnsi="Palatino Linotype"/>
                <w:color w:val="000000" w:themeColor="text1"/>
                <w:sz w:val="6"/>
                <w:szCs w:val="6"/>
              </w:rPr>
            </w:pPr>
          </w:p>
        </w:tc>
      </w:tr>
      <w:tr>
        <w:tc>
          <w:tcPr>
            <w:tcW w:w="900" w:type="dxa"/>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 xml:space="preserve">Rissler </w:t>
            </w:r>
            <w:r>
              <w:rPr>
                <w:rFonts w:ascii="Palatino Linotype" w:hAnsi="Palatino Linotype"/>
                <w:i/>
                <w:iCs/>
                <w:color w:val="000000" w:themeColor="text1"/>
                <w:sz w:val="20"/>
                <w:szCs w:val="20"/>
              </w:rPr>
              <w:t>et al.</w:t>
            </w:r>
            <w:r>
              <w:rPr>
                <w:rStyle w:val="FootnoteReference"/>
                <w:rFonts w:ascii="Palatino Linotype" w:hAnsi="Palatino Linotype"/>
                <w:color w:val="000000" w:themeColor="text1"/>
                <w:sz w:val="20"/>
                <w:szCs w:val="20"/>
              </w:rPr>
              <w:fldChar w:fldCharType="begin" w:fldLock="1"/>
            </w:r>
            <w:r>
              <w:rPr>
                <w:rFonts w:ascii="Palatino Linotype" w:hAnsi="Palatino Linotype"/>
                <w:color w:val="000000" w:themeColor="text1"/>
                <w:sz w:val="20"/>
                <w:szCs w:val="20"/>
              </w:rPr>
              <w:instrText>ADDIN CSL_CITATION {"citationItems":[{"id":"ITEM-1","itemData":{"DOI":"10.4209/aaqr.2016.09.0425","ISSN":"20711409","abstract":"Exposure to airborne particulate matter is associated with a number of negative health effects ranging from respiratory diseases to systemic effects and cancer. One important factor for understanding the health effects is the individual variation in the respiratory tract deposition of inhaled particles. In this study, we describe an experimental set-up for size-resolved measurements of the lung deposited fraction of airborne particles, covering the diameter range from 15 to 5000 nm. The set-up includes a system for generating a stable aerosol with a sufficiently broad size distribution. We used a scanning mobility particle sizer and an aerodynamic particle sizer to determine particle number and size. The set-up was used to investigate individual differences in the deposition fraction (DF) of particles in the respiratory tract for a group of 67 subjects of both sexes aged 7–70 years. The measured DF was applied to two model aerosols, one representing an urban environment and one a rural environment, and the particle deposition rates were derived (i.e., the deposited amount of particles per unit time). Furthermore, the deposition rates were normalized to lung surface area and body mass – two dose measures that are considered relevant for the health effects of airborne particles. In addition to validation of the set-up, we show that there is a large individual variation in DF, with some subjects having a DF that is more than twice as high as that of others. Although we observe differences in the DF between different subgroups, most individual variation was explained neither by age nor by gender. When normalizing the deposition rates to lung surface area or body mass, the deposition rates of children become significantly higher than those of adults. Furthermore, the individual variability is larger for the lung surface area or body mass normalized deposition rates than for DF.","author":[{"dropping-particle":"","family":"Rissler","given":"Jenny","non-dropping-particle":"","parse-names":false,"suffix":""},{"dropping-particle":"","family":"Nicklasson","given":"Hanna","non-dropping-particle":"","parse-names":false,"suffix":""},{"dropping-particle":"","family":"Gudmundsson","given":"Anders","non-dropping-particle":"","parse-names":false,"suffix":""},{"dropping-particle":"","family":"Wollmer","given":"Per","non-dropping-particle":"","parse-names":false,"suffix":""},{"dropping-particle":"","family":"Swietlicki","given":"Erik","non-dropping-particle":"","parse-names":false,"suffix":""},{"dropping-particle":"","family":"Löndahl","given":"Jakob","non-dropping-particle":"","parse-names":false,"suffix":""}],"container-title":"Aerosol and Air Quality Research","id":"ITEM-1","issue":"5","issued":{"date-parts":[["2017"]]},"page":"1244-1255","title":"A set-up for respiratory tract deposition efficiency measurements (15–5000 nm) and first results for a group of children and adults","type":"article-journal","volume":"17"},"uris":["http://www.mendeley.com/documents/?uuid=60ea0741-2a80-44c9-af08-00d7a098e9f0"]}],"mendeley":{"formattedCitation":"[9]","plainTextFormattedCitation":"[9]","previouslyFormattedCitation":"[8]"},"properties":{"noteIndex":0},"schema":"https://github.com/citation-style-language/schema/raw/master/csl-citation.json"}</w:instrText>
            </w:r>
            <w:r>
              <w:rPr>
                <w:rStyle w:val="FootnoteReference"/>
                <w:rFonts w:ascii="Palatino Linotype" w:hAnsi="Palatino Linotype"/>
                <w:color w:val="000000" w:themeColor="text1"/>
                <w:sz w:val="20"/>
              </w:rPr>
              <w:fldChar w:fldCharType="separate"/>
            </w:r>
            <w:r>
              <w:rPr>
                <w:rFonts w:ascii="Palatino Linotype" w:hAnsi="Palatino Linotype"/>
                <w:bCs/>
                <w:noProof/>
                <w:color w:val="000000" w:themeColor="text1"/>
                <w:sz w:val="20"/>
                <w:szCs w:val="20"/>
              </w:rPr>
              <w:t>[9]</w:t>
            </w:r>
            <w:r>
              <w:rPr>
                <w:rStyle w:val="FootnoteReference"/>
                <w:rFonts w:ascii="Palatino Linotype" w:hAnsi="Palatino Linotype"/>
                <w:color w:val="000000" w:themeColor="text1"/>
                <w:sz w:val="20"/>
                <w:szCs w:val="20"/>
              </w:rPr>
              <w:fldChar w:fldCharType="end"/>
            </w:r>
          </w:p>
        </w:tc>
        <w:tc>
          <w:tcPr>
            <w:tcW w:w="126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Carnauba wax /glass particles</w:t>
            </w:r>
          </w:p>
        </w:tc>
        <w:tc>
          <w:tcPr>
            <w:tcW w:w="144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Nose clipped, mouth breathing;</w:t>
            </w:r>
          </w:p>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Spontaneous</w:t>
            </w:r>
          </w:p>
        </w:tc>
        <w:tc>
          <w:tcPr>
            <w:tcW w:w="708"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20-70</w:t>
            </w:r>
          </w:p>
        </w:tc>
        <w:tc>
          <w:tcPr>
            <w:tcW w:w="108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60</w:t>
            </w:r>
          </w:p>
        </w:tc>
        <w:tc>
          <w:tcPr>
            <w:tcW w:w="99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sitting</w:t>
            </w:r>
          </w:p>
        </w:tc>
        <w:tc>
          <w:tcPr>
            <w:tcW w:w="108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34 ± 8</w:t>
            </w:r>
          </w:p>
        </w:tc>
        <w:tc>
          <w:tcPr>
            <w:tcW w:w="117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w:t>
            </w:r>
          </w:p>
        </w:tc>
        <w:tc>
          <w:tcPr>
            <w:tcW w:w="1260" w:type="dxa"/>
            <w:gridSpan w:val="2"/>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15.6</w:t>
            </w:r>
          </w:p>
        </w:tc>
      </w:tr>
      <w:tr>
        <w:tc>
          <w:tcPr>
            <w:tcW w:w="900" w:type="dxa"/>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 xml:space="preserve">Muala </w:t>
            </w:r>
            <w:r>
              <w:rPr>
                <w:rFonts w:ascii="Palatino Linotype" w:hAnsi="Palatino Linotype"/>
                <w:i/>
                <w:iCs/>
                <w:color w:val="000000" w:themeColor="text1"/>
                <w:sz w:val="20"/>
                <w:szCs w:val="20"/>
              </w:rPr>
              <w:t>et al.</w:t>
            </w:r>
            <w:r>
              <w:rPr>
                <w:rFonts w:ascii="Palatino Linotype" w:hAnsi="Palatino Linotype"/>
                <w:i/>
                <w:iCs/>
                <w:color w:val="000000" w:themeColor="text1"/>
                <w:sz w:val="20"/>
                <w:szCs w:val="20"/>
              </w:rPr>
              <w:fldChar w:fldCharType="begin" w:fldLock="1"/>
            </w:r>
            <w:r>
              <w:rPr>
                <w:rFonts w:ascii="Palatino Linotype" w:hAnsi="Palatino Linotype"/>
                <w:i/>
                <w:iCs/>
                <w:color w:val="000000" w:themeColor="text1"/>
                <w:sz w:val="20"/>
                <w:szCs w:val="20"/>
              </w:rPr>
              <w:instrText>ADDIN CSL_CITATION {"citationItems":[{"id":"ITEM-1","itemData":{"DOI":"10.1089/jamp.2014.1122","ISSN":"19412703","PMID":"25393443","abstract":"Background: Respiratory tract deposition of air pollution particles is a key to their adverse health effects. This study was aimed to determine the size-resolved deposition fraction (DF) of sooty wood smoke particles in the lungs of healthy subjects. The type of wood smoke investigated is typical for household air pollution from solid fuels, which is among the largest environmental health problems globally. Methods: Twelve healthy volunteers inhaled diluted wood smoke from incomplete soot-rich combustion in a common wood stove. The DF of smoke particles (10-500nm) was measured during three 15-min exposures in each subject during spontaneous breathing. Lung function was measured using standard spirometry. Results: The total DFs by particle number concentration were 0.34±0.08. This can be compared with DFs of 0.21-0.23 in healthy subjects during previous experiments with wood pellet combustion. For particle mass, the total DFs found in this study were 0.22±0.06. DF and breathing frequency were negatively correlated as expected from model calculations (p&lt;0.01). Conclusions: The DF of the investigated sooty wood smoke particles was higher than for previously investigated particles generated during more efficient combustion of biomass. Together with toxicological studies, which have indicated that incomplete biomass combustion particles rich in soot and polycyclic aromatic hydrocarbons (PAHs) are especially harmful, these data highlight the health risks of inadequate wood combustion.","author":[{"dropping-particle":"","family":"Muala","given":"Ala","non-dropping-particle":"","parse-names":false,"suffix":""},{"dropping-particle":"","family":"Nicklasson","given":"Hanna","non-dropping-particle":"","parse-names":false,"suffix":""},{"dropping-particle":"","family":"Boman","given":"Christoffer","non-dropping-particle":"","parse-names":false,"suffix":""},{"dropping-particle":"","family":"Swietlicki","given":"Erik","non-dropping-particle":"","parse-names":false,"suffix":""},{"dropping-particle":"","family":"Nyström","given":"Robin","non-dropping-particle":"","parse-names":false,"suffix":""},{"dropping-particle":"","family":"Pettersson","given":"Esbjörn","non-dropping-particle":"","parse-names":false,"suffix":""},{"dropping-particle":"","family":"Bosson","given":"Jenny A.","non-dropping-particle":"","parse-names":false,"suffix":""},{"dropping-particle":"","family":"Rissler","given":"Jenny","non-dropping-particle":"","parse-names":false,"suffix":""},{"dropping-particle":"","family":"Blomberg","given":"Anders","non-dropping-particle":"","parse-names":false,"suffix":""},{"dropping-particle":"","family":"Sandström","given":"Thomas","non-dropping-particle":"","parse-names":false,"suffix":""},{"dropping-particle":"","family":"Löndahl","given":"Jakob","non-dropping-particle":"","parse-names":false,"suffix":""}],"container-title":"Journal of Aerosol Medicine and Pulmonary Drug Delivery","id":"ITEM-1","issue":"4","issued":{"date-parts":[["2015"]]},"page":"237-246","title":"Respiratory Tract Deposition of Inhaled Wood Smoke Particles in Healthy Volunteers","type":"article-journal","volume":"28"},"uris":["http://www.mendeley.com/documents/?uuid=c04e85e3-fd3e-4070-b2d1-315b408e3fd4"]}],"mendeley":{"formattedCitation":"[14]","plainTextFormattedCitation":"[14]","previouslyFormattedCitation":"[13]"},"properties":{"noteIndex":0},"schema":"https://github.com/citation-style-language/schema/raw/master/csl-citation.json"}</w:instrText>
            </w:r>
            <w:r>
              <w:rPr>
                <w:rFonts w:ascii="Palatino Linotype" w:hAnsi="Palatino Linotype"/>
                <w:i/>
                <w:iCs/>
                <w:color w:val="000000" w:themeColor="text1"/>
                <w:sz w:val="20"/>
                <w:szCs w:val="20"/>
              </w:rPr>
              <w:fldChar w:fldCharType="separate"/>
            </w:r>
            <w:r>
              <w:rPr>
                <w:rFonts w:ascii="Palatino Linotype" w:hAnsi="Palatino Linotype"/>
                <w:iCs/>
                <w:noProof/>
                <w:color w:val="000000" w:themeColor="text1"/>
                <w:sz w:val="20"/>
                <w:szCs w:val="20"/>
              </w:rPr>
              <w:t>[14]</w:t>
            </w:r>
            <w:r>
              <w:rPr>
                <w:rFonts w:ascii="Palatino Linotype" w:hAnsi="Palatino Linotype"/>
                <w:i/>
                <w:iCs/>
                <w:color w:val="000000" w:themeColor="text1"/>
                <w:sz w:val="20"/>
                <w:szCs w:val="20"/>
              </w:rPr>
              <w:fldChar w:fldCharType="end"/>
            </w:r>
          </w:p>
        </w:tc>
        <w:tc>
          <w:tcPr>
            <w:tcW w:w="126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Wood stove smoke</w:t>
            </w:r>
          </w:p>
        </w:tc>
        <w:tc>
          <w:tcPr>
            <w:tcW w:w="144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Nose clipped, mouth breathing;</w:t>
            </w:r>
          </w:p>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Spontaneous</w:t>
            </w:r>
          </w:p>
        </w:tc>
        <w:tc>
          <w:tcPr>
            <w:tcW w:w="708"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21-27</w:t>
            </w:r>
          </w:p>
        </w:tc>
        <w:tc>
          <w:tcPr>
            <w:tcW w:w="108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12</w:t>
            </w:r>
          </w:p>
        </w:tc>
        <w:tc>
          <w:tcPr>
            <w:tcW w:w="99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sitting</w:t>
            </w:r>
          </w:p>
        </w:tc>
        <w:tc>
          <w:tcPr>
            <w:tcW w:w="108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22 ± 6</w:t>
            </w:r>
          </w:p>
        </w:tc>
        <w:tc>
          <w:tcPr>
            <w:tcW w:w="117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81 ± 35; 132 ± 26</w:t>
            </w:r>
          </w:p>
        </w:tc>
        <w:tc>
          <w:tcPr>
            <w:tcW w:w="1260" w:type="dxa"/>
            <w:gridSpan w:val="2"/>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10.9</w:t>
            </w:r>
          </w:p>
        </w:tc>
      </w:tr>
      <w:tr>
        <w:tc>
          <w:tcPr>
            <w:tcW w:w="900" w:type="dxa"/>
            <w:vAlign w:val="center"/>
          </w:tcPr>
          <w:p>
            <w:pPr>
              <w:jc w:val="center"/>
              <w:rPr>
                <w:rFonts w:ascii="Palatino Linotype" w:hAnsi="Palatino Linotype"/>
                <w:color w:val="000000" w:themeColor="text1"/>
                <w:sz w:val="6"/>
                <w:szCs w:val="6"/>
              </w:rPr>
            </w:pPr>
          </w:p>
        </w:tc>
        <w:tc>
          <w:tcPr>
            <w:tcW w:w="1260" w:type="dxa"/>
            <w:tcBorders>
              <w:top w:val="single" w:sz="4" w:space="0" w:color="000000"/>
            </w:tcBorders>
            <w:vAlign w:val="center"/>
          </w:tcPr>
          <w:p>
            <w:pPr>
              <w:jc w:val="center"/>
              <w:rPr>
                <w:rFonts w:ascii="Palatino Linotype" w:hAnsi="Palatino Linotype"/>
                <w:color w:val="000000" w:themeColor="text1"/>
                <w:sz w:val="6"/>
                <w:szCs w:val="6"/>
              </w:rPr>
            </w:pPr>
          </w:p>
        </w:tc>
        <w:tc>
          <w:tcPr>
            <w:tcW w:w="1440" w:type="dxa"/>
            <w:tcBorders>
              <w:top w:val="single" w:sz="4" w:space="0" w:color="000000"/>
            </w:tcBorders>
            <w:vAlign w:val="center"/>
          </w:tcPr>
          <w:p>
            <w:pPr>
              <w:jc w:val="center"/>
              <w:rPr>
                <w:rFonts w:ascii="Palatino Linotype" w:hAnsi="Palatino Linotype"/>
                <w:color w:val="000000" w:themeColor="text1"/>
                <w:sz w:val="6"/>
                <w:szCs w:val="6"/>
              </w:rPr>
            </w:pPr>
          </w:p>
        </w:tc>
        <w:tc>
          <w:tcPr>
            <w:tcW w:w="708" w:type="dxa"/>
            <w:tcBorders>
              <w:top w:val="single" w:sz="4" w:space="0" w:color="000000"/>
            </w:tcBorders>
            <w:vAlign w:val="center"/>
          </w:tcPr>
          <w:p>
            <w:pPr>
              <w:jc w:val="center"/>
              <w:rPr>
                <w:rFonts w:ascii="Palatino Linotype" w:hAnsi="Palatino Linotype"/>
                <w:color w:val="000000" w:themeColor="text1"/>
                <w:sz w:val="6"/>
                <w:szCs w:val="6"/>
              </w:rPr>
            </w:pPr>
          </w:p>
        </w:tc>
        <w:tc>
          <w:tcPr>
            <w:tcW w:w="1080" w:type="dxa"/>
            <w:tcBorders>
              <w:top w:val="single" w:sz="4" w:space="0" w:color="000000"/>
            </w:tcBorders>
            <w:vAlign w:val="center"/>
          </w:tcPr>
          <w:p>
            <w:pPr>
              <w:jc w:val="center"/>
              <w:rPr>
                <w:rFonts w:ascii="Palatino Linotype" w:hAnsi="Palatino Linotype"/>
                <w:color w:val="000000" w:themeColor="text1"/>
                <w:sz w:val="6"/>
                <w:szCs w:val="6"/>
              </w:rPr>
            </w:pPr>
          </w:p>
        </w:tc>
        <w:tc>
          <w:tcPr>
            <w:tcW w:w="990" w:type="dxa"/>
            <w:tcBorders>
              <w:top w:val="single" w:sz="4" w:space="0" w:color="000000"/>
            </w:tcBorders>
            <w:vAlign w:val="center"/>
          </w:tcPr>
          <w:p>
            <w:pPr>
              <w:jc w:val="center"/>
              <w:rPr>
                <w:rFonts w:ascii="Palatino Linotype" w:hAnsi="Palatino Linotype"/>
                <w:color w:val="000000" w:themeColor="text1"/>
                <w:sz w:val="6"/>
                <w:szCs w:val="6"/>
              </w:rPr>
            </w:pPr>
          </w:p>
        </w:tc>
        <w:tc>
          <w:tcPr>
            <w:tcW w:w="1080" w:type="dxa"/>
            <w:tcBorders>
              <w:top w:val="single" w:sz="4" w:space="0" w:color="000000"/>
            </w:tcBorders>
            <w:vAlign w:val="center"/>
          </w:tcPr>
          <w:p>
            <w:pPr>
              <w:jc w:val="center"/>
              <w:rPr>
                <w:rFonts w:ascii="Palatino Linotype" w:hAnsi="Palatino Linotype"/>
                <w:color w:val="000000" w:themeColor="text1"/>
                <w:sz w:val="6"/>
                <w:szCs w:val="6"/>
              </w:rPr>
            </w:pPr>
          </w:p>
        </w:tc>
        <w:tc>
          <w:tcPr>
            <w:tcW w:w="1170" w:type="dxa"/>
            <w:tcBorders>
              <w:top w:val="single" w:sz="4" w:space="0" w:color="000000"/>
            </w:tcBorders>
            <w:vAlign w:val="center"/>
          </w:tcPr>
          <w:p>
            <w:pPr>
              <w:jc w:val="center"/>
              <w:rPr>
                <w:rFonts w:ascii="Palatino Linotype" w:hAnsi="Palatino Linotype"/>
                <w:color w:val="000000" w:themeColor="text1"/>
                <w:sz w:val="6"/>
                <w:szCs w:val="6"/>
              </w:rPr>
            </w:pPr>
          </w:p>
        </w:tc>
        <w:tc>
          <w:tcPr>
            <w:tcW w:w="1260" w:type="dxa"/>
            <w:gridSpan w:val="2"/>
            <w:tcBorders>
              <w:top w:val="single" w:sz="4" w:space="0" w:color="000000"/>
            </w:tcBorders>
            <w:vAlign w:val="center"/>
          </w:tcPr>
          <w:p>
            <w:pPr>
              <w:jc w:val="center"/>
              <w:rPr>
                <w:rFonts w:ascii="Palatino Linotype" w:hAnsi="Palatino Linotype"/>
                <w:color w:val="000000" w:themeColor="text1"/>
                <w:sz w:val="6"/>
                <w:szCs w:val="6"/>
              </w:rPr>
            </w:pPr>
          </w:p>
        </w:tc>
      </w:tr>
      <w:tr>
        <w:trPr>
          <w:trHeight w:val="360"/>
        </w:trPr>
        <w:tc>
          <w:tcPr>
            <w:tcW w:w="900" w:type="dxa"/>
            <w:vMerge w:val="restart"/>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This study</w:t>
            </w:r>
          </w:p>
        </w:tc>
        <w:tc>
          <w:tcPr>
            <w:tcW w:w="1260" w:type="dxa"/>
            <w:vMerge w:val="restart"/>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Ambient Traffic Exhaust</w:t>
            </w:r>
          </w:p>
        </w:tc>
        <w:tc>
          <w:tcPr>
            <w:tcW w:w="1440" w:type="dxa"/>
            <w:vMerge w:val="restart"/>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Nose inhalation, mouth exhalation; Spontaneous</w:t>
            </w:r>
          </w:p>
        </w:tc>
        <w:tc>
          <w:tcPr>
            <w:tcW w:w="708"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18-27</w:t>
            </w:r>
          </w:p>
        </w:tc>
        <w:tc>
          <w:tcPr>
            <w:tcW w:w="108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20M/20F</w:t>
            </w:r>
          </w:p>
        </w:tc>
        <w:tc>
          <w:tcPr>
            <w:tcW w:w="99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mobile**</w:t>
            </w:r>
          </w:p>
        </w:tc>
        <w:tc>
          <w:tcPr>
            <w:tcW w:w="108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44 ± 18 / 42 ± 14</w:t>
            </w:r>
          </w:p>
        </w:tc>
        <w:tc>
          <w:tcPr>
            <w:tcW w:w="1170" w:type="dxa"/>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2-375; actual ambient</w:t>
            </w:r>
          </w:p>
        </w:tc>
        <w:tc>
          <w:tcPr>
            <w:tcW w:w="1260" w:type="dxa"/>
            <w:gridSpan w:val="2"/>
            <w:tcBorders>
              <w:bottom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20.2 / 19.3</w:t>
            </w:r>
          </w:p>
        </w:tc>
      </w:tr>
      <w:tr>
        <w:trPr>
          <w:trHeight w:val="350"/>
        </w:trPr>
        <w:tc>
          <w:tcPr>
            <w:tcW w:w="900" w:type="dxa"/>
            <w:vMerge/>
            <w:tcBorders>
              <w:bottom w:val="single" w:sz="8" w:space="0" w:color="000000"/>
            </w:tcBorders>
            <w:vAlign w:val="center"/>
          </w:tcPr>
          <w:p>
            <w:pPr>
              <w:jc w:val="center"/>
              <w:rPr>
                <w:rFonts w:ascii="Palatino Linotype" w:hAnsi="Palatino Linotype"/>
                <w:color w:val="000000" w:themeColor="text1"/>
                <w:sz w:val="20"/>
                <w:szCs w:val="20"/>
              </w:rPr>
            </w:pPr>
          </w:p>
        </w:tc>
        <w:tc>
          <w:tcPr>
            <w:tcW w:w="1260" w:type="dxa"/>
            <w:vMerge/>
            <w:tcBorders>
              <w:bottom w:val="single" w:sz="8" w:space="0" w:color="000000"/>
            </w:tcBorders>
          </w:tcPr>
          <w:p>
            <w:pPr>
              <w:jc w:val="center"/>
              <w:rPr>
                <w:rFonts w:ascii="Palatino Linotype" w:hAnsi="Palatino Linotype"/>
                <w:color w:val="000000" w:themeColor="text1"/>
                <w:sz w:val="20"/>
                <w:szCs w:val="20"/>
              </w:rPr>
            </w:pPr>
          </w:p>
        </w:tc>
        <w:tc>
          <w:tcPr>
            <w:tcW w:w="1440" w:type="dxa"/>
            <w:vMerge/>
            <w:tcBorders>
              <w:bottom w:val="single" w:sz="8" w:space="0" w:color="000000"/>
            </w:tcBorders>
            <w:vAlign w:val="center"/>
          </w:tcPr>
          <w:p>
            <w:pPr>
              <w:jc w:val="center"/>
              <w:rPr>
                <w:rFonts w:ascii="Palatino Linotype" w:hAnsi="Palatino Linotype"/>
                <w:color w:val="000000" w:themeColor="text1"/>
                <w:sz w:val="20"/>
                <w:szCs w:val="20"/>
              </w:rPr>
            </w:pPr>
          </w:p>
        </w:tc>
        <w:tc>
          <w:tcPr>
            <w:tcW w:w="708" w:type="dxa"/>
            <w:tcBorders>
              <w:top w:val="single" w:sz="4" w:space="0" w:color="000000"/>
              <w:bottom w:val="single" w:sz="8"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18-27</w:t>
            </w:r>
          </w:p>
        </w:tc>
        <w:tc>
          <w:tcPr>
            <w:tcW w:w="1080" w:type="dxa"/>
            <w:tcBorders>
              <w:top w:val="single" w:sz="4" w:space="0" w:color="000000"/>
              <w:bottom w:val="single" w:sz="8"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40</w:t>
            </w:r>
          </w:p>
        </w:tc>
        <w:tc>
          <w:tcPr>
            <w:tcW w:w="990" w:type="dxa"/>
            <w:tcBorders>
              <w:top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mobile**</w:t>
            </w:r>
          </w:p>
        </w:tc>
        <w:tc>
          <w:tcPr>
            <w:tcW w:w="1080" w:type="dxa"/>
            <w:tcBorders>
              <w:top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43 ± 16</w:t>
            </w:r>
          </w:p>
        </w:tc>
        <w:tc>
          <w:tcPr>
            <w:tcW w:w="1170" w:type="dxa"/>
            <w:tcBorders>
              <w:top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2-375; actual ambient</w:t>
            </w:r>
          </w:p>
        </w:tc>
        <w:tc>
          <w:tcPr>
            <w:tcW w:w="1260" w:type="dxa"/>
            <w:gridSpan w:val="2"/>
            <w:tcBorders>
              <w:top w:val="single" w:sz="4" w:space="0" w:color="000000"/>
            </w:tcBorders>
            <w:vAlign w:val="center"/>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19.8</w:t>
            </w:r>
          </w:p>
        </w:tc>
      </w:tr>
      <w:tr>
        <w:trPr>
          <w:gridAfter w:val="1"/>
          <w:wAfter w:w="23" w:type="dxa"/>
        </w:trPr>
        <w:tc>
          <w:tcPr>
            <w:tcW w:w="9865" w:type="dxa"/>
            <w:gridSpan w:val="9"/>
            <w:tcBorders>
              <w:top w:val="single" w:sz="8" w:space="0" w:color="000000"/>
            </w:tcBorders>
          </w:tcPr>
          <w:p>
            <w:pPr>
              <w:rPr>
                <w:rFonts w:ascii="Palatino Linotype" w:hAnsi="Palatino Linotype"/>
                <w:color w:val="000000" w:themeColor="text1"/>
                <w:sz w:val="20"/>
                <w:szCs w:val="20"/>
              </w:rPr>
            </w:pPr>
            <w:r>
              <w:rPr>
                <w:rFonts w:ascii="Palatino Linotype" w:hAnsi="Palatino Linotype"/>
                <w:color w:val="000000" w:themeColor="text1"/>
                <w:sz w:val="20"/>
                <w:szCs w:val="20"/>
              </w:rPr>
              <w:t>*Number of subjects separated between Male/Female, or total number</w:t>
            </w:r>
          </w:p>
          <w:p>
            <w:pPr>
              <w:rPr>
                <w:rFonts w:ascii="Palatino Linotype" w:hAnsi="Palatino Linotype"/>
                <w:color w:val="000000" w:themeColor="text1"/>
                <w:sz w:val="20"/>
                <w:szCs w:val="20"/>
              </w:rPr>
            </w:pPr>
            <w:r>
              <w:rPr>
                <w:rFonts w:ascii="Palatino Linotype" w:hAnsi="Palatino Linotype"/>
                <w:color w:val="000000" w:themeColor="text1"/>
                <w:sz w:val="20"/>
                <w:szCs w:val="20"/>
              </w:rPr>
              <w:t>**Combined data for commute while sitting and light walking due to statistically similar values.</w:t>
            </w:r>
          </w:p>
          <w:p>
            <w:pPr>
              <w:rPr>
                <w:rFonts w:ascii="Palatino Linotype" w:hAnsi="Palatino Linotype"/>
                <w:color w:val="000000" w:themeColor="text1"/>
                <w:sz w:val="20"/>
                <w:szCs w:val="20"/>
              </w:rPr>
            </w:pPr>
            <w:r>
              <w:rPr>
                <w:rFonts w:ascii="Palatino Linotype" w:hAnsi="Palatino Linotype"/>
                <w:color w:val="000000" w:themeColor="text1"/>
                <w:sz w:val="20"/>
                <w:szCs w:val="20"/>
                <w:vertAlign w:val="superscript"/>
              </w:rPr>
              <w:t>§</w:t>
            </w:r>
            <w:r>
              <w:rPr>
                <w:rFonts w:ascii="Palatino Linotype" w:hAnsi="Palatino Linotype"/>
                <w:color w:val="000000" w:themeColor="text1"/>
                <w:sz w:val="20"/>
                <w:szCs w:val="20"/>
              </w:rPr>
              <w:t xml:space="preserve">Normalized deposition dose calculated for a mass concentration of 100 </w:t>
            </w:r>
            <w:r>
              <w:rPr>
                <w:rFonts w:ascii="Palatino Linotype" w:hAnsi="Palatino Linotype"/>
                <w:color w:val="000000" w:themeColor="text1"/>
                <w:sz w:val="20"/>
                <w:szCs w:val="20"/>
              </w:rPr>
              <w:sym w:font="Symbol" w:char="F06D"/>
            </w:r>
            <w:r>
              <w:rPr>
                <w:rFonts w:ascii="Palatino Linotype" w:hAnsi="Palatino Linotype"/>
                <w:color w:val="000000" w:themeColor="text1"/>
                <w:sz w:val="20"/>
                <w:szCs w:val="20"/>
              </w:rPr>
              <w:t>g m</w:t>
            </w:r>
            <w:r>
              <w:rPr>
                <w:rFonts w:ascii="Palatino Linotype" w:hAnsi="Palatino Linotype"/>
                <w:color w:val="000000" w:themeColor="text1"/>
                <w:sz w:val="20"/>
                <w:szCs w:val="20"/>
                <w:vertAlign w:val="superscript"/>
              </w:rPr>
              <w:t>-3</w:t>
            </w:r>
            <w:r>
              <w:rPr>
                <w:rFonts w:ascii="Palatino Linotype" w:hAnsi="Palatino Linotype"/>
                <w:color w:val="000000" w:themeColor="text1"/>
                <w:sz w:val="20"/>
                <w:szCs w:val="20"/>
              </w:rPr>
              <w:t>, and an exposure time of 1 h.</w:t>
            </w:r>
          </w:p>
        </w:tc>
      </w:tr>
    </w:tbl>
    <w:p>
      <w:pPr>
        <w:rPr>
          <w:rFonts w:ascii="Palatino Linotype" w:hAnsi="Palatino Linotype"/>
          <w:color w:val="000000" w:themeColor="text1"/>
          <w:sz w:val="20"/>
          <w:szCs w:val="20"/>
        </w:rPr>
      </w:pPr>
    </w:p>
    <w:p>
      <w:pPr>
        <w:rPr>
          <w:rFonts w:ascii="Palatino Linotype" w:hAnsi="Palatino Linotype"/>
          <w:iCs/>
        </w:rPr>
      </w:pPr>
      <w:r>
        <w:rPr>
          <w:rFonts w:ascii="Palatino Linotype" w:hAnsi="Palatino Linotype"/>
          <w:iCs/>
        </w:rPr>
        <w:br w:type="page"/>
      </w:r>
    </w:p>
    <w:p>
      <w:pPr>
        <w:ind w:firstLine="720"/>
        <w:jc w:val="both"/>
        <w:rPr>
          <w:rFonts w:ascii="Palatino Linotype" w:hAnsi="Palatino Linotype"/>
          <w:bCs/>
          <w:iCs/>
          <w:color w:val="000000" w:themeColor="text1"/>
        </w:rPr>
      </w:pPr>
      <w:r>
        <w:rPr>
          <w:rFonts w:ascii="Palatino Linotype" w:hAnsi="Palatino Linotype"/>
          <w:iCs/>
        </w:rPr>
        <w:lastRenderedPageBreak/>
        <w:t xml:space="preserve">Comparing our observed results to other studies needs a careful interpretation due to different circumstances in each experiment design, e.g., study participants’ age range, characteristics of sampled breath, etc. For </w:t>
      </w:r>
      <w:r>
        <w:rPr>
          <w:rFonts w:ascii="Palatino Linotype" w:hAnsi="Palatino Linotype"/>
          <w:i/>
        </w:rPr>
        <w:t>in situ</w:t>
      </w:r>
      <w:r>
        <w:rPr>
          <w:rFonts w:ascii="Palatino Linotype" w:hAnsi="Palatino Linotype"/>
          <w:iCs/>
        </w:rPr>
        <w:t xml:space="preserve">-determined RTD, only limited studies exist, thus, the comparison is even more challenging. The results of aerosol </w:t>
      </w:r>
      <w:r>
        <w:rPr>
          <w:rFonts w:ascii="Palatino Linotype" w:hAnsi="Palatino Linotype"/>
          <w:i/>
          <w:iCs/>
        </w:rPr>
        <w:t>in situ</w:t>
      </w:r>
      <w:r>
        <w:rPr>
          <w:rFonts w:ascii="Palatino Linotype" w:hAnsi="Palatino Linotype"/>
          <w:iCs/>
        </w:rPr>
        <w:t xml:space="preserve"> studies focused on investigating the deposition fraction (DF</w:t>
      </w:r>
      <w:r>
        <w:rPr>
          <w:rFonts w:ascii="Palatino Linotype" w:hAnsi="Palatino Linotype"/>
          <w:i/>
          <w:vertAlign w:val="subscript"/>
        </w:rPr>
        <w:t>in situ</w:t>
      </w:r>
      <w:r>
        <w:rPr>
          <w:rFonts w:ascii="Palatino Linotype" w:hAnsi="Palatino Linotype"/>
          <w:iCs/>
        </w:rPr>
        <w:t>) of different hydrophobic particles in healthy adults are presented in Table S2. It is important to note that different experimental techniques were used in each study. Most of the previous studies were performed in controlled laboratory exposure scenario. In this study, the DF was found to be 43 ± 16%, which is 25% less than the DF observed by Daigle et al. [1], but almost twice as high as values reported in some other studies. The study by Löndahl et al. [7] closely resembles the experiment design of this study and has reported similar measured MV values (Table 3). However, DF found by Löndahl et al.</w:t>
      </w:r>
      <w:r>
        <w:rPr>
          <w:rFonts w:ascii="Palatino Linotype" w:hAnsi="Palatino Linotype"/>
          <w:iCs/>
          <w:vertAlign w:val="superscript"/>
        </w:rPr>
        <w:t xml:space="preserve"> </w:t>
      </w:r>
      <w:r>
        <w:rPr>
          <w:rFonts w:ascii="Palatino Linotype" w:hAnsi="Palatino Linotype"/>
          <w:iCs/>
        </w:rPr>
        <w:t>[7] was 28%, which is 1.5 times lower than observed in this study. One possible reason for this might be differences in the physical properties of exposure particles (e.g., PNSD). Another, more complex reason for observed differences in DF may arise from the different physiology of the study participants, subjective health status, and possible effects of the limited number of study participants.</w:t>
      </w:r>
    </w:p>
    <w:p>
      <w:pPr>
        <w:rPr>
          <w:rFonts w:ascii="Palatino Linotype" w:hAnsi="Palatino Linotype"/>
          <w:color w:val="000000" w:themeColor="text1"/>
        </w:rPr>
      </w:pPr>
    </w:p>
    <w:p>
      <w:pPr>
        <w:rPr>
          <w:rFonts w:ascii="Palatino Linotype" w:hAnsi="Palatino Linotype"/>
          <w:color w:val="FF0000"/>
        </w:rPr>
      </w:pPr>
    </w:p>
    <w:p>
      <w:pPr>
        <w:rPr>
          <w:rFonts w:ascii="Palatino Linotype" w:hAnsi="Palatino Linotype"/>
          <w:color w:val="FF0000"/>
        </w:rPr>
        <w:sectPr>
          <w:pgSz w:w="11900" w:h="16840"/>
          <w:pgMar w:top="1440" w:right="1440" w:bottom="1440" w:left="1440" w:header="720" w:footer="720" w:gutter="0"/>
          <w:cols w:space="720"/>
          <w:docGrid w:linePitch="360"/>
        </w:sectPr>
      </w:pPr>
    </w:p>
    <w:p>
      <w:pPr>
        <w:rPr>
          <w:rFonts w:ascii="Palatino Linotype" w:hAnsi="Palatino Linotype"/>
          <w:color w:val="000000" w:themeColor="text1"/>
          <w:sz w:val="22"/>
          <w:szCs w:val="22"/>
        </w:rPr>
      </w:pPr>
    </w:p>
    <w:p>
      <w:pPr>
        <w:jc w:val="center"/>
        <w:rPr>
          <w:rFonts w:ascii="Palatino Linotype" w:hAnsi="Palatino Linotype"/>
          <w:color w:val="000000" w:themeColor="text1"/>
          <w:sz w:val="22"/>
          <w:szCs w:val="22"/>
        </w:rPr>
      </w:pPr>
      <w:r>
        <w:rPr>
          <w:rFonts w:ascii="Palatino Linotype" w:hAnsi="Palatino Linotype"/>
          <w:noProof/>
          <w:color w:val="000000" w:themeColor="text1"/>
          <w:sz w:val="22"/>
          <w:szCs w:val="22"/>
        </w:rPr>
        <w:drawing>
          <wp:inline distT="0" distB="0" distL="0" distR="0">
            <wp:extent cx="6249670" cy="31248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49670" cy="3124835"/>
                    </a:xfrm>
                    <a:prstGeom prst="rect">
                      <a:avLst/>
                    </a:prstGeom>
                  </pic:spPr>
                </pic:pic>
              </a:graphicData>
            </a:graphic>
          </wp:inline>
        </w:drawing>
      </w:r>
    </w:p>
    <w:p>
      <w:pPr>
        <w:jc w:val="both"/>
        <w:rPr>
          <w:rFonts w:ascii="Palatino Linotype" w:hAnsi="Palatino Linotype"/>
          <w:color w:val="000000" w:themeColor="text1"/>
          <w:sz w:val="22"/>
          <w:szCs w:val="22"/>
        </w:rPr>
      </w:pPr>
    </w:p>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Figure S1. Instrument laboratory intercomparison with reference system. The MA200-A was used to measure BC mass concentration of ambient air, MA200-B and MA200-C for exhaled BC in MERDOC 1 and MERDOC 2, respectively. AE33 (Magee Scientific Aethalometer ®, Model AE33) was used as a reference system. The correlations displayed are Pearson’s correlation coefficient.</w:t>
      </w:r>
    </w:p>
    <w:p>
      <w:pPr>
        <w:rPr>
          <w:rFonts w:ascii="Palatino Linotype" w:hAnsi="Palatino Linotype"/>
          <w:color w:val="FF0000"/>
        </w:rPr>
        <w:sectPr>
          <w:pgSz w:w="11900" w:h="16840"/>
          <w:pgMar w:top="1440" w:right="1440" w:bottom="1440" w:left="1440" w:header="720" w:footer="720" w:gutter="0"/>
          <w:cols w:space="720"/>
          <w:docGrid w:linePitch="360"/>
        </w:sectPr>
      </w:pPr>
    </w:p>
    <w:p>
      <w:pPr>
        <w:jc w:val="center"/>
        <w:rPr>
          <w:rFonts w:ascii="Palatino Linotype" w:hAnsi="Palatino Linotype"/>
          <w:color w:val="000000" w:themeColor="text1"/>
          <w:sz w:val="22"/>
          <w:szCs w:val="22"/>
        </w:rPr>
      </w:pPr>
      <w:r>
        <w:rPr>
          <w:rFonts w:ascii="Palatino Linotype" w:hAnsi="Palatino Linotype"/>
          <w:noProof/>
          <w:color w:val="000000" w:themeColor="text1"/>
          <w:sz w:val="22"/>
          <w:szCs w:val="22"/>
        </w:rPr>
        <w:lastRenderedPageBreak/>
        <w:drawing>
          <wp:inline distT="0" distB="0" distL="0" distR="0">
            <wp:extent cx="6054106" cy="3034602"/>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54106" cy="3034602"/>
                    </a:xfrm>
                    <a:prstGeom prst="rect">
                      <a:avLst/>
                    </a:prstGeom>
                  </pic:spPr>
                </pic:pic>
              </a:graphicData>
            </a:graphic>
          </wp:inline>
        </w:drawing>
      </w:r>
    </w:p>
    <w:p>
      <w:pPr>
        <w:jc w:val="both"/>
        <w:rPr>
          <w:rFonts w:ascii="Palatino Linotype" w:hAnsi="Palatino Linotype"/>
          <w:color w:val="000000" w:themeColor="text1"/>
          <w:sz w:val="22"/>
          <w:szCs w:val="22"/>
        </w:rPr>
      </w:pPr>
    </w:p>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Figure S2. Micro-aethalometer intercomparison in Leipzig, Germany. The MA200-A was used to measure equivalent black carbon (BC) mass concentration of ambient air, MA200-B and MA200-C for exhaled BC in MERDOC 1 and MERDOC 2, respectively. MA200-D was prepared as a reserve instrument (not used in this study). The correlations displayed are Pearson’s correlation coefficient.</w:t>
      </w:r>
    </w:p>
    <w:p>
      <w:pPr>
        <w:jc w:val="center"/>
        <w:rPr>
          <w:rFonts w:ascii="Palatino Linotype" w:hAnsi="Palatino Linotype"/>
          <w:color w:val="000000" w:themeColor="text1"/>
          <w:sz w:val="22"/>
          <w:szCs w:val="22"/>
        </w:rPr>
      </w:pPr>
      <w:r>
        <w:rPr>
          <w:rFonts w:ascii="Palatino Linotype" w:hAnsi="Palatino Linotype"/>
          <w:color w:val="000000" w:themeColor="text1"/>
          <w:sz w:val="22"/>
          <w:szCs w:val="22"/>
        </w:rPr>
        <w:br w:type="page"/>
      </w:r>
    </w:p>
    <w:p>
      <w:pPr>
        <w:jc w:val="both"/>
        <w:rPr>
          <w:rFonts w:ascii="Palatino Linotype" w:hAnsi="Palatino Linotype"/>
          <w:color w:val="000000" w:themeColor="text1"/>
          <w:sz w:val="20"/>
          <w:szCs w:val="20"/>
        </w:rPr>
      </w:pPr>
      <w:r>
        <w:rPr>
          <w:rFonts w:ascii="Palatino Linotype" w:hAnsi="Palatino Linotype"/>
          <w:noProof/>
          <w:color w:val="000000" w:themeColor="text1"/>
          <w:sz w:val="20"/>
          <w:szCs w:val="20"/>
        </w:rPr>
        <w:lastRenderedPageBreak/>
        <w:drawing>
          <wp:inline distT="0" distB="0" distL="0" distR="0">
            <wp:extent cx="5727700" cy="408559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S3.png"/>
                    <pic:cNvPicPr/>
                  </pic:nvPicPr>
                  <pic:blipFill>
                    <a:blip r:embed="rId9">
                      <a:extLst>
                        <a:ext uri="{28A0092B-C50C-407E-A947-70E740481C1C}">
                          <a14:useLocalDpi xmlns:a14="http://schemas.microsoft.com/office/drawing/2010/main" val="0"/>
                        </a:ext>
                      </a:extLst>
                    </a:blip>
                    <a:stretch>
                      <a:fillRect/>
                    </a:stretch>
                  </pic:blipFill>
                  <pic:spPr>
                    <a:xfrm>
                      <a:off x="0" y="0"/>
                      <a:ext cx="5727700" cy="4085590"/>
                    </a:xfrm>
                    <a:prstGeom prst="rect">
                      <a:avLst/>
                    </a:prstGeom>
                  </pic:spPr>
                </pic:pic>
              </a:graphicData>
            </a:graphic>
          </wp:inline>
        </w:drawing>
      </w:r>
    </w:p>
    <w:p>
      <w:pPr>
        <w:tabs>
          <w:tab w:val="left" w:pos="1005"/>
        </w:tabs>
        <w:jc w:val="both"/>
        <w:rPr>
          <w:rFonts w:ascii="Palatino Linotype" w:hAnsi="Palatino Linotype"/>
          <w:sz w:val="20"/>
          <w:szCs w:val="20"/>
        </w:rPr>
      </w:pPr>
      <w:r>
        <w:rPr>
          <w:rFonts w:ascii="Palatino Linotype" w:hAnsi="Palatino Linotype"/>
          <w:sz w:val="20"/>
          <w:szCs w:val="20"/>
        </w:rPr>
        <w:t xml:space="preserve">Figure S3. </w:t>
      </w:r>
      <w:r>
        <w:rPr>
          <w:rFonts w:ascii="Palatino Linotype" w:hAnsi="Palatino Linotype"/>
          <w:color w:val="000000" w:themeColor="text1"/>
          <w:sz w:val="20"/>
          <w:szCs w:val="20"/>
        </w:rPr>
        <w:t>Micro-aethalometer intercomparison in Metro Manila, Philippines, using ambient street-site aerosol. MERDOC1 = 0.92 x MERDOC2 + 0.34 (R</w:t>
      </w:r>
      <w:r>
        <w:rPr>
          <w:rFonts w:ascii="Palatino Linotype" w:hAnsi="Palatino Linotype"/>
          <w:color w:val="000000" w:themeColor="text1"/>
          <w:sz w:val="20"/>
          <w:szCs w:val="20"/>
          <w:vertAlign w:val="superscript"/>
        </w:rPr>
        <w:t>2</w:t>
      </w:r>
      <w:r>
        <w:rPr>
          <w:rFonts w:ascii="Palatino Linotype" w:hAnsi="Palatino Linotype"/>
          <w:color w:val="000000" w:themeColor="text1"/>
          <w:sz w:val="20"/>
          <w:szCs w:val="20"/>
        </w:rPr>
        <w:t xml:space="preserve"> = 0.99); Ambient = 1 x MERDOC2 – 0.18 (R</w:t>
      </w:r>
      <w:r>
        <w:rPr>
          <w:rFonts w:ascii="Palatino Linotype" w:hAnsi="Palatino Linotype"/>
          <w:color w:val="000000" w:themeColor="text1"/>
          <w:sz w:val="20"/>
          <w:szCs w:val="20"/>
          <w:vertAlign w:val="superscript"/>
        </w:rPr>
        <w:t>2</w:t>
      </w:r>
      <w:r>
        <w:rPr>
          <w:rFonts w:ascii="Palatino Linotype" w:hAnsi="Palatino Linotype"/>
          <w:color w:val="000000" w:themeColor="text1"/>
          <w:sz w:val="20"/>
          <w:szCs w:val="20"/>
        </w:rPr>
        <w:t xml:space="preserve"> = 0.99); Ambient = 1.1 x MERDOC1 – 0.34 (R</w:t>
      </w:r>
      <w:r>
        <w:rPr>
          <w:rFonts w:ascii="Palatino Linotype" w:hAnsi="Palatino Linotype"/>
          <w:color w:val="000000" w:themeColor="text1"/>
          <w:sz w:val="20"/>
          <w:szCs w:val="20"/>
          <w:vertAlign w:val="superscript"/>
        </w:rPr>
        <w:t>2</w:t>
      </w:r>
      <w:r>
        <w:rPr>
          <w:rFonts w:ascii="Palatino Linotype" w:hAnsi="Palatino Linotype"/>
          <w:color w:val="000000" w:themeColor="text1"/>
          <w:sz w:val="20"/>
          <w:szCs w:val="20"/>
        </w:rPr>
        <w:t>=0.99)</w:t>
      </w:r>
    </w:p>
    <w:p>
      <w:pPr>
        <w:tabs>
          <w:tab w:val="left" w:pos="1005"/>
        </w:tabs>
        <w:rPr>
          <w:rFonts w:ascii="Palatino Linotype" w:hAnsi="Palatino Linotype"/>
        </w:rPr>
        <w:sectPr>
          <w:pgSz w:w="11900" w:h="16840"/>
          <w:pgMar w:top="1440" w:right="1440" w:bottom="1440" w:left="1440" w:header="720" w:footer="720" w:gutter="0"/>
          <w:cols w:space="720"/>
          <w:docGrid w:linePitch="360"/>
        </w:sectPr>
      </w:pPr>
      <w:r>
        <w:rPr>
          <w:rFonts w:ascii="Palatino Linotype" w:hAnsi="Palatino Linotype"/>
        </w:rPr>
        <w:tab/>
      </w:r>
    </w:p>
    <w:p>
      <w:pPr>
        <w:rPr>
          <w:rFonts w:ascii="Palatino Linotype" w:hAnsi="Palatino Linotype"/>
          <w:color w:val="000000" w:themeColor="text1"/>
          <w:sz w:val="20"/>
          <w:szCs w:val="20"/>
        </w:rPr>
      </w:pPr>
    </w:p>
    <w:p>
      <w:pPr>
        <w:jc w:val="center"/>
        <w:rPr>
          <w:rFonts w:ascii="Palatino Linotype" w:hAnsi="Palatino Linotype"/>
          <w:color w:val="000000" w:themeColor="text1"/>
          <w:sz w:val="20"/>
          <w:szCs w:val="20"/>
        </w:rPr>
      </w:pPr>
      <w:r>
        <w:rPr>
          <w:rFonts w:ascii="Palatino Linotype" w:hAnsi="Palatino Linotype"/>
          <w:noProof/>
          <w:color w:val="000000" w:themeColor="text1"/>
          <w:sz w:val="20"/>
        </w:rPr>
        <w:drawing>
          <wp:inline distT="0" distB="0" distL="0" distR="0">
            <wp:extent cx="5003800" cy="725170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03800" cy="7251700"/>
                    </a:xfrm>
                    <a:prstGeom prst="rect">
                      <a:avLst/>
                    </a:prstGeom>
                  </pic:spPr>
                </pic:pic>
              </a:graphicData>
            </a:graphic>
          </wp:inline>
        </w:drawing>
      </w:r>
    </w:p>
    <w:p>
      <w:pPr>
        <w:rPr>
          <w:rFonts w:ascii="Palatino Linotype" w:hAnsi="Palatino Linotype"/>
          <w:color w:val="000000" w:themeColor="text1"/>
          <w:sz w:val="20"/>
          <w:szCs w:val="20"/>
        </w:rPr>
      </w:pPr>
    </w:p>
    <w:p>
      <w:pPr>
        <w:jc w:val="both"/>
        <w:rPr>
          <w:rFonts w:ascii="Palatino Linotype" w:hAnsi="Palatino Linotype"/>
          <w:color w:val="000000" w:themeColor="text1"/>
        </w:rPr>
      </w:pPr>
      <w:r>
        <w:rPr>
          <w:rFonts w:ascii="Palatino Linotype" w:hAnsi="Palatino Linotype"/>
          <w:color w:val="000000" w:themeColor="text1"/>
          <w:sz w:val="20"/>
          <w:szCs w:val="20"/>
        </w:rPr>
        <w:t xml:space="preserve">Figure S4. Flow rate through dry and wet (after exposing to breath air) particulate filter. </w:t>
      </w:r>
      <w:r>
        <w:rPr>
          <w:rFonts w:ascii="Palatino Linotype" w:hAnsi="Palatino Linotype"/>
          <w:sz w:val="20"/>
          <w:szCs w:val="20"/>
        </w:rPr>
        <w:t>No change in flow rate was observed with respect to HEPA filter wetting.</w:t>
      </w:r>
    </w:p>
    <w:p>
      <w:pPr>
        <w:rPr>
          <w:rFonts w:ascii="Palatino Linotype" w:hAnsi="Palatino Linotype"/>
          <w:color w:val="000000" w:themeColor="text1"/>
        </w:rPr>
      </w:pPr>
    </w:p>
    <w:p>
      <w:pPr>
        <w:rPr>
          <w:rFonts w:ascii="Palatino Linotype" w:hAnsi="Palatino Linotype"/>
          <w:color w:val="000000" w:themeColor="text1"/>
        </w:rPr>
      </w:pPr>
    </w:p>
    <w:p>
      <w:pPr>
        <w:rPr>
          <w:rFonts w:ascii="Palatino Linotype" w:hAnsi="Palatino Linotype"/>
          <w:color w:val="000000" w:themeColor="text1"/>
          <w:sz w:val="22"/>
          <w:szCs w:val="22"/>
        </w:rPr>
      </w:pPr>
    </w:p>
    <w:p>
      <w:pPr>
        <w:rPr>
          <w:rFonts w:ascii="Palatino Linotype" w:hAnsi="Palatino Linotype"/>
          <w:color w:val="000000" w:themeColor="text1"/>
          <w:sz w:val="22"/>
          <w:szCs w:val="22"/>
        </w:rPr>
      </w:pPr>
    </w:p>
    <w:p>
      <w:pPr>
        <w:rPr>
          <w:rFonts w:ascii="Palatino Linotype" w:hAnsi="Palatino Linotype"/>
          <w:b/>
          <w:bCs/>
          <w:color w:val="000000" w:themeColor="text1"/>
          <w:sz w:val="20"/>
          <w:szCs w:val="20"/>
        </w:rPr>
      </w:pPr>
      <w:r>
        <w:rPr>
          <w:rFonts w:ascii="Palatino Linotype" w:hAnsi="Palatino Linotype"/>
          <w:noProof/>
          <w:color w:val="000000" w:themeColor="text1"/>
        </w:rPr>
        <w:lastRenderedPageBreak/>
        <w:drawing>
          <wp:anchor distT="0" distB="0" distL="114300" distR="114300" simplePos="0" relativeHeight="251662336" behindDoc="0" locked="0" layoutInCell="1" allowOverlap="1">
            <wp:simplePos x="0" y="0"/>
            <wp:positionH relativeFrom="column">
              <wp:posOffset>0</wp:posOffset>
            </wp:positionH>
            <wp:positionV relativeFrom="paragraph">
              <wp:posOffset>171450</wp:posOffset>
            </wp:positionV>
            <wp:extent cx="5751830" cy="2995930"/>
            <wp:effectExtent l="0" t="0" r="1270" b="127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1" cstate="print">
                      <a:extLst>
                        <a:ext uri="{28A0092B-C50C-407E-A947-70E740481C1C}">
                          <a14:useLocalDpi xmlns:a14="http://schemas.microsoft.com/office/drawing/2010/main"/>
                        </a:ext>
                      </a:extLst>
                    </a:blip>
                    <a:srcRect l="1480" t="3033" b="2310"/>
                    <a:stretch/>
                  </pic:blipFill>
                  <pic:spPr bwMode="auto">
                    <a:xfrm>
                      <a:off x="0" y="0"/>
                      <a:ext cx="5751830" cy="29959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pPr>
        <w:jc w:val="both"/>
        <w:rPr>
          <w:rFonts w:ascii="Palatino Linotype" w:hAnsi="Palatino Linotype"/>
          <w:color w:val="000000" w:themeColor="text1"/>
          <w:sz w:val="20"/>
          <w:szCs w:val="20"/>
        </w:rPr>
      </w:pPr>
    </w:p>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Figure S5</w:t>
      </w:r>
      <w:r>
        <w:rPr>
          <w:rFonts w:ascii="Palatino Linotype" w:hAnsi="Palatino Linotype"/>
          <w:b/>
          <w:bCs/>
          <w:color w:val="000000" w:themeColor="text1"/>
          <w:sz w:val="20"/>
          <w:szCs w:val="20"/>
        </w:rPr>
        <w:t xml:space="preserve">. </w:t>
      </w:r>
      <w:r>
        <w:rPr>
          <w:rFonts w:ascii="Palatino Linotype" w:hAnsi="Palatino Linotype"/>
          <w:bCs/>
          <w:color w:val="000000" w:themeColor="text1"/>
          <w:sz w:val="20"/>
          <w:szCs w:val="20"/>
        </w:rPr>
        <w:t>Descriptive statistics of measured parameters in TMEs between public transport and walking</w:t>
      </w:r>
      <w:r>
        <w:rPr>
          <w:rFonts w:ascii="Palatino Linotype" w:hAnsi="Palatino Linotype"/>
          <w:b/>
          <w:bCs/>
          <w:color w:val="000000" w:themeColor="text1"/>
          <w:sz w:val="20"/>
          <w:szCs w:val="20"/>
        </w:rPr>
        <w:t xml:space="preserve">. </w:t>
      </w:r>
      <w:r>
        <w:rPr>
          <w:rFonts w:ascii="Palatino Linotype" w:hAnsi="Palatino Linotype"/>
          <w:color w:val="000000" w:themeColor="text1"/>
          <w:sz w:val="20"/>
          <w:szCs w:val="20"/>
        </w:rPr>
        <w:t xml:space="preserve">The data points represent the median value of study participants (n = 40) for each parameter. The </w:t>
      </w:r>
      <w:r>
        <w:rPr>
          <w:rFonts w:ascii="Palatino Linotype" w:hAnsi="Palatino Linotype"/>
          <w:i/>
          <w:color w:val="000000" w:themeColor="text1"/>
          <w:sz w:val="20"/>
          <w:szCs w:val="20"/>
        </w:rPr>
        <w:t>p</w:t>
      </w:r>
      <w:r>
        <w:rPr>
          <w:rFonts w:ascii="Palatino Linotype" w:hAnsi="Palatino Linotype"/>
          <w:color w:val="000000" w:themeColor="text1"/>
          <w:sz w:val="20"/>
          <w:szCs w:val="20"/>
        </w:rPr>
        <w:t xml:space="preserve">-values were calculated from the Wilcoxon signed rank test at 0.01 significance level. The effect size (r rank biserial, rrb) was interpreted to be small when the absolute value is </w:t>
      </w:r>
      <w:r>
        <w:rPr>
          <w:rFonts w:ascii="Palatino Linotype" w:hAnsi="Palatino Linotype"/>
          <w:color w:val="000000" w:themeColor="text1"/>
          <w:sz w:val="20"/>
          <w:szCs w:val="20"/>
        </w:rPr>
        <w:sym w:font="Symbol" w:char="F0A3"/>
      </w:r>
      <w:r>
        <w:rPr>
          <w:rFonts w:ascii="Palatino Linotype" w:hAnsi="Palatino Linotype"/>
          <w:color w:val="000000" w:themeColor="text1"/>
          <w:sz w:val="20"/>
          <w:szCs w:val="20"/>
        </w:rPr>
        <w:t xml:space="preserve"> 0.2. The rrb &lt; 0 indicates that the measured parameters tend to be higher when the study participants chose to commute by walking than using public transport. There is a statistically significant difference in the DF when a commuter chooses between public transport or walking (p-value &lt; 0.01). There is a practical medium effect that the DF tends to be higher during commute by walking (rrb = -0.5) than the use of public transport.</w:t>
      </w:r>
    </w:p>
    <w:p>
      <w:pPr>
        <w:rPr>
          <w:rFonts w:ascii="Palatino Linotype" w:hAnsi="Palatino Linotype"/>
          <w:color w:val="000000" w:themeColor="text1"/>
          <w:sz w:val="22"/>
          <w:szCs w:val="22"/>
        </w:rPr>
      </w:pPr>
      <w:r>
        <w:rPr>
          <w:rFonts w:ascii="Palatino Linotype" w:hAnsi="Palatino Linotype"/>
          <w:color w:val="000000" w:themeColor="text1"/>
          <w:sz w:val="22"/>
          <w:szCs w:val="22"/>
        </w:rPr>
        <w:br w:type="page"/>
      </w:r>
    </w:p>
    <w:p>
      <w:pPr>
        <w:rPr>
          <w:rFonts w:ascii="Palatino Linotype" w:hAnsi="Palatino Linotype"/>
          <w:color w:val="000000" w:themeColor="text1"/>
          <w:sz w:val="22"/>
          <w:szCs w:val="22"/>
        </w:rPr>
      </w:pPr>
      <w:r>
        <w:rPr>
          <w:rFonts w:ascii="Palatino Linotype" w:hAnsi="Palatino Linotype"/>
          <w:b/>
          <w:bCs/>
          <w:noProof/>
        </w:rPr>
        <w:lastRenderedPageBreak/>
        <w:drawing>
          <wp:anchor distT="0" distB="0" distL="114300" distR="114300" simplePos="0" relativeHeight="251664384" behindDoc="0" locked="0" layoutInCell="1" allowOverlap="1">
            <wp:simplePos x="0" y="0"/>
            <wp:positionH relativeFrom="column">
              <wp:posOffset>0</wp:posOffset>
            </wp:positionH>
            <wp:positionV relativeFrom="paragraph">
              <wp:posOffset>190500</wp:posOffset>
            </wp:positionV>
            <wp:extent cx="6142355" cy="3061335"/>
            <wp:effectExtent l="0" t="0" r="444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2" cstate="print">
                      <a:extLst>
                        <a:ext uri="{28A0092B-C50C-407E-A947-70E740481C1C}">
                          <a14:useLocalDpi xmlns:a14="http://schemas.microsoft.com/office/drawing/2010/main"/>
                        </a:ext>
                      </a:extLst>
                    </a:blip>
                    <a:srcRect/>
                    <a:stretch/>
                  </pic:blipFill>
                  <pic:spPr bwMode="auto">
                    <a:xfrm>
                      <a:off x="0" y="0"/>
                      <a:ext cx="6142355" cy="30613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pPr>
        <w:rPr>
          <w:rFonts w:ascii="Palatino Linotype" w:hAnsi="Palatino Linotype"/>
          <w:bCs/>
          <w:sz w:val="20"/>
          <w:szCs w:val="20"/>
        </w:rPr>
      </w:pPr>
    </w:p>
    <w:p>
      <w:pPr>
        <w:jc w:val="both"/>
        <w:rPr>
          <w:rFonts w:ascii="Palatino Linotype" w:hAnsi="Palatino Linotype"/>
          <w:sz w:val="20"/>
          <w:szCs w:val="20"/>
        </w:rPr>
      </w:pPr>
      <w:r>
        <w:rPr>
          <w:rFonts w:ascii="Palatino Linotype" w:hAnsi="Palatino Linotype"/>
          <w:bCs/>
          <w:sz w:val="20"/>
          <w:szCs w:val="20"/>
        </w:rPr>
        <w:t xml:space="preserve">Figure S6. Descriptive statistics of measured parameters separated between males and females. </w:t>
      </w:r>
      <w:r>
        <w:rPr>
          <w:rFonts w:ascii="Palatino Linotype" w:hAnsi="Palatino Linotype"/>
          <w:sz w:val="20"/>
          <w:szCs w:val="20"/>
        </w:rPr>
        <w:t xml:space="preserve">The </w:t>
      </w:r>
      <w:r>
        <w:rPr>
          <w:rFonts w:ascii="Palatino Linotype" w:hAnsi="Palatino Linotype"/>
          <w:i/>
          <w:sz w:val="20"/>
          <w:szCs w:val="20"/>
        </w:rPr>
        <w:t>p</w:t>
      </w:r>
      <w:r>
        <w:rPr>
          <w:rFonts w:ascii="Palatino Linotype" w:hAnsi="Palatino Linotype"/>
          <w:sz w:val="20"/>
          <w:szCs w:val="20"/>
        </w:rPr>
        <w:t>-values indicated are results from the Wilcoxon rank sum test (also known as Mann-Whitney-U test) at 0.01 significance level. The data points represent the median value of study participants (n = 40) for each parameter.</w:t>
      </w:r>
    </w:p>
    <w:p>
      <w:pPr>
        <w:rPr>
          <w:rFonts w:ascii="Palatino Linotype" w:hAnsi="Palatino Linotype"/>
          <w:sz w:val="20"/>
          <w:szCs w:val="20"/>
        </w:rPr>
      </w:pPr>
      <w:r>
        <w:rPr>
          <w:rFonts w:ascii="Palatino Linotype" w:hAnsi="Palatino Linotype"/>
          <w:sz w:val="20"/>
          <w:szCs w:val="20"/>
        </w:rPr>
        <w:br w:type="page"/>
      </w:r>
    </w:p>
    <w:p>
      <w:pPr>
        <w:rPr>
          <w:rFonts w:ascii="Palatino Linotype" w:hAnsi="Palatino Linotype"/>
          <w:b/>
          <w:bCs/>
          <w:i/>
          <w:iCs/>
          <w:color w:val="000000" w:themeColor="text1"/>
        </w:rPr>
      </w:pPr>
      <w:r>
        <w:rPr>
          <w:rFonts w:ascii="Palatino Linotype" w:hAnsi="Palatino Linotype"/>
          <w:b/>
          <w:bCs/>
          <w:i/>
          <w:iCs/>
          <w:color w:val="000000" w:themeColor="text1"/>
        </w:rPr>
        <w:lastRenderedPageBreak/>
        <w:t>Importance of Breathing Parameters to RTD Assessment</w:t>
      </w:r>
    </w:p>
    <w:p>
      <w:pPr>
        <w:ind w:firstLine="720"/>
        <w:jc w:val="both"/>
        <w:rPr>
          <w:rFonts w:ascii="Palatino Linotype" w:hAnsi="Palatino Linotype"/>
          <w:color w:val="000000" w:themeColor="text1"/>
        </w:rPr>
      </w:pPr>
      <w:r>
        <w:rPr>
          <w:rFonts w:ascii="Palatino Linotype" w:hAnsi="Palatino Linotype"/>
          <w:color w:val="000000" w:themeColor="text1"/>
        </w:rPr>
        <w:t xml:space="preserve"> To illustrate the importance of subject-specific breathing rates, BC particle number size distribution (PNSD), and exposure concentrations in assessing RTD, we calculated DDR using previously published methods and compared the results to experimentally measured values in this study (Table S3). Firstly, BC PNSD was calculated using average refractory particle number fraction (as a proxy for BC), and PNSD measured in stationary measurement container in Quezon city, Metro Manila. The size-dependent DF was taken from Kecorius et al. [15]. This is because of the current limitation of MERDOC measurement system (i.e., PNSD of BC was not possible to determine, limiting the possibility to model DF using e.g., MPPD). The MV was taken from Natera et al. [16]. The calculated DDR (referred to as DDR</w:t>
      </w:r>
      <w:r>
        <w:rPr>
          <w:rFonts w:ascii="Palatino Linotype" w:hAnsi="Palatino Linotype"/>
          <w:i/>
          <w:iCs/>
          <w:color w:val="000000" w:themeColor="text1"/>
          <w:vertAlign w:val="subscript"/>
        </w:rPr>
        <w:t>in silico</w:t>
      </w:r>
      <w:r>
        <w:rPr>
          <w:rFonts w:ascii="Palatino Linotype" w:hAnsi="Palatino Linotype"/>
          <w:iCs/>
          <w:color w:val="000000" w:themeColor="text1"/>
        </w:rPr>
        <w:t>; calculated using Eq. S2)</w:t>
      </w:r>
      <w:r>
        <w:rPr>
          <w:rFonts w:ascii="Palatino Linotype" w:hAnsi="Palatino Linotype"/>
          <w:color w:val="000000" w:themeColor="text1"/>
        </w:rPr>
        <w:t xml:space="preserve"> represents the case when the majority of required parameters (DF, MV, BC PNSD) to calculate DDR is taken from literature, and although more advanced than subsequently used method, does not necessarily represent real-world situation. Secondly, DDR was calculated assuming DF = 1 (following Eq. S1). In this instance, oversimplified DDR (referred as DDR</w:t>
      </w:r>
      <w:r>
        <w:rPr>
          <w:rFonts w:ascii="Palatino Linotype" w:hAnsi="Palatino Linotype"/>
          <w:i/>
          <w:iCs/>
          <w:color w:val="000000" w:themeColor="text1"/>
          <w:vertAlign w:val="subscript"/>
        </w:rPr>
        <w:t>ab initio</w:t>
      </w:r>
      <w:r>
        <w:rPr>
          <w:rFonts w:ascii="Palatino Linotype" w:hAnsi="Palatino Linotype"/>
          <w:color w:val="000000" w:themeColor="text1"/>
        </w:rPr>
        <w:t xml:space="preserve">) assumes that all inhaled particles are deposited in respiratory tract. Although being unreasonable (for urban aerosol), this assumption is often used in scientific literature to calculate the potential deposition dose of airborne pollutants [17–19]. </w:t>
      </w:r>
    </w:p>
    <w:p>
      <w:pPr>
        <w:jc w:val="both"/>
        <w:rPr>
          <w:rFonts w:ascii="Palatino Linotype" w:hAnsi="Palatino Linotype"/>
          <w:color w:val="000000" w:themeColor="text1"/>
        </w:rPr>
      </w:pPr>
    </w:p>
    <w:p>
      <w:pPr>
        <w:autoSpaceDE w:val="0"/>
        <w:autoSpaceDN w:val="0"/>
        <w:adjustRightInd w:val="0"/>
        <w:ind w:right="89"/>
        <w:jc w:val="both"/>
        <w:rPr>
          <w:rFonts w:ascii="Palatino Linotype" w:hAnsi="Palatino Linotype"/>
          <w:color w:val="000000" w:themeColor="text1"/>
          <w:sz w:val="22"/>
          <w:szCs w:val="22"/>
        </w:rPr>
      </w:pPr>
      <w:r>
        <w:rPr>
          <w:rFonts w:ascii="Palatino Linotype" w:hAnsi="Palatino Linotype"/>
          <w:color w:val="000000" w:themeColor="text1"/>
          <w:sz w:val="22"/>
          <w:szCs w:val="22"/>
        </w:rPr>
        <w:t>The calculation of the DDR</w:t>
      </w:r>
      <w:r>
        <w:rPr>
          <w:rFonts w:ascii="Palatino Linotype" w:hAnsi="Palatino Linotype"/>
          <w:i/>
          <w:iCs/>
          <w:color w:val="000000" w:themeColor="text1"/>
          <w:sz w:val="22"/>
          <w:szCs w:val="22"/>
          <w:vertAlign w:val="subscript"/>
        </w:rPr>
        <w:t>ab initio</w:t>
      </w:r>
      <w:r>
        <w:rPr>
          <w:rFonts w:ascii="Palatino Linotype" w:hAnsi="Palatino Linotype"/>
          <w:color w:val="000000" w:themeColor="text1"/>
          <w:sz w:val="22"/>
          <w:szCs w:val="22"/>
        </w:rPr>
        <w:t xml:space="preserve"> of BC and the DDR</w:t>
      </w:r>
      <w:r>
        <w:rPr>
          <w:rFonts w:ascii="Palatino Linotype" w:hAnsi="Palatino Linotype"/>
          <w:i/>
          <w:iCs/>
          <w:color w:val="000000" w:themeColor="text1"/>
          <w:sz w:val="22"/>
          <w:szCs w:val="22"/>
          <w:vertAlign w:val="subscript"/>
        </w:rPr>
        <w:t>in silico</w:t>
      </w:r>
      <w:r>
        <w:rPr>
          <w:rFonts w:ascii="Palatino Linotype" w:hAnsi="Palatino Linotype"/>
          <w:color w:val="000000" w:themeColor="text1"/>
          <w:sz w:val="22"/>
          <w:szCs w:val="22"/>
        </w:rPr>
        <w:t xml:space="preserve"> of refractory particles was based on the procedure described in Madueño et al. [20] and Kecorius et al. [15], respectively. The following mathematical formulation was adopted:</w:t>
      </w:r>
    </w:p>
    <w:p>
      <w:pPr>
        <w:autoSpaceDE w:val="0"/>
        <w:autoSpaceDN w:val="0"/>
        <w:adjustRightInd w:val="0"/>
        <w:ind w:right="89"/>
        <w:jc w:val="both"/>
        <w:rPr>
          <w:rFonts w:ascii="Palatino Linotype" w:hAnsi="Palatino Linotype"/>
          <w:color w:val="000000" w:themeColor="text1"/>
          <w:sz w:val="22"/>
          <w:szCs w:val="22"/>
        </w:rPr>
      </w:pPr>
    </w:p>
    <w:p>
      <w:pPr>
        <w:tabs>
          <w:tab w:val="left" w:pos="7655"/>
        </w:tabs>
        <w:autoSpaceDE w:val="0"/>
        <w:autoSpaceDN w:val="0"/>
        <w:adjustRightInd w:val="0"/>
        <w:ind w:right="89"/>
        <w:jc w:val="both"/>
        <w:rPr>
          <w:rFonts w:ascii="Palatino Linotype" w:eastAsiaTheme="minorEastAsia" w:hAnsi="Palatino Linotype"/>
          <w:iCs/>
          <w:color w:val="000000" w:themeColor="text1"/>
          <w:sz w:val="22"/>
          <w:szCs w:val="22"/>
        </w:rPr>
      </w:pPr>
      <m:oMath>
        <m:sSub>
          <m:sSubPr>
            <m:ctrlPr>
              <w:rPr>
                <w:rFonts w:ascii="Cambria Math" w:hAnsi="Cambria Math"/>
                <w:i/>
                <w:iCs/>
                <w:color w:val="000000" w:themeColor="text1"/>
                <w:sz w:val="22"/>
                <w:szCs w:val="22"/>
              </w:rPr>
            </m:ctrlPr>
          </m:sSubPr>
          <m:e>
            <m:r>
              <w:rPr>
                <w:rFonts w:ascii="Cambria Math" w:hAnsi="Cambria Math"/>
                <w:color w:val="000000" w:themeColor="text1"/>
                <w:sz w:val="22"/>
                <w:szCs w:val="22"/>
              </w:rPr>
              <m:t>DDR</m:t>
            </m:r>
          </m:e>
          <m:sub>
            <m:r>
              <w:rPr>
                <w:rFonts w:ascii="Cambria Math" w:hAnsi="Cambria Math"/>
                <w:color w:val="000000" w:themeColor="text1"/>
                <w:sz w:val="22"/>
                <w:szCs w:val="22"/>
              </w:rPr>
              <m:t>ab initio</m:t>
            </m:r>
          </m:sub>
        </m:sSub>
        <m:r>
          <w:rPr>
            <w:rFonts w:ascii="Cambria Math" w:hAnsi="Cambria Math"/>
            <w:color w:val="000000" w:themeColor="text1"/>
            <w:sz w:val="22"/>
            <w:szCs w:val="22"/>
          </w:rPr>
          <m:t>=MV× </m:t>
        </m:r>
        <m:sSub>
          <m:sSubPr>
            <m:ctrlPr>
              <w:rPr>
                <w:rFonts w:ascii="Cambria Math" w:hAnsi="Cambria Math"/>
                <w:i/>
                <w:iCs/>
                <w:color w:val="000000" w:themeColor="text1"/>
                <w:sz w:val="22"/>
                <w:szCs w:val="22"/>
              </w:rPr>
            </m:ctrlPr>
          </m:sSubPr>
          <m:e>
            <m:r>
              <w:rPr>
                <w:rFonts w:ascii="Cambria Math" w:hAnsi="Cambria Math"/>
                <w:color w:val="000000" w:themeColor="text1"/>
                <w:sz w:val="22"/>
                <w:szCs w:val="22"/>
              </w:rPr>
              <m:t>DF</m:t>
            </m:r>
          </m:e>
          <m:sub>
            <m:r>
              <w:rPr>
                <w:rFonts w:ascii="Cambria Math" w:hAnsi="Cambria Math"/>
                <w:color w:val="000000" w:themeColor="text1"/>
                <w:sz w:val="22"/>
                <w:szCs w:val="22"/>
              </w:rPr>
              <m:t>ab initio</m:t>
            </m:r>
          </m:sub>
        </m:sSub>
        <m:r>
          <w:rPr>
            <w:rFonts w:ascii="Cambria Math" w:hAnsi="Cambria Math"/>
            <w:color w:val="000000" w:themeColor="text1"/>
            <w:sz w:val="22"/>
            <w:szCs w:val="22"/>
          </w:rPr>
          <m:t>× </m:t>
        </m:r>
        <m:sSub>
          <m:sSubPr>
            <m:ctrlPr>
              <w:rPr>
                <w:rFonts w:ascii="Cambria Math" w:hAnsi="Cambria Math"/>
                <w:i/>
                <w:iCs/>
                <w:color w:val="000000" w:themeColor="text1"/>
                <w:sz w:val="22"/>
                <w:szCs w:val="22"/>
              </w:rPr>
            </m:ctrlPr>
          </m:sSubPr>
          <m:e>
            <m:r>
              <w:rPr>
                <w:rFonts w:ascii="Cambria Math" w:hAnsi="Cambria Math"/>
                <w:color w:val="000000" w:themeColor="text1"/>
                <w:sz w:val="22"/>
                <w:szCs w:val="22"/>
              </w:rPr>
              <m:t>C</m:t>
            </m:r>
          </m:e>
          <m:sub>
            <m:r>
              <w:rPr>
                <w:rFonts w:ascii="Cambria Math" w:hAnsi="Cambria Math"/>
                <w:color w:val="000000" w:themeColor="text1"/>
                <w:sz w:val="22"/>
                <w:szCs w:val="22"/>
              </w:rPr>
              <m:t>exp</m:t>
            </m:r>
          </m:sub>
        </m:sSub>
      </m:oMath>
      <w:r>
        <w:rPr>
          <w:rFonts w:ascii="Palatino Linotype" w:eastAsiaTheme="minorEastAsia" w:hAnsi="Palatino Linotype"/>
          <w:iCs/>
          <w:color w:val="000000" w:themeColor="text1"/>
          <w:sz w:val="22"/>
          <w:szCs w:val="22"/>
        </w:rPr>
        <w:t xml:space="preserve"> </w:t>
      </w:r>
      <w:r>
        <w:rPr>
          <w:rFonts w:ascii="Palatino Linotype" w:eastAsiaTheme="minorEastAsia" w:hAnsi="Palatino Linotype"/>
          <w:iCs/>
          <w:color w:val="000000" w:themeColor="text1"/>
          <w:sz w:val="22"/>
          <w:szCs w:val="22"/>
        </w:rPr>
        <w:tab/>
        <w:t>(S1)</w:t>
      </w:r>
    </w:p>
    <w:p>
      <w:pPr>
        <w:tabs>
          <w:tab w:val="left" w:pos="7655"/>
        </w:tabs>
        <w:autoSpaceDE w:val="0"/>
        <w:autoSpaceDN w:val="0"/>
        <w:adjustRightInd w:val="0"/>
        <w:ind w:right="89"/>
        <w:jc w:val="both"/>
        <w:rPr>
          <w:rFonts w:ascii="Palatino Linotype" w:hAnsi="Palatino Linotype"/>
          <w:color w:val="000000" w:themeColor="text1"/>
          <w:sz w:val="22"/>
          <w:szCs w:val="22"/>
        </w:rPr>
      </w:pPr>
      <m:oMath>
        <m:sSub>
          <m:sSubPr>
            <m:ctrlPr>
              <w:rPr>
                <w:rFonts w:ascii="Cambria Math" w:hAnsi="Cambria Math"/>
                <w:i/>
                <w:iCs/>
                <w:color w:val="000000" w:themeColor="text1"/>
                <w:sz w:val="22"/>
                <w:szCs w:val="22"/>
              </w:rPr>
            </m:ctrlPr>
          </m:sSubPr>
          <m:e>
            <m:r>
              <w:rPr>
                <w:rFonts w:ascii="Cambria Math" w:hAnsi="Cambria Math"/>
                <w:color w:val="000000" w:themeColor="text1"/>
                <w:sz w:val="22"/>
                <w:szCs w:val="22"/>
              </w:rPr>
              <m:t>DDR</m:t>
            </m:r>
          </m:e>
          <m:sub>
            <m:r>
              <w:rPr>
                <w:rFonts w:ascii="Cambria Math" w:hAnsi="Cambria Math"/>
                <w:color w:val="000000" w:themeColor="text1"/>
                <w:sz w:val="22"/>
                <w:szCs w:val="22"/>
              </w:rPr>
              <m:t>in silico</m:t>
            </m:r>
          </m:sub>
        </m:sSub>
        <m:r>
          <w:rPr>
            <w:rFonts w:ascii="Cambria Math" w:hAnsi="Cambria Math"/>
            <w:color w:val="000000" w:themeColor="text1"/>
            <w:sz w:val="22"/>
            <w:szCs w:val="22"/>
          </w:rPr>
          <m:t xml:space="preserve"> =MV× ρ</m:t>
        </m:r>
        <m:nary>
          <m:naryPr>
            <m:ctrlPr>
              <w:rPr>
                <w:rFonts w:ascii="Cambria Math" w:hAnsi="Cambria Math"/>
                <w:i/>
                <w:iCs/>
                <w:sz w:val="22"/>
                <w:szCs w:val="22"/>
              </w:rPr>
            </m:ctrlPr>
          </m:naryPr>
          <m:sub>
            <m:r>
              <w:rPr>
                <w:rFonts w:ascii="Cambria Math" w:hAnsi="Cambria Math"/>
                <w:sz w:val="22"/>
                <w:szCs w:val="22"/>
              </w:rPr>
              <m:t>D</m:t>
            </m:r>
            <m:r>
              <w:rPr>
                <w:rFonts w:ascii="Cambria Math" w:hAnsi="Cambria Math"/>
                <w:sz w:val="22"/>
                <w:szCs w:val="22"/>
                <w:vertAlign w:val="subscript"/>
              </w:rPr>
              <m:t>p1</m:t>
            </m:r>
          </m:sub>
          <m:sup>
            <m:r>
              <w:rPr>
                <w:rFonts w:ascii="Cambria Math" w:hAnsi="Cambria Math"/>
                <w:sz w:val="22"/>
                <w:szCs w:val="22"/>
              </w:rPr>
              <m:t>D</m:t>
            </m:r>
            <m:r>
              <w:rPr>
                <w:rFonts w:ascii="Cambria Math" w:hAnsi="Cambria Math"/>
                <w:sz w:val="22"/>
                <w:szCs w:val="22"/>
                <w:vertAlign w:val="subscript"/>
              </w:rPr>
              <m:t>p2</m:t>
            </m:r>
          </m:sup>
          <m:e>
            <m:sSub>
              <m:sSubPr>
                <m:ctrlPr>
                  <w:rPr>
                    <w:rFonts w:ascii="Cambria Math" w:hAnsi="Cambria Math"/>
                    <w:i/>
                    <w:iCs/>
                    <w:sz w:val="22"/>
                    <w:szCs w:val="22"/>
                  </w:rPr>
                </m:ctrlPr>
              </m:sSubPr>
              <m:e>
                <m:r>
                  <w:rPr>
                    <w:rFonts w:ascii="Cambria Math" w:hAnsi="Cambria Math"/>
                    <w:sz w:val="22"/>
                    <w:szCs w:val="22"/>
                  </w:rPr>
                  <m:t>DF</m:t>
                </m:r>
              </m:e>
              <m:sub>
                <m:r>
                  <w:rPr>
                    <w:rFonts w:ascii="Cambria Math" w:hAnsi="Cambria Math"/>
                    <w:sz w:val="22"/>
                    <w:szCs w:val="22"/>
                  </w:rPr>
                  <m:t>model</m:t>
                </m:r>
              </m:sub>
            </m:sSub>
            <m:r>
              <w:rPr>
                <w:rFonts w:ascii="Cambria Math" w:hAnsi="Cambria Math"/>
                <w:sz w:val="22"/>
                <w:szCs w:val="22"/>
              </w:rPr>
              <m:t> ×</m:t>
            </m:r>
          </m:e>
        </m:nary>
        <m:r>
          <w:rPr>
            <w:rFonts w:ascii="Cambria Math" w:hAnsi="Cambria Math"/>
            <w:color w:val="000000" w:themeColor="text1"/>
            <w:sz w:val="22"/>
            <w:szCs w:val="22"/>
          </w:rPr>
          <m:t> PVSD× dlogDp</m:t>
        </m:r>
      </m:oMath>
      <w:r>
        <w:rPr>
          <w:rFonts w:ascii="Palatino Linotype" w:hAnsi="Palatino Linotype"/>
          <w:color w:val="000000" w:themeColor="text1"/>
          <w:sz w:val="22"/>
          <w:szCs w:val="22"/>
        </w:rPr>
        <w:tab/>
        <w:t>(S2)</w:t>
      </w:r>
    </w:p>
    <w:p>
      <w:pPr>
        <w:ind w:right="89"/>
        <w:jc w:val="both"/>
        <w:rPr>
          <w:rFonts w:ascii="Palatino Linotype" w:hAnsi="Palatino Linotype"/>
          <w:color w:val="000000" w:themeColor="text1"/>
          <w:sz w:val="22"/>
          <w:szCs w:val="22"/>
        </w:rPr>
      </w:pPr>
    </w:p>
    <w:p>
      <w:pPr>
        <w:jc w:val="both"/>
        <w:rPr>
          <w:rFonts w:ascii="Palatino Linotype" w:hAnsi="Palatino Linotype"/>
          <w:color w:val="000000" w:themeColor="text1"/>
        </w:rPr>
      </w:pPr>
      <w:r>
        <w:rPr>
          <w:rFonts w:ascii="Palatino Linotype" w:hAnsi="Palatino Linotype"/>
          <w:color w:val="000000" w:themeColor="text1"/>
          <w:sz w:val="22"/>
          <w:szCs w:val="22"/>
        </w:rPr>
        <w:t>where MV is the minute ventilation (L min</w:t>
      </w:r>
      <w:r>
        <w:rPr>
          <w:rFonts w:ascii="Palatino Linotype" w:hAnsi="Palatino Linotype"/>
          <w:color w:val="000000" w:themeColor="text1"/>
          <w:sz w:val="22"/>
          <w:szCs w:val="22"/>
          <w:vertAlign w:val="superscript"/>
        </w:rPr>
        <w:t>-1</w:t>
      </w:r>
      <w:r>
        <w:rPr>
          <w:rFonts w:ascii="Palatino Linotype" w:hAnsi="Palatino Linotype"/>
          <w:color w:val="000000" w:themeColor="text1"/>
          <w:sz w:val="22"/>
          <w:szCs w:val="22"/>
        </w:rPr>
        <w:t>), C</w:t>
      </w:r>
      <w:r>
        <w:rPr>
          <w:rFonts w:ascii="Palatino Linotype" w:hAnsi="Palatino Linotype"/>
          <w:color w:val="000000" w:themeColor="text1"/>
          <w:sz w:val="22"/>
          <w:szCs w:val="22"/>
          <w:vertAlign w:val="subscript"/>
        </w:rPr>
        <w:t>exp</w:t>
      </w:r>
      <w:r>
        <w:rPr>
          <w:rFonts w:ascii="Palatino Linotype" w:hAnsi="Palatino Linotype"/>
          <w:color w:val="000000" w:themeColor="text1"/>
          <w:sz w:val="22"/>
          <w:szCs w:val="22"/>
        </w:rPr>
        <w:t xml:space="preserve"> is the BC exposure concentration, </w:t>
      </w:r>
      <m:oMath>
        <m:r>
          <w:rPr>
            <w:rFonts w:ascii="Cambria Math" w:hAnsi="Cambria Math"/>
            <w:color w:val="000000" w:themeColor="text1"/>
            <w:sz w:val="22"/>
            <w:szCs w:val="22"/>
          </w:rPr>
          <m:t>ρ</m:t>
        </m:r>
      </m:oMath>
      <w:r>
        <w:rPr>
          <w:rFonts w:ascii="Palatino Linotype" w:hAnsi="Palatino Linotype"/>
          <w:color w:val="000000" w:themeColor="text1"/>
          <w:sz w:val="22"/>
          <w:szCs w:val="22"/>
        </w:rPr>
        <w:t xml:space="preserve"> is assumed soot density [21] of 1.8 g cm</w:t>
      </w:r>
      <w:r>
        <w:rPr>
          <w:rFonts w:ascii="Palatino Linotype" w:hAnsi="Palatino Linotype"/>
          <w:color w:val="000000" w:themeColor="text1"/>
          <w:sz w:val="22"/>
          <w:szCs w:val="22"/>
          <w:vertAlign w:val="superscript"/>
        </w:rPr>
        <w:t>-3</w:t>
      </w:r>
      <w:r>
        <w:rPr>
          <w:rFonts w:ascii="Palatino Linotype" w:hAnsi="Palatino Linotype"/>
          <w:color w:val="000000" w:themeColor="text1"/>
          <w:sz w:val="22"/>
          <w:szCs w:val="22"/>
        </w:rPr>
        <w:t>, used to convert between particle number and mass size distribution, D</w:t>
      </w:r>
      <w:r>
        <w:rPr>
          <w:rFonts w:ascii="Palatino Linotype" w:hAnsi="Palatino Linotype"/>
          <w:color w:val="000000" w:themeColor="text1"/>
          <w:sz w:val="22"/>
          <w:szCs w:val="22"/>
          <w:vertAlign w:val="subscript"/>
        </w:rPr>
        <w:t>p</w:t>
      </w:r>
      <w:r>
        <w:rPr>
          <w:rFonts w:ascii="Palatino Linotype" w:hAnsi="Palatino Linotype"/>
          <w:color w:val="000000" w:themeColor="text1"/>
          <w:sz w:val="22"/>
          <w:szCs w:val="22"/>
        </w:rPr>
        <w:t xml:space="preserve"> is a volume equivalent particle diameter (nm), the DF</w:t>
      </w:r>
      <w:r>
        <w:rPr>
          <w:rFonts w:ascii="Palatino Linotype" w:hAnsi="Palatino Linotype"/>
          <w:color w:val="000000" w:themeColor="text1"/>
          <w:sz w:val="22"/>
          <w:szCs w:val="22"/>
          <w:vertAlign w:val="subscript"/>
        </w:rPr>
        <w:t>ab initio</w:t>
      </w:r>
      <w:r>
        <w:rPr>
          <w:rFonts w:ascii="Palatino Linotype" w:hAnsi="Palatino Linotype"/>
          <w:color w:val="000000" w:themeColor="text1"/>
          <w:sz w:val="22"/>
          <w:szCs w:val="22"/>
        </w:rPr>
        <w:t xml:space="preserve"> is the deposition fraction equal to 1, which means 100% of inhaled particles are deposited in the respiratory system while the DF</w:t>
      </w:r>
      <w:r>
        <w:rPr>
          <w:rFonts w:ascii="Palatino Linotype" w:hAnsi="Palatino Linotype"/>
          <w:i/>
          <w:iCs/>
          <w:color w:val="000000" w:themeColor="text1"/>
          <w:sz w:val="22"/>
          <w:szCs w:val="22"/>
          <w:vertAlign w:val="subscript"/>
        </w:rPr>
        <w:t>model</w:t>
      </w:r>
      <w:r>
        <w:rPr>
          <w:rFonts w:ascii="Palatino Linotype" w:hAnsi="Palatino Linotype"/>
          <w:color w:val="000000" w:themeColor="text1"/>
          <w:sz w:val="22"/>
          <w:szCs w:val="22"/>
        </w:rPr>
        <w:t xml:space="preserve"> is the deposition fraction taken from Kecorius et al. [15] (average DF from different studies), and PVSD is the particle volume size distribution (</w:t>
      </w:r>
      <w:r>
        <w:rPr>
          <w:rFonts w:ascii="Palatino Linotype" w:hAnsi="Palatino Linotype"/>
          <w:color w:val="000000" w:themeColor="text1"/>
          <w:sz w:val="22"/>
          <w:szCs w:val="22"/>
        </w:rPr>
        <w:sym w:font="Symbol" w:char="F06D"/>
      </w:r>
      <w:r>
        <w:rPr>
          <w:rFonts w:ascii="Palatino Linotype" w:hAnsi="Palatino Linotype"/>
          <w:color w:val="000000" w:themeColor="text1"/>
          <w:sz w:val="22"/>
          <w:szCs w:val="22"/>
        </w:rPr>
        <w:t>m cm</w:t>
      </w:r>
      <w:r>
        <w:rPr>
          <w:rFonts w:ascii="Palatino Linotype" w:hAnsi="Palatino Linotype"/>
          <w:color w:val="000000" w:themeColor="text1"/>
          <w:sz w:val="22"/>
          <w:szCs w:val="22"/>
          <w:vertAlign w:val="superscript"/>
        </w:rPr>
        <w:t>-3</w:t>
      </w:r>
      <w:r>
        <w:rPr>
          <w:rFonts w:ascii="Palatino Linotype" w:hAnsi="Palatino Linotype"/>
          <w:color w:val="000000" w:themeColor="text1"/>
          <w:sz w:val="22"/>
          <w:szCs w:val="22"/>
        </w:rPr>
        <w:t>). The refractory particle number size distribution was reconstructed by multiplying the ambient particle number size distribution (PNSD, measured using mobility particle size spectrometer) with the number fraction of externally mixed particles in a measured PNSD size range. The volume-equivalent diameter was obtained using an empirical, size-dependent aerodynamic shape factor [21].</w:t>
      </w:r>
    </w:p>
    <w:p>
      <w:pPr>
        <w:ind w:firstLine="720"/>
        <w:jc w:val="both"/>
        <w:rPr>
          <w:rFonts w:ascii="Palatino Linotype" w:hAnsi="Palatino Linotype"/>
          <w:color w:val="000000" w:themeColor="text1"/>
        </w:rPr>
      </w:pPr>
    </w:p>
    <w:p>
      <w:pPr>
        <w:rPr>
          <w:rFonts w:ascii="Palatino Linotype" w:eastAsiaTheme="minorHAnsi" w:hAnsi="Palatino Linotype"/>
          <w:b/>
          <w:bCs/>
          <w:iCs/>
          <w:color w:val="000000" w:themeColor="text1"/>
          <w:sz w:val="20"/>
          <w:szCs w:val="18"/>
        </w:rPr>
      </w:pPr>
      <w:r>
        <w:rPr>
          <w:rFonts w:ascii="Palatino Linotype" w:hAnsi="Palatino Linotype"/>
          <w:b/>
          <w:bCs/>
        </w:rPr>
        <w:br w:type="page"/>
      </w:r>
    </w:p>
    <w:p>
      <w:pPr>
        <w:pStyle w:val="Caption"/>
        <w:keepNext/>
        <w:rPr>
          <w:rFonts w:ascii="Palatino Linotype" w:eastAsia="Times New Roman" w:hAnsi="Palatino Linotype" w:cs="Times New Roman"/>
          <w:iCs w:val="0"/>
          <w:szCs w:val="20"/>
        </w:rPr>
      </w:pPr>
      <w:r>
        <w:rPr>
          <w:rFonts w:ascii="Palatino Linotype" w:eastAsia="Times New Roman" w:hAnsi="Palatino Linotype" w:cs="Times New Roman"/>
          <w:iCs w:val="0"/>
          <w:szCs w:val="20"/>
        </w:rPr>
        <w:lastRenderedPageBreak/>
        <w:t>Table S3. Mean DDR estim</w:t>
      </w:r>
      <w:bookmarkStart w:id="0" w:name="_GoBack"/>
      <w:bookmarkEnd w:id="0"/>
      <w:r>
        <w:rPr>
          <w:rFonts w:ascii="Palatino Linotype" w:eastAsia="Times New Roman" w:hAnsi="Palatino Linotype" w:cs="Times New Roman"/>
          <w:iCs w:val="0"/>
          <w:szCs w:val="20"/>
        </w:rPr>
        <w:t xml:space="preserve">ated using different assessment methods. </w:t>
      </w:r>
    </w:p>
    <w:tbl>
      <w:tblPr>
        <w:tblStyle w:val="TableGrid"/>
        <w:tblW w:w="834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2693"/>
        <w:gridCol w:w="1457"/>
        <w:gridCol w:w="2080"/>
        <w:gridCol w:w="40"/>
      </w:tblGrid>
      <w:tr>
        <w:trPr>
          <w:gridAfter w:val="1"/>
          <w:wAfter w:w="40" w:type="dxa"/>
        </w:trPr>
        <w:tc>
          <w:tcPr>
            <w:tcW w:w="2070" w:type="dxa"/>
            <w:tcBorders>
              <w:top w:val="single" w:sz="4" w:space="0" w:color="auto"/>
              <w:bottom w:val="single" w:sz="4" w:space="0" w:color="auto"/>
            </w:tcBorders>
          </w:tcPr>
          <w:p>
            <w:pPr>
              <w:rPr>
                <w:rFonts w:ascii="Palatino Linotype" w:hAnsi="Palatino Linotype"/>
                <w:color w:val="000000" w:themeColor="text1"/>
                <w:sz w:val="20"/>
                <w:szCs w:val="20"/>
              </w:rPr>
            </w:pPr>
            <w:r>
              <w:rPr>
                <w:rFonts w:ascii="Palatino Linotype" w:hAnsi="Palatino Linotype"/>
                <w:color w:val="000000" w:themeColor="text1"/>
                <w:sz w:val="20"/>
                <w:szCs w:val="20"/>
              </w:rPr>
              <w:t>Assessment Method</w:t>
            </w:r>
          </w:p>
        </w:tc>
        <w:tc>
          <w:tcPr>
            <w:tcW w:w="2693" w:type="dxa"/>
            <w:tcBorders>
              <w:top w:val="single" w:sz="4" w:space="0" w:color="auto"/>
              <w:bottom w:val="single" w:sz="4" w:space="0" w:color="auto"/>
            </w:tcBorders>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DF, %</w:t>
            </w:r>
          </w:p>
        </w:tc>
        <w:tc>
          <w:tcPr>
            <w:tcW w:w="1457" w:type="dxa"/>
            <w:tcBorders>
              <w:top w:val="single" w:sz="4" w:space="0" w:color="auto"/>
              <w:bottom w:val="single" w:sz="4" w:space="0" w:color="auto"/>
            </w:tcBorders>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MV, L min</w:t>
            </w:r>
            <w:r>
              <w:rPr>
                <w:rFonts w:ascii="Palatino Linotype" w:hAnsi="Palatino Linotype"/>
                <w:color w:val="000000" w:themeColor="text1"/>
                <w:sz w:val="20"/>
                <w:szCs w:val="20"/>
                <w:vertAlign w:val="superscript"/>
              </w:rPr>
              <w:t>-1</w:t>
            </w:r>
          </w:p>
        </w:tc>
        <w:tc>
          <w:tcPr>
            <w:tcW w:w="2080" w:type="dxa"/>
            <w:tcBorders>
              <w:top w:val="single" w:sz="4" w:space="0" w:color="auto"/>
              <w:bottom w:val="single" w:sz="4" w:space="0" w:color="auto"/>
            </w:tcBorders>
          </w:tcPr>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 xml:space="preserve">DDR of BC, </w:t>
            </w:r>
            <w:r>
              <w:rPr>
                <w:rFonts w:ascii="Palatino Linotype" w:hAnsi="Palatino Linotype"/>
                <w:color w:val="000000" w:themeColor="text1"/>
                <w:sz w:val="20"/>
                <w:szCs w:val="20"/>
              </w:rPr>
              <w:sym w:font="Symbol" w:char="F06D"/>
            </w:r>
            <w:r>
              <w:rPr>
                <w:rFonts w:ascii="Palatino Linotype" w:hAnsi="Palatino Linotype"/>
                <w:color w:val="000000" w:themeColor="text1"/>
                <w:sz w:val="20"/>
                <w:szCs w:val="20"/>
              </w:rPr>
              <w:t>g h</w:t>
            </w:r>
            <w:r>
              <w:rPr>
                <w:rFonts w:ascii="Palatino Linotype" w:hAnsi="Palatino Linotype"/>
                <w:color w:val="000000" w:themeColor="text1"/>
                <w:sz w:val="20"/>
                <w:szCs w:val="20"/>
                <w:vertAlign w:val="superscript"/>
              </w:rPr>
              <w:t>-1</w:t>
            </w:r>
          </w:p>
        </w:tc>
      </w:tr>
      <w:tr>
        <w:trPr>
          <w:gridAfter w:val="1"/>
          <w:wAfter w:w="40" w:type="dxa"/>
        </w:trPr>
        <w:tc>
          <w:tcPr>
            <w:tcW w:w="2070" w:type="dxa"/>
            <w:tcBorders>
              <w:top w:val="single" w:sz="4" w:space="0" w:color="auto"/>
            </w:tcBorders>
          </w:tcPr>
          <w:p>
            <w:pPr>
              <w:rPr>
                <w:rFonts w:ascii="Palatino Linotype" w:hAnsi="Palatino Linotype"/>
                <w:i/>
                <w:iCs/>
                <w:color w:val="000000" w:themeColor="text1"/>
                <w:sz w:val="20"/>
                <w:szCs w:val="20"/>
              </w:rPr>
            </w:pPr>
            <w:r>
              <w:rPr>
                <w:rFonts w:ascii="Palatino Linotype" w:hAnsi="Palatino Linotype"/>
                <w:i/>
                <w:iCs/>
                <w:color w:val="000000" w:themeColor="text1"/>
                <w:sz w:val="20"/>
                <w:szCs w:val="20"/>
              </w:rPr>
              <w:t>Ab initio</w:t>
            </w:r>
          </w:p>
          <w:p>
            <w:pPr>
              <w:rPr>
                <w:rFonts w:ascii="Palatino Linotype" w:hAnsi="Palatino Linotype"/>
                <w:color w:val="000000" w:themeColor="text1"/>
                <w:sz w:val="20"/>
                <w:szCs w:val="20"/>
              </w:rPr>
            </w:pPr>
            <w:r>
              <w:rPr>
                <w:rFonts w:ascii="Palatino Linotype" w:hAnsi="Palatino Linotype"/>
                <w:color w:val="000000" w:themeColor="text1"/>
                <w:sz w:val="20"/>
                <w:szCs w:val="20"/>
              </w:rPr>
              <w:t xml:space="preserve">     Stationary</w:t>
            </w:r>
          </w:p>
          <w:p>
            <w:pPr>
              <w:rPr>
                <w:rFonts w:ascii="Palatino Linotype" w:hAnsi="Palatino Linotype"/>
                <w:color w:val="000000" w:themeColor="text1"/>
                <w:sz w:val="20"/>
                <w:szCs w:val="20"/>
              </w:rPr>
            </w:pPr>
            <w:r>
              <w:rPr>
                <w:rFonts w:ascii="Palatino Linotype" w:hAnsi="Palatino Linotype"/>
                <w:color w:val="000000" w:themeColor="text1"/>
                <w:sz w:val="20"/>
                <w:szCs w:val="20"/>
              </w:rPr>
              <w:t xml:space="preserve">     Mobile</w:t>
            </w:r>
          </w:p>
        </w:tc>
        <w:tc>
          <w:tcPr>
            <w:tcW w:w="2693" w:type="dxa"/>
            <w:tcBorders>
              <w:top w:val="single" w:sz="4" w:space="0" w:color="auto"/>
            </w:tcBorders>
          </w:tcPr>
          <w:p>
            <w:pPr>
              <w:jc w:val="center"/>
              <w:rPr>
                <w:rFonts w:ascii="Palatino Linotype" w:hAnsi="Palatino Linotype"/>
                <w:color w:val="000000" w:themeColor="text1"/>
                <w:sz w:val="20"/>
                <w:szCs w:val="20"/>
              </w:rPr>
            </w:pPr>
          </w:p>
          <w:p>
            <w:pPr>
              <w:rPr>
                <w:rFonts w:ascii="Palatino Linotype" w:hAnsi="Palatino Linotype"/>
                <w:color w:val="000000" w:themeColor="text1"/>
                <w:sz w:val="20"/>
                <w:szCs w:val="20"/>
              </w:rPr>
            </w:pPr>
            <w:r>
              <w:rPr>
                <w:rFonts w:ascii="Palatino Linotype" w:hAnsi="Palatino Linotype"/>
                <w:color w:val="000000" w:themeColor="text1"/>
                <w:sz w:val="20"/>
                <w:szCs w:val="20"/>
              </w:rPr>
              <w:t>100</w:t>
            </w:r>
          </w:p>
          <w:p>
            <w:pPr>
              <w:rPr>
                <w:rFonts w:ascii="Palatino Linotype" w:hAnsi="Palatino Linotype"/>
                <w:color w:val="000000" w:themeColor="text1"/>
                <w:sz w:val="20"/>
                <w:szCs w:val="20"/>
              </w:rPr>
            </w:pPr>
            <w:r>
              <w:rPr>
                <w:rFonts w:ascii="Palatino Linotype" w:hAnsi="Palatino Linotype"/>
                <w:color w:val="000000" w:themeColor="text1"/>
                <w:sz w:val="20"/>
                <w:szCs w:val="20"/>
              </w:rPr>
              <w:t>100</w:t>
            </w:r>
          </w:p>
        </w:tc>
        <w:tc>
          <w:tcPr>
            <w:tcW w:w="1457" w:type="dxa"/>
            <w:tcBorders>
              <w:top w:val="single" w:sz="4" w:space="0" w:color="auto"/>
            </w:tcBorders>
          </w:tcPr>
          <w:p>
            <w:pPr>
              <w:jc w:val="center"/>
              <w:rPr>
                <w:rFonts w:ascii="Palatino Linotype" w:hAnsi="Palatino Linotype"/>
                <w:color w:val="000000" w:themeColor="text1"/>
                <w:sz w:val="20"/>
                <w:szCs w:val="20"/>
              </w:rPr>
            </w:pPr>
          </w:p>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23.3*</w:t>
            </w:r>
          </w:p>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23.3*</w:t>
            </w:r>
          </w:p>
        </w:tc>
        <w:tc>
          <w:tcPr>
            <w:tcW w:w="2080" w:type="dxa"/>
            <w:tcBorders>
              <w:top w:val="single" w:sz="4" w:space="0" w:color="auto"/>
            </w:tcBorders>
          </w:tcPr>
          <w:p>
            <w:pPr>
              <w:jc w:val="center"/>
              <w:rPr>
                <w:rFonts w:ascii="Palatino Linotype" w:hAnsi="Palatino Linotype"/>
                <w:color w:val="000000" w:themeColor="text1"/>
                <w:sz w:val="20"/>
                <w:szCs w:val="20"/>
              </w:rPr>
            </w:pPr>
          </w:p>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38.5</w:t>
            </w:r>
          </w:p>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68.4</w:t>
            </w:r>
          </w:p>
        </w:tc>
      </w:tr>
      <w:tr>
        <w:trPr>
          <w:gridAfter w:val="1"/>
          <w:wAfter w:w="40" w:type="dxa"/>
        </w:trPr>
        <w:tc>
          <w:tcPr>
            <w:tcW w:w="2070" w:type="dxa"/>
            <w:tcBorders>
              <w:bottom w:val="nil"/>
            </w:tcBorders>
          </w:tcPr>
          <w:p>
            <w:pPr>
              <w:rPr>
                <w:rFonts w:ascii="Palatino Linotype" w:hAnsi="Palatino Linotype"/>
                <w:i/>
                <w:iCs/>
                <w:color w:val="000000" w:themeColor="text1"/>
                <w:sz w:val="20"/>
                <w:szCs w:val="20"/>
              </w:rPr>
            </w:pPr>
            <w:r>
              <w:rPr>
                <w:rFonts w:ascii="Palatino Linotype" w:hAnsi="Palatino Linotype"/>
                <w:i/>
                <w:iCs/>
                <w:color w:val="000000" w:themeColor="text1"/>
                <w:sz w:val="20"/>
                <w:szCs w:val="20"/>
              </w:rPr>
              <w:t>In Silico</w:t>
            </w:r>
          </w:p>
          <w:p>
            <w:pPr>
              <w:rPr>
                <w:rFonts w:ascii="Palatino Linotype" w:hAnsi="Palatino Linotype"/>
                <w:color w:val="000000" w:themeColor="text1"/>
                <w:sz w:val="20"/>
                <w:szCs w:val="20"/>
              </w:rPr>
            </w:pPr>
            <w:r>
              <w:rPr>
                <w:rFonts w:ascii="Palatino Linotype" w:hAnsi="Palatino Linotype"/>
                <w:color w:val="000000" w:themeColor="text1"/>
                <w:sz w:val="20"/>
                <w:szCs w:val="20"/>
              </w:rPr>
              <w:t xml:space="preserve">    Stationary</w:t>
            </w:r>
          </w:p>
        </w:tc>
        <w:tc>
          <w:tcPr>
            <w:tcW w:w="2693" w:type="dxa"/>
            <w:tcBorders>
              <w:bottom w:val="nil"/>
            </w:tcBorders>
          </w:tcPr>
          <w:p>
            <w:pPr>
              <w:jc w:val="center"/>
              <w:rPr>
                <w:rFonts w:ascii="Palatino Linotype" w:hAnsi="Palatino Linotype"/>
                <w:color w:val="000000" w:themeColor="text1"/>
                <w:sz w:val="20"/>
                <w:szCs w:val="20"/>
              </w:rPr>
            </w:pPr>
          </w:p>
          <w:p>
            <w:pPr>
              <w:rPr>
                <w:rFonts w:ascii="Palatino Linotype" w:hAnsi="Palatino Linotype"/>
                <w:color w:val="000000" w:themeColor="text1"/>
                <w:sz w:val="20"/>
                <w:szCs w:val="20"/>
              </w:rPr>
            </w:pPr>
            <w:r>
              <w:rPr>
                <w:rFonts w:ascii="Palatino Linotype" w:hAnsi="Palatino Linotype"/>
                <w:color w:val="000000" w:themeColor="text1"/>
                <w:sz w:val="20"/>
                <w:szCs w:val="20"/>
              </w:rPr>
              <w:t>Kecorius et al.</w:t>
            </w:r>
            <w:r>
              <w:t xml:space="preserve"> </w:t>
            </w:r>
            <w:r>
              <w:rPr>
                <w:rFonts w:ascii="Palatino Linotype" w:hAnsi="Palatino Linotype"/>
                <w:color w:val="000000" w:themeColor="text1"/>
                <w:sz w:val="20"/>
                <w:szCs w:val="20"/>
              </w:rPr>
              <w:t>[15]</w:t>
            </w:r>
          </w:p>
        </w:tc>
        <w:tc>
          <w:tcPr>
            <w:tcW w:w="1457" w:type="dxa"/>
            <w:tcBorders>
              <w:bottom w:val="nil"/>
            </w:tcBorders>
          </w:tcPr>
          <w:p>
            <w:pPr>
              <w:jc w:val="center"/>
              <w:rPr>
                <w:rFonts w:ascii="Palatino Linotype" w:hAnsi="Palatino Linotype"/>
                <w:color w:val="000000" w:themeColor="text1"/>
                <w:sz w:val="20"/>
                <w:szCs w:val="20"/>
              </w:rPr>
            </w:pPr>
          </w:p>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23.3*</w:t>
            </w:r>
          </w:p>
        </w:tc>
        <w:tc>
          <w:tcPr>
            <w:tcW w:w="2080" w:type="dxa"/>
            <w:tcBorders>
              <w:bottom w:val="nil"/>
            </w:tcBorders>
          </w:tcPr>
          <w:p>
            <w:pPr>
              <w:jc w:val="center"/>
              <w:rPr>
                <w:rFonts w:ascii="Palatino Linotype" w:hAnsi="Palatino Linotype"/>
                <w:color w:val="000000" w:themeColor="text1"/>
                <w:sz w:val="20"/>
                <w:szCs w:val="20"/>
              </w:rPr>
            </w:pPr>
          </w:p>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7.4**</w:t>
            </w:r>
          </w:p>
        </w:tc>
      </w:tr>
      <w:tr>
        <w:trPr>
          <w:gridAfter w:val="1"/>
          <w:wAfter w:w="40" w:type="dxa"/>
        </w:trPr>
        <w:tc>
          <w:tcPr>
            <w:tcW w:w="2070" w:type="dxa"/>
            <w:tcBorders>
              <w:top w:val="nil"/>
              <w:bottom w:val="single" w:sz="4" w:space="0" w:color="auto"/>
            </w:tcBorders>
          </w:tcPr>
          <w:p>
            <w:pPr>
              <w:rPr>
                <w:rFonts w:ascii="Palatino Linotype" w:hAnsi="Palatino Linotype"/>
                <w:i/>
                <w:iCs/>
                <w:color w:val="000000" w:themeColor="text1"/>
                <w:sz w:val="20"/>
                <w:szCs w:val="20"/>
              </w:rPr>
            </w:pPr>
            <w:r>
              <w:rPr>
                <w:rFonts w:ascii="Palatino Linotype" w:hAnsi="Palatino Linotype"/>
                <w:i/>
                <w:iCs/>
                <w:color w:val="000000" w:themeColor="text1"/>
                <w:sz w:val="20"/>
                <w:szCs w:val="20"/>
              </w:rPr>
              <w:t>In Situ (measured)</w:t>
            </w:r>
          </w:p>
          <w:p>
            <w:pPr>
              <w:rPr>
                <w:rFonts w:ascii="Palatino Linotype" w:hAnsi="Palatino Linotype"/>
                <w:color w:val="000000" w:themeColor="text1"/>
                <w:sz w:val="20"/>
                <w:szCs w:val="20"/>
              </w:rPr>
            </w:pPr>
            <w:r>
              <w:rPr>
                <w:rFonts w:ascii="Palatino Linotype" w:hAnsi="Palatino Linotype"/>
                <w:color w:val="000000" w:themeColor="text1"/>
                <w:sz w:val="20"/>
                <w:szCs w:val="20"/>
              </w:rPr>
              <w:t xml:space="preserve">    Mobile</w:t>
            </w:r>
          </w:p>
        </w:tc>
        <w:tc>
          <w:tcPr>
            <w:tcW w:w="2693" w:type="dxa"/>
            <w:tcBorders>
              <w:top w:val="nil"/>
              <w:bottom w:val="single" w:sz="4" w:space="0" w:color="auto"/>
            </w:tcBorders>
          </w:tcPr>
          <w:p>
            <w:pPr>
              <w:jc w:val="center"/>
              <w:rPr>
                <w:rFonts w:ascii="Palatino Linotype" w:hAnsi="Palatino Linotype"/>
                <w:color w:val="000000" w:themeColor="text1"/>
                <w:sz w:val="20"/>
                <w:szCs w:val="20"/>
              </w:rPr>
            </w:pPr>
          </w:p>
          <w:p>
            <w:pPr>
              <w:rPr>
                <w:rFonts w:ascii="Palatino Linotype" w:hAnsi="Palatino Linotype"/>
                <w:color w:val="000000" w:themeColor="text1"/>
                <w:sz w:val="20"/>
                <w:szCs w:val="20"/>
              </w:rPr>
            </w:pPr>
            <w:r>
              <w:rPr>
                <w:rFonts w:ascii="Palatino Linotype" w:hAnsi="Palatino Linotype"/>
                <w:color w:val="000000" w:themeColor="text1"/>
                <w:sz w:val="20"/>
                <w:szCs w:val="20"/>
              </w:rPr>
              <w:t>43</w:t>
            </w:r>
          </w:p>
        </w:tc>
        <w:tc>
          <w:tcPr>
            <w:tcW w:w="1457" w:type="dxa"/>
            <w:tcBorders>
              <w:top w:val="nil"/>
              <w:bottom w:val="single" w:sz="4" w:space="0" w:color="auto"/>
            </w:tcBorders>
          </w:tcPr>
          <w:p>
            <w:pPr>
              <w:jc w:val="center"/>
              <w:rPr>
                <w:rFonts w:ascii="Palatino Linotype" w:hAnsi="Palatino Linotype"/>
                <w:color w:val="000000" w:themeColor="text1"/>
                <w:sz w:val="20"/>
                <w:szCs w:val="20"/>
              </w:rPr>
            </w:pPr>
          </w:p>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 xml:space="preserve">7.8 </w:t>
            </w:r>
          </w:p>
        </w:tc>
        <w:tc>
          <w:tcPr>
            <w:tcW w:w="2080" w:type="dxa"/>
            <w:tcBorders>
              <w:top w:val="nil"/>
              <w:bottom w:val="single" w:sz="4" w:space="0" w:color="auto"/>
            </w:tcBorders>
          </w:tcPr>
          <w:p>
            <w:pPr>
              <w:jc w:val="center"/>
              <w:rPr>
                <w:rFonts w:ascii="Palatino Linotype" w:hAnsi="Palatino Linotype"/>
                <w:color w:val="000000" w:themeColor="text1"/>
                <w:sz w:val="20"/>
                <w:szCs w:val="20"/>
              </w:rPr>
            </w:pPr>
          </w:p>
          <w:p>
            <w:pPr>
              <w:jc w:val="center"/>
              <w:rPr>
                <w:rFonts w:ascii="Palatino Linotype" w:hAnsi="Palatino Linotype"/>
                <w:color w:val="000000" w:themeColor="text1"/>
                <w:sz w:val="20"/>
                <w:szCs w:val="20"/>
              </w:rPr>
            </w:pPr>
            <w:r>
              <w:rPr>
                <w:rFonts w:ascii="Palatino Linotype" w:hAnsi="Palatino Linotype"/>
                <w:color w:val="000000" w:themeColor="text1"/>
                <w:sz w:val="20"/>
                <w:szCs w:val="20"/>
              </w:rPr>
              <w:t>13.9</w:t>
            </w:r>
          </w:p>
        </w:tc>
      </w:tr>
      <w:tr>
        <w:tc>
          <w:tcPr>
            <w:tcW w:w="8340" w:type="dxa"/>
            <w:gridSpan w:val="5"/>
            <w:tcBorders>
              <w:top w:val="single" w:sz="4" w:space="0" w:color="auto"/>
            </w:tcBorders>
          </w:tcPr>
          <w:p>
            <w:pPr>
              <w:rPr>
                <w:rFonts w:ascii="Palatino Linotype" w:hAnsi="Palatino Linotype"/>
                <w:color w:val="000000" w:themeColor="text1"/>
                <w:sz w:val="20"/>
                <w:szCs w:val="20"/>
              </w:rPr>
            </w:pPr>
            <w:r>
              <w:rPr>
                <w:rFonts w:ascii="Palatino Linotype" w:hAnsi="Palatino Linotype"/>
                <w:color w:val="000000" w:themeColor="text1"/>
                <w:sz w:val="20"/>
                <w:szCs w:val="20"/>
              </w:rPr>
              <w:t xml:space="preserve">*Based on Natera </w:t>
            </w:r>
            <w:r>
              <w:rPr>
                <w:rFonts w:ascii="Palatino Linotype" w:hAnsi="Palatino Linotype"/>
                <w:i/>
                <w:iCs/>
                <w:color w:val="000000" w:themeColor="text1"/>
                <w:sz w:val="20"/>
                <w:szCs w:val="20"/>
              </w:rPr>
              <w:t>et al</w:t>
            </w:r>
            <w:r>
              <w:rPr>
                <w:rFonts w:ascii="Palatino Linotype" w:hAnsi="Palatino Linotype"/>
                <w:color w:val="000000" w:themeColor="text1"/>
                <w:sz w:val="20"/>
                <w:szCs w:val="20"/>
              </w:rPr>
              <w:t>.[16];</w:t>
            </w:r>
            <w:r>
              <w:rPr>
                <w:rFonts w:ascii="Palatino Linotype" w:hAnsi="Palatino Linotype"/>
                <w:i/>
                <w:iCs/>
                <w:color w:val="000000" w:themeColor="text1"/>
                <w:sz w:val="20"/>
                <w:szCs w:val="20"/>
              </w:rPr>
              <w:t xml:space="preserve"> </w:t>
            </w:r>
            <w:r>
              <w:rPr>
                <w:rFonts w:ascii="Palatino Linotype" w:hAnsi="Palatino Linotype"/>
                <w:color w:val="000000" w:themeColor="text1"/>
                <w:sz w:val="20"/>
                <w:szCs w:val="20"/>
              </w:rPr>
              <w:t xml:space="preserve">**Refractory particles, proxy as BC; </w:t>
            </w:r>
          </w:p>
          <w:p>
            <w:pPr>
              <w:rPr>
                <w:rFonts w:ascii="Palatino Linotype" w:hAnsi="Palatino Linotype"/>
                <w:color w:val="000000" w:themeColor="text1"/>
                <w:sz w:val="20"/>
                <w:szCs w:val="20"/>
              </w:rPr>
            </w:pPr>
          </w:p>
        </w:tc>
      </w:tr>
    </w:tbl>
    <w:p>
      <w:pPr>
        <w:jc w:val="both"/>
        <w:rPr>
          <w:rFonts w:ascii="Palatino Linotype" w:hAnsi="Palatino Linotype"/>
          <w:color w:val="000000" w:themeColor="text1"/>
        </w:rPr>
      </w:pPr>
      <w:r>
        <w:rPr>
          <w:rFonts w:ascii="Palatino Linotype" w:hAnsi="Palatino Linotype"/>
          <w:color w:val="000000" w:themeColor="text1"/>
        </w:rPr>
        <w:tab/>
        <w:t>The results show that by taking the breathing parameters from the anatomical report (intended for the Filipino population), the calculated DDR is up to 3 times higher (due to 3 times higher MV). Similarly, the DDR of BC would be underestimated (approx. by 2-fold) when using MV from the U.S EPA handbook. An overestimation further occurs (of approx. 2 times) if DF is assumed to be 1. In the case of DDR</w:t>
      </w:r>
      <w:r>
        <w:rPr>
          <w:rFonts w:ascii="Palatino Linotype" w:hAnsi="Palatino Linotype"/>
          <w:i/>
          <w:iCs/>
          <w:color w:val="000000" w:themeColor="text1"/>
          <w:vertAlign w:val="subscript"/>
        </w:rPr>
        <w:t>ab initio</w:t>
      </w:r>
      <w:r>
        <w:rPr>
          <w:rFonts w:ascii="Palatino Linotype" w:hAnsi="Palatino Linotype"/>
          <w:color w:val="000000" w:themeColor="text1"/>
        </w:rPr>
        <w:t>, the overall overestimation of DDR due to incorrect MV and DF is from 3 to 5 times (compared to experimentally determined DDR). Contrary, the DDR calculated by using not only literature values of breathing parameters but also assumed DF and BC PNSD (referred to as DDR</w:t>
      </w:r>
      <w:r>
        <w:rPr>
          <w:rFonts w:ascii="Palatino Linotype" w:hAnsi="Palatino Linotype"/>
          <w:i/>
          <w:iCs/>
          <w:color w:val="000000" w:themeColor="text1"/>
          <w:vertAlign w:val="subscript"/>
        </w:rPr>
        <w:t>in silico</w:t>
      </w:r>
      <w:r>
        <w:rPr>
          <w:rFonts w:ascii="Palatino Linotype" w:hAnsi="Palatino Linotype"/>
          <w:color w:val="000000" w:themeColor="text1"/>
        </w:rPr>
        <w:t>) showed to be approx. 2 times lower compared to experimentally determined values. The underestimation occurs even though the considered MV is 3 times higher than the measured value. This further highlight not only the importance of the subject-specific breathing rates but also true PNSD when calculating RTD. If previously mentioned methods, used to estimate DDR, would be applied in health assessment studies, this would yield either diminished (in case of overestimating DDR of BC) or exaggerated (in case of underestimating DDR of BC) effect of BC pollution onto personal health.</w:t>
      </w:r>
    </w:p>
    <w:p>
      <w:pPr>
        <w:ind w:firstLine="720"/>
        <w:jc w:val="both"/>
        <w:rPr>
          <w:rFonts w:ascii="Palatino Linotype" w:hAnsi="Palatino Linotype"/>
          <w:color w:val="000000" w:themeColor="text1"/>
        </w:rPr>
      </w:pPr>
    </w:p>
    <w:p>
      <w:pPr>
        <w:ind w:firstLine="720"/>
        <w:jc w:val="both"/>
        <w:rPr>
          <w:rFonts w:ascii="Palatino Linotype" w:hAnsi="Palatino Linotype"/>
          <w:color w:val="000000" w:themeColor="text1"/>
        </w:rPr>
      </w:pPr>
      <w:r>
        <w:rPr>
          <w:rFonts w:ascii="Palatino Linotype" w:hAnsi="Palatino Linotype"/>
          <w:noProof/>
          <w:color w:val="000000" w:themeColor="text1"/>
        </w:rPr>
        <w:drawing>
          <wp:inline distT="0" distB="0" distL="0" distR="0">
            <wp:extent cx="4096023" cy="243141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4096023" cy="2431415"/>
                    </a:xfrm>
                    <a:prstGeom prst="rect">
                      <a:avLst/>
                    </a:prstGeom>
                  </pic:spPr>
                </pic:pic>
              </a:graphicData>
            </a:graphic>
          </wp:inline>
        </w:drawing>
      </w:r>
    </w:p>
    <w:p>
      <w:pPr>
        <w:pStyle w:val="Caption"/>
        <w:spacing w:after="0"/>
        <w:jc w:val="both"/>
        <w:rPr>
          <w:rFonts w:ascii="Palatino Linotype" w:eastAsia="Times New Roman" w:hAnsi="Palatino Linotype" w:cs="Times New Roman"/>
          <w:iCs w:val="0"/>
          <w:color w:val="auto"/>
          <w:szCs w:val="20"/>
        </w:rPr>
      </w:pPr>
      <w:r>
        <w:rPr>
          <w:rFonts w:ascii="Palatino Linotype" w:eastAsia="Times New Roman" w:hAnsi="Palatino Linotype" w:cs="Times New Roman"/>
          <w:iCs w:val="0"/>
          <w:color w:val="auto"/>
          <w:szCs w:val="20"/>
        </w:rPr>
        <w:t>Figure S7. Deposition dose rate as a function of measured BC exposure concentrations. Each volunteer was given a number code, the color represents the male (orange), female (green), and both genders (black). The grey shaded area shows a 95% confidence interval. Lines show the line of best fit.</w:t>
      </w:r>
    </w:p>
    <w:p>
      <w:pPr>
        <w:jc w:val="both"/>
        <w:rPr>
          <w:rFonts w:ascii="Palatino Linotype" w:hAnsi="Palatino Linotype"/>
          <w:color w:val="000000" w:themeColor="text1"/>
        </w:rPr>
      </w:pPr>
    </w:p>
    <w:p>
      <w:pPr>
        <w:rPr>
          <w:rFonts w:ascii="Palatino Linotype" w:hAnsi="Palatino Linotype"/>
          <w:b/>
          <w:bCs/>
          <w:color w:val="000000" w:themeColor="text1"/>
          <w:sz w:val="21"/>
          <w:szCs w:val="21"/>
        </w:rPr>
      </w:pPr>
      <w:r>
        <w:rPr>
          <w:rFonts w:ascii="Palatino Linotype" w:hAnsi="Palatino Linotype"/>
          <w:b/>
          <w:bCs/>
          <w:color w:val="000000" w:themeColor="text1"/>
          <w:sz w:val="21"/>
          <w:szCs w:val="21"/>
        </w:rPr>
        <w:br w:type="page"/>
      </w:r>
    </w:p>
    <w:p>
      <w:pPr>
        <w:widowControl w:val="0"/>
        <w:autoSpaceDE w:val="0"/>
        <w:autoSpaceDN w:val="0"/>
        <w:adjustRightInd w:val="0"/>
        <w:rPr>
          <w:rFonts w:ascii="Palatino Linotype" w:hAnsi="Palatino Linotype"/>
          <w:b/>
          <w:bCs/>
          <w:color w:val="000000" w:themeColor="text1"/>
          <w:sz w:val="21"/>
          <w:szCs w:val="21"/>
        </w:rPr>
      </w:pPr>
      <w:r>
        <w:rPr>
          <w:rFonts w:ascii="Palatino Linotype" w:hAnsi="Palatino Linotype"/>
          <w:b/>
          <w:bCs/>
          <w:color w:val="000000" w:themeColor="text1"/>
          <w:sz w:val="21"/>
          <w:szCs w:val="21"/>
        </w:rPr>
        <w:lastRenderedPageBreak/>
        <w:t xml:space="preserve">References: </w:t>
      </w:r>
    </w:p>
    <w:p>
      <w:pPr>
        <w:widowControl w:val="0"/>
        <w:autoSpaceDE w:val="0"/>
        <w:autoSpaceDN w:val="0"/>
        <w:adjustRightInd w:val="0"/>
        <w:rPr>
          <w:rFonts w:ascii="Palatino Linotype" w:hAnsi="Palatino Linotype"/>
          <w:b/>
          <w:bCs/>
          <w:color w:val="000000" w:themeColor="text1"/>
          <w:sz w:val="21"/>
          <w:szCs w:val="21"/>
        </w:rPr>
      </w:pPr>
    </w:p>
    <w:p>
      <w:pPr>
        <w:widowControl w:val="0"/>
        <w:autoSpaceDE w:val="0"/>
        <w:autoSpaceDN w:val="0"/>
        <w:adjustRightInd w:val="0"/>
        <w:jc w:val="both"/>
        <w:rPr>
          <w:rFonts w:ascii="Palatino Linotype" w:hAnsi="Palatino Linotype"/>
          <w:noProof/>
          <w:sz w:val="20"/>
        </w:rPr>
      </w:pPr>
      <w:r>
        <w:rPr>
          <w:rFonts w:ascii="Palatino Linotype" w:hAnsi="Palatino Linotype"/>
          <w:b/>
          <w:bCs/>
          <w:color w:val="000000" w:themeColor="text1"/>
          <w:sz w:val="21"/>
          <w:szCs w:val="21"/>
        </w:rPr>
        <w:fldChar w:fldCharType="begin" w:fldLock="1"/>
      </w:r>
      <w:r>
        <w:rPr>
          <w:rFonts w:ascii="Palatino Linotype" w:hAnsi="Palatino Linotype"/>
          <w:b/>
          <w:bCs/>
          <w:color w:val="000000" w:themeColor="text1"/>
          <w:sz w:val="21"/>
          <w:szCs w:val="21"/>
        </w:rPr>
        <w:instrText xml:space="preserve">ADDIN Mendeley Bibliography CSL_BIBLIOGRAPHY </w:instrText>
      </w:r>
      <w:r>
        <w:rPr>
          <w:rFonts w:ascii="Palatino Linotype" w:hAnsi="Palatino Linotype"/>
          <w:b/>
          <w:bCs/>
          <w:color w:val="000000" w:themeColor="text1"/>
          <w:sz w:val="21"/>
          <w:szCs w:val="21"/>
        </w:rPr>
        <w:fldChar w:fldCharType="separate"/>
      </w:r>
      <w:r>
        <w:rPr>
          <w:rFonts w:ascii="Palatino Linotype" w:hAnsi="Palatino Linotype"/>
          <w:noProof/>
          <w:sz w:val="20"/>
        </w:rPr>
        <w:t xml:space="preserve">1. Daigle CC, Chalupa DC, Gibb FR, Morrow PE, Oberdörster G, Utell MJ, et al. Ultrafine particle deposition in humans during rest and exercise. Inhal Toxicol. 2003;15:539–52. </w:t>
      </w:r>
    </w:p>
    <w:p>
      <w:pPr>
        <w:widowControl w:val="0"/>
        <w:autoSpaceDE w:val="0"/>
        <w:autoSpaceDN w:val="0"/>
        <w:adjustRightInd w:val="0"/>
        <w:jc w:val="both"/>
        <w:rPr>
          <w:rFonts w:ascii="Palatino Linotype" w:hAnsi="Palatino Linotype"/>
          <w:noProof/>
          <w:sz w:val="20"/>
        </w:rPr>
      </w:pPr>
      <w:r>
        <w:rPr>
          <w:rFonts w:ascii="Palatino Linotype" w:hAnsi="Palatino Linotype"/>
          <w:noProof/>
          <w:sz w:val="20"/>
        </w:rPr>
        <w:t xml:space="preserve">2. Chalupa DC, Morrow PE, Oberdörster G, Utell MJ, Frampton MW. Ultrafine particle deposition in subjects with asthma. Environ Health Perspect. 2004;112:879–82. </w:t>
      </w:r>
    </w:p>
    <w:p>
      <w:pPr>
        <w:widowControl w:val="0"/>
        <w:autoSpaceDE w:val="0"/>
        <w:autoSpaceDN w:val="0"/>
        <w:adjustRightInd w:val="0"/>
        <w:jc w:val="both"/>
        <w:rPr>
          <w:rFonts w:ascii="Palatino Linotype" w:hAnsi="Palatino Linotype"/>
          <w:noProof/>
          <w:sz w:val="20"/>
        </w:rPr>
      </w:pPr>
      <w:r>
        <w:rPr>
          <w:rFonts w:ascii="Palatino Linotype" w:hAnsi="Palatino Linotype"/>
          <w:noProof/>
          <w:sz w:val="20"/>
        </w:rPr>
        <w:t xml:space="preserve">3. Morawska L, Hofmann W, Hitchins-Loveday J, Swanson C, Mengersen K. Experimental study of the deposition of combustion aerosols in the human respiratory tract. J Aerosol Sci. 2005;36:939–57. </w:t>
      </w:r>
    </w:p>
    <w:p>
      <w:pPr>
        <w:widowControl w:val="0"/>
        <w:autoSpaceDE w:val="0"/>
        <w:autoSpaceDN w:val="0"/>
        <w:adjustRightInd w:val="0"/>
        <w:jc w:val="both"/>
        <w:rPr>
          <w:rFonts w:ascii="Palatino Linotype" w:hAnsi="Palatino Linotype"/>
          <w:noProof/>
          <w:sz w:val="20"/>
        </w:rPr>
      </w:pPr>
      <w:r>
        <w:rPr>
          <w:rFonts w:ascii="Palatino Linotype" w:hAnsi="Palatino Linotype"/>
          <w:noProof/>
          <w:sz w:val="20"/>
        </w:rPr>
        <w:t xml:space="preserve">4. Löndahl J, Pagels J, Swietlicki E, Zhou J, Ketzel M, Massling A, et al. A set-up for field studies of respiratory tract deposition of fine and ultrafine particles in humans. J Aerosol Sci. 2006;37:1152–63. </w:t>
      </w:r>
    </w:p>
    <w:p>
      <w:pPr>
        <w:widowControl w:val="0"/>
        <w:autoSpaceDE w:val="0"/>
        <w:autoSpaceDN w:val="0"/>
        <w:adjustRightInd w:val="0"/>
        <w:jc w:val="both"/>
        <w:rPr>
          <w:rFonts w:ascii="Palatino Linotype" w:hAnsi="Palatino Linotype"/>
          <w:noProof/>
          <w:sz w:val="20"/>
        </w:rPr>
      </w:pPr>
      <w:r>
        <w:rPr>
          <w:rFonts w:ascii="Palatino Linotype" w:hAnsi="Palatino Linotype"/>
          <w:noProof/>
          <w:sz w:val="20"/>
        </w:rPr>
        <w:t xml:space="preserve">5. Löndahl J, Massling A, Pagels J, Swietlicki E, Vaclavik E, Loft S. Size-resolved respiratory-tract deposition of fine and ultrafine hydrophobic and hygroscopic aerosol particles during rest and exercise. Inhal Toxicol. 2007;19:109–16. </w:t>
      </w:r>
    </w:p>
    <w:p>
      <w:pPr>
        <w:widowControl w:val="0"/>
        <w:autoSpaceDE w:val="0"/>
        <w:autoSpaceDN w:val="0"/>
        <w:adjustRightInd w:val="0"/>
        <w:jc w:val="both"/>
        <w:rPr>
          <w:rFonts w:ascii="Palatino Linotype" w:hAnsi="Palatino Linotype"/>
          <w:noProof/>
          <w:sz w:val="20"/>
        </w:rPr>
      </w:pPr>
      <w:r>
        <w:rPr>
          <w:rFonts w:ascii="Palatino Linotype" w:hAnsi="Palatino Linotype"/>
          <w:noProof/>
          <w:sz w:val="20"/>
        </w:rPr>
        <w:t xml:space="preserve">6. Londahl J, Pagels J, Boman C, Swietlicki E, Massling A, Rissler J, et al. Deposition of biomass combustion aerosol particles in the human respiratory tract. Inhal Toxicol. 2008;20:923–33. </w:t>
      </w:r>
    </w:p>
    <w:p>
      <w:pPr>
        <w:widowControl w:val="0"/>
        <w:autoSpaceDE w:val="0"/>
        <w:autoSpaceDN w:val="0"/>
        <w:adjustRightInd w:val="0"/>
        <w:jc w:val="both"/>
        <w:rPr>
          <w:rFonts w:ascii="Palatino Linotype" w:hAnsi="Palatino Linotype"/>
          <w:noProof/>
          <w:sz w:val="20"/>
        </w:rPr>
      </w:pPr>
      <w:r>
        <w:rPr>
          <w:rFonts w:ascii="Palatino Linotype" w:hAnsi="Palatino Linotype"/>
          <w:noProof/>
          <w:sz w:val="20"/>
        </w:rPr>
        <w:t xml:space="preserve">7. Löndahl J, Massling A, Swietlicki E, Bräuner EV, Ketzel M, Pagels J, et al. Experimentally determined human respiratory tract deposition of airborne particles at a busy street. Environ Sci Technol. 2009;43:4659–64. </w:t>
      </w:r>
    </w:p>
    <w:p>
      <w:pPr>
        <w:widowControl w:val="0"/>
        <w:autoSpaceDE w:val="0"/>
        <w:autoSpaceDN w:val="0"/>
        <w:adjustRightInd w:val="0"/>
        <w:jc w:val="both"/>
        <w:rPr>
          <w:rFonts w:ascii="Palatino Linotype" w:hAnsi="Palatino Linotype"/>
          <w:noProof/>
          <w:sz w:val="20"/>
        </w:rPr>
      </w:pPr>
      <w:r>
        <w:rPr>
          <w:rFonts w:ascii="Palatino Linotype" w:hAnsi="Palatino Linotype"/>
          <w:noProof/>
          <w:sz w:val="20"/>
        </w:rPr>
        <w:t xml:space="preserve">8. Jakobsson JKF, Hedlund J, Kumlin J, Wollmer P, Löndahl J. A new method for measuring lung deposition efficiency of airborne nanoparticles in a single breath. Sci Rep. Nature Publishing Group; 2016;6:1–10. </w:t>
      </w:r>
    </w:p>
    <w:p>
      <w:pPr>
        <w:widowControl w:val="0"/>
        <w:autoSpaceDE w:val="0"/>
        <w:autoSpaceDN w:val="0"/>
        <w:adjustRightInd w:val="0"/>
        <w:jc w:val="both"/>
        <w:rPr>
          <w:rFonts w:ascii="Palatino Linotype" w:hAnsi="Palatino Linotype"/>
          <w:noProof/>
          <w:sz w:val="20"/>
        </w:rPr>
      </w:pPr>
      <w:r>
        <w:rPr>
          <w:rFonts w:ascii="Palatino Linotype" w:hAnsi="Palatino Linotype"/>
          <w:noProof/>
          <w:sz w:val="20"/>
        </w:rPr>
        <w:t xml:space="preserve">9. Rissler J, Nicklasson H, Gudmundsson A, Wollmer P, Swietlicki E, Löndahl J. A set-up for respiratory tract deposition efficiency measurements (15–5000 nm) and first results for a group of children and adults. Aerosol Air Qual Res. 2017;17:1244–55. </w:t>
      </w:r>
    </w:p>
    <w:p>
      <w:pPr>
        <w:widowControl w:val="0"/>
        <w:autoSpaceDE w:val="0"/>
        <w:autoSpaceDN w:val="0"/>
        <w:adjustRightInd w:val="0"/>
        <w:jc w:val="both"/>
        <w:rPr>
          <w:rFonts w:ascii="Palatino Linotype" w:hAnsi="Palatino Linotype"/>
          <w:noProof/>
          <w:sz w:val="20"/>
        </w:rPr>
      </w:pPr>
      <w:r>
        <w:rPr>
          <w:rFonts w:ascii="Palatino Linotype" w:hAnsi="Palatino Linotype"/>
          <w:noProof/>
          <w:sz w:val="20"/>
        </w:rPr>
        <w:t xml:space="preserve">10. Lin CW, Huang SH, Chang KN, Kuo YM, Wu HD, Lai CY, et al. Experimental measurements of regional lung deposition in taiwanese. Aerosol Air Qual Res. 2019;19:832–9. </w:t>
      </w:r>
    </w:p>
    <w:p>
      <w:pPr>
        <w:widowControl w:val="0"/>
        <w:autoSpaceDE w:val="0"/>
        <w:autoSpaceDN w:val="0"/>
        <w:adjustRightInd w:val="0"/>
        <w:jc w:val="both"/>
        <w:rPr>
          <w:rFonts w:ascii="Palatino Linotype" w:hAnsi="Palatino Linotype"/>
          <w:noProof/>
          <w:sz w:val="20"/>
        </w:rPr>
      </w:pPr>
      <w:r>
        <w:rPr>
          <w:rFonts w:ascii="Palatino Linotype" w:hAnsi="Palatino Linotype"/>
          <w:noProof/>
          <w:sz w:val="20"/>
        </w:rPr>
        <w:t xml:space="preserve">11. Madueño L, Kecorius S, Löndahl J, Müller T, Pfeifer S, Haudek A, et al. A new method to measure real-world respiratory tract deposition of inhaled ambient black carbon. Environ Pollut. 2019;248:295–303. </w:t>
      </w:r>
    </w:p>
    <w:p>
      <w:pPr>
        <w:widowControl w:val="0"/>
        <w:autoSpaceDE w:val="0"/>
        <w:autoSpaceDN w:val="0"/>
        <w:adjustRightInd w:val="0"/>
        <w:jc w:val="both"/>
        <w:rPr>
          <w:rFonts w:ascii="Palatino Linotype" w:hAnsi="Palatino Linotype"/>
          <w:noProof/>
          <w:sz w:val="20"/>
        </w:rPr>
      </w:pPr>
      <w:r>
        <w:rPr>
          <w:rFonts w:ascii="Palatino Linotype" w:hAnsi="Palatino Linotype"/>
          <w:noProof/>
          <w:sz w:val="20"/>
        </w:rPr>
        <w:t>12. Guo L, Johnson GR, Hofmann W, Wang H, Morawska L. Deposition of ambient ultrafine particles in the respiratory tract of children: A novel experimental method and its application. J Aerosol Sci [Internet]. Elsevier Ltd; 2020;139:105465. Available from: https://doi.org/10.1016/j.jaerosci.2019.105465</w:t>
      </w:r>
    </w:p>
    <w:p>
      <w:pPr>
        <w:widowControl w:val="0"/>
        <w:autoSpaceDE w:val="0"/>
        <w:autoSpaceDN w:val="0"/>
        <w:adjustRightInd w:val="0"/>
        <w:jc w:val="both"/>
        <w:rPr>
          <w:rFonts w:ascii="Palatino Linotype" w:hAnsi="Palatino Linotype"/>
          <w:noProof/>
          <w:sz w:val="20"/>
        </w:rPr>
      </w:pPr>
      <w:r>
        <w:rPr>
          <w:rFonts w:ascii="Palatino Linotype" w:hAnsi="Palatino Linotype"/>
          <w:noProof/>
          <w:sz w:val="20"/>
          <w:lang w:val="de-DE"/>
        </w:rPr>
        <w:t xml:space="preserve">13. Rissler J, Swietlicki E, Bengtsson A, Boman C, Pagels J, Sandström T, et al. </w:t>
      </w:r>
      <w:r>
        <w:rPr>
          <w:rFonts w:ascii="Palatino Linotype" w:hAnsi="Palatino Linotype"/>
          <w:noProof/>
          <w:sz w:val="20"/>
        </w:rPr>
        <w:t xml:space="preserve">Experimental determination of deposition of diesel exhaust particles in the human respiratory tract. J Aerosol Sci. 2012;48:18–33. </w:t>
      </w:r>
    </w:p>
    <w:p>
      <w:pPr>
        <w:widowControl w:val="0"/>
        <w:autoSpaceDE w:val="0"/>
        <w:autoSpaceDN w:val="0"/>
        <w:adjustRightInd w:val="0"/>
        <w:jc w:val="both"/>
        <w:rPr>
          <w:rFonts w:ascii="Palatino Linotype" w:hAnsi="Palatino Linotype"/>
          <w:noProof/>
          <w:sz w:val="20"/>
        </w:rPr>
      </w:pPr>
      <w:r>
        <w:rPr>
          <w:rFonts w:ascii="Palatino Linotype" w:hAnsi="Palatino Linotype"/>
          <w:noProof/>
          <w:sz w:val="20"/>
        </w:rPr>
        <w:t xml:space="preserve">14. Muala A, Nicklasson H, Boman C, Swietlicki E, Nyström R, Pettersson E, et al. Respiratory Tract Deposition of Inhaled Wood Smoke Particles in Healthy Volunteers. J Aerosol Med Pulm Drug Deliv. 2015;28:237–46. </w:t>
      </w:r>
    </w:p>
    <w:p>
      <w:pPr>
        <w:jc w:val="both"/>
        <w:rPr>
          <w:rFonts w:ascii="Palatino Linotype" w:hAnsi="Palatino Linotype"/>
          <w:color w:val="000000" w:themeColor="text1"/>
          <w:sz w:val="20"/>
          <w:szCs w:val="20"/>
        </w:rPr>
      </w:pPr>
      <w:r>
        <w:rPr>
          <w:rFonts w:ascii="Palatino Linotype" w:hAnsi="Palatino Linotype"/>
          <w:b/>
          <w:bCs/>
          <w:color w:val="000000" w:themeColor="text1"/>
          <w:sz w:val="21"/>
          <w:szCs w:val="21"/>
        </w:rPr>
        <w:fldChar w:fldCharType="end"/>
      </w:r>
      <w:r>
        <w:rPr>
          <w:rFonts w:ascii="Palatino Linotype" w:hAnsi="Palatino Linotype"/>
          <w:color w:val="000000" w:themeColor="text1"/>
          <w:sz w:val="20"/>
          <w:szCs w:val="20"/>
        </w:rPr>
        <w:t>15. Kecorius S, Madueño L, Löndahl J, Vallar E, Galvez MC, Idolor LF, et al. Respiratory tract deposition of inhaled roadside ultrafine refractory particles in a polluted megacity of South-East Asia. Sci Total Environ [Internet]. Elsevier B.V.; 2019;663:265–74. Available from: https://doi.org/10.1016/j.scitotenv.2019.01.338</w:t>
      </w:r>
    </w:p>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16. Natera ES, Cuevas CD, Azanon EM, Palattao MB, Espiritu RT, Cobar MC, et al. Compilation of Anatomical, Physiological and Dietary Characteristics for a Filipino Reference Man. 1998; Available from: https://inis.iaea.org/search/search.aspx?orig_q=RN:29028124</w:t>
      </w:r>
    </w:p>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17. Dons E, Int Panis L, Van Poppel M, Theunis J, Wets G. Personal exposure to Black Carbon in transport microenvironments. Atmos Environ [Internet]. Elsevier Ltd; 2012;55:392–8. Available from: http://dx.doi.org/10.1016/j.atmosenv.2012.03.020</w:t>
      </w:r>
    </w:p>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 xml:space="preserve">18. Morales Betancourt R, Galvis B, Balachandran S, Ramos-Bonilla JP, Sarmiento OL, Gallo-Murcia SM, et al. Exposure to fine particulate, black carbon, and particle number concentration in </w:t>
      </w:r>
      <w:r>
        <w:rPr>
          <w:rFonts w:ascii="Palatino Linotype" w:hAnsi="Palatino Linotype"/>
          <w:color w:val="000000" w:themeColor="text1"/>
          <w:sz w:val="20"/>
          <w:szCs w:val="20"/>
        </w:rPr>
        <w:lastRenderedPageBreak/>
        <w:t>transportation microenvironments. Atmos Environ [Internet]. Elsevier Ltd; 2017;157:135–45. Available from: http://dx.doi.org/10.1016/j.atmosenv.2017.03.006</w:t>
      </w:r>
    </w:p>
    <w:p>
      <w:pPr>
        <w:jc w:val="both"/>
        <w:rPr>
          <w:rFonts w:ascii="Palatino Linotype" w:hAnsi="Palatino Linotype"/>
          <w:color w:val="000000" w:themeColor="text1"/>
          <w:sz w:val="20"/>
          <w:szCs w:val="20"/>
        </w:rPr>
      </w:pPr>
      <w:r>
        <w:rPr>
          <w:rFonts w:ascii="Palatino Linotype" w:hAnsi="Palatino Linotype"/>
          <w:color w:val="000000" w:themeColor="text1"/>
          <w:sz w:val="20"/>
          <w:szCs w:val="20"/>
        </w:rPr>
        <w:t>19. Merritt AS, Georgellis A, Andersson N, Bero Bedada G, Bellander T, Johansson C. Personal exposure to black carbon in Stockholm, using different intra-urban transport modes. Sci Total Environ [Internet]. The Authors; 2019;674:279–87. Available from: https://doi.org/10.1016/j.scitotenv.2019.04.100</w:t>
      </w:r>
    </w:p>
    <w:p>
      <w:r>
        <w:rPr>
          <w:rFonts w:ascii="Palatino Linotype" w:hAnsi="Palatino Linotype"/>
          <w:color w:val="000000"/>
          <w:sz w:val="20"/>
          <w:szCs w:val="20"/>
        </w:rPr>
        <w:t>20. Madueño L, Kecorius S, Andrade M, Wiedensohler A. Exposure and respiratory tract deposition dose of equivalent black carbon in high altitudes. Atmosphere (Basel). 2020;11:1–14.</w:t>
      </w:r>
    </w:p>
    <w:p>
      <w:r>
        <w:rPr>
          <w:rFonts w:ascii="Palatino Linotype" w:hAnsi="Palatino Linotype"/>
          <w:color w:val="000000"/>
          <w:sz w:val="20"/>
          <w:szCs w:val="20"/>
        </w:rPr>
        <w:t>21. Park K, Kittelson DB, Zachariah MR, Mcmurry PH. Measurement of inherent material density of nanoparticle agglomerates. 2004;267–72.</w:t>
      </w:r>
    </w:p>
    <w:sectPr>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type="continuationNotice"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de-DE" w:vendorID="64" w:dllVersion="6" w:nlCheck="1" w:checkStyle="0"/>
  <w:activeWritingStyle w:appName="MSWord" w:lang="en-US"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US" w:vendorID="64" w:dllVersion="131078" w:nlCheck="1" w:checkStyle="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5:chartTrackingRefBased/>
  <w15:docId w15:val="{324B5502-342D-7F42-8C32-79EFCA6A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pPr>
      <w:spacing w:before="100" w:beforeAutospacing="1" w:after="100" w:afterAutospacing="1"/>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paragraph" w:styleId="Caption">
    <w:name w:val="caption"/>
    <w:basedOn w:val="Normal"/>
    <w:next w:val="Normal"/>
    <w:uiPriority w:val="35"/>
    <w:unhideWhenUsed/>
    <w:qFormat/>
    <w:pPr>
      <w:spacing w:after="200"/>
    </w:pPr>
    <w:rPr>
      <w:rFonts w:ascii="Helvetica" w:eastAsiaTheme="minorHAnsi" w:hAnsi="Helvetica" w:cstheme="minorBidi"/>
      <w:iCs/>
      <w:color w:val="000000" w:themeColor="text1"/>
      <w:sz w:val="20"/>
      <w:szCs w:val="18"/>
    </w:rPr>
  </w:style>
  <w:style w:type="character" w:styleId="Strong">
    <w:name w:val="Strong"/>
    <w:basedOn w:val="DefaultParagraphFont"/>
    <w:uiPriority w:val="22"/>
    <w:qFormat/>
    <w:rPr>
      <w:b/>
      <w:bCs/>
    </w:rPr>
  </w:style>
  <w:style w:type="character" w:customStyle="1" w:styleId="apple-converted-space">
    <w:name w:val="apple-converted-space"/>
    <w:basedOn w:val="DefaultParagraphFont"/>
  </w:style>
  <w:style w:type="character" w:styleId="FootnoteReference">
    <w:name w:val="footnote reference"/>
    <w:basedOn w:val="DefaultParagraphFont"/>
    <w:uiPriority w:val="99"/>
    <w:semiHidden/>
    <w:unhideWhenUsed/>
    <w:rPr>
      <w:vertAlign w:val="superscript"/>
    </w:rPr>
  </w:style>
  <w:style w:type="paragraph" w:styleId="Revision">
    <w:name w:val="Revision"/>
    <w:hidden/>
    <w:uiPriority w:val="99"/>
    <w:semiHidden/>
    <w:rPr>
      <w:rFonts w:ascii="Times New Roman" w:eastAsia="Times New Roman" w:hAnsi="Times New Roman" w:cs="Times New Roman"/>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067304">
      <w:bodyDiv w:val="1"/>
      <w:marLeft w:val="0"/>
      <w:marRight w:val="0"/>
      <w:marTop w:val="0"/>
      <w:marBottom w:val="0"/>
      <w:divBdr>
        <w:top w:val="none" w:sz="0" w:space="0" w:color="auto"/>
        <w:left w:val="none" w:sz="0" w:space="0" w:color="auto"/>
        <w:bottom w:val="none" w:sz="0" w:space="0" w:color="auto"/>
        <w:right w:val="none" w:sz="0" w:space="0" w:color="auto"/>
      </w:divBdr>
    </w:div>
    <w:div w:id="968318395">
      <w:bodyDiv w:val="1"/>
      <w:marLeft w:val="0"/>
      <w:marRight w:val="0"/>
      <w:marTop w:val="0"/>
      <w:marBottom w:val="0"/>
      <w:divBdr>
        <w:top w:val="none" w:sz="0" w:space="0" w:color="auto"/>
        <w:left w:val="none" w:sz="0" w:space="0" w:color="auto"/>
        <w:bottom w:val="none" w:sz="0" w:space="0" w:color="auto"/>
        <w:right w:val="none" w:sz="0" w:space="0" w:color="auto"/>
      </w:divBdr>
    </w:div>
    <w:div w:id="1508052888">
      <w:bodyDiv w:val="1"/>
      <w:marLeft w:val="0"/>
      <w:marRight w:val="0"/>
      <w:marTop w:val="0"/>
      <w:marBottom w:val="0"/>
      <w:divBdr>
        <w:top w:val="none" w:sz="0" w:space="0" w:color="auto"/>
        <w:left w:val="none" w:sz="0" w:space="0" w:color="auto"/>
        <w:bottom w:val="none" w:sz="0" w:space="0" w:color="auto"/>
        <w:right w:val="none" w:sz="0" w:space="0" w:color="auto"/>
      </w:divBdr>
    </w:div>
    <w:div w:id="1713573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CA063-89A6-47AF-B6E7-2A8F8013C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11767</Words>
  <Characters>67072</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78682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Leizel</dc:creator>
  <cp:keywords/>
  <dc:description/>
  <cp:lastModifiedBy>Simonas Kecorius</cp:lastModifiedBy>
  <cp:revision>4</cp:revision>
  <dcterms:created xsi:type="dcterms:W3CDTF">2022-08-15T10:40:00Z</dcterms:created>
  <dcterms:modified xsi:type="dcterms:W3CDTF">2022-08-17T10:01:00Z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http://www.zotero.org/styles/atmospheric-chemistry-and-physics</vt:lpwstr>
  </property>
  <property fmtid="{D5CDD505-2E9C-101B-9397-08002B2CF9AE}" pid="7" name="Mendeley Recent Style Name 2_1">
    <vt:lpwstr>Atmospheric Chemistry and Physics</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http://www.zotero.org/styles/springer-vancouver-brackets</vt:lpwstr>
  </property>
  <property fmtid="{D5CDD505-2E9C-101B-9397-08002B2CF9AE}" pid="19" name="Mendeley Recent Style Name 8_1">
    <vt:lpwstr>Springer - Vancouver (brackets)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0251367b-72bb-3ac3-b028-763bed87c4b4</vt:lpwstr>
  </property>
  <property fmtid="{D5CDD505-2E9C-101B-9397-08002B2CF9AE}" pid="24" name="Mendeley Citation Style_1">
    <vt:lpwstr>http://www.zotero.org/styles/springer-vancouver-brackets</vt:lpwstr>
  </property>
</Properties>
</file>