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FBA2B" w14:textId="77777777" w:rsidR="00C70958" w:rsidRDefault="00C70958" w:rsidP="00C70958">
      <w:pPr>
        <w:spacing w:line="276" w:lineRule="auto"/>
        <w:jc w:val="both"/>
        <w:rPr>
          <w:rFonts w:asciiTheme="minorHAnsi" w:hAnsiTheme="minorHAnsi" w:cstheme="minorHAnsi"/>
          <w:b/>
          <w:bCs/>
          <w:lang w:val="en-GB"/>
        </w:rPr>
      </w:pPr>
      <w:r w:rsidRPr="00BA7AA1">
        <w:rPr>
          <w:rFonts w:asciiTheme="minorHAnsi" w:hAnsiTheme="minorHAnsi" w:cstheme="minorHAnsi"/>
          <w:b/>
          <w:bCs/>
          <w:lang w:val="en-GB"/>
        </w:rPr>
        <w:t>Appendix</w:t>
      </w:r>
      <w:bookmarkStart w:id="0" w:name="_GoBack"/>
      <w:bookmarkEnd w:id="0"/>
    </w:p>
    <w:p w14:paraId="3295C6AF" w14:textId="77777777" w:rsidR="008D0FA6" w:rsidRDefault="008D0FA6" w:rsidP="00C70958">
      <w:pPr>
        <w:spacing w:line="276" w:lineRule="auto"/>
        <w:jc w:val="both"/>
        <w:rPr>
          <w:rFonts w:asciiTheme="minorHAnsi" w:hAnsiTheme="minorHAnsi" w:cstheme="minorHAnsi"/>
          <w:b/>
          <w:bCs/>
          <w:lang w:val="en-GB"/>
        </w:rPr>
      </w:pPr>
    </w:p>
    <w:p w14:paraId="36F3F0DB" w14:textId="77777777" w:rsidR="008D0FA6" w:rsidRDefault="008D0FA6" w:rsidP="00C70958">
      <w:pPr>
        <w:spacing w:line="276" w:lineRule="auto"/>
        <w:jc w:val="both"/>
        <w:rPr>
          <w:rFonts w:asciiTheme="minorHAnsi" w:hAnsiTheme="minorHAnsi" w:cstheme="minorHAnsi"/>
          <w:b/>
          <w:bCs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Material and Methods</w:t>
      </w:r>
    </w:p>
    <w:p w14:paraId="476BCDC3" w14:textId="77777777" w:rsidR="008D0FA6" w:rsidRDefault="008D0FA6" w:rsidP="00C70958">
      <w:pPr>
        <w:spacing w:line="276" w:lineRule="auto"/>
        <w:jc w:val="both"/>
        <w:rPr>
          <w:rFonts w:asciiTheme="minorHAnsi" w:hAnsiTheme="minorHAnsi" w:cstheme="minorHAnsi"/>
          <w:b/>
          <w:bCs/>
          <w:lang w:val="en-GB"/>
        </w:rPr>
      </w:pPr>
    </w:p>
    <w:p w14:paraId="0DC18144" w14:textId="77777777" w:rsidR="008D0FA6" w:rsidRPr="008D0FA6" w:rsidRDefault="008D0FA6" w:rsidP="008D0FA6">
      <w:pPr>
        <w:pStyle w:val="NoSpacing"/>
        <w:spacing w:line="360" w:lineRule="auto"/>
        <w:jc w:val="both"/>
        <w:rPr>
          <w:rFonts w:cstheme="minorHAnsi"/>
          <w:bCs/>
          <w:i/>
          <w:sz w:val="24"/>
          <w:szCs w:val="24"/>
          <w:lang w:val="en-GB"/>
        </w:rPr>
      </w:pPr>
      <w:r w:rsidRPr="008D0FA6">
        <w:rPr>
          <w:rFonts w:cstheme="minorHAnsi"/>
          <w:bCs/>
          <w:i/>
          <w:sz w:val="24"/>
          <w:szCs w:val="24"/>
          <w:lang w:val="en-GB"/>
        </w:rPr>
        <w:t xml:space="preserve">Blood sampling and clinical data acquisition </w:t>
      </w:r>
    </w:p>
    <w:p w14:paraId="5388D5DC" w14:textId="77777777" w:rsidR="008D0FA6" w:rsidRDefault="00EC66BF" w:rsidP="008D0FA6">
      <w:pPr>
        <w:pStyle w:val="NoSpacing"/>
        <w:spacing w:line="360" w:lineRule="auto"/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B</w:t>
      </w:r>
      <w:r w:rsidRPr="00BC6009">
        <w:rPr>
          <w:rFonts w:cstheme="minorHAnsi"/>
          <w:sz w:val="24"/>
          <w:szCs w:val="24"/>
          <w:lang w:val="en-GB"/>
        </w:rPr>
        <w:t>lood was taken into a standard EDTA-</w:t>
      </w:r>
      <w:r>
        <w:rPr>
          <w:rFonts w:cstheme="minorHAnsi"/>
          <w:sz w:val="24"/>
          <w:szCs w:val="24"/>
          <w:lang w:val="en-GB"/>
        </w:rPr>
        <w:t>tube</w:t>
      </w:r>
      <w:r w:rsidRPr="00BC6009">
        <w:rPr>
          <w:rFonts w:cstheme="minorHAnsi"/>
          <w:sz w:val="24"/>
          <w:szCs w:val="24"/>
          <w:lang w:val="en-GB"/>
        </w:rPr>
        <w:t>. After centrifugation</w:t>
      </w:r>
      <w:r>
        <w:rPr>
          <w:rFonts w:cstheme="minorHAnsi"/>
          <w:sz w:val="24"/>
          <w:szCs w:val="24"/>
          <w:lang w:val="en-GB"/>
        </w:rPr>
        <w:t>,</w:t>
      </w:r>
      <w:r w:rsidRPr="00BC6009">
        <w:rPr>
          <w:rFonts w:cstheme="minorHAnsi"/>
          <w:sz w:val="24"/>
          <w:szCs w:val="24"/>
          <w:lang w:val="en-GB"/>
        </w:rPr>
        <w:t xml:space="preserve"> the cell</w:t>
      </w:r>
      <w:r>
        <w:rPr>
          <w:rFonts w:cstheme="minorHAnsi"/>
          <w:sz w:val="24"/>
          <w:szCs w:val="24"/>
          <w:lang w:val="en-GB"/>
        </w:rPr>
        <w:t>-</w:t>
      </w:r>
      <w:r w:rsidRPr="00BC6009">
        <w:rPr>
          <w:rFonts w:cstheme="minorHAnsi"/>
          <w:sz w:val="24"/>
          <w:szCs w:val="24"/>
          <w:lang w:val="en-GB"/>
        </w:rPr>
        <w:t xml:space="preserve">free plasma was frozen </w:t>
      </w:r>
      <w:r>
        <w:rPr>
          <w:rFonts w:cstheme="minorHAnsi"/>
          <w:sz w:val="24"/>
          <w:szCs w:val="24"/>
          <w:lang w:val="en-GB"/>
        </w:rPr>
        <w:t>at</w:t>
      </w:r>
      <w:r w:rsidRPr="00BC6009">
        <w:rPr>
          <w:rFonts w:cstheme="minorHAnsi"/>
          <w:sz w:val="24"/>
          <w:szCs w:val="24"/>
          <w:lang w:val="en-GB"/>
        </w:rPr>
        <w:t xml:space="preserve"> -80°C until further analysis. </w:t>
      </w:r>
      <w:r w:rsidR="008D0FA6" w:rsidRPr="00BC6009">
        <w:rPr>
          <w:rFonts w:cstheme="minorHAnsi"/>
          <w:sz w:val="24"/>
          <w:szCs w:val="24"/>
          <w:lang w:val="en-GB"/>
        </w:rPr>
        <w:t xml:space="preserve">The following standard blood parameters were used for analysis: alanine transaminase (ALT, U/l), aspartate transaminase (AST, U/l), gamma-glutamyl transpeptidase (GGT, U/l), alkaline phosphatase (AP, U/l), total serum bilirubin (mg/dl), albumin (g/l), C-reactive protein (CRP, mg/l), </w:t>
      </w:r>
      <w:proofErr w:type="spellStart"/>
      <w:r w:rsidR="008D0FA6" w:rsidRPr="00BC6009">
        <w:rPr>
          <w:rFonts w:cstheme="minorHAnsi"/>
          <w:sz w:val="24"/>
          <w:szCs w:val="24"/>
          <w:lang w:val="en-GB"/>
        </w:rPr>
        <w:t>hemoglobin</w:t>
      </w:r>
      <w:proofErr w:type="spellEnd"/>
      <w:r w:rsidR="008D0FA6" w:rsidRPr="00BC6009">
        <w:rPr>
          <w:rFonts w:cstheme="minorHAnsi"/>
          <w:sz w:val="24"/>
          <w:szCs w:val="24"/>
          <w:lang w:val="en-GB"/>
        </w:rPr>
        <w:t xml:space="preserve"> (</w:t>
      </w:r>
      <w:proofErr w:type="spellStart"/>
      <w:r w:rsidR="008D0FA6" w:rsidRPr="00BC6009">
        <w:rPr>
          <w:rFonts w:cstheme="minorHAnsi"/>
          <w:sz w:val="24"/>
          <w:szCs w:val="24"/>
          <w:lang w:val="en-GB"/>
        </w:rPr>
        <w:t>Hb</w:t>
      </w:r>
      <w:proofErr w:type="spellEnd"/>
      <w:r w:rsidR="008D0FA6" w:rsidRPr="00BC6009">
        <w:rPr>
          <w:rFonts w:cstheme="minorHAnsi"/>
          <w:sz w:val="24"/>
          <w:szCs w:val="24"/>
          <w:lang w:val="en-GB"/>
        </w:rPr>
        <w:t xml:space="preserve">, g/dl), international normalized ratio (INR), platelet count (1/nl) and creatinine (mg/dl) from </w:t>
      </w:r>
      <w:r w:rsidR="008D0FA6">
        <w:rPr>
          <w:rFonts w:cstheme="minorHAnsi"/>
          <w:sz w:val="24"/>
          <w:szCs w:val="24"/>
          <w:lang w:val="en-GB"/>
        </w:rPr>
        <w:t>all time points</w:t>
      </w:r>
      <w:r w:rsidR="008D0FA6" w:rsidRPr="00BC6009">
        <w:rPr>
          <w:rFonts w:cstheme="minorHAnsi"/>
          <w:sz w:val="24"/>
          <w:szCs w:val="24"/>
          <w:lang w:val="en-GB"/>
        </w:rPr>
        <w:t xml:space="preserve">. Clinical information obtained included preoperative information on: </w:t>
      </w:r>
      <w:r w:rsidR="008D0FA6">
        <w:rPr>
          <w:rFonts w:cstheme="minorHAnsi"/>
          <w:sz w:val="24"/>
          <w:szCs w:val="24"/>
          <w:lang w:val="en-GB"/>
        </w:rPr>
        <w:t>a</w:t>
      </w:r>
      <w:r w:rsidR="008D0FA6" w:rsidRPr="00BC6009">
        <w:rPr>
          <w:rFonts w:cstheme="minorHAnsi"/>
          <w:sz w:val="24"/>
          <w:szCs w:val="24"/>
          <w:lang w:val="en-GB"/>
        </w:rPr>
        <w:t>ge (years), gender, BMI (kg/m2), tobacco smoking, diabetes, cardiac disease, renal disease, calculated size of the future liver remnant (FLR, ml)</w:t>
      </w:r>
      <w:r w:rsidR="008D0FA6">
        <w:rPr>
          <w:rFonts w:cstheme="minorHAnsi"/>
          <w:sz w:val="24"/>
          <w:szCs w:val="24"/>
          <w:lang w:val="en-GB"/>
        </w:rPr>
        <w:t>,</w:t>
      </w:r>
      <w:r w:rsidR="008D0FA6" w:rsidRPr="00BC6009">
        <w:rPr>
          <w:rFonts w:cstheme="minorHAnsi"/>
          <w:sz w:val="24"/>
          <w:szCs w:val="24"/>
          <w:lang w:val="en-GB"/>
        </w:rPr>
        <w:t xml:space="preserve"> and body-weight ratio of the calculated remnant (%); intra-operative information on blood loss (ml) and blood transfusion (yes/no); postoperative information on steatohepatitis, fibrosis</w:t>
      </w:r>
      <w:r w:rsidR="008D0FA6">
        <w:rPr>
          <w:rFonts w:cstheme="minorHAnsi"/>
          <w:sz w:val="24"/>
          <w:szCs w:val="24"/>
          <w:lang w:val="en-GB"/>
        </w:rPr>
        <w:t xml:space="preserve"> and</w:t>
      </w:r>
      <w:r w:rsidR="008D0FA6" w:rsidRPr="00BC6009">
        <w:rPr>
          <w:rFonts w:cstheme="minorHAnsi"/>
          <w:sz w:val="24"/>
          <w:szCs w:val="24"/>
          <w:lang w:val="en-GB"/>
        </w:rPr>
        <w:t xml:space="preserve"> cirrhosis of the liver tissue as stated in the histopathological report. </w:t>
      </w:r>
    </w:p>
    <w:p w14:paraId="43812FB0" w14:textId="77777777" w:rsidR="008D0FA6" w:rsidRDefault="008D0FA6" w:rsidP="008D0FA6">
      <w:pPr>
        <w:pStyle w:val="NoSpacing"/>
        <w:spacing w:line="360" w:lineRule="auto"/>
        <w:jc w:val="both"/>
        <w:rPr>
          <w:rFonts w:cstheme="minorHAnsi"/>
          <w:sz w:val="24"/>
          <w:szCs w:val="24"/>
          <w:lang w:val="en-GB"/>
        </w:rPr>
      </w:pPr>
    </w:p>
    <w:p w14:paraId="4E0F59D0" w14:textId="77777777" w:rsidR="008D0FA6" w:rsidRPr="008D0FA6" w:rsidRDefault="008D0FA6" w:rsidP="008D0FA6">
      <w:pPr>
        <w:pStyle w:val="NoSpacing"/>
        <w:spacing w:line="360" w:lineRule="auto"/>
        <w:jc w:val="both"/>
        <w:rPr>
          <w:rFonts w:cstheme="minorHAnsi"/>
          <w:i/>
          <w:sz w:val="24"/>
          <w:szCs w:val="24"/>
          <w:lang w:val="en-GB"/>
        </w:rPr>
      </w:pPr>
      <w:r w:rsidRPr="008D0FA6">
        <w:rPr>
          <w:rFonts w:cstheme="minorHAnsi"/>
          <w:i/>
          <w:sz w:val="24"/>
          <w:szCs w:val="24"/>
          <w:lang w:val="en-GB"/>
        </w:rPr>
        <w:t>Liver volumetry</w:t>
      </w:r>
    </w:p>
    <w:p w14:paraId="3DF56976" w14:textId="44C48A77" w:rsidR="008D0FA6" w:rsidRPr="00BC6009" w:rsidRDefault="008D0FA6" w:rsidP="008D0FA6">
      <w:pPr>
        <w:pStyle w:val="NoSpacing"/>
        <w:spacing w:line="360" w:lineRule="auto"/>
        <w:jc w:val="both"/>
        <w:rPr>
          <w:rFonts w:cstheme="minorHAnsi"/>
          <w:sz w:val="24"/>
          <w:szCs w:val="24"/>
          <w:lang w:val="en-GB"/>
        </w:rPr>
      </w:pPr>
      <w:r w:rsidRPr="001C50D2">
        <w:rPr>
          <w:rFonts w:cstheme="minorHAnsi"/>
          <w:sz w:val="24"/>
          <w:szCs w:val="24"/>
          <w:lang w:val="en-GB"/>
        </w:rPr>
        <w:t xml:space="preserve">Manual volumetry was performed by a board-certified radiologist with seven years of experience in abdominal imaging using the </w:t>
      </w:r>
      <w:proofErr w:type="spellStart"/>
      <w:r w:rsidRPr="001C50D2">
        <w:rPr>
          <w:rFonts w:cstheme="minorHAnsi"/>
          <w:sz w:val="24"/>
          <w:szCs w:val="24"/>
          <w:lang w:val="en-GB"/>
        </w:rPr>
        <w:t>AquariusNET</w:t>
      </w:r>
      <w:proofErr w:type="spellEnd"/>
      <w:r w:rsidRPr="001C50D2">
        <w:rPr>
          <w:rFonts w:cstheme="minorHAnsi"/>
          <w:sz w:val="24"/>
          <w:szCs w:val="24"/>
          <w:lang w:val="en-GB"/>
        </w:rPr>
        <w:t xml:space="preserve"> Viewer V.4.4.11.265 (</w:t>
      </w:r>
      <w:proofErr w:type="spellStart"/>
      <w:r w:rsidRPr="001C50D2">
        <w:rPr>
          <w:rFonts w:cstheme="minorHAnsi"/>
          <w:sz w:val="24"/>
          <w:szCs w:val="24"/>
          <w:lang w:val="en-GB"/>
        </w:rPr>
        <w:t>TeraRecon</w:t>
      </w:r>
      <w:proofErr w:type="spellEnd"/>
      <w:r w:rsidRPr="001C50D2">
        <w:rPr>
          <w:rFonts w:cstheme="minorHAnsi"/>
          <w:sz w:val="24"/>
          <w:szCs w:val="24"/>
          <w:lang w:val="en-GB"/>
        </w:rPr>
        <w:t xml:space="preserve"> Inc., Germany), based on axial portal venous phase cross-sectional images. If available, CT images were preferred over MR images. Extrahepatic bile ducts, the gallbladder, and surrounding extrahepatic vessels (e.g. extrahepatic portal vein) were excluded. Based on a preoperative CT/MRI scan, the preoperative total liver volume, total </w:t>
      </w:r>
      <w:proofErr w:type="spellStart"/>
      <w:r w:rsidRPr="004B211F">
        <w:rPr>
          <w:rFonts w:cstheme="minorHAnsi"/>
          <w:sz w:val="24"/>
          <w:szCs w:val="24"/>
          <w:lang w:val="en-GB"/>
        </w:rPr>
        <w:t>tumor</w:t>
      </w:r>
      <w:proofErr w:type="spellEnd"/>
      <w:r w:rsidRPr="001C50D2" w:rsidDel="00C35ECF">
        <w:rPr>
          <w:rFonts w:cstheme="minorHAnsi"/>
          <w:sz w:val="24"/>
          <w:szCs w:val="24"/>
          <w:lang w:val="en-GB"/>
        </w:rPr>
        <w:t xml:space="preserve"> </w:t>
      </w:r>
      <w:r w:rsidRPr="001C50D2">
        <w:rPr>
          <w:rFonts w:cstheme="minorHAnsi"/>
          <w:sz w:val="24"/>
          <w:szCs w:val="24"/>
          <w:lang w:val="en-GB"/>
        </w:rPr>
        <w:t>volume, and the size of the future liver remnant were determined.</w:t>
      </w:r>
      <w:r w:rsidRPr="00BC6009" w:rsidDel="00FD68CA">
        <w:rPr>
          <w:rFonts w:cstheme="minorHAnsi"/>
          <w:sz w:val="24"/>
          <w:szCs w:val="24"/>
          <w:lang w:val="en-GB"/>
        </w:rPr>
        <w:t xml:space="preserve"> </w:t>
      </w:r>
    </w:p>
    <w:p w14:paraId="0ADBB919" w14:textId="77777777" w:rsidR="008D0FA6" w:rsidRDefault="008D0FA6" w:rsidP="008D0FA6">
      <w:pPr>
        <w:pStyle w:val="NoSpacing"/>
        <w:spacing w:line="360" w:lineRule="auto"/>
        <w:jc w:val="both"/>
        <w:rPr>
          <w:rFonts w:cstheme="minorHAnsi"/>
          <w:sz w:val="24"/>
          <w:szCs w:val="24"/>
          <w:lang w:val="en-GB"/>
        </w:rPr>
      </w:pPr>
    </w:p>
    <w:p w14:paraId="2A58B6C5" w14:textId="77777777" w:rsidR="00E90ADF" w:rsidRPr="00E90ADF" w:rsidRDefault="00E90ADF" w:rsidP="00E90ADF">
      <w:pPr>
        <w:pStyle w:val="NoSpacing"/>
        <w:spacing w:line="276" w:lineRule="auto"/>
        <w:jc w:val="both"/>
        <w:rPr>
          <w:rFonts w:cstheme="minorHAnsi"/>
          <w:bCs/>
          <w:i/>
          <w:sz w:val="24"/>
          <w:szCs w:val="24"/>
          <w:lang w:val="en-GB"/>
        </w:rPr>
      </w:pPr>
      <w:r w:rsidRPr="00E90ADF">
        <w:rPr>
          <w:rFonts w:cstheme="minorHAnsi"/>
          <w:bCs/>
          <w:i/>
          <w:sz w:val="24"/>
          <w:szCs w:val="24"/>
          <w:lang w:val="en-GB"/>
        </w:rPr>
        <w:t>Cytokine and Growth Factor Measurements</w:t>
      </w:r>
    </w:p>
    <w:p w14:paraId="2868705F" w14:textId="77777777" w:rsidR="00E90ADF" w:rsidRPr="00BC6009" w:rsidRDefault="00B360E6" w:rsidP="00E90ADF">
      <w:pPr>
        <w:pStyle w:val="NoSpacing"/>
        <w:spacing w:line="360" w:lineRule="auto"/>
        <w:jc w:val="both"/>
        <w:rPr>
          <w:rFonts w:cstheme="minorHAnsi"/>
          <w:sz w:val="24"/>
          <w:szCs w:val="24"/>
          <w:lang w:val="en-GB"/>
        </w:rPr>
      </w:pPr>
      <w:r w:rsidRPr="00BC6009">
        <w:rPr>
          <w:rFonts w:cstheme="minorHAnsi"/>
          <w:sz w:val="24"/>
          <w:szCs w:val="24"/>
          <w:lang w:val="en-GB"/>
        </w:rPr>
        <w:t xml:space="preserve">Measurements were performed between 2017 – 2018 </w:t>
      </w:r>
      <w:r>
        <w:rPr>
          <w:rFonts w:cstheme="minorHAnsi"/>
          <w:sz w:val="24"/>
          <w:szCs w:val="24"/>
          <w:lang w:val="en-GB"/>
        </w:rPr>
        <w:t>in three separate batches</w:t>
      </w:r>
      <w:r w:rsidRPr="00BC6009">
        <w:rPr>
          <w:rFonts w:cstheme="minorHAnsi"/>
          <w:sz w:val="24"/>
          <w:szCs w:val="24"/>
          <w:lang w:val="en-GB"/>
        </w:rPr>
        <w:t xml:space="preserve"> for the training cohort</w:t>
      </w:r>
      <w:r>
        <w:rPr>
          <w:rFonts w:cstheme="minorHAnsi"/>
          <w:sz w:val="24"/>
          <w:szCs w:val="24"/>
          <w:lang w:val="en-GB"/>
        </w:rPr>
        <w:t xml:space="preserve"> </w:t>
      </w:r>
      <w:r w:rsidRPr="00BC6009">
        <w:rPr>
          <w:rFonts w:cstheme="minorHAnsi"/>
          <w:sz w:val="24"/>
          <w:szCs w:val="24"/>
          <w:lang w:val="en-GB"/>
        </w:rPr>
        <w:t>and in 2019</w:t>
      </w:r>
      <w:r>
        <w:rPr>
          <w:rFonts w:cstheme="minorHAnsi"/>
          <w:sz w:val="24"/>
          <w:szCs w:val="24"/>
          <w:lang w:val="en-GB"/>
        </w:rPr>
        <w:t xml:space="preserve"> in one batch</w:t>
      </w:r>
      <w:r w:rsidRPr="00BC6009">
        <w:rPr>
          <w:rFonts w:cstheme="minorHAnsi"/>
          <w:sz w:val="24"/>
          <w:szCs w:val="24"/>
          <w:lang w:val="en-GB"/>
        </w:rPr>
        <w:t xml:space="preserve"> for the validation cohort.</w:t>
      </w:r>
      <w:r>
        <w:rPr>
          <w:rFonts w:cstheme="minorHAnsi"/>
          <w:sz w:val="24"/>
          <w:szCs w:val="24"/>
          <w:lang w:val="en-GB"/>
        </w:rPr>
        <w:t xml:space="preserve"> </w:t>
      </w:r>
      <w:r w:rsidR="00E90ADF" w:rsidRPr="00BC6009">
        <w:rPr>
          <w:rFonts w:cstheme="minorHAnsi"/>
          <w:sz w:val="24"/>
          <w:szCs w:val="24"/>
          <w:lang w:val="en-GB"/>
        </w:rPr>
        <w:t>30</w:t>
      </w:r>
      <w:r w:rsidR="00E90ADF" w:rsidRPr="00BC6009">
        <w:rPr>
          <w:rFonts w:cstheme="minorHAnsi"/>
          <w:sz w:val="24"/>
          <w:szCs w:val="24"/>
          <w:lang w:val="en-GB"/>
        </w:rPr>
        <w:sym w:font="Symbol" w:char="F06D"/>
      </w:r>
      <w:r w:rsidR="00E90ADF" w:rsidRPr="00BC6009">
        <w:rPr>
          <w:rFonts w:cstheme="minorHAnsi"/>
          <w:sz w:val="24"/>
          <w:szCs w:val="24"/>
          <w:lang w:val="en-GB"/>
        </w:rPr>
        <w:t>l plasma per patient per time</w:t>
      </w:r>
      <w:r w:rsidR="00E90ADF">
        <w:rPr>
          <w:rFonts w:cstheme="minorHAnsi"/>
          <w:sz w:val="24"/>
          <w:szCs w:val="24"/>
          <w:lang w:val="en-GB"/>
        </w:rPr>
        <w:t xml:space="preserve"> </w:t>
      </w:r>
      <w:r w:rsidR="00E90ADF" w:rsidRPr="00BC6009">
        <w:rPr>
          <w:rFonts w:cstheme="minorHAnsi"/>
          <w:sz w:val="24"/>
          <w:szCs w:val="24"/>
          <w:lang w:val="en-GB"/>
        </w:rPr>
        <w:t xml:space="preserve">point </w:t>
      </w:r>
      <w:r w:rsidR="00E90ADF" w:rsidRPr="004B211F">
        <w:rPr>
          <w:rFonts w:cstheme="minorHAnsi"/>
          <w:color w:val="000000" w:themeColor="text1"/>
          <w:sz w:val="24"/>
          <w:szCs w:val="24"/>
          <w:lang w:val="en-GB"/>
        </w:rPr>
        <w:t xml:space="preserve">were </w:t>
      </w:r>
      <w:proofErr w:type="spellStart"/>
      <w:r w:rsidR="00E90ADF">
        <w:rPr>
          <w:rFonts w:cstheme="minorHAnsi"/>
          <w:color w:val="000000" w:themeColor="text1"/>
          <w:sz w:val="24"/>
          <w:szCs w:val="24"/>
          <w:lang w:val="en-GB"/>
        </w:rPr>
        <w:t>analyzed</w:t>
      </w:r>
      <w:proofErr w:type="spellEnd"/>
      <w:r w:rsidR="00E90ADF"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r w:rsidR="00E90ADF" w:rsidRPr="004B211F">
        <w:rPr>
          <w:rFonts w:cstheme="minorHAnsi"/>
          <w:color w:val="000000" w:themeColor="text1"/>
          <w:sz w:val="24"/>
          <w:szCs w:val="24"/>
          <w:lang w:val="en-GB"/>
        </w:rPr>
        <w:t xml:space="preserve">with </w:t>
      </w:r>
      <w:r w:rsidR="00E90ADF" w:rsidRPr="001C50D2">
        <w:rPr>
          <w:rFonts w:cstheme="minorHAnsi"/>
          <w:sz w:val="24"/>
          <w:szCs w:val="24"/>
          <w:lang w:val="en-GB"/>
        </w:rPr>
        <w:t>Bio-</w:t>
      </w:r>
      <w:proofErr w:type="spellStart"/>
      <w:r w:rsidR="00E90ADF" w:rsidRPr="001C50D2">
        <w:rPr>
          <w:rFonts w:cstheme="minorHAnsi"/>
          <w:sz w:val="24"/>
          <w:szCs w:val="24"/>
          <w:lang w:val="en-GB"/>
        </w:rPr>
        <w:t>Plex</w:t>
      </w:r>
      <w:proofErr w:type="spellEnd"/>
      <w:r w:rsidR="00E90ADF" w:rsidRPr="001C50D2">
        <w:rPr>
          <w:rFonts w:cstheme="minorHAnsi"/>
          <w:sz w:val="24"/>
          <w:szCs w:val="24"/>
          <w:lang w:val="en-GB"/>
        </w:rPr>
        <w:t xml:space="preserve"> Pro Human Cancer Biomarker Assay (Apo-2, PLGF, EGF), Bio-Plex Pro Human</w:t>
      </w:r>
      <w:r w:rsidR="00E90ADF" w:rsidRPr="00BC6009">
        <w:rPr>
          <w:rFonts w:cstheme="minorHAnsi"/>
          <w:sz w:val="24"/>
          <w:szCs w:val="24"/>
          <w:lang w:val="en-GB"/>
        </w:rPr>
        <w:t xml:space="preserve"> Cytokine, Chemokine and Growth Factor Assay</w:t>
      </w:r>
      <w:r w:rsidR="00E90ADF" w:rsidRPr="00BC6009" w:rsidDel="00B5415C">
        <w:rPr>
          <w:rFonts w:cstheme="minorHAnsi"/>
          <w:sz w:val="24"/>
          <w:szCs w:val="24"/>
          <w:lang w:val="en-GB"/>
        </w:rPr>
        <w:t xml:space="preserve"> </w:t>
      </w:r>
      <w:r w:rsidR="00E90ADF" w:rsidRPr="00BC6009">
        <w:rPr>
          <w:rFonts w:cstheme="minorHAnsi"/>
          <w:sz w:val="24"/>
          <w:szCs w:val="24"/>
          <w:lang w:val="en-GB"/>
        </w:rPr>
        <w:t>(HGF, VEGF, IL</w:t>
      </w:r>
      <w:r w:rsidR="00E90ADF">
        <w:rPr>
          <w:rFonts w:cstheme="minorHAnsi"/>
          <w:sz w:val="24"/>
          <w:szCs w:val="24"/>
          <w:lang w:val="en-GB"/>
        </w:rPr>
        <w:t>-</w:t>
      </w:r>
      <w:r w:rsidR="00E90ADF" w:rsidRPr="00BC6009">
        <w:rPr>
          <w:rFonts w:cstheme="minorHAnsi"/>
          <w:sz w:val="24"/>
          <w:szCs w:val="24"/>
          <w:lang w:val="en-GB"/>
        </w:rPr>
        <w:t>6, IL</w:t>
      </w:r>
      <w:r w:rsidR="00E90ADF">
        <w:rPr>
          <w:rFonts w:cstheme="minorHAnsi"/>
          <w:sz w:val="24"/>
          <w:szCs w:val="24"/>
          <w:lang w:val="en-GB"/>
        </w:rPr>
        <w:t>-</w:t>
      </w:r>
      <w:r w:rsidR="00E90ADF" w:rsidRPr="00BC6009">
        <w:rPr>
          <w:rFonts w:cstheme="minorHAnsi"/>
          <w:sz w:val="24"/>
          <w:szCs w:val="24"/>
          <w:lang w:val="en-GB"/>
        </w:rPr>
        <w:t>8), Bio-Plex Pro TGF-beta Assay</w:t>
      </w:r>
      <w:r w:rsidR="00E90ADF" w:rsidRPr="00BC6009" w:rsidDel="00B5415C">
        <w:rPr>
          <w:rFonts w:cstheme="minorHAnsi"/>
          <w:sz w:val="24"/>
          <w:szCs w:val="24"/>
          <w:lang w:val="en-GB"/>
        </w:rPr>
        <w:t xml:space="preserve"> </w:t>
      </w:r>
      <w:r w:rsidR="00E90ADF" w:rsidRPr="00BC6009">
        <w:rPr>
          <w:rFonts w:cstheme="minorHAnsi"/>
          <w:sz w:val="24"/>
          <w:szCs w:val="24"/>
          <w:lang w:val="en-GB"/>
        </w:rPr>
        <w:t>(TGF-b1) from Bio-Rad Laboratories, Munich, Germany</w:t>
      </w:r>
      <w:r w:rsidR="00E90ADF">
        <w:rPr>
          <w:rFonts w:cstheme="minorHAnsi"/>
          <w:sz w:val="24"/>
          <w:szCs w:val="24"/>
          <w:lang w:val="en-GB"/>
        </w:rPr>
        <w:t>,</w:t>
      </w:r>
      <w:r w:rsidR="00E90ADF" w:rsidRPr="00BC6009">
        <w:rPr>
          <w:rFonts w:cstheme="minorHAnsi"/>
          <w:sz w:val="24"/>
          <w:szCs w:val="24"/>
          <w:lang w:val="en-GB"/>
        </w:rPr>
        <w:t xml:space="preserve"> and </w:t>
      </w:r>
      <w:proofErr w:type="spellStart"/>
      <w:r w:rsidR="00E90ADF" w:rsidRPr="00BC6009">
        <w:rPr>
          <w:rFonts w:cstheme="minorHAnsi"/>
          <w:sz w:val="24"/>
          <w:szCs w:val="24"/>
          <w:lang w:val="en-GB"/>
        </w:rPr>
        <w:lastRenderedPageBreak/>
        <w:t>Milliplex</w:t>
      </w:r>
      <w:proofErr w:type="spellEnd"/>
      <w:r w:rsidR="00E90ADF" w:rsidRPr="00BC6009">
        <w:rPr>
          <w:rFonts w:cstheme="minorHAnsi"/>
          <w:sz w:val="24"/>
          <w:szCs w:val="24"/>
          <w:lang w:val="en-GB"/>
        </w:rPr>
        <w:t xml:space="preserve"> MAP Human Angiogenesis/Growth Factor Magnetic Bead Panel- Cancer Multiplex Assay (Apo-2, PLGF, EGF) from Merck Millipore, Darmstadt, Germany in accordance to the corresponding manual, respectively. </w:t>
      </w:r>
    </w:p>
    <w:p w14:paraId="49ABA6F5" w14:textId="77777777" w:rsidR="008D0FA6" w:rsidRDefault="008D0FA6" w:rsidP="008D0FA6">
      <w:pPr>
        <w:pStyle w:val="NoSpacing"/>
        <w:spacing w:line="360" w:lineRule="auto"/>
        <w:jc w:val="both"/>
        <w:rPr>
          <w:rFonts w:cstheme="minorHAnsi"/>
          <w:sz w:val="24"/>
          <w:szCs w:val="24"/>
          <w:lang w:val="en-GB"/>
        </w:rPr>
      </w:pPr>
    </w:p>
    <w:p w14:paraId="5930D28E" w14:textId="77777777" w:rsidR="00BB19F2" w:rsidRDefault="00BB19F2" w:rsidP="00BB19F2">
      <w:pPr>
        <w:pStyle w:val="NoSpacing"/>
        <w:spacing w:line="360" w:lineRule="auto"/>
        <w:jc w:val="both"/>
        <w:rPr>
          <w:rFonts w:cstheme="minorHAnsi"/>
          <w:bCs/>
          <w:lang w:val="en-GB"/>
        </w:rPr>
      </w:pPr>
    </w:p>
    <w:p w14:paraId="410A6B5A" w14:textId="77777777" w:rsidR="00BB19F2" w:rsidRPr="00BB19F2" w:rsidRDefault="00BB19F2" w:rsidP="00BB19F2">
      <w:pPr>
        <w:pStyle w:val="NoSpacing"/>
        <w:spacing w:line="360" w:lineRule="auto"/>
        <w:jc w:val="both"/>
        <w:rPr>
          <w:rFonts w:cstheme="minorHAnsi"/>
          <w:bCs/>
          <w:i/>
          <w:sz w:val="24"/>
          <w:szCs w:val="24"/>
          <w:lang w:val="en-GB"/>
        </w:rPr>
      </w:pPr>
      <w:r w:rsidRPr="00BB19F2">
        <w:rPr>
          <w:rFonts w:cstheme="minorHAnsi"/>
          <w:bCs/>
          <w:i/>
          <w:sz w:val="24"/>
          <w:szCs w:val="24"/>
          <w:lang w:val="en-GB"/>
        </w:rPr>
        <w:t>Data processing</w:t>
      </w:r>
    </w:p>
    <w:p w14:paraId="47C52666" w14:textId="63793651" w:rsidR="00BB19F2" w:rsidRDefault="00BB19F2" w:rsidP="00BB19F2">
      <w:pPr>
        <w:pStyle w:val="NoSpacing"/>
        <w:spacing w:line="360" w:lineRule="auto"/>
        <w:jc w:val="both"/>
        <w:rPr>
          <w:rFonts w:cstheme="minorHAnsi"/>
          <w:bCs/>
          <w:sz w:val="24"/>
          <w:szCs w:val="24"/>
          <w:lang w:val="en-GB"/>
        </w:rPr>
      </w:pPr>
      <w:r w:rsidRPr="001C50D2">
        <w:rPr>
          <w:rFonts w:cstheme="minorHAnsi"/>
          <w:bCs/>
          <w:sz w:val="24"/>
          <w:szCs w:val="24"/>
          <w:lang w:val="en-GB"/>
        </w:rPr>
        <w:t xml:space="preserve">For </w:t>
      </w:r>
      <w:proofErr w:type="spellStart"/>
      <w:r w:rsidRPr="00A646DA">
        <w:rPr>
          <w:rFonts w:cstheme="minorHAnsi"/>
          <w:sz w:val="24"/>
          <w:szCs w:val="24"/>
          <w:lang w:val="en-GB"/>
        </w:rPr>
        <w:t>modeling</w:t>
      </w:r>
      <w:proofErr w:type="spellEnd"/>
      <w:r w:rsidRPr="001C50D2">
        <w:rPr>
          <w:rFonts w:cstheme="minorHAnsi"/>
          <w:bCs/>
          <w:sz w:val="24"/>
          <w:szCs w:val="24"/>
          <w:lang w:val="en-GB"/>
        </w:rPr>
        <w:t>, the data was further processed</w:t>
      </w:r>
      <w:r w:rsidRPr="004B6330">
        <w:rPr>
          <w:rFonts w:cstheme="minorHAnsi"/>
          <w:bCs/>
          <w:sz w:val="24"/>
          <w:szCs w:val="24"/>
          <w:lang w:val="en-GB"/>
        </w:rPr>
        <w:t xml:space="preserve">: </w:t>
      </w:r>
      <w:r>
        <w:rPr>
          <w:rFonts w:cstheme="minorHAnsi"/>
          <w:bCs/>
          <w:sz w:val="24"/>
          <w:szCs w:val="24"/>
          <w:lang w:val="en-GB"/>
        </w:rPr>
        <w:t>All i</w:t>
      </w:r>
      <w:r w:rsidRPr="004B6330">
        <w:rPr>
          <w:rFonts w:cstheme="minorHAnsi"/>
          <w:bCs/>
          <w:sz w:val="24"/>
          <w:szCs w:val="24"/>
          <w:lang w:val="en-GB"/>
        </w:rPr>
        <w:t xml:space="preserve">ncomplete clinical attributes were excluded from the </w:t>
      </w:r>
      <w:proofErr w:type="spellStart"/>
      <w:r w:rsidRPr="00A646DA">
        <w:rPr>
          <w:rFonts w:cstheme="minorHAnsi"/>
          <w:sz w:val="24"/>
          <w:szCs w:val="24"/>
          <w:lang w:val="en-GB"/>
        </w:rPr>
        <w:t>modeling</w:t>
      </w:r>
      <w:proofErr w:type="spellEnd"/>
      <w:r>
        <w:rPr>
          <w:rFonts w:cstheme="minorHAnsi"/>
          <w:bCs/>
          <w:sz w:val="24"/>
          <w:szCs w:val="24"/>
          <w:lang w:val="en-GB"/>
        </w:rPr>
        <w:t xml:space="preserve"> </w:t>
      </w:r>
      <w:r w:rsidRPr="004B6330">
        <w:rPr>
          <w:rFonts w:cstheme="minorHAnsi"/>
          <w:bCs/>
          <w:sz w:val="24"/>
          <w:szCs w:val="24"/>
          <w:lang w:val="en-GB"/>
        </w:rPr>
        <w:t xml:space="preserve">approaches </w:t>
      </w:r>
      <w:r w:rsidRPr="00076500">
        <w:rPr>
          <w:rFonts w:cstheme="minorHAnsi"/>
          <w:bCs/>
          <w:sz w:val="24"/>
          <w:szCs w:val="24"/>
          <w:lang w:val="en-GB"/>
        </w:rPr>
        <w:t>(</w:t>
      </w:r>
      <w:r w:rsidR="00AB6483">
        <w:rPr>
          <w:rFonts w:cstheme="minorHAnsi"/>
          <w:bCs/>
          <w:sz w:val="24"/>
          <w:szCs w:val="24"/>
          <w:lang w:val="en-GB"/>
        </w:rPr>
        <w:t xml:space="preserve">the </w:t>
      </w:r>
      <w:r w:rsidRPr="00076500">
        <w:rPr>
          <w:rFonts w:cstheme="minorHAnsi"/>
          <w:bCs/>
          <w:sz w:val="24"/>
          <w:szCs w:val="24"/>
          <w:lang w:val="en-GB"/>
        </w:rPr>
        <w:t>only</w:t>
      </w:r>
      <w:r w:rsidRPr="004B211F">
        <w:rPr>
          <w:rFonts w:cstheme="minorHAnsi"/>
          <w:bCs/>
          <w:sz w:val="24"/>
          <w:szCs w:val="24"/>
          <w:lang w:val="en-GB"/>
        </w:rPr>
        <w:t xml:space="preserve"> clinical attribute with missing data was</w:t>
      </w:r>
      <w:r w:rsidRPr="00076500">
        <w:rPr>
          <w:rFonts w:cstheme="minorHAnsi"/>
          <w:bCs/>
          <w:sz w:val="24"/>
          <w:szCs w:val="24"/>
          <w:lang w:val="en-GB"/>
        </w:rPr>
        <w:t xml:space="preserve"> </w:t>
      </w:r>
      <w:r w:rsidRPr="004B211F">
        <w:rPr>
          <w:rFonts w:cstheme="minorHAnsi"/>
          <w:bCs/>
          <w:sz w:val="24"/>
          <w:szCs w:val="24"/>
          <w:lang w:val="en-GB"/>
        </w:rPr>
        <w:t>s</w:t>
      </w:r>
      <w:r w:rsidRPr="00076500">
        <w:rPr>
          <w:rFonts w:cstheme="minorHAnsi"/>
          <w:bCs/>
          <w:sz w:val="24"/>
          <w:szCs w:val="24"/>
          <w:lang w:val="en-GB"/>
        </w:rPr>
        <w:t>teatohepatitis).</w:t>
      </w:r>
      <w:r w:rsidRPr="004B6330">
        <w:rPr>
          <w:rFonts w:cstheme="minorHAnsi"/>
          <w:bCs/>
          <w:sz w:val="24"/>
          <w:szCs w:val="24"/>
          <w:lang w:val="en-GB"/>
        </w:rPr>
        <w:t xml:space="preserve"> Whenever standard blood markers were </w:t>
      </w:r>
      <w:r w:rsidRPr="001C50D2">
        <w:rPr>
          <w:rFonts w:cstheme="minorHAnsi"/>
          <w:bCs/>
          <w:sz w:val="24"/>
          <w:szCs w:val="24"/>
          <w:lang w:val="en-GB"/>
        </w:rPr>
        <w:t xml:space="preserve">included in </w:t>
      </w:r>
      <w:proofErr w:type="spellStart"/>
      <w:r w:rsidRPr="00A646DA">
        <w:rPr>
          <w:rFonts w:cstheme="minorHAnsi"/>
          <w:sz w:val="24"/>
          <w:szCs w:val="24"/>
          <w:lang w:val="en-GB"/>
        </w:rPr>
        <w:t>modeling</w:t>
      </w:r>
      <w:proofErr w:type="spellEnd"/>
      <w:r w:rsidRPr="001C50D2">
        <w:rPr>
          <w:rFonts w:cstheme="minorHAnsi"/>
          <w:bCs/>
          <w:sz w:val="24"/>
          <w:szCs w:val="24"/>
          <w:lang w:val="en-GB"/>
        </w:rPr>
        <w:t>, one patient and one standard blood marker (albumin) were excluded because of too many missing measurements (8 for the patient and 30% for albumin). For the remaining patients and markers, missing standard blood measurements (only 1-2% missingness) were</w:t>
      </w:r>
      <w:r w:rsidRPr="004B6330">
        <w:rPr>
          <w:rFonts w:cstheme="minorHAnsi"/>
          <w:bCs/>
          <w:sz w:val="24"/>
          <w:szCs w:val="24"/>
          <w:lang w:val="en-GB"/>
        </w:rPr>
        <w:t xml:space="preserve"> imputed with mean </w:t>
      </w:r>
      <w:r>
        <w:rPr>
          <w:rFonts w:cstheme="minorHAnsi"/>
          <w:bCs/>
          <w:sz w:val="24"/>
          <w:szCs w:val="24"/>
          <w:lang w:val="en-GB"/>
        </w:rPr>
        <w:t>values</w:t>
      </w:r>
      <w:r w:rsidRPr="004B6330">
        <w:rPr>
          <w:rFonts w:cstheme="minorHAnsi"/>
          <w:bCs/>
          <w:sz w:val="24"/>
          <w:szCs w:val="24"/>
          <w:lang w:val="en-GB"/>
        </w:rPr>
        <w:t xml:space="preserve">. </w:t>
      </w:r>
    </w:p>
    <w:p w14:paraId="715EF490" w14:textId="1B1F8778" w:rsidR="00BB19F2" w:rsidRPr="004B6330" w:rsidRDefault="00BB19F2" w:rsidP="00BB19F2">
      <w:pPr>
        <w:pStyle w:val="NoSpacing"/>
        <w:spacing w:line="360" w:lineRule="auto"/>
        <w:jc w:val="both"/>
        <w:rPr>
          <w:rFonts w:cstheme="minorHAnsi"/>
          <w:bCs/>
          <w:sz w:val="24"/>
          <w:szCs w:val="24"/>
          <w:lang w:val="en-GB"/>
        </w:rPr>
      </w:pPr>
      <w:r>
        <w:rPr>
          <w:rFonts w:cstheme="minorHAnsi"/>
          <w:bCs/>
          <w:sz w:val="24"/>
          <w:szCs w:val="24"/>
          <w:lang w:val="en-GB"/>
        </w:rPr>
        <w:t xml:space="preserve">Plasma protein data was processed as follows: </w:t>
      </w:r>
      <w:r w:rsidRPr="004B6330">
        <w:rPr>
          <w:rFonts w:cstheme="minorHAnsi"/>
          <w:bCs/>
          <w:sz w:val="24"/>
          <w:szCs w:val="24"/>
          <w:lang w:val="en-GB"/>
        </w:rPr>
        <w:t xml:space="preserve">We chose to binarize </w:t>
      </w:r>
      <w:r>
        <w:rPr>
          <w:rFonts w:cstheme="minorHAnsi"/>
          <w:bCs/>
          <w:sz w:val="24"/>
          <w:szCs w:val="24"/>
          <w:lang w:val="en-GB"/>
        </w:rPr>
        <w:t>plasma</w:t>
      </w:r>
      <w:r w:rsidRPr="004B6330">
        <w:rPr>
          <w:rFonts w:cstheme="minorHAnsi"/>
          <w:bCs/>
          <w:sz w:val="24"/>
          <w:szCs w:val="24"/>
          <w:lang w:val="en-GB"/>
        </w:rPr>
        <w:t xml:space="preserve"> proteins with more than 50% of values beyond detection limit (</w:t>
      </w:r>
      <w:r w:rsidR="00AB6483">
        <w:rPr>
          <w:rFonts w:cstheme="minorHAnsi"/>
          <w:bCs/>
          <w:sz w:val="24"/>
          <w:szCs w:val="24"/>
          <w:lang w:val="en-GB"/>
        </w:rPr>
        <w:t xml:space="preserve">only true for </w:t>
      </w:r>
      <w:r w:rsidRPr="004B6330">
        <w:rPr>
          <w:rFonts w:cstheme="minorHAnsi"/>
          <w:bCs/>
          <w:sz w:val="24"/>
          <w:szCs w:val="24"/>
          <w:lang w:val="en-GB"/>
        </w:rPr>
        <w:t>VEGF)</w:t>
      </w:r>
      <w:r>
        <w:rPr>
          <w:rFonts w:cstheme="minorHAnsi"/>
          <w:bCs/>
          <w:sz w:val="24"/>
          <w:szCs w:val="24"/>
          <w:lang w:val="en-GB"/>
        </w:rPr>
        <w:t xml:space="preserve"> into detected yes/no</w:t>
      </w:r>
      <w:r w:rsidRPr="004B6330">
        <w:rPr>
          <w:rFonts w:cstheme="minorHAnsi"/>
          <w:bCs/>
          <w:sz w:val="24"/>
          <w:szCs w:val="24"/>
          <w:lang w:val="en-GB"/>
        </w:rPr>
        <w:t>. For the remaining</w:t>
      </w:r>
      <w:r>
        <w:rPr>
          <w:rFonts w:cstheme="minorHAnsi"/>
          <w:bCs/>
          <w:sz w:val="24"/>
          <w:szCs w:val="24"/>
          <w:lang w:val="en-GB"/>
        </w:rPr>
        <w:t xml:space="preserve"> seven</w:t>
      </w:r>
      <w:r w:rsidRPr="004B6330">
        <w:rPr>
          <w:rFonts w:cstheme="minorHAnsi"/>
          <w:bCs/>
          <w:sz w:val="24"/>
          <w:szCs w:val="24"/>
          <w:lang w:val="en-GB"/>
        </w:rPr>
        <w:t xml:space="preserve"> proteins, we first imputed missing values with</w:t>
      </w:r>
      <w:r>
        <w:rPr>
          <w:rFonts w:cstheme="minorHAnsi"/>
          <w:bCs/>
          <w:sz w:val="24"/>
          <w:szCs w:val="24"/>
          <w:lang w:val="en-GB"/>
        </w:rPr>
        <w:t xml:space="preserve"> the </w:t>
      </w:r>
      <w:r w:rsidRPr="00A7512C">
        <w:rPr>
          <w:rFonts w:cstheme="minorHAnsi"/>
          <w:bCs/>
          <w:sz w:val="24"/>
          <w:szCs w:val="24"/>
          <w:lang w:val="en-GB"/>
        </w:rPr>
        <w:t xml:space="preserve">Gibbs sampler based imputation </w:t>
      </w:r>
      <w:r>
        <w:rPr>
          <w:rFonts w:cstheme="minorHAnsi"/>
          <w:bCs/>
          <w:sz w:val="24"/>
          <w:szCs w:val="24"/>
          <w:lang w:val="en-GB"/>
        </w:rPr>
        <w:t>method</w:t>
      </w:r>
      <w:r w:rsidRPr="00A7512C">
        <w:rPr>
          <w:rFonts w:cstheme="minorHAnsi"/>
          <w:bCs/>
          <w:sz w:val="24"/>
          <w:szCs w:val="24"/>
          <w:lang w:val="en-GB"/>
        </w:rPr>
        <w:t xml:space="preserve"> </w:t>
      </w:r>
      <w:r>
        <w:rPr>
          <w:rFonts w:cstheme="minorHAnsi"/>
          <w:bCs/>
          <w:sz w:val="24"/>
          <w:szCs w:val="24"/>
          <w:lang w:val="en-GB"/>
        </w:rPr>
        <w:t>“</w:t>
      </w:r>
      <w:proofErr w:type="spellStart"/>
      <w:r w:rsidRPr="004B6330">
        <w:rPr>
          <w:rFonts w:cstheme="minorHAnsi"/>
          <w:bCs/>
          <w:sz w:val="24"/>
          <w:szCs w:val="24"/>
          <w:lang w:val="en-GB"/>
        </w:rPr>
        <w:t>GSimp</w:t>
      </w:r>
      <w:proofErr w:type="spellEnd"/>
      <w:r>
        <w:rPr>
          <w:rFonts w:cstheme="minorHAnsi"/>
          <w:bCs/>
          <w:sz w:val="24"/>
          <w:szCs w:val="24"/>
          <w:lang w:val="en-GB"/>
        </w:rPr>
        <w:t>” a</w:t>
      </w:r>
      <w:r w:rsidRPr="004B6330">
        <w:rPr>
          <w:rFonts w:cstheme="minorHAnsi"/>
          <w:bCs/>
          <w:sz w:val="24"/>
          <w:szCs w:val="24"/>
          <w:lang w:val="en-GB"/>
        </w:rPr>
        <w:t>nd then log10-transformed them</w:t>
      </w:r>
      <w:r w:rsidR="003E6449">
        <w:rPr>
          <w:rFonts w:cstheme="minorHAnsi"/>
          <w:bCs/>
          <w:sz w:val="24"/>
          <w:szCs w:val="24"/>
          <w:lang w:val="en-GB"/>
        </w:rPr>
        <w:t xml:space="preserve"> </w:t>
      </w:r>
      <w:r w:rsidR="003E6449">
        <w:rPr>
          <w:rFonts w:cstheme="minorHAnsi"/>
          <w:bCs/>
          <w:sz w:val="24"/>
          <w:szCs w:val="24"/>
        </w:rPr>
        <w:t>[1]</w:t>
      </w:r>
      <w:r w:rsidRPr="004B6330">
        <w:rPr>
          <w:rFonts w:cstheme="minorHAnsi"/>
          <w:bCs/>
          <w:sz w:val="24"/>
          <w:szCs w:val="24"/>
          <w:lang w:val="en-GB"/>
        </w:rPr>
        <w:t xml:space="preserve">. Next, we corrected the effect of the three batches in </w:t>
      </w:r>
      <w:r>
        <w:rPr>
          <w:rFonts w:cstheme="minorHAnsi"/>
          <w:bCs/>
          <w:sz w:val="24"/>
          <w:szCs w:val="24"/>
          <w:lang w:val="en-GB"/>
        </w:rPr>
        <w:t>plasma</w:t>
      </w:r>
      <w:r w:rsidRPr="004B6330">
        <w:rPr>
          <w:rFonts w:cstheme="minorHAnsi"/>
          <w:bCs/>
          <w:sz w:val="24"/>
          <w:szCs w:val="24"/>
          <w:lang w:val="en-GB"/>
        </w:rPr>
        <w:t xml:space="preserve"> protein data </w:t>
      </w:r>
      <w:r>
        <w:rPr>
          <w:rFonts w:cstheme="minorHAnsi"/>
          <w:bCs/>
          <w:sz w:val="24"/>
          <w:szCs w:val="24"/>
          <w:lang w:val="en-GB"/>
        </w:rPr>
        <w:t xml:space="preserve">of the training cohort </w:t>
      </w:r>
      <w:r w:rsidRPr="004B6330">
        <w:rPr>
          <w:rFonts w:cstheme="minorHAnsi"/>
          <w:bCs/>
          <w:sz w:val="24"/>
          <w:szCs w:val="24"/>
          <w:lang w:val="en-GB"/>
        </w:rPr>
        <w:t>using</w:t>
      </w:r>
      <w:r>
        <w:rPr>
          <w:rFonts w:cstheme="minorHAnsi"/>
          <w:bCs/>
          <w:sz w:val="24"/>
          <w:szCs w:val="24"/>
          <w:lang w:val="en-GB"/>
        </w:rPr>
        <w:t xml:space="preserve"> the method</w:t>
      </w:r>
      <w:r w:rsidRPr="004B6330">
        <w:rPr>
          <w:rFonts w:cstheme="minorHAnsi"/>
          <w:bCs/>
          <w:sz w:val="24"/>
          <w:szCs w:val="24"/>
          <w:lang w:val="en-GB"/>
        </w:rPr>
        <w:t xml:space="preserve"> </w:t>
      </w:r>
      <w:r>
        <w:rPr>
          <w:rFonts w:cstheme="minorHAnsi"/>
          <w:bCs/>
          <w:sz w:val="24"/>
          <w:szCs w:val="24"/>
          <w:lang w:val="en-GB"/>
        </w:rPr>
        <w:t>“</w:t>
      </w:r>
      <w:proofErr w:type="spellStart"/>
      <w:r w:rsidRPr="004B6330">
        <w:rPr>
          <w:rFonts w:cstheme="minorHAnsi"/>
          <w:bCs/>
          <w:sz w:val="24"/>
          <w:szCs w:val="24"/>
          <w:lang w:val="en-GB"/>
        </w:rPr>
        <w:t>ComBat</w:t>
      </w:r>
      <w:proofErr w:type="spellEnd"/>
      <w:r>
        <w:rPr>
          <w:rFonts w:cstheme="minorHAnsi"/>
          <w:bCs/>
          <w:sz w:val="24"/>
          <w:szCs w:val="24"/>
          <w:lang w:val="en-GB"/>
        </w:rPr>
        <w:t>” which uses an empirical Bayes framework</w:t>
      </w:r>
      <w:r w:rsidR="009C25D7">
        <w:rPr>
          <w:rFonts w:cstheme="minorHAnsi"/>
          <w:bCs/>
          <w:sz w:val="24"/>
          <w:szCs w:val="24"/>
          <w:lang w:val="en-GB"/>
        </w:rPr>
        <w:t xml:space="preserve"> [2]</w:t>
      </w:r>
      <w:r w:rsidRPr="004B6330">
        <w:rPr>
          <w:rFonts w:cstheme="minorHAnsi"/>
          <w:bCs/>
          <w:sz w:val="24"/>
          <w:szCs w:val="24"/>
          <w:lang w:val="en-GB"/>
        </w:rPr>
        <w:t xml:space="preserve"> We inspected the batch</w:t>
      </w:r>
      <w:r>
        <w:rPr>
          <w:rFonts w:cstheme="minorHAnsi"/>
          <w:bCs/>
          <w:sz w:val="24"/>
          <w:szCs w:val="24"/>
          <w:lang w:val="en-GB"/>
        </w:rPr>
        <w:t>,</w:t>
      </w:r>
      <w:r w:rsidRPr="004B6330">
        <w:rPr>
          <w:rFonts w:cstheme="minorHAnsi"/>
          <w:bCs/>
          <w:sz w:val="24"/>
          <w:szCs w:val="24"/>
          <w:lang w:val="en-GB"/>
        </w:rPr>
        <w:t xml:space="preserve"> corrected and imputed data with factor analysis for mixed data. </w:t>
      </w:r>
    </w:p>
    <w:p w14:paraId="62D92C86" w14:textId="77777777" w:rsidR="008D0FA6" w:rsidRPr="00BC6009" w:rsidRDefault="008D0FA6" w:rsidP="008D0FA6">
      <w:pPr>
        <w:pStyle w:val="NoSpacing"/>
        <w:spacing w:line="360" w:lineRule="auto"/>
        <w:jc w:val="both"/>
        <w:rPr>
          <w:rFonts w:cstheme="minorHAnsi"/>
          <w:sz w:val="24"/>
          <w:szCs w:val="24"/>
          <w:lang w:val="en-GB"/>
        </w:rPr>
      </w:pPr>
    </w:p>
    <w:p w14:paraId="408E0664" w14:textId="77777777" w:rsidR="008D0FA6" w:rsidRPr="00BB19F2" w:rsidRDefault="008D0FA6" w:rsidP="00C70958">
      <w:pPr>
        <w:spacing w:line="276" w:lineRule="auto"/>
        <w:jc w:val="both"/>
        <w:rPr>
          <w:rFonts w:asciiTheme="minorHAnsi" w:hAnsiTheme="minorHAnsi" w:cstheme="minorHAnsi"/>
          <w:b/>
          <w:bCs/>
          <w:lang w:val="en-GB"/>
        </w:rPr>
      </w:pPr>
      <w:r w:rsidRPr="00BB19F2">
        <w:rPr>
          <w:rFonts w:asciiTheme="minorHAnsi" w:hAnsiTheme="minorHAnsi" w:cstheme="minorHAnsi"/>
          <w:b/>
          <w:bCs/>
          <w:lang w:val="en-GB"/>
        </w:rPr>
        <w:t>Results</w:t>
      </w:r>
    </w:p>
    <w:p w14:paraId="239811E2" w14:textId="77777777" w:rsidR="00C70958" w:rsidRDefault="00C70958" w:rsidP="00C70958">
      <w:pPr>
        <w:spacing w:line="276" w:lineRule="auto"/>
        <w:jc w:val="both"/>
        <w:rPr>
          <w:rFonts w:asciiTheme="minorHAnsi" w:hAnsiTheme="minorHAnsi" w:cstheme="minorHAnsi"/>
          <w:b/>
          <w:bCs/>
          <w:lang w:val="en-GB"/>
        </w:rPr>
      </w:pPr>
    </w:p>
    <w:p w14:paraId="1BF2BFA1" w14:textId="77777777" w:rsidR="00BB19F2" w:rsidRDefault="00C70958" w:rsidP="00C70958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  <w:r w:rsidRPr="00BB19F2">
        <w:rPr>
          <w:rFonts w:asciiTheme="minorHAnsi" w:hAnsiTheme="minorHAnsi" w:cstheme="minorHAnsi"/>
          <w:i/>
          <w:lang w:val="en-GB"/>
        </w:rPr>
        <w:t>Table A1.</w:t>
      </w:r>
      <w:r w:rsidRPr="00843CC4">
        <w:rPr>
          <w:rFonts w:asciiTheme="minorHAnsi" w:hAnsiTheme="minorHAnsi" w:cstheme="minorHAnsi"/>
          <w:lang w:val="en-GB"/>
        </w:rPr>
        <w:t xml:space="preserve"> </w:t>
      </w:r>
    </w:p>
    <w:p w14:paraId="4AAE43A0" w14:textId="3CCAFAA9" w:rsidR="00C70958" w:rsidRPr="000424EF" w:rsidRDefault="00AB6483" w:rsidP="00C70958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List </w:t>
      </w:r>
      <w:r w:rsidR="00C70958">
        <w:rPr>
          <w:rFonts w:asciiTheme="minorHAnsi" w:hAnsiTheme="minorHAnsi" w:cstheme="minorHAnsi"/>
          <w:lang w:val="en-GB"/>
        </w:rPr>
        <w:t>of the association</w:t>
      </w:r>
      <w:r>
        <w:rPr>
          <w:rFonts w:asciiTheme="minorHAnsi" w:hAnsiTheme="minorHAnsi" w:cstheme="minorHAnsi"/>
          <w:lang w:val="en-GB"/>
        </w:rPr>
        <w:t>s</w:t>
      </w:r>
      <w:r w:rsidR="00C70958">
        <w:rPr>
          <w:rFonts w:asciiTheme="minorHAnsi" w:hAnsiTheme="minorHAnsi" w:cstheme="minorHAnsi"/>
          <w:lang w:val="en-GB"/>
        </w:rPr>
        <w:t xml:space="preserve"> of clinical factors with outcome-parameter</w:t>
      </w:r>
      <w:r>
        <w:rPr>
          <w:rFonts w:asciiTheme="minorHAnsi" w:hAnsiTheme="minorHAnsi" w:cstheme="minorHAnsi"/>
          <w:lang w:val="en-GB"/>
        </w:rPr>
        <w:t>s</w:t>
      </w:r>
      <w:r w:rsidR="00C70958">
        <w:rPr>
          <w:rFonts w:asciiTheme="minorHAnsi" w:hAnsiTheme="minorHAnsi" w:cstheme="minorHAnsi"/>
          <w:lang w:val="en-GB"/>
        </w:rPr>
        <w:t xml:space="preserve"> with unadjusted p-value below 5%.</w:t>
      </w:r>
    </w:p>
    <w:p w14:paraId="1A653D8D" w14:textId="77777777" w:rsidR="00C70958" w:rsidRDefault="00C70958" w:rsidP="00C70958">
      <w:pPr>
        <w:spacing w:line="276" w:lineRule="auto"/>
        <w:jc w:val="both"/>
        <w:rPr>
          <w:rFonts w:asciiTheme="minorHAnsi" w:hAnsiTheme="minorHAnsi" w:cstheme="minorHAnsi"/>
          <w:b/>
          <w:bCs/>
          <w:lang w:val="en-GB"/>
        </w:rPr>
      </w:pPr>
    </w:p>
    <w:tbl>
      <w:tblPr>
        <w:tblW w:w="75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660"/>
        <w:gridCol w:w="1660"/>
        <w:gridCol w:w="1120"/>
        <w:gridCol w:w="1413"/>
      </w:tblGrid>
      <w:tr w:rsidR="00C70958" w:rsidRPr="00E66324" w14:paraId="550A10AC" w14:textId="77777777" w:rsidTr="00C80FE4">
        <w:trPr>
          <w:trHeight w:val="288"/>
        </w:trPr>
        <w:tc>
          <w:tcPr>
            <w:tcW w:w="16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6F755" w14:textId="77777777" w:rsidR="00C70958" w:rsidRPr="004B211F" w:rsidRDefault="00C70958" w:rsidP="00C80FE4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Outcome</w:t>
            </w:r>
          </w:p>
        </w:tc>
        <w:tc>
          <w:tcPr>
            <w:tcW w:w="16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B38B0" w14:textId="77777777" w:rsidR="00C70958" w:rsidRPr="004B211F" w:rsidRDefault="00C70958" w:rsidP="00C80FE4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Clinical variable</w:t>
            </w:r>
          </w:p>
        </w:tc>
        <w:tc>
          <w:tcPr>
            <w:tcW w:w="16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ABCB7" w14:textId="77777777" w:rsidR="00C70958" w:rsidRPr="004B211F" w:rsidRDefault="00C70958" w:rsidP="00C80FE4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Statistical test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666DC" w14:textId="77777777" w:rsidR="00C70958" w:rsidRPr="004B211F" w:rsidRDefault="00C70958" w:rsidP="00C80FE4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p-value</w:t>
            </w:r>
          </w:p>
        </w:tc>
        <w:tc>
          <w:tcPr>
            <w:tcW w:w="14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4F079" w14:textId="77777777" w:rsidR="00C70958" w:rsidRPr="004B211F" w:rsidRDefault="00C70958" w:rsidP="00C80FE4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FDR adj. p-value</w:t>
            </w:r>
          </w:p>
        </w:tc>
      </w:tr>
      <w:tr w:rsidR="00C70958" w:rsidRPr="00E66324" w14:paraId="065D6734" w14:textId="77777777" w:rsidTr="00C80FE4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7198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Mortality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CFA0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total Bilirubin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0D41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kruskal.test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788A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0.0033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1EC6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0.084</w:t>
            </w:r>
          </w:p>
        </w:tc>
      </w:tr>
      <w:tr w:rsidR="00C70958" w:rsidRPr="00E66324" w14:paraId="57E9D510" w14:textId="77777777" w:rsidTr="00C80FE4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CDE20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Mortality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6038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ALT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2214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kruskal.test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3C06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7517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0.19</w:t>
            </w:r>
          </w:p>
        </w:tc>
      </w:tr>
      <w:tr w:rsidR="00C70958" w:rsidRPr="00E66324" w14:paraId="26DD8259" w14:textId="77777777" w:rsidTr="00C80FE4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F9B42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Mortality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01A7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GGT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32DF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kruskal.test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4844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0.037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1578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0.27</w:t>
            </w:r>
          </w:p>
        </w:tc>
      </w:tr>
      <w:tr w:rsidR="00C70958" w:rsidRPr="00E66324" w14:paraId="5541E163" w14:textId="77777777" w:rsidTr="00C80FE4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E5D70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PHLF_num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41A4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ALT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1401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cor.test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6BFE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0.008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AC0B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0.13</w:t>
            </w:r>
          </w:p>
        </w:tc>
      </w:tr>
      <w:tr w:rsidR="00C70958" w:rsidRPr="00E66324" w14:paraId="32878BBE" w14:textId="77777777" w:rsidTr="00C80FE4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6B91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PHLF_num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7EAF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AST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AD5B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cor.test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553B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0.011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6265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0.15</w:t>
            </w:r>
          </w:p>
        </w:tc>
      </w:tr>
      <w:tr w:rsidR="00C70958" w:rsidRPr="00E66324" w14:paraId="1E5B254A" w14:textId="77777777" w:rsidTr="00C80FE4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C3B4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PHLF_num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89567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total Bilirubin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4F0F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cor.test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DC699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8E62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0.18</w:t>
            </w:r>
          </w:p>
        </w:tc>
      </w:tr>
      <w:tr w:rsidR="00C70958" w:rsidRPr="00E66324" w14:paraId="0E4C7655" w14:textId="77777777" w:rsidTr="00C80FE4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39A3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PHLF_num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ED12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GGT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909F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cor.test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0FBB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56F53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0.29</w:t>
            </w:r>
          </w:p>
        </w:tc>
      </w:tr>
      <w:tr w:rsidR="00C70958" w:rsidRPr="00E66324" w14:paraId="14281DAD" w14:textId="77777777" w:rsidTr="00C80FE4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50AF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PHLF_cat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FDB9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ALT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8C3C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kruskal.test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8E2B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0068D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0.18</w:t>
            </w:r>
          </w:p>
        </w:tc>
      </w:tr>
      <w:tr w:rsidR="00C70958" w:rsidRPr="00E66324" w14:paraId="4619F37B" w14:textId="77777777" w:rsidTr="00C80FE4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3024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PHLF_cat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BB0E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AST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EA18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kruskal.test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64AB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FF0B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0.18</w:t>
            </w:r>
          </w:p>
        </w:tc>
      </w:tr>
      <w:tr w:rsidR="00C70958" w:rsidRPr="00E66324" w14:paraId="035B4565" w14:textId="77777777" w:rsidTr="00C80FE4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8F26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lastRenderedPageBreak/>
              <w:t>PHLF_cat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68577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total Bilirubin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E5FF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kruskal.test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63137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F30F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0.19</w:t>
            </w:r>
          </w:p>
        </w:tc>
      </w:tr>
      <w:tr w:rsidR="00C70958" w:rsidRPr="00E66324" w14:paraId="22541819" w14:textId="77777777" w:rsidTr="00C80FE4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D6FB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PHLF_cat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14A3B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GGT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7440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kruskal.test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DABA4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9E1A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0.27</w:t>
            </w:r>
          </w:p>
        </w:tc>
      </w:tr>
      <w:tr w:rsidR="00C70958" w:rsidRPr="00E66324" w14:paraId="50FEE130" w14:textId="77777777" w:rsidTr="00C80FE4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D49F5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Clavien Dindo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EB6F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AST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DA57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cor.test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0D5B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160F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0.28</w:t>
            </w:r>
          </w:p>
        </w:tc>
      </w:tr>
      <w:tr w:rsidR="00C70958" w:rsidRPr="00E66324" w14:paraId="48947EF4" w14:textId="77777777" w:rsidTr="00C80FE4">
        <w:trPr>
          <w:trHeight w:val="300"/>
        </w:trPr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E0ED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Clavien Dindo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D2EB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GGT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4DA7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cor.test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AFB3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14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22A11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0.18</w:t>
            </w:r>
          </w:p>
        </w:tc>
      </w:tr>
      <w:tr w:rsidR="00C70958" w:rsidRPr="00E66324" w14:paraId="0C836A62" w14:textId="77777777" w:rsidTr="00C80FE4">
        <w:trPr>
          <w:trHeight w:val="300"/>
        </w:trPr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73A00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Clavien Dindo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BFEE" w14:textId="73BE909E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ASA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F491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kruskal.test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E0FC1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14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37FA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0.18</w:t>
            </w:r>
          </w:p>
        </w:tc>
      </w:tr>
    </w:tbl>
    <w:p w14:paraId="2894EF1F" w14:textId="77777777" w:rsidR="00C70958" w:rsidRPr="00BA7AA1" w:rsidRDefault="00C70958" w:rsidP="00C70958">
      <w:pPr>
        <w:spacing w:line="276" w:lineRule="auto"/>
        <w:jc w:val="both"/>
        <w:rPr>
          <w:rFonts w:asciiTheme="minorHAnsi" w:hAnsiTheme="minorHAnsi" w:cstheme="minorHAnsi"/>
          <w:b/>
          <w:bCs/>
          <w:lang w:val="en-GB"/>
        </w:rPr>
      </w:pPr>
    </w:p>
    <w:p w14:paraId="74A6309B" w14:textId="77777777" w:rsidR="00BB19F2" w:rsidRDefault="00BB19F2" w:rsidP="00C70958">
      <w:pPr>
        <w:spacing w:line="276" w:lineRule="auto"/>
        <w:jc w:val="both"/>
        <w:rPr>
          <w:rFonts w:asciiTheme="minorHAnsi" w:hAnsiTheme="minorHAnsi" w:cstheme="minorHAnsi"/>
          <w:u w:val="single"/>
          <w:lang w:val="en-GB"/>
        </w:rPr>
      </w:pPr>
    </w:p>
    <w:p w14:paraId="26A39AED" w14:textId="77777777" w:rsidR="00BB19F2" w:rsidRDefault="00BB19F2" w:rsidP="00C70958">
      <w:pPr>
        <w:spacing w:line="276" w:lineRule="auto"/>
        <w:jc w:val="both"/>
        <w:rPr>
          <w:rFonts w:asciiTheme="minorHAnsi" w:hAnsiTheme="minorHAnsi" w:cstheme="minorHAnsi"/>
          <w:u w:val="single"/>
          <w:lang w:val="en-GB"/>
        </w:rPr>
      </w:pPr>
    </w:p>
    <w:p w14:paraId="6D7B503C" w14:textId="77777777" w:rsidR="00C70958" w:rsidRDefault="00C70958" w:rsidP="00C70958">
      <w:pPr>
        <w:spacing w:line="276" w:lineRule="auto"/>
        <w:jc w:val="both"/>
        <w:rPr>
          <w:rFonts w:asciiTheme="minorHAnsi" w:hAnsiTheme="minorHAnsi" w:cstheme="minorHAnsi"/>
          <w:u w:val="single"/>
          <w:lang w:val="en-GB"/>
        </w:rPr>
      </w:pPr>
      <w:r w:rsidRPr="00BA7AA1">
        <w:rPr>
          <w:rFonts w:asciiTheme="minorHAnsi" w:hAnsiTheme="minorHAnsi" w:cstheme="minorHAnsi"/>
          <w:u w:val="single"/>
          <w:lang w:val="en-GB"/>
        </w:rPr>
        <w:t>Clustering</w:t>
      </w:r>
    </w:p>
    <w:p w14:paraId="2EC1FB58" w14:textId="77777777" w:rsidR="00C70958" w:rsidRDefault="00C70958" w:rsidP="00C70958">
      <w:pPr>
        <w:spacing w:line="276" w:lineRule="auto"/>
        <w:jc w:val="both"/>
        <w:rPr>
          <w:rFonts w:asciiTheme="minorHAnsi" w:hAnsiTheme="minorHAnsi" w:cstheme="minorHAnsi"/>
          <w:u w:val="single"/>
          <w:lang w:val="en-GB"/>
        </w:rPr>
      </w:pPr>
    </w:p>
    <w:p w14:paraId="62D42806" w14:textId="77777777" w:rsidR="00BB19F2" w:rsidRPr="00BB19F2" w:rsidRDefault="00C70958" w:rsidP="00C70958">
      <w:pPr>
        <w:spacing w:line="276" w:lineRule="auto"/>
        <w:jc w:val="both"/>
        <w:rPr>
          <w:rFonts w:asciiTheme="minorHAnsi" w:hAnsiTheme="minorHAnsi" w:cstheme="minorHAnsi"/>
          <w:i/>
          <w:lang w:val="en-GB"/>
        </w:rPr>
      </w:pPr>
      <w:r w:rsidRPr="00BB19F2">
        <w:rPr>
          <w:rFonts w:asciiTheme="minorHAnsi" w:hAnsiTheme="minorHAnsi" w:cstheme="minorHAnsi"/>
          <w:i/>
          <w:lang w:val="en-GB"/>
        </w:rPr>
        <w:t xml:space="preserve">Table A2. </w:t>
      </w:r>
    </w:p>
    <w:p w14:paraId="00104BD8" w14:textId="77777777" w:rsidR="00C70958" w:rsidRPr="000424EF" w:rsidRDefault="00C70958" w:rsidP="00C70958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Hits in time series clustering associated to clinical outcome with unadjusted p-value below 5%.</w:t>
      </w:r>
    </w:p>
    <w:p w14:paraId="0C3A52E5" w14:textId="77777777" w:rsidR="00C70958" w:rsidRDefault="00C70958" w:rsidP="00C70958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1300"/>
        <w:gridCol w:w="1638"/>
        <w:gridCol w:w="2268"/>
        <w:gridCol w:w="1134"/>
      </w:tblGrid>
      <w:tr w:rsidR="00C70958" w:rsidRPr="00E66324" w14:paraId="7C4D52D7" w14:textId="77777777" w:rsidTr="00C80FE4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AE23A" w14:textId="77777777" w:rsidR="00C70958" w:rsidRPr="004B211F" w:rsidRDefault="00C70958" w:rsidP="00C80FE4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cytokine/GF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593B2" w14:textId="77777777" w:rsidR="00C70958" w:rsidRPr="004B211F" w:rsidRDefault="00C70958" w:rsidP="00C80FE4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# of clusters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CFE604" w14:textId="77777777" w:rsidR="00C70958" w:rsidRPr="004B211F" w:rsidRDefault="00C70958" w:rsidP="00C80FE4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clinical outcome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7CC79" w14:textId="77777777" w:rsidR="00C70958" w:rsidRPr="004B211F" w:rsidRDefault="00C70958" w:rsidP="00C80FE4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p-value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BE718" w14:textId="77777777" w:rsidR="00C70958" w:rsidRPr="004B211F" w:rsidRDefault="00C70958" w:rsidP="00C80FE4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test</w:t>
            </w:r>
          </w:p>
        </w:tc>
      </w:tr>
      <w:tr w:rsidR="00C70958" w:rsidRPr="00E66324" w14:paraId="00B9DC7F" w14:textId="77777777" w:rsidTr="00C80FE4">
        <w:trPr>
          <w:trHeight w:val="34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FB1D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HGF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6EDD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3,4,5,6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DA45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m</w:t>
            </w: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ortality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5591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0.044, 0.016, 0.034, 0.014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86F9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="Cambria Math" w:hAnsi="Cambria Math" w:cs="Cambria Math"/>
                <w:color w:val="000000"/>
                <w:sz w:val="18"/>
                <w:szCs w:val="18"/>
              </w:rPr>
              <w:t>𝟀</w:t>
            </w:r>
            <w:r w:rsidRPr="004B211F">
              <w:rPr>
                <w:rFonts w:asciiTheme="minorHAnsi" w:hAnsiTheme="minorHAnsi"/>
                <w:color w:val="000000"/>
                <w:sz w:val="18"/>
                <w:szCs w:val="18"/>
                <w:vertAlign w:val="superscript"/>
              </w:rPr>
              <w:t>2</w:t>
            </w: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-test</w:t>
            </w:r>
          </w:p>
        </w:tc>
      </w:tr>
      <w:tr w:rsidR="00C70958" w:rsidRPr="00E66324" w14:paraId="18F17FC0" w14:textId="77777777" w:rsidTr="00C80FE4">
        <w:trPr>
          <w:trHeight w:val="34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A609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PLGF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A66D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6C0E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PHLF (categorical)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215D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0.039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C32D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="Cambria Math" w:hAnsi="Cambria Math" w:cs="Cambria Math"/>
                <w:color w:val="000000"/>
                <w:sz w:val="18"/>
                <w:szCs w:val="18"/>
              </w:rPr>
              <w:t>𝟀</w:t>
            </w:r>
            <w:r w:rsidRPr="004B211F">
              <w:rPr>
                <w:rFonts w:asciiTheme="minorHAnsi" w:hAnsiTheme="minorHAnsi"/>
                <w:color w:val="000000"/>
                <w:sz w:val="18"/>
                <w:szCs w:val="18"/>
                <w:vertAlign w:val="superscript"/>
              </w:rPr>
              <w:t>2</w:t>
            </w: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-test</w:t>
            </w:r>
          </w:p>
        </w:tc>
      </w:tr>
      <w:tr w:rsidR="00C70958" w:rsidRPr="00E66324" w14:paraId="0A97C612" w14:textId="77777777" w:rsidTr="00C80FE4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9988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B366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3,4,5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245A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PHLF (numeric)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516F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0.015, 0.032, 0.031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E6C5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kruskal-wallis test</w:t>
            </w:r>
          </w:p>
        </w:tc>
      </w:tr>
      <w:tr w:rsidR="00C70958" w:rsidRPr="00E66324" w14:paraId="7307A662" w14:textId="77777777" w:rsidTr="00C80FE4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6459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492EE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3,4,5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A42F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Clavien Dindo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4BE1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0.050, 0.030, 0.032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E868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kruskal-wallis test</w:t>
            </w:r>
          </w:p>
        </w:tc>
      </w:tr>
      <w:tr w:rsidR="00C70958" w:rsidRPr="00E66324" w14:paraId="31BE631F" w14:textId="77777777" w:rsidTr="00C80FE4">
        <w:trPr>
          <w:trHeight w:val="34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FE2F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F8DC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3,5,6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FB11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m</w:t>
            </w: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ortality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B1A3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0.022, 0.0098, 0.016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9ACD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="Cambria Math" w:hAnsi="Cambria Math" w:cs="Cambria Math"/>
                <w:color w:val="000000"/>
                <w:sz w:val="18"/>
                <w:szCs w:val="18"/>
              </w:rPr>
              <w:t>𝟀</w:t>
            </w:r>
            <w:r w:rsidRPr="004B211F">
              <w:rPr>
                <w:rFonts w:asciiTheme="minorHAnsi" w:hAnsiTheme="minorHAnsi"/>
                <w:color w:val="000000"/>
                <w:sz w:val="18"/>
                <w:szCs w:val="18"/>
                <w:vertAlign w:val="superscript"/>
              </w:rPr>
              <w:t>2</w:t>
            </w: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-test</w:t>
            </w:r>
          </w:p>
        </w:tc>
      </w:tr>
      <w:tr w:rsidR="00C70958" w:rsidRPr="00E66324" w14:paraId="487579EE" w14:textId="77777777" w:rsidTr="00C80FE4">
        <w:trPr>
          <w:trHeight w:val="34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5C06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EGF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421E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5877D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m</w:t>
            </w: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ortality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B935D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1F2B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="Cambria Math" w:hAnsi="Cambria Math" w:cs="Cambria Math"/>
                <w:color w:val="000000"/>
                <w:sz w:val="18"/>
                <w:szCs w:val="18"/>
              </w:rPr>
              <w:t>𝟀</w:t>
            </w:r>
            <w:r w:rsidRPr="004B211F">
              <w:rPr>
                <w:rFonts w:asciiTheme="minorHAnsi" w:hAnsiTheme="minorHAnsi"/>
                <w:color w:val="000000"/>
                <w:sz w:val="18"/>
                <w:szCs w:val="18"/>
                <w:vertAlign w:val="superscript"/>
              </w:rPr>
              <w:t>2</w:t>
            </w: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-test</w:t>
            </w:r>
          </w:p>
        </w:tc>
      </w:tr>
      <w:tr w:rsidR="00C70958" w:rsidRPr="00E66324" w14:paraId="12262773" w14:textId="77777777" w:rsidTr="00C80FE4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79F9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IL6 - no hits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2F7C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95C5A" w14:textId="77777777" w:rsidR="00C70958" w:rsidRPr="004B211F" w:rsidRDefault="00C70958" w:rsidP="00C80FE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93EF" w14:textId="77777777" w:rsidR="00C70958" w:rsidRPr="004B211F" w:rsidRDefault="00C70958" w:rsidP="00C80FE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FE3E3" w14:textId="77777777" w:rsidR="00C70958" w:rsidRPr="004B211F" w:rsidRDefault="00C70958" w:rsidP="00C80FE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70958" w:rsidRPr="00E66324" w14:paraId="52CB5E56" w14:textId="77777777" w:rsidTr="00C80FE4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3227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IL8 - no hits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F807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C1A08" w14:textId="77777777" w:rsidR="00C70958" w:rsidRPr="004B211F" w:rsidRDefault="00C70958" w:rsidP="00C80FE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778E" w14:textId="77777777" w:rsidR="00C70958" w:rsidRPr="004B211F" w:rsidRDefault="00C70958" w:rsidP="00C80FE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A437A" w14:textId="77777777" w:rsidR="00C70958" w:rsidRPr="004B211F" w:rsidRDefault="00C70958" w:rsidP="00C80FE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70958" w:rsidRPr="00E66324" w14:paraId="136B75F5" w14:textId="77777777" w:rsidTr="00C80FE4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D9DD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TGFB - no hits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DE36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78D0" w14:textId="77777777" w:rsidR="00C70958" w:rsidRPr="004B211F" w:rsidRDefault="00C70958" w:rsidP="00C80FE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8A11" w14:textId="77777777" w:rsidR="00C70958" w:rsidRPr="004B211F" w:rsidRDefault="00C70958" w:rsidP="00C80FE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AB74" w14:textId="77777777" w:rsidR="00C70958" w:rsidRPr="004B211F" w:rsidRDefault="00C70958" w:rsidP="00C80FE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70958" w:rsidRPr="00E66324" w14:paraId="71365544" w14:textId="77777777" w:rsidTr="00C80FE4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F260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</w:rPr>
              <w:t>Apo2 - no hits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1375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4D63" w14:textId="77777777" w:rsidR="00C70958" w:rsidRPr="004B211F" w:rsidRDefault="00C70958" w:rsidP="00C80FE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FBFA8" w14:textId="77777777" w:rsidR="00C70958" w:rsidRPr="004B211F" w:rsidRDefault="00C70958" w:rsidP="00C80FE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7111" w14:textId="77777777" w:rsidR="00C70958" w:rsidRPr="004B211F" w:rsidRDefault="00C70958" w:rsidP="00C80FE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70958" w:rsidRPr="008F3592" w14:paraId="5F673D5C" w14:textId="77777777" w:rsidTr="00C80FE4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0578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 w:rsidRPr="004B211F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VEGF - not calculated because 0/1 coded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8987F" w14:textId="77777777" w:rsidR="00C70958" w:rsidRPr="004B211F" w:rsidRDefault="00C70958" w:rsidP="00C80FE4">
            <w:pP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1A0C" w14:textId="77777777" w:rsidR="00C70958" w:rsidRPr="004B211F" w:rsidRDefault="00C70958" w:rsidP="00C80FE4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</w:tbl>
    <w:p w14:paraId="16A9EE22" w14:textId="77777777" w:rsidR="00C70958" w:rsidRPr="00BA7AA1" w:rsidRDefault="00C70958" w:rsidP="00C70958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p w14:paraId="10213D8F" w14:textId="77777777" w:rsidR="00C70958" w:rsidRDefault="00C70958" w:rsidP="00C70958">
      <w:pPr>
        <w:spacing w:line="276" w:lineRule="auto"/>
        <w:jc w:val="both"/>
        <w:rPr>
          <w:rFonts w:asciiTheme="minorHAnsi" w:hAnsiTheme="minorHAnsi" w:cstheme="minorHAnsi"/>
          <w:u w:val="single"/>
          <w:lang w:val="en-GB"/>
        </w:rPr>
      </w:pPr>
    </w:p>
    <w:p w14:paraId="66435B0F" w14:textId="77777777" w:rsidR="00C70958" w:rsidRDefault="00C70958" w:rsidP="00C70958">
      <w:pPr>
        <w:spacing w:line="276" w:lineRule="auto"/>
        <w:jc w:val="both"/>
        <w:rPr>
          <w:rFonts w:asciiTheme="minorHAnsi" w:hAnsiTheme="minorHAnsi" w:cstheme="minorHAnsi"/>
          <w:u w:val="single"/>
          <w:lang w:val="en-GB"/>
        </w:rPr>
      </w:pPr>
      <w:r>
        <w:rPr>
          <w:rFonts w:asciiTheme="minorHAnsi" w:hAnsiTheme="minorHAnsi" w:cstheme="minorHAnsi"/>
          <w:u w:val="single"/>
          <w:lang w:val="en-GB"/>
        </w:rPr>
        <w:t>Association network</w:t>
      </w:r>
    </w:p>
    <w:p w14:paraId="41092C8F" w14:textId="77777777" w:rsidR="00C70958" w:rsidRDefault="00C70958" w:rsidP="00C70958">
      <w:pPr>
        <w:spacing w:line="276" w:lineRule="auto"/>
        <w:jc w:val="both"/>
        <w:rPr>
          <w:rFonts w:asciiTheme="minorHAnsi" w:hAnsiTheme="minorHAnsi" w:cstheme="minorHAnsi"/>
          <w:u w:val="single"/>
          <w:lang w:val="en-GB"/>
        </w:rPr>
      </w:pPr>
    </w:p>
    <w:p w14:paraId="17FF4930" w14:textId="77777777" w:rsidR="00BB19F2" w:rsidRPr="00BB19F2" w:rsidRDefault="00C70958" w:rsidP="00C70958">
      <w:pPr>
        <w:spacing w:line="276" w:lineRule="auto"/>
        <w:jc w:val="both"/>
        <w:rPr>
          <w:rFonts w:asciiTheme="minorHAnsi" w:hAnsiTheme="minorHAnsi" w:cstheme="minorHAnsi"/>
          <w:i/>
          <w:lang w:val="en-GB"/>
        </w:rPr>
      </w:pPr>
      <w:r w:rsidRPr="00BB19F2">
        <w:rPr>
          <w:rFonts w:asciiTheme="minorHAnsi" w:hAnsiTheme="minorHAnsi" w:cstheme="minorHAnsi"/>
          <w:i/>
          <w:lang w:val="en-GB"/>
        </w:rPr>
        <w:t xml:space="preserve">Table A3. </w:t>
      </w:r>
    </w:p>
    <w:p w14:paraId="37A764BE" w14:textId="7E0B795B" w:rsidR="00C70958" w:rsidRDefault="00C80FE4" w:rsidP="00C70958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Complete list of</w:t>
      </w:r>
      <w:r w:rsidR="00C70958">
        <w:rPr>
          <w:rFonts w:asciiTheme="minorHAnsi" w:hAnsiTheme="minorHAnsi" w:cstheme="minorHAnsi"/>
          <w:lang w:val="en-GB"/>
        </w:rPr>
        <w:t xml:space="preserve"> significant associations presented in </w:t>
      </w:r>
      <w:r w:rsidR="00597BF1">
        <w:rPr>
          <w:rFonts w:asciiTheme="minorHAnsi" w:hAnsiTheme="minorHAnsi" w:cstheme="minorHAnsi"/>
          <w:lang w:val="en-GB"/>
        </w:rPr>
        <w:t xml:space="preserve">the </w:t>
      </w:r>
      <w:r w:rsidR="00C70958">
        <w:rPr>
          <w:rFonts w:asciiTheme="minorHAnsi" w:hAnsiTheme="minorHAnsi" w:cstheme="minorHAnsi"/>
          <w:lang w:val="en-GB"/>
        </w:rPr>
        <w:t>association network (FDR &lt; 10%</w:t>
      </w:r>
      <w:r w:rsidR="00597BF1">
        <w:rPr>
          <w:rFonts w:asciiTheme="minorHAnsi" w:hAnsiTheme="minorHAnsi" w:cstheme="minorHAnsi"/>
          <w:lang w:val="en-GB"/>
        </w:rPr>
        <w:t xml:space="preserve"> in the training cohort</w:t>
      </w:r>
      <w:r w:rsidR="00C70958">
        <w:rPr>
          <w:rFonts w:asciiTheme="minorHAnsi" w:hAnsiTheme="minorHAnsi" w:cstheme="minorHAnsi"/>
          <w:lang w:val="en-GB"/>
        </w:rPr>
        <w:t>)</w:t>
      </w:r>
      <w:r w:rsidR="00597BF1">
        <w:rPr>
          <w:rFonts w:asciiTheme="minorHAnsi" w:hAnsiTheme="minorHAnsi" w:cstheme="minorHAnsi"/>
          <w:lang w:val="en-GB"/>
        </w:rPr>
        <w:t>. Only adjusted p-values below 10% in the validation cohort are presented.</w:t>
      </w:r>
    </w:p>
    <w:p w14:paraId="2BD0B09B" w14:textId="77777777" w:rsidR="00C70958" w:rsidRPr="00A0583D" w:rsidRDefault="00C70958" w:rsidP="00C70958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tbl>
      <w:tblPr>
        <w:tblStyle w:val="TableGrid"/>
        <w:tblW w:w="8794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1557"/>
        <w:gridCol w:w="1128"/>
        <w:gridCol w:w="1090"/>
        <w:gridCol w:w="1616"/>
        <w:gridCol w:w="1984"/>
      </w:tblGrid>
      <w:tr w:rsidR="00C70958" w:rsidRPr="008F3592" w14:paraId="24845F06" w14:textId="77777777" w:rsidTr="00C80FE4">
        <w:tc>
          <w:tcPr>
            <w:tcW w:w="1419" w:type="dxa"/>
            <w:tcBorders>
              <w:bottom w:val="single" w:sz="4" w:space="0" w:color="auto"/>
            </w:tcBorders>
            <w:vAlign w:val="bottom"/>
          </w:tcPr>
          <w:p w14:paraId="0013ED26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variable 1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vAlign w:val="bottom"/>
          </w:tcPr>
          <w:p w14:paraId="177D7F2F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variable 2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bottom"/>
          </w:tcPr>
          <w:p w14:paraId="4484E047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timepoint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vAlign w:val="bottom"/>
          </w:tcPr>
          <w:p w14:paraId="389CDFC0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test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vAlign w:val="bottom"/>
          </w:tcPr>
          <w:p w14:paraId="754095D9" w14:textId="77777777" w:rsidR="00C70958" w:rsidRPr="00A02013" w:rsidRDefault="00C70958" w:rsidP="00C80FE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adjusted p-value training cohort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49C1A283" w14:textId="77777777" w:rsidR="00C70958" w:rsidRPr="00A02013" w:rsidRDefault="00C70958" w:rsidP="00C80FE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adjusted p-value validation cohort</w:t>
            </w:r>
          </w:p>
        </w:tc>
      </w:tr>
      <w:tr w:rsidR="00C70958" w:rsidRPr="002F3E7F" w14:paraId="0BFE9797" w14:textId="77777777" w:rsidTr="00C80FE4">
        <w:tc>
          <w:tcPr>
            <w:tcW w:w="1419" w:type="dxa"/>
            <w:tcBorders>
              <w:top w:val="single" w:sz="4" w:space="0" w:color="auto"/>
            </w:tcBorders>
            <w:vAlign w:val="bottom"/>
          </w:tcPr>
          <w:p w14:paraId="053E1E15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Age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bottom"/>
          </w:tcPr>
          <w:p w14:paraId="3B14C83F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VEGF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vAlign w:val="bottom"/>
          </w:tcPr>
          <w:p w14:paraId="2752F0B4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-1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vAlign w:val="bottom"/>
          </w:tcPr>
          <w:p w14:paraId="33E8FEBC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</w:tcBorders>
            <w:vAlign w:val="bottom"/>
          </w:tcPr>
          <w:p w14:paraId="0C8147DE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02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56AED3C2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70958" w:rsidRPr="002F3E7F" w14:paraId="3D48A28A" w14:textId="77777777" w:rsidTr="00C80FE4">
        <w:tc>
          <w:tcPr>
            <w:tcW w:w="1419" w:type="dxa"/>
            <w:vAlign w:val="bottom"/>
          </w:tcPr>
          <w:p w14:paraId="410A34BA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Hospital stay</w:t>
            </w:r>
          </w:p>
        </w:tc>
        <w:tc>
          <w:tcPr>
            <w:tcW w:w="1557" w:type="dxa"/>
            <w:vAlign w:val="bottom"/>
          </w:tcPr>
          <w:p w14:paraId="3F95983D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ICU+IMC stay</w:t>
            </w:r>
          </w:p>
        </w:tc>
        <w:tc>
          <w:tcPr>
            <w:tcW w:w="1128" w:type="dxa"/>
            <w:vAlign w:val="bottom"/>
          </w:tcPr>
          <w:p w14:paraId="68FE3FBD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none</w:t>
            </w:r>
          </w:p>
        </w:tc>
        <w:tc>
          <w:tcPr>
            <w:tcW w:w="1090" w:type="dxa"/>
            <w:vAlign w:val="bottom"/>
          </w:tcPr>
          <w:p w14:paraId="7CE01EDB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3D0CB8A9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0071</w:t>
            </w:r>
          </w:p>
        </w:tc>
        <w:tc>
          <w:tcPr>
            <w:tcW w:w="1984" w:type="dxa"/>
            <w:vAlign w:val="bottom"/>
          </w:tcPr>
          <w:p w14:paraId="2C150409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07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4</w:t>
            </w:r>
          </w:p>
        </w:tc>
      </w:tr>
      <w:tr w:rsidR="00C70958" w:rsidRPr="002F3E7F" w14:paraId="73BB5264" w14:textId="77777777" w:rsidTr="00C80FE4">
        <w:tc>
          <w:tcPr>
            <w:tcW w:w="1419" w:type="dxa"/>
            <w:vAlign w:val="bottom"/>
          </w:tcPr>
          <w:p w14:paraId="269056BC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Hospital stay</w:t>
            </w:r>
          </w:p>
        </w:tc>
        <w:tc>
          <w:tcPr>
            <w:tcW w:w="1557" w:type="dxa"/>
            <w:vAlign w:val="bottom"/>
          </w:tcPr>
          <w:p w14:paraId="0A5C3288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Complications</w:t>
            </w:r>
          </w:p>
        </w:tc>
        <w:tc>
          <w:tcPr>
            <w:tcW w:w="1128" w:type="dxa"/>
            <w:vAlign w:val="bottom"/>
          </w:tcPr>
          <w:p w14:paraId="0E0B42C8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none</w:t>
            </w:r>
          </w:p>
        </w:tc>
        <w:tc>
          <w:tcPr>
            <w:tcW w:w="1090" w:type="dxa"/>
            <w:vAlign w:val="bottom"/>
          </w:tcPr>
          <w:p w14:paraId="610DAF0C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650148A2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0059</w:t>
            </w:r>
          </w:p>
        </w:tc>
        <w:tc>
          <w:tcPr>
            <w:tcW w:w="1984" w:type="dxa"/>
            <w:vAlign w:val="bottom"/>
          </w:tcPr>
          <w:p w14:paraId="7D4C508E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70958" w:rsidRPr="002F3E7F" w14:paraId="18653F26" w14:textId="77777777" w:rsidTr="00C80FE4">
        <w:tc>
          <w:tcPr>
            <w:tcW w:w="1419" w:type="dxa"/>
            <w:vAlign w:val="bottom"/>
          </w:tcPr>
          <w:p w14:paraId="7454BB70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Hospital stay</w:t>
            </w:r>
          </w:p>
        </w:tc>
        <w:tc>
          <w:tcPr>
            <w:tcW w:w="1557" w:type="dxa"/>
            <w:vAlign w:val="bottom"/>
          </w:tcPr>
          <w:p w14:paraId="71A7B44A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IL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-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6</w:t>
            </w:r>
          </w:p>
        </w:tc>
        <w:tc>
          <w:tcPr>
            <w:tcW w:w="1128" w:type="dxa"/>
            <w:vAlign w:val="bottom"/>
          </w:tcPr>
          <w:p w14:paraId="49BC7DC8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7</w:t>
            </w:r>
          </w:p>
        </w:tc>
        <w:tc>
          <w:tcPr>
            <w:tcW w:w="1090" w:type="dxa"/>
            <w:vAlign w:val="bottom"/>
          </w:tcPr>
          <w:p w14:paraId="5F324815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27043315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078</w:t>
            </w:r>
          </w:p>
        </w:tc>
        <w:tc>
          <w:tcPr>
            <w:tcW w:w="1984" w:type="dxa"/>
            <w:vAlign w:val="bottom"/>
          </w:tcPr>
          <w:p w14:paraId="67288438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70958" w:rsidRPr="002F3E7F" w14:paraId="7A136DB2" w14:textId="77777777" w:rsidTr="00C80FE4">
        <w:tc>
          <w:tcPr>
            <w:tcW w:w="1419" w:type="dxa"/>
            <w:vAlign w:val="bottom"/>
          </w:tcPr>
          <w:p w14:paraId="7F34505F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Hospital stay</w:t>
            </w:r>
          </w:p>
        </w:tc>
        <w:tc>
          <w:tcPr>
            <w:tcW w:w="1557" w:type="dxa"/>
            <w:vAlign w:val="bottom"/>
          </w:tcPr>
          <w:p w14:paraId="14FC35DD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GGT</w:t>
            </w:r>
          </w:p>
        </w:tc>
        <w:tc>
          <w:tcPr>
            <w:tcW w:w="1128" w:type="dxa"/>
            <w:vAlign w:val="bottom"/>
          </w:tcPr>
          <w:p w14:paraId="2AAB21C0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-1</w:t>
            </w:r>
          </w:p>
        </w:tc>
        <w:tc>
          <w:tcPr>
            <w:tcW w:w="1090" w:type="dxa"/>
            <w:vAlign w:val="bottom"/>
          </w:tcPr>
          <w:p w14:paraId="023A7AA7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187FF91D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07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9</w:t>
            </w:r>
          </w:p>
        </w:tc>
        <w:tc>
          <w:tcPr>
            <w:tcW w:w="1984" w:type="dxa"/>
            <w:vAlign w:val="bottom"/>
          </w:tcPr>
          <w:p w14:paraId="008499F8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70958" w:rsidRPr="002F3E7F" w14:paraId="4FD33BE1" w14:textId="77777777" w:rsidTr="00C80FE4">
        <w:tc>
          <w:tcPr>
            <w:tcW w:w="1419" w:type="dxa"/>
            <w:vAlign w:val="bottom"/>
          </w:tcPr>
          <w:p w14:paraId="5664451E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Hospital stay</w:t>
            </w:r>
          </w:p>
        </w:tc>
        <w:tc>
          <w:tcPr>
            <w:tcW w:w="1557" w:type="dxa"/>
            <w:vAlign w:val="bottom"/>
          </w:tcPr>
          <w:p w14:paraId="5FBC743A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GGT</w:t>
            </w:r>
          </w:p>
        </w:tc>
        <w:tc>
          <w:tcPr>
            <w:tcW w:w="1128" w:type="dxa"/>
            <w:vAlign w:val="bottom"/>
          </w:tcPr>
          <w:p w14:paraId="5BC3B73A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3</w:t>
            </w:r>
          </w:p>
        </w:tc>
        <w:tc>
          <w:tcPr>
            <w:tcW w:w="1090" w:type="dxa"/>
            <w:vAlign w:val="bottom"/>
          </w:tcPr>
          <w:p w14:paraId="7E5903F5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37F9D0AE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078</w:t>
            </w:r>
          </w:p>
        </w:tc>
        <w:tc>
          <w:tcPr>
            <w:tcW w:w="1984" w:type="dxa"/>
            <w:vAlign w:val="bottom"/>
          </w:tcPr>
          <w:p w14:paraId="05C774A9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70958" w:rsidRPr="002F3E7F" w14:paraId="45E3D83E" w14:textId="77777777" w:rsidTr="00C80FE4">
        <w:tc>
          <w:tcPr>
            <w:tcW w:w="1419" w:type="dxa"/>
            <w:vAlign w:val="bottom"/>
          </w:tcPr>
          <w:p w14:paraId="75AD0153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Hospital stay</w:t>
            </w:r>
          </w:p>
        </w:tc>
        <w:tc>
          <w:tcPr>
            <w:tcW w:w="1557" w:type="dxa"/>
            <w:vAlign w:val="bottom"/>
          </w:tcPr>
          <w:p w14:paraId="0918BE26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Albumin</w:t>
            </w:r>
          </w:p>
        </w:tc>
        <w:tc>
          <w:tcPr>
            <w:tcW w:w="1128" w:type="dxa"/>
            <w:vAlign w:val="bottom"/>
          </w:tcPr>
          <w:p w14:paraId="154367FD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7</w:t>
            </w:r>
          </w:p>
        </w:tc>
        <w:tc>
          <w:tcPr>
            <w:tcW w:w="1090" w:type="dxa"/>
            <w:vAlign w:val="bottom"/>
          </w:tcPr>
          <w:p w14:paraId="55F90084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4C95BD37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05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3</w:t>
            </w:r>
          </w:p>
        </w:tc>
        <w:tc>
          <w:tcPr>
            <w:tcW w:w="1984" w:type="dxa"/>
            <w:vAlign w:val="bottom"/>
          </w:tcPr>
          <w:p w14:paraId="2788CB16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70958" w:rsidRPr="002F3E7F" w14:paraId="2E7632CC" w14:textId="77777777" w:rsidTr="00C80FE4">
        <w:tc>
          <w:tcPr>
            <w:tcW w:w="1419" w:type="dxa"/>
            <w:vAlign w:val="bottom"/>
          </w:tcPr>
          <w:p w14:paraId="50EBA6C7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Hospital stay</w:t>
            </w:r>
          </w:p>
        </w:tc>
        <w:tc>
          <w:tcPr>
            <w:tcW w:w="1557" w:type="dxa"/>
            <w:vAlign w:val="bottom"/>
          </w:tcPr>
          <w:p w14:paraId="7B69FB7A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CRP</w:t>
            </w:r>
          </w:p>
        </w:tc>
        <w:tc>
          <w:tcPr>
            <w:tcW w:w="1128" w:type="dxa"/>
            <w:vAlign w:val="bottom"/>
          </w:tcPr>
          <w:p w14:paraId="2BE179B2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-1</w:t>
            </w:r>
          </w:p>
        </w:tc>
        <w:tc>
          <w:tcPr>
            <w:tcW w:w="1090" w:type="dxa"/>
            <w:vAlign w:val="bottom"/>
          </w:tcPr>
          <w:p w14:paraId="04067D9B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080D51EB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078</w:t>
            </w:r>
          </w:p>
        </w:tc>
        <w:tc>
          <w:tcPr>
            <w:tcW w:w="1984" w:type="dxa"/>
            <w:vAlign w:val="bottom"/>
          </w:tcPr>
          <w:p w14:paraId="020C571A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70958" w:rsidRPr="002F3E7F" w14:paraId="525F5E32" w14:textId="77777777" w:rsidTr="00C80FE4">
        <w:tc>
          <w:tcPr>
            <w:tcW w:w="1419" w:type="dxa"/>
            <w:vAlign w:val="bottom"/>
          </w:tcPr>
          <w:p w14:paraId="0787985A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Hospital stay</w:t>
            </w:r>
          </w:p>
        </w:tc>
        <w:tc>
          <w:tcPr>
            <w:tcW w:w="1557" w:type="dxa"/>
            <w:vAlign w:val="bottom"/>
          </w:tcPr>
          <w:p w14:paraId="77EC6FD0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CRP</w:t>
            </w:r>
          </w:p>
        </w:tc>
        <w:tc>
          <w:tcPr>
            <w:tcW w:w="1128" w:type="dxa"/>
            <w:vAlign w:val="bottom"/>
          </w:tcPr>
          <w:p w14:paraId="448A6477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7</w:t>
            </w:r>
          </w:p>
        </w:tc>
        <w:tc>
          <w:tcPr>
            <w:tcW w:w="1090" w:type="dxa"/>
            <w:vAlign w:val="bottom"/>
          </w:tcPr>
          <w:p w14:paraId="0C3D0446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1BD99925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08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4</w:t>
            </w:r>
          </w:p>
        </w:tc>
        <w:tc>
          <w:tcPr>
            <w:tcW w:w="1984" w:type="dxa"/>
            <w:vAlign w:val="bottom"/>
          </w:tcPr>
          <w:p w14:paraId="05D4DE43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07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4</w:t>
            </w:r>
          </w:p>
        </w:tc>
      </w:tr>
      <w:tr w:rsidR="00C70958" w:rsidRPr="002F3E7F" w14:paraId="6F793351" w14:textId="77777777" w:rsidTr="00C80FE4">
        <w:tc>
          <w:tcPr>
            <w:tcW w:w="1419" w:type="dxa"/>
            <w:vAlign w:val="bottom"/>
          </w:tcPr>
          <w:p w14:paraId="2FAD844C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ICU+IMC stay</w:t>
            </w:r>
          </w:p>
        </w:tc>
        <w:tc>
          <w:tcPr>
            <w:tcW w:w="1557" w:type="dxa"/>
            <w:vAlign w:val="bottom"/>
          </w:tcPr>
          <w:p w14:paraId="2EB9332C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Complications</w:t>
            </w:r>
          </w:p>
        </w:tc>
        <w:tc>
          <w:tcPr>
            <w:tcW w:w="1128" w:type="dxa"/>
            <w:vAlign w:val="bottom"/>
          </w:tcPr>
          <w:p w14:paraId="11ECF77A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none</w:t>
            </w:r>
          </w:p>
        </w:tc>
        <w:tc>
          <w:tcPr>
            <w:tcW w:w="1090" w:type="dxa"/>
            <w:vAlign w:val="bottom"/>
          </w:tcPr>
          <w:p w14:paraId="4ADECAA7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60113F82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001</w:t>
            </w:r>
          </w:p>
        </w:tc>
        <w:tc>
          <w:tcPr>
            <w:tcW w:w="1984" w:type="dxa"/>
            <w:vAlign w:val="bottom"/>
          </w:tcPr>
          <w:p w14:paraId="10BE4C13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07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4</w:t>
            </w:r>
          </w:p>
        </w:tc>
      </w:tr>
      <w:tr w:rsidR="00C70958" w:rsidRPr="002F3E7F" w14:paraId="6AC70B22" w14:textId="77777777" w:rsidTr="00C80FE4">
        <w:tc>
          <w:tcPr>
            <w:tcW w:w="1419" w:type="dxa"/>
            <w:vAlign w:val="bottom"/>
          </w:tcPr>
          <w:p w14:paraId="17B29008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ICU+IMC stay</w:t>
            </w:r>
          </w:p>
        </w:tc>
        <w:tc>
          <w:tcPr>
            <w:tcW w:w="1557" w:type="dxa"/>
            <w:vAlign w:val="bottom"/>
          </w:tcPr>
          <w:p w14:paraId="384C4212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PHLF_num</w:t>
            </w:r>
            <w:proofErr w:type="spellEnd"/>
          </w:p>
        </w:tc>
        <w:tc>
          <w:tcPr>
            <w:tcW w:w="1128" w:type="dxa"/>
            <w:vAlign w:val="bottom"/>
          </w:tcPr>
          <w:p w14:paraId="608F8B19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none</w:t>
            </w:r>
          </w:p>
        </w:tc>
        <w:tc>
          <w:tcPr>
            <w:tcW w:w="1090" w:type="dxa"/>
            <w:vAlign w:val="bottom"/>
          </w:tcPr>
          <w:p w14:paraId="7DD820C2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676DBB25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001</w:t>
            </w:r>
          </w:p>
        </w:tc>
        <w:tc>
          <w:tcPr>
            <w:tcW w:w="1984" w:type="dxa"/>
            <w:vAlign w:val="bottom"/>
          </w:tcPr>
          <w:p w14:paraId="77B16044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02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7</w:t>
            </w:r>
          </w:p>
        </w:tc>
      </w:tr>
      <w:tr w:rsidR="00C70958" w:rsidRPr="002F3E7F" w14:paraId="57F5BFF1" w14:textId="77777777" w:rsidTr="00C80FE4">
        <w:tc>
          <w:tcPr>
            <w:tcW w:w="1419" w:type="dxa"/>
            <w:vAlign w:val="bottom"/>
          </w:tcPr>
          <w:p w14:paraId="7103100F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lastRenderedPageBreak/>
              <w:t>ICU+IMC stay</w:t>
            </w:r>
          </w:p>
        </w:tc>
        <w:tc>
          <w:tcPr>
            <w:tcW w:w="1557" w:type="dxa"/>
            <w:vAlign w:val="bottom"/>
          </w:tcPr>
          <w:p w14:paraId="1D8C0145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IL-6</w:t>
            </w:r>
          </w:p>
        </w:tc>
        <w:tc>
          <w:tcPr>
            <w:tcW w:w="1128" w:type="dxa"/>
            <w:vAlign w:val="bottom"/>
          </w:tcPr>
          <w:p w14:paraId="1F19643F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7</w:t>
            </w:r>
          </w:p>
        </w:tc>
        <w:tc>
          <w:tcPr>
            <w:tcW w:w="1090" w:type="dxa"/>
            <w:vAlign w:val="bottom"/>
          </w:tcPr>
          <w:p w14:paraId="2C2796DC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05D344D3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038</w:t>
            </w:r>
          </w:p>
        </w:tc>
        <w:tc>
          <w:tcPr>
            <w:tcW w:w="1984" w:type="dxa"/>
            <w:vAlign w:val="bottom"/>
          </w:tcPr>
          <w:p w14:paraId="15041065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05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8</w:t>
            </w:r>
          </w:p>
        </w:tc>
      </w:tr>
      <w:tr w:rsidR="00C70958" w:rsidRPr="002F3E7F" w14:paraId="34EE717B" w14:textId="77777777" w:rsidTr="00C80FE4">
        <w:tc>
          <w:tcPr>
            <w:tcW w:w="1419" w:type="dxa"/>
            <w:vAlign w:val="bottom"/>
          </w:tcPr>
          <w:p w14:paraId="09D164CF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ICU+IMC stay</w:t>
            </w:r>
          </w:p>
        </w:tc>
        <w:tc>
          <w:tcPr>
            <w:tcW w:w="1557" w:type="dxa"/>
            <w:vAlign w:val="bottom"/>
          </w:tcPr>
          <w:p w14:paraId="41150E06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IL-8</w:t>
            </w:r>
          </w:p>
        </w:tc>
        <w:tc>
          <w:tcPr>
            <w:tcW w:w="1128" w:type="dxa"/>
            <w:vAlign w:val="bottom"/>
          </w:tcPr>
          <w:p w14:paraId="5FC7D831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7</w:t>
            </w:r>
          </w:p>
        </w:tc>
        <w:tc>
          <w:tcPr>
            <w:tcW w:w="1090" w:type="dxa"/>
            <w:vAlign w:val="bottom"/>
          </w:tcPr>
          <w:p w14:paraId="10BDABBE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577246A1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083</w:t>
            </w:r>
          </w:p>
        </w:tc>
        <w:tc>
          <w:tcPr>
            <w:tcW w:w="1984" w:type="dxa"/>
            <w:vAlign w:val="bottom"/>
          </w:tcPr>
          <w:p w14:paraId="560C6794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024</w:t>
            </w:r>
          </w:p>
        </w:tc>
      </w:tr>
      <w:tr w:rsidR="00C70958" w:rsidRPr="002F3E7F" w14:paraId="3FE343C8" w14:textId="77777777" w:rsidTr="00C80FE4">
        <w:tc>
          <w:tcPr>
            <w:tcW w:w="1419" w:type="dxa"/>
            <w:vAlign w:val="bottom"/>
          </w:tcPr>
          <w:p w14:paraId="3A8457EC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ICU+IMC stay</w:t>
            </w:r>
          </w:p>
        </w:tc>
        <w:tc>
          <w:tcPr>
            <w:tcW w:w="1557" w:type="dxa"/>
            <w:vAlign w:val="bottom"/>
          </w:tcPr>
          <w:p w14:paraId="022DC338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GGT</w:t>
            </w:r>
          </w:p>
        </w:tc>
        <w:tc>
          <w:tcPr>
            <w:tcW w:w="1128" w:type="dxa"/>
            <w:vAlign w:val="bottom"/>
          </w:tcPr>
          <w:p w14:paraId="30A6DD96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-1</w:t>
            </w:r>
          </w:p>
        </w:tc>
        <w:tc>
          <w:tcPr>
            <w:tcW w:w="1090" w:type="dxa"/>
            <w:vAlign w:val="bottom"/>
          </w:tcPr>
          <w:p w14:paraId="0C8F9DB6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7CA20DE7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08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4</w:t>
            </w:r>
          </w:p>
        </w:tc>
        <w:tc>
          <w:tcPr>
            <w:tcW w:w="1984" w:type="dxa"/>
            <w:vAlign w:val="bottom"/>
          </w:tcPr>
          <w:p w14:paraId="6FFC5F5C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70958" w:rsidRPr="002F3E7F" w14:paraId="0E15E1C3" w14:textId="77777777" w:rsidTr="00C80FE4">
        <w:tc>
          <w:tcPr>
            <w:tcW w:w="1419" w:type="dxa"/>
            <w:vAlign w:val="bottom"/>
          </w:tcPr>
          <w:p w14:paraId="0CAC3723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ICU+IMC stay</w:t>
            </w:r>
          </w:p>
        </w:tc>
        <w:tc>
          <w:tcPr>
            <w:tcW w:w="1557" w:type="dxa"/>
            <w:vAlign w:val="bottom"/>
          </w:tcPr>
          <w:p w14:paraId="45CBE745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Bilirubin</w:t>
            </w:r>
          </w:p>
        </w:tc>
        <w:tc>
          <w:tcPr>
            <w:tcW w:w="1128" w:type="dxa"/>
            <w:vAlign w:val="bottom"/>
          </w:tcPr>
          <w:p w14:paraId="3A742CB1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1090" w:type="dxa"/>
            <w:vAlign w:val="bottom"/>
          </w:tcPr>
          <w:p w14:paraId="15E347FD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4B4D658A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1984" w:type="dxa"/>
            <w:vAlign w:val="bottom"/>
          </w:tcPr>
          <w:p w14:paraId="733D348C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073</w:t>
            </w:r>
          </w:p>
        </w:tc>
      </w:tr>
      <w:tr w:rsidR="00C70958" w:rsidRPr="002F3E7F" w14:paraId="701C29D7" w14:textId="77777777" w:rsidTr="00C80FE4">
        <w:tc>
          <w:tcPr>
            <w:tcW w:w="1419" w:type="dxa"/>
            <w:vAlign w:val="bottom"/>
          </w:tcPr>
          <w:p w14:paraId="7882B5E7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ICU+IMC stay</w:t>
            </w:r>
          </w:p>
        </w:tc>
        <w:tc>
          <w:tcPr>
            <w:tcW w:w="1557" w:type="dxa"/>
            <w:vAlign w:val="bottom"/>
          </w:tcPr>
          <w:p w14:paraId="4989445F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Bilirubin</w:t>
            </w:r>
          </w:p>
        </w:tc>
        <w:tc>
          <w:tcPr>
            <w:tcW w:w="1128" w:type="dxa"/>
            <w:vAlign w:val="bottom"/>
          </w:tcPr>
          <w:p w14:paraId="3210C841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3</w:t>
            </w:r>
          </w:p>
        </w:tc>
        <w:tc>
          <w:tcPr>
            <w:tcW w:w="1090" w:type="dxa"/>
            <w:vAlign w:val="bottom"/>
          </w:tcPr>
          <w:p w14:paraId="48DF33FD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35DA4A9A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078</w:t>
            </w:r>
          </w:p>
        </w:tc>
        <w:tc>
          <w:tcPr>
            <w:tcW w:w="1984" w:type="dxa"/>
            <w:vAlign w:val="bottom"/>
          </w:tcPr>
          <w:p w14:paraId="126CB9AF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037</w:t>
            </w:r>
          </w:p>
        </w:tc>
      </w:tr>
      <w:tr w:rsidR="00C70958" w:rsidRPr="002F3E7F" w14:paraId="656BC149" w14:textId="77777777" w:rsidTr="00C80FE4">
        <w:tc>
          <w:tcPr>
            <w:tcW w:w="1419" w:type="dxa"/>
            <w:vAlign w:val="bottom"/>
          </w:tcPr>
          <w:p w14:paraId="037E10F3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ICU+IMC stay</w:t>
            </w:r>
          </w:p>
        </w:tc>
        <w:tc>
          <w:tcPr>
            <w:tcW w:w="1557" w:type="dxa"/>
            <w:vAlign w:val="bottom"/>
          </w:tcPr>
          <w:p w14:paraId="165CE6DD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Bilirubin</w:t>
            </w:r>
          </w:p>
        </w:tc>
        <w:tc>
          <w:tcPr>
            <w:tcW w:w="1128" w:type="dxa"/>
            <w:vAlign w:val="bottom"/>
          </w:tcPr>
          <w:p w14:paraId="051162B0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7</w:t>
            </w:r>
          </w:p>
        </w:tc>
        <w:tc>
          <w:tcPr>
            <w:tcW w:w="1090" w:type="dxa"/>
            <w:vAlign w:val="bottom"/>
          </w:tcPr>
          <w:p w14:paraId="0703A879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3262D5B7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037</w:t>
            </w:r>
          </w:p>
        </w:tc>
        <w:tc>
          <w:tcPr>
            <w:tcW w:w="1984" w:type="dxa"/>
            <w:vAlign w:val="bottom"/>
          </w:tcPr>
          <w:p w14:paraId="14ADAA52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022</w:t>
            </w:r>
          </w:p>
        </w:tc>
      </w:tr>
      <w:tr w:rsidR="00C70958" w:rsidRPr="002F3E7F" w14:paraId="5C7416E8" w14:textId="77777777" w:rsidTr="00C80FE4">
        <w:tc>
          <w:tcPr>
            <w:tcW w:w="1419" w:type="dxa"/>
            <w:vAlign w:val="bottom"/>
          </w:tcPr>
          <w:p w14:paraId="71E301E1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ICU+IMC stay</w:t>
            </w:r>
          </w:p>
        </w:tc>
        <w:tc>
          <w:tcPr>
            <w:tcW w:w="1557" w:type="dxa"/>
            <w:vAlign w:val="bottom"/>
          </w:tcPr>
          <w:p w14:paraId="2CCC1850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Platelets</w:t>
            </w:r>
          </w:p>
        </w:tc>
        <w:tc>
          <w:tcPr>
            <w:tcW w:w="1128" w:type="dxa"/>
            <w:vAlign w:val="bottom"/>
          </w:tcPr>
          <w:p w14:paraId="2CCD8D68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7</w:t>
            </w:r>
          </w:p>
        </w:tc>
        <w:tc>
          <w:tcPr>
            <w:tcW w:w="1090" w:type="dxa"/>
            <w:vAlign w:val="bottom"/>
          </w:tcPr>
          <w:p w14:paraId="64B6882D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4993056E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078</w:t>
            </w:r>
          </w:p>
        </w:tc>
        <w:tc>
          <w:tcPr>
            <w:tcW w:w="1984" w:type="dxa"/>
            <w:vAlign w:val="bottom"/>
          </w:tcPr>
          <w:p w14:paraId="28443A0F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70958" w:rsidRPr="002F3E7F" w14:paraId="0DCCACEA" w14:textId="77777777" w:rsidTr="00C80FE4">
        <w:tc>
          <w:tcPr>
            <w:tcW w:w="1419" w:type="dxa"/>
            <w:vAlign w:val="bottom"/>
          </w:tcPr>
          <w:p w14:paraId="6C9FAABB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Complications</w:t>
            </w:r>
          </w:p>
        </w:tc>
        <w:tc>
          <w:tcPr>
            <w:tcW w:w="1557" w:type="dxa"/>
            <w:vAlign w:val="bottom"/>
          </w:tcPr>
          <w:p w14:paraId="4465A9B7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PHLF_num</w:t>
            </w:r>
            <w:proofErr w:type="spellEnd"/>
          </w:p>
        </w:tc>
        <w:tc>
          <w:tcPr>
            <w:tcW w:w="1128" w:type="dxa"/>
            <w:vAlign w:val="bottom"/>
          </w:tcPr>
          <w:p w14:paraId="0B2CACF9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none</w:t>
            </w:r>
          </w:p>
        </w:tc>
        <w:tc>
          <w:tcPr>
            <w:tcW w:w="1090" w:type="dxa"/>
            <w:vAlign w:val="bottom"/>
          </w:tcPr>
          <w:p w14:paraId="4BF4779E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7C9DB3D9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0059</w:t>
            </w:r>
          </w:p>
        </w:tc>
        <w:tc>
          <w:tcPr>
            <w:tcW w:w="1984" w:type="dxa"/>
            <w:vAlign w:val="bottom"/>
          </w:tcPr>
          <w:p w14:paraId="490988AA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70958" w:rsidRPr="002F3E7F" w14:paraId="57606801" w14:textId="77777777" w:rsidTr="00C80FE4">
        <w:tc>
          <w:tcPr>
            <w:tcW w:w="1419" w:type="dxa"/>
            <w:vAlign w:val="bottom"/>
          </w:tcPr>
          <w:p w14:paraId="0012479B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Complications</w:t>
            </w:r>
          </w:p>
        </w:tc>
        <w:tc>
          <w:tcPr>
            <w:tcW w:w="1557" w:type="dxa"/>
            <w:vAlign w:val="bottom"/>
          </w:tcPr>
          <w:p w14:paraId="5851BA6E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IL-6</w:t>
            </w:r>
          </w:p>
        </w:tc>
        <w:tc>
          <w:tcPr>
            <w:tcW w:w="1128" w:type="dxa"/>
            <w:vAlign w:val="bottom"/>
          </w:tcPr>
          <w:p w14:paraId="526A05D9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7</w:t>
            </w:r>
          </w:p>
        </w:tc>
        <w:tc>
          <w:tcPr>
            <w:tcW w:w="1090" w:type="dxa"/>
            <w:vAlign w:val="bottom"/>
          </w:tcPr>
          <w:p w14:paraId="486F2EEC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6C67EC72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037</w:t>
            </w:r>
          </w:p>
        </w:tc>
        <w:tc>
          <w:tcPr>
            <w:tcW w:w="1984" w:type="dxa"/>
            <w:vAlign w:val="bottom"/>
          </w:tcPr>
          <w:p w14:paraId="69E6D403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70958" w:rsidRPr="002F3E7F" w14:paraId="21AC4F3F" w14:textId="77777777" w:rsidTr="00C80FE4">
        <w:tc>
          <w:tcPr>
            <w:tcW w:w="1419" w:type="dxa"/>
            <w:vAlign w:val="bottom"/>
          </w:tcPr>
          <w:p w14:paraId="2882E44D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Complications</w:t>
            </w:r>
          </w:p>
        </w:tc>
        <w:tc>
          <w:tcPr>
            <w:tcW w:w="1557" w:type="dxa"/>
            <w:vAlign w:val="bottom"/>
          </w:tcPr>
          <w:p w14:paraId="407D3411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IL-8</w:t>
            </w:r>
          </w:p>
        </w:tc>
        <w:tc>
          <w:tcPr>
            <w:tcW w:w="1128" w:type="dxa"/>
            <w:vAlign w:val="bottom"/>
          </w:tcPr>
          <w:p w14:paraId="1E433EB4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7</w:t>
            </w:r>
          </w:p>
        </w:tc>
        <w:tc>
          <w:tcPr>
            <w:tcW w:w="1090" w:type="dxa"/>
            <w:vAlign w:val="bottom"/>
          </w:tcPr>
          <w:p w14:paraId="14C940A8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07C22887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078</w:t>
            </w:r>
          </w:p>
        </w:tc>
        <w:tc>
          <w:tcPr>
            <w:tcW w:w="1984" w:type="dxa"/>
            <w:vAlign w:val="bottom"/>
          </w:tcPr>
          <w:p w14:paraId="3E997F10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02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9</w:t>
            </w:r>
          </w:p>
        </w:tc>
      </w:tr>
      <w:tr w:rsidR="00C70958" w:rsidRPr="002F3E7F" w14:paraId="7129DB05" w14:textId="77777777" w:rsidTr="00C80FE4">
        <w:tc>
          <w:tcPr>
            <w:tcW w:w="1419" w:type="dxa"/>
            <w:vAlign w:val="bottom"/>
          </w:tcPr>
          <w:p w14:paraId="6A68F3D5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Complications</w:t>
            </w:r>
          </w:p>
        </w:tc>
        <w:tc>
          <w:tcPr>
            <w:tcW w:w="1557" w:type="dxa"/>
            <w:vAlign w:val="bottom"/>
          </w:tcPr>
          <w:p w14:paraId="575F2B50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INR</w:t>
            </w:r>
          </w:p>
        </w:tc>
        <w:tc>
          <w:tcPr>
            <w:tcW w:w="1128" w:type="dxa"/>
            <w:vAlign w:val="bottom"/>
          </w:tcPr>
          <w:p w14:paraId="790D7C58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7</w:t>
            </w:r>
          </w:p>
        </w:tc>
        <w:tc>
          <w:tcPr>
            <w:tcW w:w="1090" w:type="dxa"/>
            <w:vAlign w:val="bottom"/>
          </w:tcPr>
          <w:p w14:paraId="15682579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57723CD7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08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1984" w:type="dxa"/>
            <w:vAlign w:val="bottom"/>
          </w:tcPr>
          <w:p w14:paraId="5494F28D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70958" w:rsidRPr="002F3E7F" w14:paraId="647C3B64" w14:textId="77777777" w:rsidTr="00C80FE4">
        <w:tc>
          <w:tcPr>
            <w:tcW w:w="1419" w:type="dxa"/>
            <w:vAlign w:val="bottom"/>
          </w:tcPr>
          <w:p w14:paraId="6DC439D0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PHLF_num</w:t>
            </w:r>
            <w:proofErr w:type="spellEnd"/>
          </w:p>
        </w:tc>
        <w:tc>
          <w:tcPr>
            <w:tcW w:w="1557" w:type="dxa"/>
            <w:vAlign w:val="bottom"/>
          </w:tcPr>
          <w:p w14:paraId="1BEAC917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Bilirubin</w:t>
            </w:r>
          </w:p>
        </w:tc>
        <w:tc>
          <w:tcPr>
            <w:tcW w:w="1128" w:type="dxa"/>
            <w:vAlign w:val="bottom"/>
          </w:tcPr>
          <w:p w14:paraId="193139D2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1090" w:type="dxa"/>
            <w:vAlign w:val="bottom"/>
          </w:tcPr>
          <w:p w14:paraId="1083E530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2EFC293F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02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1984" w:type="dxa"/>
            <w:vAlign w:val="bottom"/>
          </w:tcPr>
          <w:p w14:paraId="1AC72251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022</w:t>
            </w:r>
          </w:p>
        </w:tc>
      </w:tr>
      <w:tr w:rsidR="00C70958" w:rsidRPr="002F3E7F" w14:paraId="6A4FCA54" w14:textId="77777777" w:rsidTr="00C80FE4">
        <w:tc>
          <w:tcPr>
            <w:tcW w:w="1419" w:type="dxa"/>
            <w:vAlign w:val="bottom"/>
          </w:tcPr>
          <w:p w14:paraId="0CFF4D7D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PHLF_num</w:t>
            </w:r>
            <w:proofErr w:type="spellEnd"/>
          </w:p>
        </w:tc>
        <w:tc>
          <w:tcPr>
            <w:tcW w:w="1557" w:type="dxa"/>
            <w:vAlign w:val="bottom"/>
          </w:tcPr>
          <w:p w14:paraId="394C65F0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Bilirubin</w:t>
            </w:r>
          </w:p>
        </w:tc>
        <w:tc>
          <w:tcPr>
            <w:tcW w:w="1128" w:type="dxa"/>
            <w:vAlign w:val="bottom"/>
          </w:tcPr>
          <w:p w14:paraId="42EF8480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3</w:t>
            </w:r>
          </w:p>
        </w:tc>
        <w:tc>
          <w:tcPr>
            <w:tcW w:w="1090" w:type="dxa"/>
            <w:vAlign w:val="bottom"/>
          </w:tcPr>
          <w:p w14:paraId="79BAF3F2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142D75C4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08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1984" w:type="dxa"/>
            <w:vAlign w:val="bottom"/>
          </w:tcPr>
          <w:p w14:paraId="2F0B9494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022</w:t>
            </w:r>
          </w:p>
        </w:tc>
      </w:tr>
      <w:tr w:rsidR="00C70958" w:rsidRPr="002F3E7F" w14:paraId="56C63A6D" w14:textId="77777777" w:rsidTr="00C80FE4">
        <w:tc>
          <w:tcPr>
            <w:tcW w:w="1419" w:type="dxa"/>
            <w:vAlign w:val="bottom"/>
          </w:tcPr>
          <w:p w14:paraId="1211ED2F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PHLF_num</w:t>
            </w:r>
            <w:proofErr w:type="spellEnd"/>
          </w:p>
        </w:tc>
        <w:tc>
          <w:tcPr>
            <w:tcW w:w="1557" w:type="dxa"/>
            <w:vAlign w:val="bottom"/>
          </w:tcPr>
          <w:p w14:paraId="54C4D06E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Bilirubin</w:t>
            </w:r>
          </w:p>
        </w:tc>
        <w:tc>
          <w:tcPr>
            <w:tcW w:w="1128" w:type="dxa"/>
            <w:vAlign w:val="bottom"/>
          </w:tcPr>
          <w:p w14:paraId="1D7CFA2F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7</w:t>
            </w:r>
          </w:p>
        </w:tc>
        <w:tc>
          <w:tcPr>
            <w:tcW w:w="1090" w:type="dxa"/>
            <w:vAlign w:val="bottom"/>
          </w:tcPr>
          <w:p w14:paraId="5E9697F7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5250D617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015</w:t>
            </w:r>
          </w:p>
        </w:tc>
        <w:tc>
          <w:tcPr>
            <w:tcW w:w="1984" w:type="dxa"/>
            <w:vAlign w:val="bottom"/>
          </w:tcPr>
          <w:p w14:paraId="023217C3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0052</w:t>
            </w:r>
          </w:p>
        </w:tc>
      </w:tr>
      <w:tr w:rsidR="00C70958" w:rsidRPr="002F3E7F" w14:paraId="2DD0138E" w14:textId="77777777" w:rsidTr="00C80FE4">
        <w:tc>
          <w:tcPr>
            <w:tcW w:w="1419" w:type="dxa"/>
            <w:vAlign w:val="bottom"/>
          </w:tcPr>
          <w:p w14:paraId="0DBC5659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PHLF_num</w:t>
            </w:r>
            <w:proofErr w:type="spellEnd"/>
          </w:p>
        </w:tc>
        <w:tc>
          <w:tcPr>
            <w:tcW w:w="1557" w:type="dxa"/>
            <w:vAlign w:val="bottom"/>
          </w:tcPr>
          <w:p w14:paraId="0D494A49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Platelets</w:t>
            </w:r>
          </w:p>
        </w:tc>
        <w:tc>
          <w:tcPr>
            <w:tcW w:w="1128" w:type="dxa"/>
            <w:vAlign w:val="bottom"/>
          </w:tcPr>
          <w:p w14:paraId="4FB37D9A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7</w:t>
            </w:r>
          </w:p>
        </w:tc>
        <w:tc>
          <w:tcPr>
            <w:tcW w:w="1090" w:type="dxa"/>
            <w:vAlign w:val="bottom"/>
          </w:tcPr>
          <w:p w14:paraId="33E667CB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2928B156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017</w:t>
            </w:r>
          </w:p>
        </w:tc>
        <w:tc>
          <w:tcPr>
            <w:tcW w:w="1984" w:type="dxa"/>
            <w:vAlign w:val="bottom"/>
          </w:tcPr>
          <w:p w14:paraId="1927FAE0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70958" w:rsidRPr="002F3E7F" w14:paraId="435D9AAC" w14:textId="77777777" w:rsidTr="00C80FE4">
        <w:tc>
          <w:tcPr>
            <w:tcW w:w="1419" w:type="dxa"/>
            <w:vAlign w:val="bottom"/>
          </w:tcPr>
          <w:p w14:paraId="228B008F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PHLF_num</w:t>
            </w:r>
            <w:proofErr w:type="spellEnd"/>
          </w:p>
        </w:tc>
        <w:tc>
          <w:tcPr>
            <w:tcW w:w="1557" w:type="dxa"/>
            <w:vAlign w:val="bottom"/>
          </w:tcPr>
          <w:p w14:paraId="49A13CD9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Kreatinin</w:t>
            </w:r>
            <w:proofErr w:type="spellEnd"/>
          </w:p>
        </w:tc>
        <w:tc>
          <w:tcPr>
            <w:tcW w:w="1128" w:type="dxa"/>
            <w:vAlign w:val="bottom"/>
          </w:tcPr>
          <w:p w14:paraId="49A834F0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7</w:t>
            </w:r>
          </w:p>
        </w:tc>
        <w:tc>
          <w:tcPr>
            <w:tcW w:w="1090" w:type="dxa"/>
            <w:vAlign w:val="bottom"/>
          </w:tcPr>
          <w:p w14:paraId="5503A870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0861B4F2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078</w:t>
            </w:r>
          </w:p>
        </w:tc>
        <w:tc>
          <w:tcPr>
            <w:tcW w:w="1984" w:type="dxa"/>
            <w:vAlign w:val="bottom"/>
          </w:tcPr>
          <w:p w14:paraId="27675CBE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70958" w:rsidRPr="002F3E7F" w14:paraId="10B5756B" w14:textId="77777777" w:rsidTr="00C80FE4">
        <w:tc>
          <w:tcPr>
            <w:tcW w:w="1419" w:type="dxa"/>
            <w:vAlign w:val="bottom"/>
          </w:tcPr>
          <w:p w14:paraId="7903946B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Blood loss</w:t>
            </w:r>
          </w:p>
        </w:tc>
        <w:tc>
          <w:tcPr>
            <w:tcW w:w="1557" w:type="dxa"/>
            <w:vAlign w:val="bottom"/>
          </w:tcPr>
          <w:p w14:paraId="1961C835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EGF</w:t>
            </w:r>
          </w:p>
        </w:tc>
        <w:tc>
          <w:tcPr>
            <w:tcW w:w="1128" w:type="dxa"/>
            <w:vAlign w:val="bottom"/>
          </w:tcPr>
          <w:p w14:paraId="574A4C21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7</w:t>
            </w:r>
          </w:p>
        </w:tc>
        <w:tc>
          <w:tcPr>
            <w:tcW w:w="1090" w:type="dxa"/>
            <w:vAlign w:val="bottom"/>
          </w:tcPr>
          <w:p w14:paraId="585774A4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2E228B93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012</w:t>
            </w:r>
          </w:p>
        </w:tc>
        <w:tc>
          <w:tcPr>
            <w:tcW w:w="1984" w:type="dxa"/>
            <w:vAlign w:val="bottom"/>
          </w:tcPr>
          <w:p w14:paraId="7E5151A0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70958" w:rsidRPr="002F3E7F" w14:paraId="6C4C50FE" w14:textId="77777777" w:rsidTr="00C80FE4">
        <w:tc>
          <w:tcPr>
            <w:tcW w:w="1419" w:type="dxa"/>
            <w:vAlign w:val="bottom"/>
          </w:tcPr>
          <w:p w14:paraId="1C663AF4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Blood loss</w:t>
            </w:r>
          </w:p>
        </w:tc>
        <w:tc>
          <w:tcPr>
            <w:tcW w:w="1557" w:type="dxa"/>
            <w:vAlign w:val="bottom"/>
          </w:tcPr>
          <w:p w14:paraId="18F05525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ALT</w:t>
            </w:r>
          </w:p>
        </w:tc>
        <w:tc>
          <w:tcPr>
            <w:tcW w:w="1128" w:type="dxa"/>
            <w:vAlign w:val="bottom"/>
          </w:tcPr>
          <w:p w14:paraId="56FF3040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-1</w:t>
            </w:r>
          </w:p>
        </w:tc>
        <w:tc>
          <w:tcPr>
            <w:tcW w:w="1090" w:type="dxa"/>
            <w:vAlign w:val="bottom"/>
          </w:tcPr>
          <w:p w14:paraId="16EAEFDA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4E00478D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1984" w:type="dxa"/>
            <w:vAlign w:val="bottom"/>
          </w:tcPr>
          <w:p w14:paraId="7BC5BF64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70958" w:rsidRPr="002F3E7F" w14:paraId="3B48F38B" w14:textId="77777777" w:rsidTr="00C80FE4">
        <w:tc>
          <w:tcPr>
            <w:tcW w:w="1419" w:type="dxa"/>
            <w:vAlign w:val="bottom"/>
          </w:tcPr>
          <w:p w14:paraId="46CC0F3E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Blood loss</w:t>
            </w:r>
          </w:p>
        </w:tc>
        <w:tc>
          <w:tcPr>
            <w:tcW w:w="1557" w:type="dxa"/>
            <w:vAlign w:val="bottom"/>
          </w:tcPr>
          <w:p w14:paraId="1D7197D1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Hb</w:t>
            </w:r>
          </w:p>
        </w:tc>
        <w:tc>
          <w:tcPr>
            <w:tcW w:w="1128" w:type="dxa"/>
            <w:vAlign w:val="bottom"/>
          </w:tcPr>
          <w:p w14:paraId="29D9DBAF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1090" w:type="dxa"/>
            <w:vAlign w:val="bottom"/>
          </w:tcPr>
          <w:p w14:paraId="25CD893D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5916B9A2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06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7</w:t>
            </w:r>
          </w:p>
        </w:tc>
        <w:tc>
          <w:tcPr>
            <w:tcW w:w="1984" w:type="dxa"/>
            <w:vAlign w:val="bottom"/>
          </w:tcPr>
          <w:p w14:paraId="57DC58D6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70958" w:rsidRPr="002F3E7F" w14:paraId="5DF262FC" w14:textId="77777777" w:rsidTr="00C80FE4">
        <w:tc>
          <w:tcPr>
            <w:tcW w:w="1419" w:type="dxa"/>
            <w:vAlign w:val="bottom"/>
          </w:tcPr>
          <w:p w14:paraId="78B3E140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Blood loss</w:t>
            </w:r>
          </w:p>
        </w:tc>
        <w:tc>
          <w:tcPr>
            <w:tcW w:w="1557" w:type="dxa"/>
            <w:vAlign w:val="bottom"/>
          </w:tcPr>
          <w:p w14:paraId="27D55893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Platelets</w:t>
            </w:r>
          </w:p>
        </w:tc>
        <w:tc>
          <w:tcPr>
            <w:tcW w:w="1128" w:type="dxa"/>
            <w:vAlign w:val="bottom"/>
          </w:tcPr>
          <w:p w14:paraId="3EB3D0DA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7</w:t>
            </w:r>
          </w:p>
        </w:tc>
        <w:tc>
          <w:tcPr>
            <w:tcW w:w="1090" w:type="dxa"/>
            <w:vAlign w:val="bottom"/>
          </w:tcPr>
          <w:p w14:paraId="135FFFAF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64E090CC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065</w:t>
            </w:r>
          </w:p>
        </w:tc>
        <w:tc>
          <w:tcPr>
            <w:tcW w:w="1984" w:type="dxa"/>
            <w:vAlign w:val="bottom"/>
          </w:tcPr>
          <w:p w14:paraId="161FD31B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70958" w:rsidRPr="002F3E7F" w14:paraId="4B371F98" w14:textId="77777777" w:rsidTr="00C80FE4">
        <w:tc>
          <w:tcPr>
            <w:tcW w:w="1419" w:type="dxa"/>
            <w:vAlign w:val="bottom"/>
          </w:tcPr>
          <w:p w14:paraId="36CC55E2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CA 19-9</w:t>
            </w:r>
          </w:p>
        </w:tc>
        <w:tc>
          <w:tcPr>
            <w:tcW w:w="1557" w:type="dxa"/>
            <w:vAlign w:val="bottom"/>
          </w:tcPr>
          <w:p w14:paraId="58078E00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Platelets</w:t>
            </w:r>
          </w:p>
        </w:tc>
        <w:tc>
          <w:tcPr>
            <w:tcW w:w="1128" w:type="dxa"/>
            <w:vAlign w:val="bottom"/>
          </w:tcPr>
          <w:p w14:paraId="34DF7A1B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-1</w:t>
            </w:r>
          </w:p>
        </w:tc>
        <w:tc>
          <w:tcPr>
            <w:tcW w:w="1090" w:type="dxa"/>
            <w:vAlign w:val="bottom"/>
          </w:tcPr>
          <w:p w14:paraId="7C5C2B0E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76ECC2B3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08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4</w:t>
            </w:r>
          </w:p>
        </w:tc>
        <w:tc>
          <w:tcPr>
            <w:tcW w:w="1984" w:type="dxa"/>
            <w:vAlign w:val="bottom"/>
          </w:tcPr>
          <w:p w14:paraId="73F64EBA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70958" w:rsidRPr="002F3E7F" w14:paraId="59047F90" w14:textId="77777777" w:rsidTr="00C80FE4">
        <w:tc>
          <w:tcPr>
            <w:tcW w:w="1419" w:type="dxa"/>
            <w:vAlign w:val="bottom"/>
          </w:tcPr>
          <w:p w14:paraId="1CC3E4F6" w14:textId="356FB1E2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HG</w:t>
            </w:r>
            <w:r w:rsidR="008F359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F</w:t>
            </w:r>
          </w:p>
        </w:tc>
        <w:tc>
          <w:tcPr>
            <w:tcW w:w="1557" w:type="dxa"/>
            <w:vAlign w:val="bottom"/>
          </w:tcPr>
          <w:p w14:paraId="22336392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IL-6</w:t>
            </w:r>
          </w:p>
        </w:tc>
        <w:tc>
          <w:tcPr>
            <w:tcW w:w="1128" w:type="dxa"/>
            <w:vAlign w:val="bottom"/>
          </w:tcPr>
          <w:p w14:paraId="287FA657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3</w:t>
            </w:r>
          </w:p>
        </w:tc>
        <w:tc>
          <w:tcPr>
            <w:tcW w:w="1090" w:type="dxa"/>
            <w:vAlign w:val="bottom"/>
          </w:tcPr>
          <w:p w14:paraId="441D2A54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2DEDA060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022</w:t>
            </w:r>
          </w:p>
        </w:tc>
        <w:tc>
          <w:tcPr>
            <w:tcW w:w="1984" w:type="dxa"/>
            <w:vAlign w:val="bottom"/>
          </w:tcPr>
          <w:p w14:paraId="102E3DC6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073</w:t>
            </w:r>
          </w:p>
        </w:tc>
      </w:tr>
      <w:tr w:rsidR="00C70958" w:rsidRPr="002F3E7F" w14:paraId="502DC103" w14:textId="77777777" w:rsidTr="00C80FE4">
        <w:tc>
          <w:tcPr>
            <w:tcW w:w="1419" w:type="dxa"/>
            <w:vAlign w:val="bottom"/>
          </w:tcPr>
          <w:p w14:paraId="1C9E9EB7" w14:textId="67A5301A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HG</w:t>
            </w:r>
            <w:r w:rsidR="008F3592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F</w:t>
            </w:r>
          </w:p>
        </w:tc>
        <w:tc>
          <w:tcPr>
            <w:tcW w:w="1557" w:type="dxa"/>
            <w:vAlign w:val="bottom"/>
          </w:tcPr>
          <w:p w14:paraId="0C3B9F6F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IL-6</w:t>
            </w:r>
          </w:p>
        </w:tc>
        <w:tc>
          <w:tcPr>
            <w:tcW w:w="1128" w:type="dxa"/>
            <w:vAlign w:val="bottom"/>
          </w:tcPr>
          <w:p w14:paraId="66602DB4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7</w:t>
            </w:r>
          </w:p>
        </w:tc>
        <w:tc>
          <w:tcPr>
            <w:tcW w:w="1090" w:type="dxa"/>
            <w:vAlign w:val="bottom"/>
          </w:tcPr>
          <w:p w14:paraId="12C63E11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5A47C653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0007</w:t>
            </w:r>
          </w:p>
        </w:tc>
        <w:tc>
          <w:tcPr>
            <w:tcW w:w="1984" w:type="dxa"/>
            <w:vAlign w:val="bottom"/>
          </w:tcPr>
          <w:p w14:paraId="0E90482E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70958" w:rsidRPr="002F3E7F" w14:paraId="6A390347" w14:textId="77777777" w:rsidTr="00C80FE4">
        <w:tc>
          <w:tcPr>
            <w:tcW w:w="1419" w:type="dxa"/>
            <w:vAlign w:val="bottom"/>
          </w:tcPr>
          <w:p w14:paraId="065261B1" w14:textId="41BD93EE" w:rsidR="00C70958" w:rsidRPr="00A02013" w:rsidRDefault="008F3592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HG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F</w:t>
            </w:r>
          </w:p>
        </w:tc>
        <w:tc>
          <w:tcPr>
            <w:tcW w:w="1557" w:type="dxa"/>
            <w:vAlign w:val="bottom"/>
          </w:tcPr>
          <w:p w14:paraId="217A6F5C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IL-8</w:t>
            </w:r>
          </w:p>
        </w:tc>
        <w:tc>
          <w:tcPr>
            <w:tcW w:w="1128" w:type="dxa"/>
            <w:vAlign w:val="bottom"/>
          </w:tcPr>
          <w:p w14:paraId="710EEEC4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-1</w:t>
            </w:r>
          </w:p>
        </w:tc>
        <w:tc>
          <w:tcPr>
            <w:tcW w:w="1090" w:type="dxa"/>
            <w:vAlign w:val="bottom"/>
          </w:tcPr>
          <w:p w14:paraId="64EAC6F1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1DDF0191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006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1984" w:type="dxa"/>
            <w:vAlign w:val="bottom"/>
          </w:tcPr>
          <w:p w14:paraId="0F4BCE60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022</w:t>
            </w:r>
          </w:p>
        </w:tc>
      </w:tr>
      <w:tr w:rsidR="00C70958" w:rsidRPr="002F3E7F" w14:paraId="71480941" w14:textId="77777777" w:rsidTr="00C80FE4">
        <w:tc>
          <w:tcPr>
            <w:tcW w:w="1419" w:type="dxa"/>
            <w:vAlign w:val="bottom"/>
          </w:tcPr>
          <w:p w14:paraId="283FA2CC" w14:textId="7ADAD7CF" w:rsidR="00C70958" w:rsidRPr="00A02013" w:rsidRDefault="008F3592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HG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F</w:t>
            </w:r>
          </w:p>
        </w:tc>
        <w:tc>
          <w:tcPr>
            <w:tcW w:w="1557" w:type="dxa"/>
            <w:vAlign w:val="bottom"/>
          </w:tcPr>
          <w:p w14:paraId="2C552415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IL-8</w:t>
            </w:r>
          </w:p>
        </w:tc>
        <w:tc>
          <w:tcPr>
            <w:tcW w:w="1128" w:type="dxa"/>
            <w:vAlign w:val="bottom"/>
          </w:tcPr>
          <w:p w14:paraId="59560767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3</w:t>
            </w:r>
          </w:p>
        </w:tc>
        <w:tc>
          <w:tcPr>
            <w:tcW w:w="1090" w:type="dxa"/>
            <w:vAlign w:val="bottom"/>
          </w:tcPr>
          <w:p w14:paraId="5466E916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0B08D5B3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0062</w:t>
            </w:r>
          </w:p>
        </w:tc>
        <w:tc>
          <w:tcPr>
            <w:tcW w:w="1984" w:type="dxa"/>
            <w:vAlign w:val="bottom"/>
          </w:tcPr>
          <w:p w14:paraId="6CFAEC4C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70958" w:rsidRPr="002F3E7F" w14:paraId="226E4234" w14:textId="77777777" w:rsidTr="00C80FE4">
        <w:tc>
          <w:tcPr>
            <w:tcW w:w="1419" w:type="dxa"/>
            <w:vAlign w:val="bottom"/>
          </w:tcPr>
          <w:p w14:paraId="7398074F" w14:textId="710A10E3" w:rsidR="00C70958" w:rsidRPr="00A02013" w:rsidRDefault="008F3592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HG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F</w:t>
            </w:r>
          </w:p>
        </w:tc>
        <w:tc>
          <w:tcPr>
            <w:tcW w:w="1557" w:type="dxa"/>
            <w:vAlign w:val="bottom"/>
          </w:tcPr>
          <w:p w14:paraId="2A5D55EA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IL-8</w:t>
            </w:r>
          </w:p>
        </w:tc>
        <w:tc>
          <w:tcPr>
            <w:tcW w:w="1128" w:type="dxa"/>
            <w:vAlign w:val="bottom"/>
          </w:tcPr>
          <w:p w14:paraId="59B5C15B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7</w:t>
            </w:r>
          </w:p>
        </w:tc>
        <w:tc>
          <w:tcPr>
            <w:tcW w:w="1090" w:type="dxa"/>
            <w:vAlign w:val="bottom"/>
          </w:tcPr>
          <w:p w14:paraId="2CC7A79C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0275E690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0022</w:t>
            </w:r>
          </w:p>
        </w:tc>
        <w:tc>
          <w:tcPr>
            <w:tcW w:w="1984" w:type="dxa"/>
            <w:vAlign w:val="bottom"/>
          </w:tcPr>
          <w:p w14:paraId="001AE275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70958" w:rsidRPr="002F3E7F" w14:paraId="772CFC28" w14:textId="77777777" w:rsidTr="00C80FE4">
        <w:tc>
          <w:tcPr>
            <w:tcW w:w="1419" w:type="dxa"/>
            <w:vAlign w:val="bottom"/>
          </w:tcPr>
          <w:p w14:paraId="7AEE88FE" w14:textId="10CC4103" w:rsidR="00C70958" w:rsidRPr="00A02013" w:rsidRDefault="008F3592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HG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F</w:t>
            </w:r>
          </w:p>
        </w:tc>
        <w:tc>
          <w:tcPr>
            <w:tcW w:w="1557" w:type="dxa"/>
            <w:vAlign w:val="bottom"/>
          </w:tcPr>
          <w:p w14:paraId="2C0A6C7D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CRP</w:t>
            </w:r>
          </w:p>
        </w:tc>
        <w:tc>
          <w:tcPr>
            <w:tcW w:w="1128" w:type="dxa"/>
            <w:vAlign w:val="bottom"/>
          </w:tcPr>
          <w:p w14:paraId="26F0C6C3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7</w:t>
            </w:r>
          </w:p>
        </w:tc>
        <w:tc>
          <w:tcPr>
            <w:tcW w:w="1090" w:type="dxa"/>
            <w:vAlign w:val="bottom"/>
          </w:tcPr>
          <w:p w14:paraId="7E05E806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43A32F6E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08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1984" w:type="dxa"/>
            <w:vAlign w:val="bottom"/>
          </w:tcPr>
          <w:p w14:paraId="665F7589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70958" w:rsidRPr="002F3E7F" w14:paraId="08D481E4" w14:textId="77777777" w:rsidTr="00C80FE4">
        <w:tc>
          <w:tcPr>
            <w:tcW w:w="1419" w:type="dxa"/>
            <w:vAlign w:val="bottom"/>
          </w:tcPr>
          <w:p w14:paraId="13D2803F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IL-6</w:t>
            </w:r>
          </w:p>
        </w:tc>
        <w:tc>
          <w:tcPr>
            <w:tcW w:w="1557" w:type="dxa"/>
            <w:vAlign w:val="bottom"/>
          </w:tcPr>
          <w:p w14:paraId="0D8EB227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IL-8</w:t>
            </w:r>
          </w:p>
        </w:tc>
        <w:tc>
          <w:tcPr>
            <w:tcW w:w="1128" w:type="dxa"/>
            <w:vAlign w:val="bottom"/>
          </w:tcPr>
          <w:p w14:paraId="36553DA9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-1</w:t>
            </w:r>
          </w:p>
        </w:tc>
        <w:tc>
          <w:tcPr>
            <w:tcW w:w="1090" w:type="dxa"/>
            <w:vAlign w:val="bottom"/>
          </w:tcPr>
          <w:p w14:paraId="7F2B5EC6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3DDFBEBA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07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8</w:t>
            </w:r>
          </w:p>
        </w:tc>
        <w:tc>
          <w:tcPr>
            <w:tcW w:w="1984" w:type="dxa"/>
            <w:vAlign w:val="bottom"/>
          </w:tcPr>
          <w:p w14:paraId="4BA4B585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70958" w:rsidRPr="002F3E7F" w14:paraId="73333C94" w14:textId="77777777" w:rsidTr="00C80FE4">
        <w:tc>
          <w:tcPr>
            <w:tcW w:w="1419" w:type="dxa"/>
            <w:vAlign w:val="bottom"/>
          </w:tcPr>
          <w:p w14:paraId="5B87C1BF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IL-6</w:t>
            </w:r>
          </w:p>
        </w:tc>
        <w:tc>
          <w:tcPr>
            <w:tcW w:w="1557" w:type="dxa"/>
            <w:vAlign w:val="bottom"/>
          </w:tcPr>
          <w:p w14:paraId="0220A5E4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IL-8</w:t>
            </w:r>
          </w:p>
        </w:tc>
        <w:tc>
          <w:tcPr>
            <w:tcW w:w="1128" w:type="dxa"/>
            <w:vAlign w:val="bottom"/>
          </w:tcPr>
          <w:p w14:paraId="3988C5B7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1090" w:type="dxa"/>
            <w:vAlign w:val="bottom"/>
          </w:tcPr>
          <w:p w14:paraId="4F15C590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11490C1E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0062</w:t>
            </w:r>
          </w:p>
        </w:tc>
        <w:tc>
          <w:tcPr>
            <w:tcW w:w="1984" w:type="dxa"/>
            <w:vAlign w:val="bottom"/>
          </w:tcPr>
          <w:p w14:paraId="3A629678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70958" w:rsidRPr="002F3E7F" w14:paraId="7D1E83DE" w14:textId="77777777" w:rsidTr="00C80FE4">
        <w:tc>
          <w:tcPr>
            <w:tcW w:w="1419" w:type="dxa"/>
            <w:vAlign w:val="bottom"/>
          </w:tcPr>
          <w:p w14:paraId="0FA7E272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IL-6</w:t>
            </w:r>
          </w:p>
        </w:tc>
        <w:tc>
          <w:tcPr>
            <w:tcW w:w="1557" w:type="dxa"/>
            <w:vAlign w:val="bottom"/>
          </w:tcPr>
          <w:p w14:paraId="36A6D973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IL-8</w:t>
            </w:r>
          </w:p>
        </w:tc>
        <w:tc>
          <w:tcPr>
            <w:tcW w:w="1128" w:type="dxa"/>
            <w:vAlign w:val="bottom"/>
          </w:tcPr>
          <w:p w14:paraId="39F0E6CC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3</w:t>
            </w:r>
          </w:p>
        </w:tc>
        <w:tc>
          <w:tcPr>
            <w:tcW w:w="1090" w:type="dxa"/>
            <w:vAlign w:val="bottom"/>
          </w:tcPr>
          <w:p w14:paraId="69D2E7AA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5B0E5081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0002</w:t>
            </w:r>
          </w:p>
        </w:tc>
        <w:tc>
          <w:tcPr>
            <w:tcW w:w="1984" w:type="dxa"/>
            <w:vAlign w:val="bottom"/>
          </w:tcPr>
          <w:p w14:paraId="4F334658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022</w:t>
            </w:r>
          </w:p>
        </w:tc>
      </w:tr>
      <w:tr w:rsidR="00C70958" w:rsidRPr="002F3E7F" w14:paraId="102AE5EA" w14:textId="77777777" w:rsidTr="00C80FE4">
        <w:tc>
          <w:tcPr>
            <w:tcW w:w="1419" w:type="dxa"/>
            <w:vAlign w:val="bottom"/>
          </w:tcPr>
          <w:p w14:paraId="16B5DD0D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IL-6</w:t>
            </w:r>
          </w:p>
        </w:tc>
        <w:tc>
          <w:tcPr>
            <w:tcW w:w="1557" w:type="dxa"/>
            <w:vAlign w:val="bottom"/>
          </w:tcPr>
          <w:p w14:paraId="59EE09DF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IL-8</w:t>
            </w:r>
          </w:p>
        </w:tc>
        <w:tc>
          <w:tcPr>
            <w:tcW w:w="1128" w:type="dxa"/>
            <w:vAlign w:val="bottom"/>
          </w:tcPr>
          <w:p w14:paraId="1BFD9B29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7</w:t>
            </w:r>
          </w:p>
        </w:tc>
        <w:tc>
          <w:tcPr>
            <w:tcW w:w="1090" w:type="dxa"/>
            <w:vAlign w:val="bottom"/>
          </w:tcPr>
          <w:p w14:paraId="6B3643FE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1BDB47C9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0000</w:t>
            </w:r>
          </w:p>
        </w:tc>
        <w:tc>
          <w:tcPr>
            <w:tcW w:w="1984" w:type="dxa"/>
            <w:vAlign w:val="bottom"/>
          </w:tcPr>
          <w:p w14:paraId="465D9BB2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6</w:t>
            </w:r>
          </w:p>
        </w:tc>
      </w:tr>
      <w:tr w:rsidR="00C70958" w:rsidRPr="002F3E7F" w14:paraId="61CC41ED" w14:textId="77777777" w:rsidTr="00C80FE4">
        <w:tc>
          <w:tcPr>
            <w:tcW w:w="1419" w:type="dxa"/>
            <w:vAlign w:val="bottom"/>
          </w:tcPr>
          <w:p w14:paraId="58C30B36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IL-6</w:t>
            </w:r>
          </w:p>
        </w:tc>
        <w:tc>
          <w:tcPr>
            <w:tcW w:w="1557" w:type="dxa"/>
            <w:vAlign w:val="bottom"/>
          </w:tcPr>
          <w:p w14:paraId="4D920237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CRP</w:t>
            </w:r>
          </w:p>
        </w:tc>
        <w:tc>
          <w:tcPr>
            <w:tcW w:w="1128" w:type="dxa"/>
            <w:vAlign w:val="bottom"/>
          </w:tcPr>
          <w:p w14:paraId="756BCB86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7</w:t>
            </w:r>
          </w:p>
        </w:tc>
        <w:tc>
          <w:tcPr>
            <w:tcW w:w="1090" w:type="dxa"/>
            <w:vAlign w:val="bottom"/>
          </w:tcPr>
          <w:p w14:paraId="436BC1D3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17F79618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031</w:t>
            </w:r>
          </w:p>
        </w:tc>
        <w:tc>
          <w:tcPr>
            <w:tcW w:w="1984" w:type="dxa"/>
            <w:vAlign w:val="bottom"/>
          </w:tcPr>
          <w:p w14:paraId="1045D36A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70958" w:rsidRPr="002F3E7F" w14:paraId="212E5E60" w14:textId="77777777" w:rsidTr="00C80FE4">
        <w:tc>
          <w:tcPr>
            <w:tcW w:w="1419" w:type="dxa"/>
            <w:vAlign w:val="bottom"/>
          </w:tcPr>
          <w:p w14:paraId="740A18AE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IL-8</w:t>
            </w:r>
          </w:p>
        </w:tc>
        <w:tc>
          <w:tcPr>
            <w:tcW w:w="1557" w:type="dxa"/>
            <w:vAlign w:val="bottom"/>
          </w:tcPr>
          <w:p w14:paraId="4261C784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VEGF</w:t>
            </w:r>
          </w:p>
        </w:tc>
        <w:tc>
          <w:tcPr>
            <w:tcW w:w="1128" w:type="dxa"/>
            <w:vAlign w:val="bottom"/>
          </w:tcPr>
          <w:p w14:paraId="3C2FF9FB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-1</w:t>
            </w:r>
          </w:p>
        </w:tc>
        <w:tc>
          <w:tcPr>
            <w:tcW w:w="1090" w:type="dxa"/>
            <w:vAlign w:val="bottom"/>
          </w:tcPr>
          <w:p w14:paraId="1795E2A9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6C252404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031</w:t>
            </w:r>
          </w:p>
        </w:tc>
        <w:tc>
          <w:tcPr>
            <w:tcW w:w="1984" w:type="dxa"/>
            <w:vAlign w:val="bottom"/>
          </w:tcPr>
          <w:p w14:paraId="67E39740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70958" w:rsidRPr="002F3E7F" w14:paraId="21A85588" w14:textId="77777777" w:rsidTr="00C80FE4">
        <w:tc>
          <w:tcPr>
            <w:tcW w:w="1419" w:type="dxa"/>
            <w:vAlign w:val="bottom"/>
          </w:tcPr>
          <w:p w14:paraId="0AE7407A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IL-8</w:t>
            </w:r>
          </w:p>
        </w:tc>
        <w:tc>
          <w:tcPr>
            <w:tcW w:w="1557" w:type="dxa"/>
            <w:vAlign w:val="bottom"/>
          </w:tcPr>
          <w:p w14:paraId="64A13341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AP</w:t>
            </w:r>
          </w:p>
        </w:tc>
        <w:tc>
          <w:tcPr>
            <w:tcW w:w="1128" w:type="dxa"/>
            <w:vAlign w:val="bottom"/>
          </w:tcPr>
          <w:p w14:paraId="17382187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-1</w:t>
            </w:r>
          </w:p>
        </w:tc>
        <w:tc>
          <w:tcPr>
            <w:tcW w:w="1090" w:type="dxa"/>
            <w:vAlign w:val="bottom"/>
          </w:tcPr>
          <w:p w14:paraId="5F6AF482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25330F79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08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1984" w:type="dxa"/>
            <w:vAlign w:val="bottom"/>
          </w:tcPr>
          <w:p w14:paraId="32E54C2E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3</w:t>
            </w:r>
          </w:p>
        </w:tc>
      </w:tr>
      <w:tr w:rsidR="00C70958" w:rsidRPr="002F3E7F" w14:paraId="2F2C2566" w14:textId="77777777" w:rsidTr="00C80FE4">
        <w:tc>
          <w:tcPr>
            <w:tcW w:w="1419" w:type="dxa"/>
            <w:vAlign w:val="bottom"/>
          </w:tcPr>
          <w:p w14:paraId="51E60D8F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IL-8</w:t>
            </w:r>
          </w:p>
        </w:tc>
        <w:tc>
          <w:tcPr>
            <w:tcW w:w="1557" w:type="dxa"/>
            <w:vAlign w:val="bottom"/>
          </w:tcPr>
          <w:p w14:paraId="01A307E9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Bilirubin</w:t>
            </w:r>
          </w:p>
        </w:tc>
        <w:tc>
          <w:tcPr>
            <w:tcW w:w="1128" w:type="dxa"/>
            <w:vAlign w:val="bottom"/>
          </w:tcPr>
          <w:p w14:paraId="66732AC4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3</w:t>
            </w:r>
          </w:p>
        </w:tc>
        <w:tc>
          <w:tcPr>
            <w:tcW w:w="1090" w:type="dxa"/>
            <w:vAlign w:val="bottom"/>
          </w:tcPr>
          <w:p w14:paraId="6B3C9916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0EC9DE47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091</w:t>
            </w:r>
          </w:p>
        </w:tc>
        <w:tc>
          <w:tcPr>
            <w:tcW w:w="1984" w:type="dxa"/>
            <w:vAlign w:val="bottom"/>
          </w:tcPr>
          <w:p w14:paraId="7160F1E0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085</w:t>
            </w:r>
          </w:p>
        </w:tc>
      </w:tr>
      <w:tr w:rsidR="00C70958" w:rsidRPr="002F3E7F" w14:paraId="78BA53DB" w14:textId="77777777" w:rsidTr="00C80FE4">
        <w:tc>
          <w:tcPr>
            <w:tcW w:w="1419" w:type="dxa"/>
            <w:vAlign w:val="bottom"/>
          </w:tcPr>
          <w:p w14:paraId="4BA379D1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VEGF</w:t>
            </w:r>
          </w:p>
        </w:tc>
        <w:tc>
          <w:tcPr>
            <w:tcW w:w="1557" w:type="dxa"/>
            <w:vAlign w:val="bottom"/>
          </w:tcPr>
          <w:p w14:paraId="598536DE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AP</w:t>
            </w:r>
          </w:p>
        </w:tc>
        <w:tc>
          <w:tcPr>
            <w:tcW w:w="1128" w:type="dxa"/>
            <w:vAlign w:val="bottom"/>
          </w:tcPr>
          <w:p w14:paraId="6696CAB9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3</w:t>
            </w:r>
          </w:p>
        </w:tc>
        <w:tc>
          <w:tcPr>
            <w:tcW w:w="1090" w:type="dxa"/>
            <w:vAlign w:val="bottom"/>
          </w:tcPr>
          <w:p w14:paraId="41EC0083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15DC6B3F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078</w:t>
            </w:r>
          </w:p>
        </w:tc>
        <w:tc>
          <w:tcPr>
            <w:tcW w:w="1984" w:type="dxa"/>
            <w:vAlign w:val="bottom"/>
          </w:tcPr>
          <w:p w14:paraId="440B1891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70958" w:rsidRPr="002F3E7F" w14:paraId="60D562B2" w14:textId="77777777" w:rsidTr="00C80FE4">
        <w:tc>
          <w:tcPr>
            <w:tcW w:w="1419" w:type="dxa"/>
            <w:vAlign w:val="bottom"/>
          </w:tcPr>
          <w:p w14:paraId="1F2FE8F4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Apo-2</w:t>
            </w:r>
          </w:p>
        </w:tc>
        <w:tc>
          <w:tcPr>
            <w:tcW w:w="1557" w:type="dxa"/>
            <w:vAlign w:val="bottom"/>
          </w:tcPr>
          <w:p w14:paraId="0C089DCE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PLGF</w:t>
            </w:r>
          </w:p>
        </w:tc>
        <w:tc>
          <w:tcPr>
            <w:tcW w:w="1128" w:type="dxa"/>
            <w:vAlign w:val="bottom"/>
          </w:tcPr>
          <w:p w14:paraId="419A8E0D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1090" w:type="dxa"/>
            <w:vAlign w:val="bottom"/>
          </w:tcPr>
          <w:p w14:paraId="614854A0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2EE3580A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08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4</w:t>
            </w:r>
          </w:p>
        </w:tc>
        <w:tc>
          <w:tcPr>
            <w:tcW w:w="1984" w:type="dxa"/>
            <w:vAlign w:val="bottom"/>
          </w:tcPr>
          <w:p w14:paraId="62B55045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70958" w:rsidRPr="002F3E7F" w14:paraId="73169CA0" w14:textId="77777777" w:rsidTr="00C80FE4">
        <w:tc>
          <w:tcPr>
            <w:tcW w:w="1419" w:type="dxa"/>
            <w:vAlign w:val="bottom"/>
          </w:tcPr>
          <w:p w14:paraId="75383BA0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Apo-2</w:t>
            </w:r>
          </w:p>
        </w:tc>
        <w:tc>
          <w:tcPr>
            <w:tcW w:w="1557" w:type="dxa"/>
            <w:vAlign w:val="bottom"/>
          </w:tcPr>
          <w:p w14:paraId="095457B9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PLGF</w:t>
            </w:r>
          </w:p>
        </w:tc>
        <w:tc>
          <w:tcPr>
            <w:tcW w:w="1128" w:type="dxa"/>
            <w:vAlign w:val="bottom"/>
          </w:tcPr>
          <w:p w14:paraId="03B60B95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3</w:t>
            </w:r>
          </w:p>
        </w:tc>
        <w:tc>
          <w:tcPr>
            <w:tcW w:w="1090" w:type="dxa"/>
            <w:vAlign w:val="bottom"/>
          </w:tcPr>
          <w:p w14:paraId="79E70F85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304B4A98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078</w:t>
            </w:r>
          </w:p>
        </w:tc>
        <w:tc>
          <w:tcPr>
            <w:tcW w:w="1984" w:type="dxa"/>
            <w:vAlign w:val="bottom"/>
          </w:tcPr>
          <w:p w14:paraId="537964A3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70958" w:rsidRPr="002F3E7F" w14:paraId="689A13BC" w14:textId="77777777" w:rsidTr="00C80FE4">
        <w:tc>
          <w:tcPr>
            <w:tcW w:w="1419" w:type="dxa"/>
            <w:vAlign w:val="bottom"/>
          </w:tcPr>
          <w:p w14:paraId="4583970B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Apo-2</w:t>
            </w:r>
          </w:p>
        </w:tc>
        <w:tc>
          <w:tcPr>
            <w:tcW w:w="1557" w:type="dxa"/>
            <w:vAlign w:val="bottom"/>
          </w:tcPr>
          <w:p w14:paraId="644650A5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EGF</w:t>
            </w:r>
          </w:p>
        </w:tc>
        <w:tc>
          <w:tcPr>
            <w:tcW w:w="1128" w:type="dxa"/>
            <w:vAlign w:val="bottom"/>
          </w:tcPr>
          <w:p w14:paraId="7890A700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1090" w:type="dxa"/>
            <w:vAlign w:val="bottom"/>
          </w:tcPr>
          <w:p w14:paraId="60639BC4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685B9647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033</w:t>
            </w:r>
          </w:p>
        </w:tc>
        <w:tc>
          <w:tcPr>
            <w:tcW w:w="1984" w:type="dxa"/>
            <w:vAlign w:val="bottom"/>
          </w:tcPr>
          <w:p w14:paraId="1CA10719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70958" w:rsidRPr="002F3E7F" w14:paraId="7311E3BE" w14:textId="77777777" w:rsidTr="00C80FE4">
        <w:tc>
          <w:tcPr>
            <w:tcW w:w="1419" w:type="dxa"/>
            <w:vAlign w:val="bottom"/>
          </w:tcPr>
          <w:p w14:paraId="79F40256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Apo-2</w:t>
            </w:r>
          </w:p>
        </w:tc>
        <w:tc>
          <w:tcPr>
            <w:tcW w:w="1557" w:type="dxa"/>
            <w:vAlign w:val="bottom"/>
          </w:tcPr>
          <w:p w14:paraId="210AA4CA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Platelets</w:t>
            </w:r>
          </w:p>
        </w:tc>
        <w:tc>
          <w:tcPr>
            <w:tcW w:w="1128" w:type="dxa"/>
            <w:vAlign w:val="bottom"/>
          </w:tcPr>
          <w:p w14:paraId="3060A37D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1090" w:type="dxa"/>
            <w:vAlign w:val="bottom"/>
          </w:tcPr>
          <w:p w14:paraId="066CBE8B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14D67C97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078</w:t>
            </w:r>
          </w:p>
        </w:tc>
        <w:tc>
          <w:tcPr>
            <w:tcW w:w="1984" w:type="dxa"/>
            <w:vAlign w:val="bottom"/>
          </w:tcPr>
          <w:p w14:paraId="03767923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70958" w:rsidRPr="002F3E7F" w14:paraId="456F30F6" w14:textId="77777777" w:rsidTr="00C80FE4">
        <w:tc>
          <w:tcPr>
            <w:tcW w:w="1419" w:type="dxa"/>
            <w:vAlign w:val="bottom"/>
          </w:tcPr>
          <w:p w14:paraId="105ADA6D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Apo-2</w:t>
            </w:r>
          </w:p>
        </w:tc>
        <w:tc>
          <w:tcPr>
            <w:tcW w:w="1557" w:type="dxa"/>
            <w:vAlign w:val="bottom"/>
          </w:tcPr>
          <w:p w14:paraId="087A3861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Platelets</w:t>
            </w:r>
          </w:p>
        </w:tc>
        <w:tc>
          <w:tcPr>
            <w:tcW w:w="1128" w:type="dxa"/>
            <w:vAlign w:val="bottom"/>
          </w:tcPr>
          <w:p w14:paraId="53D19E3B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3</w:t>
            </w:r>
          </w:p>
        </w:tc>
        <w:tc>
          <w:tcPr>
            <w:tcW w:w="1090" w:type="dxa"/>
            <w:vAlign w:val="bottom"/>
          </w:tcPr>
          <w:p w14:paraId="2BB011BB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1CA4F3AD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08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4</w:t>
            </w:r>
          </w:p>
        </w:tc>
        <w:tc>
          <w:tcPr>
            <w:tcW w:w="1984" w:type="dxa"/>
            <w:vAlign w:val="bottom"/>
          </w:tcPr>
          <w:p w14:paraId="7F24E4EC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70958" w:rsidRPr="002F3E7F" w14:paraId="6AD8EE45" w14:textId="77777777" w:rsidTr="00C80FE4">
        <w:tc>
          <w:tcPr>
            <w:tcW w:w="1419" w:type="dxa"/>
            <w:vAlign w:val="bottom"/>
          </w:tcPr>
          <w:p w14:paraId="55B637B0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P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L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GF</w:t>
            </w:r>
          </w:p>
        </w:tc>
        <w:tc>
          <w:tcPr>
            <w:tcW w:w="1557" w:type="dxa"/>
            <w:vAlign w:val="bottom"/>
          </w:tcPr>
          <w:p w14:paraId="4A835179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EGF</w:t>
            </w:r>
          </w:p>
        </w:tc>
        <w:tc>
          <w:tcPr>
            <w:tcW w:w="1128" w:type="dxa"/>
            <w:vAlign w:val="bottom"/>
          </w:tcPr>
          <w:p w14:paraId="2AD9766F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-1</w:t>
            </w:r>
          </w:p>
        </w:tc>
        <w:tc>
          <w:tcPr>
            <w:tcW w:w="1090" w:type="dxa"/>
            <w:vAlign w:val="bottom"/>
          </w:tcPr>
          <w:p w14:paraId="73A1543E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0F29B926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0071</w:t>
            </w:r>
          </w:p>
        </w:tc>
        <w:tc>
          <w:tcPr>
            <w:tcW w:w="1984" w:type="dxa"/>
            <w:vAlign w:val="bottom"/>
          </w:tcPr>
          <w:p w14:paraId="4EB0AC90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70958" w:rsidRPr="002F3E7F" w14:paraId="378B1F0B" w14:textId="77777777" w:rsidTr="00C80FE4">
        <w:tc>
          <w:tcPr>
            <w:tcW w:w="1419" w:type="dxa"/>
            <w:vAlign w:val="bottom"/>
          </w:tcPr>
          <w:p w14:paraId="1F39C4BB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P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L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GF</w:t>
            </w:r>
          </w:p>
        </w:tc>
        <w:tc>
          <w:tcPr>
            <w:tcW w:w="1557" w:type="dxa"/>
            <w:vAlign w:val="bottom"/>
          </w:tcPr>
          <w:p w14:paraId="063CF08F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EGF</w:t>
            </w:r>
          </w:p>
        </w:tc>
        <w:tc>
          <w:tcPr>
            <w:tcW w:w="1128" w:type="dxa"/>
            <w:vAlign w:val="bottom"/>
          </w:tcPr>
          <w:p w14:paraId="6AE56162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1090" w:type="dxa"/>
            <w:vAlign w:val="bottom"/>
          </w:tcPr>
          <w:p w14:paraId="7CD5D8B8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32E80F3E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0003</w:t>
            </w:r>
          </w:p>
        </w:tc>
        <w:tc>
          <w:tcPr>
            <w:tcW w:w="1984" w:type="dxa"/>
            <w:vAlign w:val="bottom"/>
          </w:tcPr>
          <w:p w14:paraId="0B9D95DE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70958" w:rsidRPr="002F3E7F" w14:paraId="2EF079F5" w14:textId="77777777" w:rsidTr="00C80FE4">
        <w:tc>
          <w:tcPr>
            <w:tcW w:w="1419" w:type="dxa"/>
            <w:vAlign w:val="bottom"/>
          </w:tcPr>
          <w:p w14:paraId="6F32C814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P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L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GF</w:t>
            </w:r>
          </w:p>
        </w:tc>
        <w:tc>
          <w:tcPr>
            <w:tcW w:w="1557" w:type="dxa"/>
            <w:vAlign w:val="bottom"/>
          </w:tcPr>
          <w:p w14:paraId="0A32945D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EGF</w:t>
            </w:r>
          </w:p>
        </w:tc>
        <w:tc>
          <w:tcPr>
            <w:tcW w:w="1128" w:type="dxa"/>
            <w:vAlign w:val="bottom"/>
          </w:tcPr>
          <w:p w14:paraId="5172793E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3</w:t>
            </w:r>
          </w:p>
        </w:tc>
        <w:tc>
          <w:tcPr>
            <w:tcW w:w="1090" w:type="dxa"/>
            <w:vAlign w:val="bottom"/>
          </w:tcPr>
          <w:p w14:paraId="2FA227FA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7AE45D3C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0059</w:t>
            </w:r>
          </w:p>
        </w:tc>
        <w:tc>
          <w:tcPr>
            <w:tcW w:w="1984" w:type="dxa"/>
            <w:vAlign w:val="bottom"/>
          </w:tcPr>
          <w:p w14:paraId="25D9C893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70958" w:rsidRPr="002F3E7F" w14:paraId="49C0436F" w14:textId="77777777" w:rsidTr="00C80FE4">
        <w:tc>
          <w:tcPr>
            <w:tcW w:w="1419" w:type="dxa"/>
            <w:vAlign w:val="bottom"/>
          </w:tcPr>
          <w:p w14:paraId="5A837B94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P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L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GF</w:t>
            </w:r>
          </w:p>
        </w:tc>
        <w:tc>
          <w:tcPr>
            <w:tcW w:w="1557" w:type="dxa"/>
            <w:vAlign w:val="bottom"/>
          </w:tcPr>
          <w:p w14:paraId="0128B2DD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EGF</w:t>
            </w:r>
          </w:p>
        </w:tc>
        <w:tc>
          <w:tcPr>
            <w:tcW w:w="1128" w:type="dxa"/>
            <w:vAlign w:val="bottom"/>
          </w:tcPr>
          <w:p w14:paraId="11627073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7</w:t>
            </w:r>
          </w:p>
        </w:tc>
        <w:tc>
          <w:tcPr>
            <w:tcW w:w="1090" w:type="dxa"/>
            <w:vAlign w:val="bottom"/>
          </w:tcPr>
          <w:p w14:paraId="0880AD0B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4B7B45FE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08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4</w:t>
            </w:r>
          </w:p>
        </w:tc>
        <w:tc>
          <w:tcPr>
            <w:tcW w:w="1984" w:type="dxa"/>
            <w:vAlign w:val="bottom"/>
          </w:tcPr>
          <w:p w14:paraId="5338EBF0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70958" w:rsidRPr="002F3E7F" w14:paraId="48E23A10" w14:textId="77777777" w:rsidTr="00C80FE4">
        <w:tc>
          <w:tcPr>
            <w:tcW w:w="1419" w:type="dxa"/>
            <w:vAlign w:val="bottom"/>
          </w:tcPr>
          <w:p w14:paraId="6FE7CCB8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P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L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GF</w:t>
            </w:r>
          </w:p>
        </w:tc>
        <w:tc>
          <w:tcPr>
            <w:tcW w:w="1557" w:type="dxa"/>
            <w:vAlign w:val="bottom"/>
          </w:tcPr>
          <w:p w14:paraId="2AA58F0E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Albumin</w:t>
            </w:r>
          </w:p>
        </w:tc>
        <w:tc>
          <w:tcPr>
            <w:tcW w:w="1128" w:type="dxa"/>
            <w:vAlign w:val="bottom"/>
          </w:tcPr>
          <w:p w14:paraId="2C6DC841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-1</w:t>
            </w:r>
          </w:p>
        </w:tc>
        <w:tc>
          <w:tcPr>
            <w:tcW w:w="1090" w:type="dxa"/>
            <w:vAlign w:val="bottom"/>
          </w:tcPr>
          <w:p w14:paraId="0AA839FC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72C54040" w14:textId="77777777" w:rsidR="00C70958" w:rsidRPr="004B211F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03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8</w:t>
            </w:r>
          </w:p>
        </w:tc>
        <w:tc>
          <w:tcPr>
            <w:tcW w:w="1984" w:type="dxa"/>
            <w:vAlign w:val="bottom"/>
          </w:tcPr>
          <w:p w14:paraId="143ED0F0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70958" w:rsidRPr="002F3E7F" w14:paraId="5B1C0BF7" w14:textId="77777777" w:rsidTr="00C80FE4">
        <w:tc>
          <w:tcPr>
            <w:tcW w:w="1419" w:type="dxa"/>
            <w:vAlign w:val="bottom"/>
          </w:tcPr>
          <w:p w14:paraId="29DA5E77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P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L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GF</w:t>
            </w:r>
          </w:p>
        </w:tc>
        <w:tc>
          <w:tcPr>
            <w:tcW w:w="1557" w:type="dxa"/>
            <w:vAlign w:val="bottom"/>
          </w:tcPr>
          <w:p w14:paraId="3966CF3A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Albumin</w:t>
            </w:r>
          </w:p>
        </w:tc>
        <w:tc>
          <w:tcPr>
            <w:tcW w:w="1128" w:type="dxa"/>
            <w:vAlign w:val="bottom"/>
          </w:tcPr>
          <w:p w14:paraId="3828AF4D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3</w:t>
            </w:r>
          </w:p>
        </w:tc>
        <w:tc>
          <w:tcPr>
            <w:tcW w:w="1090" w:type="dxa"/>
            <w:vAlign w:val="bottom"/>
          </w:tcPr>
          <w:p w14:paraId="0BD9DE8A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403B0523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026</w:t>
            </w:r>
          </w:p>
        </w:tc>
        <w:tc>
          <w:tcPr>
            <w:tcW w:w="1984" w:type="dxa"/>
            <w:vAlign w:val="bottom"/>
          </w:tcPr>
          <w:p w14:paraId="3340E19D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70958" w:rsidRPr="002F3E7F" w14:paraId="3CD4504F" w14:textId="77777777" w:rsidTr="00C80FE4">
        <w:tc>
          <w:tcPr>
            <w:tcW w:w="1419" w:type="dxa"/>
            <w:vAlign w:val="bottom"/>
          </w:tcPr>
          <w:p w14:paraId="5E03EAF4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P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L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GF</w:t>
            </w:r>
          </w:p>
        </w:tc>
        <w:tc>
          <w:tcPr>
            <w:tcW w:w="1557" w:type="dxa"/>
            <w:vAlign w:val="bottom"/>
          </w:tcPr>
          <w:p w14:paraId="575985E1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Platelets</w:t>
            </w:r>
          </w:p>
        </w:tc>
        <w:tc>
          <w:tcPr>
            <w:tcW w:w="1128" w:type="dxa"/>
            <w:vAlign w:val="bottom"/>
          </w:tcPr>
          <w:p w14:paraId="2071F084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-1</w:t>
            </w:r>
          </w:p>
        </w:tc>
        <w:tc>
          <w:tcPr>
            <w:tcW w:w="1090" w:type="dxa"/>
            <w:vAlign w:val="bottom"/>
          </w:tcPr>
          <w:p w14:paraId="4E24C162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731BA6BD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08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1984" w:type="dxa"/>
            <w:vAlign w:val="bottom"/>
          </w:tcPr>
          <w:p w14:paraId="06D88E36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70958" w:rsidRPr="002F3E7F" w14:paraId="179B3D9A" w14:textId="77777777" w:rsidTr="00C80FE4">
        <w:tc>
          <w:tcPr>
            <w:tcW w:w="1419" w:type="dxa"/>
            <w:vAlign w:val="bottom"/>
          </w:tcPr>
          <w:p w14:paraId="3819C45C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P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L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GF</w:t>
            </w:r>
          </w:p>
        </w:tc>
        <w:tc>
          <w:tcPr>
            <w:tcW w:w="1557" w:type="dxa"/>
            <w:vAlign w:val="bottom"/>
          </w:tcPr>
          <w:p w14:paraId="4F8ED935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Platelets</w:t>
            </w:r>
          </w:p>
        </w:tc>
        <w:tc>
          <w:tcPr>
            <w:tcW w:w="1128" w:type="dxa"/>
            <w:vAlign w:val="bottom"/>
          </w:tcPr>
          <w:p w14:paraId="362FB3A6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1090" w:type="dxa"/>
            <w:vAlign w:val="bottom"/>
          </w:tcPr>
          <w:p w14:paraId="5F0BC8A3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621CED2E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037</w:t>
            </w:r>
          </w:p>
        </w:tc>
        <w:tc>
          <w:tcPr>
            <w:tcW w:w="1984" w:type="dxa"/>
            <w:vAlign w:val="bottom"/>
          </w:tcPr>
          <w:p w14:paraId="0AC3E0FF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70958" w:rsidRPr="002F3E7F" w14:paraId="751EB6D4" w14:textId="77777777" w:rsidTr="00C80FE4">
        <w:tc>
          <w:tcPr>
            <w:tcW w:w="1419" w:type="dxa"/>
            <w:vAlign w:val="bottom"/>
          </w:tcPr>
          <w:p w14:paraId="399701CE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P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L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GF</w:t>
            </w:r>
          </w:p>
        </w:tc>
        <w:tc>
          <w:tcPr>
            <w:tcW w:w="1557" w:type="dxa"/>
            <w:vAlign w:val="bottom"/>
          </w:tcPr>
          <w:p w14:paraId="712D12E6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Platelets</w:t>
            </w:r>
          </w:p>
        </w:tc>
        <w:tc>
          <w:tcPr>
            <w:tcW w:w="1128" w:type="dxa"/>
            <w:vAlign w:val="bottom"/>
          </w:tcPr>
          <w:p w14:paraId="693B044D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7</w:t>
            </w:r>
          </w:p>
        </w:tc>
        <w:tc>
          <w:tcPr>
            <w:tcW w:w="1090" w:type="dxa"/>
            <w:vAlign w:val="bottom"/>
          </w:tcPr>
          <w:p w14:paraId="1820FCD4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44901859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099</w:t>
            </w:r>
          </w:p>
        </w:tc>
        <w:tc>
          <w:tcPr>
            <w:tcW w:w="1984" w:type="dxa"/>
            <w:vAlign w:val="bottom"/>
          </w:tcPr>
          <w:p w14:paraId="6702E52C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70958" w:rsidRPr="002F3E7F" w14:paraId="2FF802D5" w14:textId="77777777" w:rsidTr="00C80FE4">
        <w:tc>
          <w:tcPr>
            <w:tcW w:w="1419" w:type="dxa"/>
            <w:vAlign w:val="bottom"/>
          </w:tcPr>
          <w:p w14:paraId="3658C7CC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EGF</w:t>
            </w:r>
          </w:p>
        </w:tc>
        <w:tc>
          <w:tcPr>
            <w:tcW w:w="1557" w:type="dxa"/>
            <w:vAlign w:val="bottom"/>
          </w:tcPr>
          <w:p w14:paraId="06F59C6D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Albumin</w:t>
            </w:r>
          </w:p>
        </w:tc>
        <w:tc>
          <w:tcPr>
            <w:tcW w:w="1128" w:type="dxa"/>
            <w:vAlign w:val="bottom"/>
          </w:tcPr>
          <w:p w14:paraId="177EC7BC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3</w:t>
            </w:r>
          </w:p>
        </w:tc>
        <w:tc>
          <w:tcPr>
            <w:tcW w:w="1090" w:type="dxa"/>
            <w:vAlign w:val="bottom"/>
          </w:tcPr>
          <w:p w14:paraId="75C12B5E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0EA9BE92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091</w:t>
            </w:r>
          </w:p>
        </w:tc>
        <w:tc>
          <w:tcPr>
            <w:tcW w:w="1984" w:type="dxa"/>
            <w:vAlign w:val="bottom"/>
          </w:tcPr>
          <w:p w14:paraId="21009F9D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70958" w:rsidRPr="002F3E7F" w14:paraId="5E5C5BB1" w14:textId="77777777" w:rsidTr="00C80FE4">
        <w:tc>
          <w:tcPr>
            <w:tcW w:w="1419" w:type="dxa"/>
            <w:vAlign w:val="bottom"/>
          </w:tcPr>
          <w:p w14:paraId="58917314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EGF</w:t>
            </w:r>
          </w:p>
        </w:tc>
        <w:tc>
          <w:tcPr>
            <w:tcW w:w="1557" w:type="dxa"/>
            <w:vAlign w:val="bottom"/>
          </w:tcPr>
          <w:p w14:paraId="5EF8ADF7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Platelets</w:t>
            </w:r>
          </w:p>
        </w:tc>
        <w:tc>
          <w:tcPr>
            <w:tcW w:w="1128" w:type="dxa"/>
            <w:vAlign w:val="bottom"/>
          </w:tcPr>
          <w:p w14:paraId="0536C58F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1090" w:type="dxa"/>
            <w:vAlign w:val="bottom"/>
          </w:tcPr>
          <w:p w14:paraId="2145B6D9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0A8469A5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078</w:t>
            </w:r>
          </w:p>
        </w:tc>
        <w:tc>
          <w:tcPr>
            <w:tcW w:w="1984" w:type="dxa"/>
            <w:vAlign w:val="bottom"/>
          </w:tcPr>
          <w:p w14:paraId="14D58502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70958" w:rsidRPr="002F3E7F" w14:paraId="7D6ADDCC" w14:textId="77777777" w:rsidTr="00C80FE4">
        <w:tc>
          <w:tcPr>
            <w:tcW w:w="1419" w:type="dxa"/>
            <w:vAlign w:val="bottom"/>
          </w:tcPr>
          <w:p w14:paraId="18367776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EGF</w:t>
            </w:r>
          </w:p>
        </w:tc>
        <w:tc>
          <w:tcPr>
            <w:tcW w:w="1557" w:type="dxa"/>
            <w:vAlign w:val="bottom"/>
          </w:tcPr>
          <w:p w14:paraId="7C919B64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Platelets</w:t>
            </w:r>
          </w:p>
        </w:tc>
        <w:tc>
          <w:tcPr>
            <w:tcW w:w="1128" w:type="dxa"/>
            <w:vAlign w:val="bottom"/>
          </w:tcPr>
          <w:p w14:paraId="79034E00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3</w:t>
            </w:r>
          </w:p>
        </w:tc>
        <w:tc>
          <w:tcPr>
            <w:tcW w:w="1090" w:type="dxa"/>
            <w:vAlign w:val="bottom"/>
          </w:tcPr>
          <w:p w14:paraId="0ED44DD0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01B9E920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08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4</w:t>
            </w:r>
          </w:p>
        </w:tc>
        <w:tc>
          <w:tcPr>
            <w:tcW w:w="1984" w:type="dxa"/>
            <w:vAlign w:val="bottom"/>
          </w:tcPr>
          <w:p w14:paraId="54312BD1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063</w:t>
            </w:r>
          </w:p>
        </w:tc>
      </w:tr>
      <w:tr w:rsidR="00C70958" w:rsidRPr="002F3E7F" w14:paraId="3A1B9047" w14:textId="77777777" w:rsidTr="00C80FE4">
        <w:tc>
          <w:tcPr>
            <w:tcW w:w="1419" w:type="dxa"/>
            <w:vAlign w:val="bottom"/>
          </w:tcPr>
          <w:p w14:paraId="07CBC908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EGF</w:t>
            </w:r>
          </w:p>
        </w:tc>
        <w:tc>
          <w:tcPr>
            <w:tcW w:w="1557" w:type="dxa"/>
            <w:vAlign w:val="bottom"/>
          </w:tcPr>
          <w:p w14:paraId="2FEBFD5E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Platelets</w:t>
            </w:r>
          </w:p>
        </w:tc>
        <w:tc>
          <w:tcPr>
            <w:tcW w:w="1128" w:type="dxa"/>
            <w:vAlign w:val="bottom"/>
          </w:tcPr>
          <w:p w14:paraId="0B63C13D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7</w:t>
            </w:r>
          </w:p>
        </w:tc>
        <w:tc>
          <w:tcPr>
            <w:tcW w:w="1090" w:type="dxa"/>
            <w:vAlign w:val="bottom"/>
          </w:tcPr>
          <w:p w14:paraId="0CF8FC95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46FE952E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0082</w:t>
            </w:r>
          </w:p>
        </w:tc>
        <w:tc>
          <w:tcPr>
            <w:tcW w:w="1984" w:type="dxa"/>
            <w:vAlign w:val="bottom"/>
          </w:tcPr>
          <w:p w14:paraId="2FADD044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70958" w:rsidRPr="002F3E7F" w14:paraId="00013559" w14:textId="77777777" w:rsidTr="00C80FE4">
        <w:tc>
          <w:tcPr>
            <w:tcW w:w="1419" w:type="dxa"/>
            <w:vAlign w:val="bottom"/>
          </w:tcPr>
          <w:p w14:paraId="4E7AC9E3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EGF</w:t>
            </w:r>
          </w:p>
        </w:tc>
        <w:tc>
          <w:tcPr>
            <w:tcW w:w="1557" w:type="dxa"/>
            <w:vAlign w:val="bottom"/>
          </w:tcPr>
          <w:p w14:paraId="579FD7FD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Creatinine</w:t>
            </w:r>
          </w:p>
        </w:tc>
        <w:tc>
          <w:tcPr>
            <w:tcW w:w="1128" w:type="dxa"/>
            <w:vAlign w:val="bottom"/>
          </w:tcPr>
          <w:p w14:paraId="2A2DEC8A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7</w:t>
            </w:r>
          </w:p>
        </w:tc>
        <w:tc>
          <w:tcPr>
            <w:tcW w:w="1090" w:type="dxa"/>
            <w:vAlign w:val="bottom"/>
          </w:tcPr>
          <w:p w14:paraId="3ED825A0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05284D82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078</w:t>
            </w:r>
          </w:p>
        </w:tc>
        <w:tc>
          <w:tcPr>
            <w:tcW w:w="1984" w:type="dxa"/>
            <w:vAlign w:val="bottom"/>
          </w:tcPr>
          <w:p w14:paraId="76323AA8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70958" w:rsidRPr="002F3E7F" w14:paraId="760F84C9" w14:textId="77777777" w:rsidTr="00C80FE4">
        <w:tc>
          <w:tcPr>
            <w:tcW w:w="1419" w:type="dxa"/>
            <w:vAlign w:val="bottom"/>
          </w:tcPr>
          <w:p w14:paraId="4968439D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AST</w:t>
            </w:r>
          </w:p>
        </w:tc>
        <w:tc>
          <w:tcPr>
            <w:tcW w:w="1557" w:type="dxa"/>
            <w:vAlign w:val="bottom"/>
          </w:tcPr>
          <w:p w14:paraId="3FF6C54A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ALT</w:t>
            </w:r>
          </w:p>
        </w:tc>
        <w:tc>
          <w:tcPr>
            <w:tcW w:w="1128" w:type="dxa"/>
            <w:vAlign w:val="bottom"/>
          </w:tcPr>
          <w:p w14:paraId="78FB74C2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-1</w:t>
            </w:r>
          </w:p>
        </w:tc>
        <w:tc>
          <w:tcPr>
            <w:tcW w:w="1090" w:type="dxa"/>
            <w:vAlign w:val="bottom"/>
          </w:tcPr>
          <w:p w14:paraId="61BB1E40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62846D1E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0033</w:t>
            </w:r>
          </w:p>
        </w:tc>
        <w:tc>
          <w:tcPr>
            <w:tcW w:w="1984" w:type="dxa"/>
            <w:vAlign w:val="bottom"/>
          </w:tcPr>
          <w:p w14:paraId="0D5AF902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6</w:t>
            </w:r>
          </w:p>
        </w:tc>
      </w:tr>
      <w:tr w:rsidR="00C70958" w:rsidRPr="002F3E7F" w14:paraId="0E8AF98C" w14:textId="77777777" w:rsidTr="00C80FE4">
        <w:tc>
          <w:tcPr>
            <w:tcW w:w="1419" w:type="dxa"/>
            <w:vAlign w:val="bottom"/>
          </w:tcPr>
          <w:p w14:paraId="4C6602AA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lastRenderedPageBreak/>
              <w:t>AST</w:t>
            </w:r>
          </w:p>
        </w:tc>
        <w:tc>
          <w:tcPr>
            <w:tcW w:w="1557" w:type="dxa"/>
            <w:vAlign w:val="bottom"/>
          </w:tcPr>
          <w:p w14:paraId="0081001D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ALT</w:t>
            </w:r>
          </w:p>
        </w:tc>
        <w:tc>
          <w:tcPr>
            <w:tcW w:w="1128" w:type="dxa"/>
            <w:vAlign w:val="bottom"/>
          </w:tcPr>
          <w:p w14:paraId="6FEE0F88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1090" w:type="dxa"/>
            <w:vAlign w:val="bottom"/>
          </w:tcPr>
          <w:p w14:paraId="1AD6BAB0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3AC4AEB4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0000</w:t>
            </w:r>
          </w:p>
        </w:tc>
        <w:tc>
          <w:tcPr>
            <w:tcW w:w="1984" w:type="dxa"/>
            <w:vAlign w:val="bottom"/>
          </w:tcPr>
          <w:p w14:paraId="266F1525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70958" w:rsidRPr="002F3E7F" w14:paraId="45DF1462" w14:textId="77777777" w:rsidTr="00C80FE4">
        <w:tc>
          <w:tcPr>
            <w:tcW w:w="1419" w:type="dxa"/>
            <w:vAlign w:val="bottom"/>
          </w:tcPr>
          <w:p w14:paraId="04941FD1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AST</w:t>
            </w:r>
          </w:p>
        </w:tc>
        <w:tc>
          <w:tcPr>
            <w:tcW w:w="1557" w:type="dxa"/>
            <w:vAlign w:val="bottom"/>
          </w:tcPr>
          <w:p w14:paraId="419551FE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ALT</w:t>
            </w:r>
          </w:p>
        </w:tc>
        <w:tc>
          <w:tcPr>
            <w:tcW w:w="1128" w:type="dxa"/>
            <w:vAlign w:val="bottom"/>
          </w:tcPr>
          <w:p w14:paraId="1877588A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3</w:t>
            </w:r>
          </w:p>
        </w:tc>
        <w:tc>
          <w:tcPr>
            <w:tcW w:w="1090" w:type="dxa"/>
            <w:vAlign w:val="bottom"/>
          </w:tcPr>
          <w:p w14:paraId="358C62C0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65B53790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0006</w:t>
            </w:r>
          </w:p>
        </w:tc>
        <w:tc>
          <w:tcPr>
            <w:tcW w:w="1984" w:type="dxa"/>
            <w:vAlign w:val="bottom"/>
          </w:tcPr>
          <w:p w14:paraId="74218B04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70958" w:rsidRPr="002F3E7F" w14:paraId="69850AE0" w14:textId="77777777" w:rsidTr="00C80FE4">
        <w:tc>
          <w:tcPr>
            <w:tcW w:w="1419" w:type="dxa"/>
            <w:vAlign w:val="bottom"/>
          </w:tcPr>
          <w:p w14:paraId="1A1DDE3A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AST</w:t>
            </w:r>
          </w:p>
        </w:tc>
        <w:tc>
          <w:tcPr>
            <w:tcW w:w="1557" w:type="dxa"/>
            <w:vAlign w:val="bottom"/>
          </w:tcPr>
          <w:p w14:paraId="06E31CC2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ALT</w:t>
            </w:r>
          </w:p>
        </w:tc>
        <w:tc>
          <w:tcPr>
            <w:tcW w:w="1128" w:type="dxa"/>
            <w:vAlign w:val="bottom"/>
          </w:tcPr>
          <w:p w14:paraId="51D2EF1B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7</w:t>
            </w:r>
          </w:p>
        </w:tc>
        <w:tc>
          <w:tcPr>
            <w:tcW w:w="1090" w:type="dxa"/>
            <w:vAlign w:val="bottom"/>
          </w:tcPr>
          <w:p w14:paraId="242BB43B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3BADF19B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021</w:t>
            </w:r>
          </w:p>
        </w:tc>
        <w:tc>
          <w:tcPr>
            <w:tcW w:w="1984" w:type="dxa"/>
            <w:vAlign w:val="bottom"/>
          </w:tcPr>
          <w:p w14:paraId="1B1AADAA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039</w:t>
            </w:r>
          </w:p>
        </w:tc>
      </w:tr>
      <w:tr w:rsidR="00C70958" w:rsidRPr="002F3E7F" w14:paraId="7D3075B4" w14:textId="77777777" w:rsidTr="00C80FE4">
        <w:tc>
          <w:tcPr>
            <w:tcW w:w="1419" w:type="dxa"/>
            <w:vAlign w:val="bottom"/>
          </w:tcPr>
          <w:p w14:paraId="2FFF3574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ALT</w:t>
            </w:r>
          </w:p>
        </w:tc>
        <w:tc>
          <w:tcPr>
            <w:tcW w:w="1557" w:type="dxa"/>
            <w:vAlign w:val="bottom"/>
          </w:tcPr>
          <w:p w14:paraId="6CB26334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Albumin</w:t>
            </w:r>
          </w:p>
        </w:tc>
        <w:tc>
          <w:tcPr>
            <w:tcW w:w="1128" w:type="dxa"/>
            <w:vAlign w:val="bottom"/>
          </w:tcPr>
          <w:p w14:paraId="1294A759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3</w:t>
            </w:r>
          </w:p>
        </w:tc>
        <w:tc>
          <w:tcPr>
            <w:tcW w:w="1090" w:type="dxa"/>
            <w:vAlign w:val="bottom"/>
          </w:tcPr>
          <w:p w14:paraId="6BE4B2B5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3FA8BE7E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099</w:t>
            </w:r>
          </w:p>
        </w:tc>
        <w:tc>
          <w:tcPr>
            <w:tcW w:w="1984" w:type="dxa"/>
            <w:vAlign w:val="bottom"/>
          </w:tcPr>
          <w:p w14:paraId="47A0C19D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70958" w:rsidRPr="002F3E7F" w14:paraId="3BEEBB5E" w14:textId="77777777" w:rsidTr="00C80FE4">
        <w:tc>
          <w:tcPr>
            <w:tcW w:w="1419" w:type="dxa"/>
            <w:vAlign w:val="bottom"/>
          </w:tcPr>
          <w:p w14:paraId="47207A25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AP</w:t>
            </w:r>
          </w:p>
        </w:tc>
        <w:tc>
          <w:tcPr>
            <w:tcW w:w="1557" w:type="dxa"/>
            <w:vAlign w:val="bottom"/>
          </w:tcPr>
          <w:p w14:paraId="43FAABBE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GGT</w:t>
            </w:r>
          </w:p>
        </w:tc>
        <w:tc>
          <w:tcPr>
            <w:tcW w:w="1128" w:type="dxa"/>
            <w:vAlign w:val="bottom"/>
          </w:tcPr>
          <w:p w14:paraId="029B6AC0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-1</w:t>
            </w:r>
          </w:p>
        </w:tc>
        <w:tc>
          <w:tcPr>
            <w:tcW w:w="1090" w:type="dxa"/>
            <w:vAlign w:val="bottom"/>
          </w:tcPr>
          <w:p w14:paraId="1F5AE93F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7DB2D0C7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0000</w:t>
            </w:r>
          </w:p>
        </w:tc>
        <w:tc>
          <w:tcPr>
            <w:tcW w:w="1984" w:type="dxa"/>
            <w:vAlign w:val="bottom"/>
          </w:tcPr>
          <w:p w14:paraId="500070A8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0036</w:t>
            </w:r>
          </w:p>
        </w:tc>
      </w:tr>
      <w:tr w:rsidR="00C70958" w:rsidRPr="002F3E7F" w14:paraId="1B66EFFA" w14:textId="77777777" w:rsidTr="00C80FE4">
        <w:tc>
          <w:tcPr>
            <w:tcW w:w="1419" w:type="dxa"/>
            <w:vAlign w:val="bottom"/>
          </w:tcPr>
          <w:p w14:paraId="5096D2EC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AP</w:t>
            </w:r>
          </w:p>
        </w:tc>
        <w:tc>
          <w:tcPr>
            <w:tcW w:w="1557" w:type="dxa"/>
            <w:vAlign w:val="bottom"/>
          </w:tcPr>
          <w:p w14:paraId="45269667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GGT</w:t>
            </w:r>
          </w:p>
        </w:tc>
        <w:tc>
          <w:tcPr>
            <w:tcW w:w="1128" w:type="dxa"/>
            <w:vAlign w:val="bottom"/>
          </w:tcPr>
          <w:p w14:paraId="7464D21E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1090" w:type="dxa"/>
            <w:vAlign w:val="bottom"/>
          </w:tcPr>
          <w:p w14:paraId="5ADDCDE5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0A30B3EB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0005</w:t>
            </w:r>
          </w:p>
        </w:tc>
        <w:tc>
          <w:tcPr>
            <w:tcW w:w="1984" w:type="dxa"/>
            <w:vAlign w:val="bottom"/>
          </w:tcPr>
          <w:p w14:paraId="0972FD2A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06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7</w:t>
            </w:r>
          </w:p>
        </w:tc>
      </w:tr>
      <w:tr w:rsidR="00C70958" w:rsidRPr="002F3E7F" w14:paraId="03E6EB44" w14:textId="77777777" w:rsidTr="00C80FE4">
        <w:tc>
          <w:tcPr>
            <w:tcW w:w="1419" w:type="dxa"/>
            <w:vAlign w:val="bottom"/>
          </w:tcPr>
          <w:p w14:paraId="57111ABE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AP</w:t>
            </w:r>
          </w:p>
        </w:tc>
        <w:tc>
          <w:tcPr>
            <w:tcW w:w="1557" w:type="dxa"/>
            <w:vAlign w:val="bottom"/>
          </w:tcPr>
          <w:p w14:paraId="463BCB75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GGT</w:t>
            </w:r>
          </w:p>
        </w:tc>
        <w:tc>
          <w:tcPr>
            <w:tcW w:w="1128" w:type="dxa"/>
            <w:vAlign w:val="bottom"/>
          </w:tcPr>
          <w:p w14:paraId="7EF91893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3</w:t>
            </w:r>
          </w:p>
        </w:tc>
        <w:tc>
          <w:tcPr>
            <w:tcW w:w="1090" w:type="dxa"/>
            <w:vAlign w:val="bottom"/>
          </w:tcPr>
          <w:p w14:paraId="3530ADC6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27874DD6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039</w:t>
            </w:r>
          </w:p>
        </w:tc>
        <w:tc>
          <w:tcPr>
            <w:tcW w:w="1984" w:type="dxa"/>
            <w:vAlign w:val="bottom"/>
          </w:tcPr>
          <w:p w14:paraId="0CC1DA78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70958" w:rsidRPr="002F3E7F" w14:paraId="36A90F6D" w14:textId="77777777" w:rsidTr="00C80FE4">
        <w:tc>
          <w:tcPr>
            <w:tcW w:w="1419" w:type="dxa"/>
            <w:vAlign w:val="bottom"/>
          </w:tcPr>
          <w:p w14:paraId="4CDC2F9F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AP</w:t>
            </w:r>
          </w:p>
        </w:tc>
        <w:tc>
          <w:tcPr>
            <w:tcW w:w="1557" w:type="dxa"/>
            <w:vAlign w:val="bottom"/>
          </w:tcPr>
          <w:p w14:paraId="361BCF23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GGT</w:t>
            </w:r>
          </w:p>
        </w:tc>
        <w:tc>
          <w:tcPr>
            <w:tcW w:w="1128" w:type="dxa"/>
            <w:vAlign w:val="bottom"/>
          </w:tcPr>
          <w:p w14:paraId="63E64C87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7</w:t>
            </w:r>
          </w:p>
        </w:tc>
        <w:tc>
          <w:tcPr>
            <w:tcW w:w="1090" w:type="dxa"/>
            <w:vAlign w:val="bottom"/>
          </w:tcPr>
          <w:p w14:paraId="1512B694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09F315F3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02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1984" w:type="dxa"/>
            <w:vAlign w:val="bottom"/>
          </w:tcPr>
          <w:p w14:paraId="4D9DB802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70958" w:rsidRPr="002F3E7F" w14:paraId="76A2C9FF" w14:textId="77777777" w:rsidTr="00C80FE4">
        <w:tc>
          <w:tcPr>
            <w:tcW w:w="1419" w:type="dxa"/>
            <w:vAlign w:val="bottom"/>
          </w:tcPr>
          <w:p w14:paraId="0EC19541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Bilirubin</w:t>
            </w:r>
          </w:p>
        </w:tc>
        <w:tc>
          <w:tcPr>
            <w:tcW w:w="1557" w:type="dxa"/>
            <w:vAlign w:val="bottom"/>
          </w:tcPr>
          <w:p w14:paraId="33878B1F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INR</w:t>
            </w:r>
          </w:p>
        </w:tc>
        <w:tc>
          <w:tcPr>
            <w:tcW w:w="1128" w:type="dxa"/>
            <w:vAlign w:val="bottom"/>
          </w:tcPr>
          <w:p w14:paraId="71F0FA0D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3</w:t>
            </w:r>
          </w:p>
        </w:tc>
        <w:tc>
          <w:tcPr>
            <w:tcW w:w="1090" w:type="dxa"/>
            <w:vAlign w:val="bottom"/>
          </w:tcPr>
          <w:p w14:paraId="44B5C41A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0C30EB32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0071</w:t>
            </w:r>
          </w:p>
        </w:tc>
        <w:tc>
          <w:tcPr>
            <w:tcW w:w="1984" w:type="dxa"/>
            <w:vAlign w:val="bottom"/>
          </w:tcPr>
          <w:p w14:paraId="4BBB9728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06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7</w:t>
            </w:r>
          </w:p>
        </w:tc>
      </w:tr>
      <w:tr w:rsidR="00C70958" w:rsidRPr="002F3E7F" w14:paraId="2BE79DDE" w14:textId="77777777" w:rsidTr="00C80FE4">
        <w:tc>
          <w:tcPr>
            <w:tcW w:w="1419" w:type="dxa"/>
            <w:vAlign w:val="bottom"/>
          </w:tcPr>
          <w:p w14:paraId="5E2C2E20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Bilirubin</w:t>
            </w:r>
          </w:p>
        </w:tc>
        <w:tc>
          <w:tcPr>
            <w:tcW w:w="1557" w:type="dxa"/>
            <w:vAlign w:val="bottom"/>
          </w:tcPr>
          <w:p w14:paraId="5FF27071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Creatinine</w:t>
            </w:r>
          </w:p>
        </w:tc>
        <w:tc>
          <w:tcPr>
            <w:tcW w:w="1128" w:type="dxa"/>
            <w:vAlign w:val="bottom"/>
          </w:tcPr>
          <w:p w14:paraId="72D091B0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7</w:t>
            </w:r>
          </w:p>
        </w:tc>
        <w:tc>
          <w:tcPr>
            <w:tcW w:w="1090" w:type="dxa"/>
            <w:vAlign w:val="bottom"/>
          </w:tcPr>
          <w:p w14:paraId="467209B1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1FEAB5C7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07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8</w:t>
            </w:r>
          </w:p>
        </w:tc>
        <w:tc>
          <w:tcPr>
            <w:tcW w:w="1984" w:type="dxa"/>
            <w:vAlign w:val="bottom"/>
          </w:tcPr>
          <w:p w14:paraId="0A4C4B0B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70958" w:rsidRPr="002F3E7F" w14:paraId="2FD2D05E" w14:textId="77777777" w:rsidTr="00C80FE4">
        <w:tc>
          <w:tcPr>
            <w:tcW w:w="1419" w:type="dxa"/>
            <w:vAlign w:val="bottom"/>
          </w:tcPr>
          <w:p w14:paraId="6FA02251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Albumin</w:t>
            </w:r>
          </w:p>
        </w:tc>
        <w:tc>
          <w:tcPr>
            <w:tcW w:w="1557" w:type="dxa"/>
            <w:vAlign w:val="bottom"/>
          </w:tcPr>
          <w:p w14:paraId="6D516101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Hb</w:t>
            </w:r>
          </w:p>
        </w:tc>
        <w:tc>
          <w:tcPr>
            <w:tcW w:w="1128" w:type="dxa"/>
            <w:vAlign w:val="bottom"/>
          </w:tcPr>
          <w:p w14:paraId="66034CA3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-1</w:t>
            </w:r>
          </w:p>
        </w:tc>
        <w:tc>
          <w:tcPr>
            <w:tcW w:w="1090" w:type="dxa"/>
            <w:vAlign w:val="bottom"/>
          </w:tcPr>
          <w:p w14:paraId="279FEB00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3D07140D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073</w:t>
            </w:r>
          </w:p>
        </w:tc>
        <w:tc>
          <w:tcPr>
            <w:tcW w:w="1984" w:type="dxa"/>
            <w:vAlign w:val="bottom"/>
          </w:tcPr>
          <w:p w14:paraId="53990147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70958" w:rsidRPr="002F3E7F" w14:paraId="6F50903A" w14:textId="77777777" w:rsidTr="00C80FE4">
        <w:tc>
          <w:tcPr>
            <w:tcW w:w="1419" w:type="dxa"/>
            <w:vAlign w:val="bottom"/>
          </w:tcPr>
          <w:p w14:paraId="45907C3E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CRP</w:t>
            </w:r>
          </w:p>
        </w:tc>
        <w:tc>
          <w:tcPr>
            <w:tcW w:w="1557" w:type="dxa"/>
            <w:vAlign w:val="bottom"/>
          </w:tcPr>
          <w:p w14:paraId="52FB250C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Hb</w:t>
            </w:r>
          </w:p>
        </w:tc>
        <w:tc>
          <w:tcPr>
            <w:tcW w:w="1128" w:type="dxa"/>
            <w:vAlign w:val="bottom"/>
          </w:tcPr>
          <w:p w14:paraId="07C924FD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-1</w:t>
            </w:r>
          </w:p>
        </w:tc>
        <w:tc>
          <w:tcPr>
            <w:tcW w:w="1090" w:type="dxa"/>
            <w:vAlign w:val="bottom"/>
          </w:tcPr>
          <w:p w14:paraId="4A9CB967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798186CC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0062</w:t>
            </w:r>
          </w:p>
        </w:tc>
        <w:tc>
          <w:tcPr>
            <w:tcW w:w="1984" w:type="dxa"/>
            <w:vAlign w:val="bottom"/>
          </w:tcPr>
          <w:p w14:paraId="791D2CE7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70958" w:rsidRPr="002F3E7F" w14:paraId="6CEA7B75" w14:textId="77777777" w:rsidTr="00C80FE4">
        <w:tc>
          <w:tcPr>
            <w:tcW w:w="1419" w:type="dxa"/>
            <w:vAlign w:val="bottom"/>
          </w:tcPr>
          <w:p w14:paraId="00B9FA15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CRP</w:t>
            </w:r>
          </w:p>
        </w:tc>
        <w:tc>
          <w:tcPr>
            <w:tcW w:w="1557" w:type="dxa"/>
            <w:vAlign w:val="bottom"/>
          </w:tcPr>
          <w:p w14:paraId="79BBB897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Hb</w:t>
            </w:r>
          </w:p>
        </w:tc>
        <w:tc>
          <w:tcPr>
            <w:tcW w:w="1128" w:type="dxa"/>
            <w:vAlign w:val="bottom"/>
          </w:tcPr>
          <w:p w14:paraId="31A56534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7</w:t>
            </w:r>
          </w:p>
        </w:tc>
        <w:tc>
          <w:tcPr>
            <w:tcW w:w="1090" w:type="dxa"/>
            <w:vAlign w:val="bottom"/>
          </w:tcPr>
          <w:p w14:paraId="312853EF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7328BBB5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08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7</w:t>
            </w:r>
          </w:p>
        </w:tc>
        <w:tc>
          <w:tcPr>
            <w:tcW w:w="1984" w:type="dxa"/>
            <w:vAlign w:val="bottom"/>
          </w:tcPr>
          <w:p w14:paraId="7CB5FE52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70958" w:rsidRPr="002F3E7F" w14:paraId="4BF224BE" w14:textId="77777777" w:rsidTr="00C80FE4">
        <w:tc>
          <w:tcPr>
            <w:tcW w:w="1419" w:type="dxa"/>
            <w:vAlign w:val="bottom"/>
          </w:tcPr>
          <w:p w14:paraId="7A8F3874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INR</w:t>
            </w:r>
          </w:p>
        </w:tc>
        <w:tc>
          <w:tcPr>
            <w:tcW w:w="1557" w:type="dxa"/>
            <w:vAlign w:val="bottom"/>
          </w:tcPr>
          <w:p w14:paraId="6375AB35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Platelets</w:t>
            </w:r>
          </w:p>
        </w:tc>
        <w:tc>
          <w:tcPr>
            <w:tcW w:w="1128" w:type="dxa"/>
            <w:vAlign w:val="bottom"/>
          </w:tcPr>
          <w:p w14:paraId="3435EDD7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3</w:t>
            </w:r>
          </w:p>
        </w:tc>
        <w:tc>
          <w:tcPr>
            <w:tcW w:w="1090" w:type="dxa"/>
            <w:vAlign w:val="bottom"/>
          </w:tcPr>
          <w:p w14:paraId="13F225ED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4BA5C040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02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8</w:t>
            </w:r>
          </w:p>
        </w:tc>
        <w:tc>
          <w:tcPr>
            <w:tcW w:w="1984" w:type="dxa"/>
            <w:vAlign w:val="bottom"/>
          </w:tcPr>
          <w:p w14:paraId="30CD3835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70958" w:rsidRPr="002F3E7F" w14:paraId="24FA52AF" w14:textId="77777777" w:rsidTr="00C80FE4">
        <w:tc>
          <w:tcPr>
            <w:tcW w:w="1419" w:type="dxa"/>
            <w:vAlign w:val="bottom"/>
          </w:tcPr>
          <w:p w14:paraId="23785E8C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Platelets</w:t>
            </w:r>
          </w:p>
        </w:tc>
        <w:tc>
          <w:tcPr>
            <w:tcW w:w="1557" w:type="dxa"/>
            <w:vAlign w:val="bottom"/>
          </w:tcPr>
          <w:p w14:paraId="5BCFEC50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Creatinine</w:t>
            </w:r>
          </w:p>
        </w:tc>
        <w:tc>
          <w:tcPr>
            <w:tcW w:w="1128" w:type="dxa"/>
            <w:vAlign w:val="bottom"/>
          </w:tcPr>
          <w:p w14:paraId="52A98F87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7</w:t>
            </w:r>
          </w:p>
        </w:tc>
        <w:tc>
          <w:tcPr>
            <w:tcW w:w="1090" w:type="dxa"/>
            <w:vAlign w:val="bottom"/>
          </w:tcPr>
          <w:p w14:paraId="4DF41F69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cor.test</w:t>
            </w:r>
            <w:proofErr w:type="spellEnd"/>
          </w:p>
        </w:tc>
        <w:tc>
          <w:tcPr>
            <w:tcW w:w="1616" w:type="dxa"/>
            <w:vAlign w:val="bottom"/>
          </w:tcPr>
          <w:p w14:paraId="2965D22B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02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1984" w:type="dxa"/>
            <w:vAlign w:val="bottom"/>
          </w:tcPr>
          <w:p w14:paraId="423C78FD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70958" w:rsidRPr="002F3E7F" w14:paraId="4A613876" w14:textId="77777777" w:rsidTr="00C80FE4">
        <w:tc>
          <w:tcPr>
            <w:tcW w:w="1419" w:type="dxa"/>
            <w:vAlign w:val="bottom"/>
          </w:tcPr>
          <w:p w14:paraId="3242D612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ICU+IMC stay</w:t>
            </w:r>
          </w:p>
        </w:tc>
        <w:tc>
          <w:tcPr>
            <w:tcW w:w="1557" w:type="dxa"/>
            <w:vAlign w:val="bottom"/>
          </w:tcPr>
          <w:p w14:paraId="491B49DA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Trisectionectomy</w:t>
            </w:r>
          </w:p>
        </w:tc>
        <w:tc>
          <w:tcPr>
            <w:tcW w:w="1128" w:type="dxa"/>
            <w:vAlign w:val="bottom"/>
          </w:tcPr>
          <w:p w14:paraId="36ED1DD1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none</w:t>
            </w:r>
          </w:p>
        </w:tc>
        <w:tc>
          <w:tcPr>
            <w:tcW w:w="1090" w:type="dxa"/>
            <w:vAlign w:val="bottom"/>
          </w:tcPr>
          <w:p w14:paraId="419DAACD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kruskal.test</w:t>
            </w:r>
            <w:proofErr w:type="spellEnd"/>
          </w:p>
        </w:tc>
        <w:tc>
          <w:tcPr>
            <w:tcW w:w="1616" w:type="dxa"/>
            <w:vAlign w:val="bottom"/>
          </w:tcPr>
          <w:p w14:paraId="58AE4613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02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6</w:t>
            </w:r>
          </w:p>
        </w:tc>
        <w:tc>
          <w:tcPr>
            <w:tcW w:w="1984" w:type="dxa"/>
            <w:vAlign w:val="bottom"/>
          </w:tcPr>
          <w:p w14:paraId="30C32B4F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70958" w:rsidRPr="002F3E7F" w14:paraId="0B9B3D6A" w14:textId="77777777" w:rsidTr="00C80FE4">
        <w:tc>
          <w:tcPr>
            <w:tcW w:w="1419" w:type="dxa"/>
            <w:vAlign w:val="bottom"/>
          </w:tcPr>
          <w:p w14:paraId="0EBFDAA4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ICU+IMC stay</w:t>
            </w:r>
          </w:p>
        </w:tc>
        <w:tc>
          <w:tcPr>
            <w:tcW w:w="1557" w:type="dxa"/>
            <w:vAlign w:val="bottom"/>
          </w:tcPr>
          <w:p w14:paraId="71337BE6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Mortality</w:t>
            </w:r>
          </w:p>
        </w:tc>
        <w:tc>
          <w:tcPr>
            <w:tcW w:w="1128" w:type="dxa"/>
            <w:vAlign w:val="bottom"/>
          </w:tcPr>
          <w:p w14:paraId="5F251AD8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none</w:t>
            </w:r>
          </w:p>
        </w:tc>
        <w:tc>
          <w:tcPr>
            <w:tcW w:w="1090" w:type="dxa"/>
            <w:vAlign w:val="bottom"/>
          </w:tcPr>
          <w:p w14:paraId="2D83A6B6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kruskal.test</w:t>
            </w:r>
            <w:proofErr w:type="spellEnd"/>
          </w:p>
        </w:tc>
        <w:tc>
          <w:tcPr>
            <w:tcW w:w="1616" w:type="dxa"/>
            <w:vAlign w:val="bottom"/>
          </w:tcPr>
          <w:p w14:paraId="2E9F7095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091</w:t>
            </w:r>
          </w:p>
        </w:tc>
        <w:tc>
          <w:tcPr>
            <w:tcW w:w="1984" w:type="dxa"/>
            <w:vAlign w:val="bottom"/>
          </w:tcPr>
          <w:p w14:paraId="35AEBD26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70958" w:rsidRPr="002F3E7F" w14:paraId="322A0BE9" w14:textId="77777777" w:rsidTr="00C80FE4">
        <w:tc>
          <w:tcPr>
            <w:tcW w:w="1419" w:type="dxa"/>
            <w:vAlign w:val="bottom"/>
          </w:tcPr>
          <w:p w14:paraId="5D8FC07B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ICU+IMC stay</w:t>
            </w:r>
          </w:p>
        </w:tc>
        <w:tc>
          <w:tcPr>
            <w:tcW w:w="1557" w:type="dxa"/>
            <w:vAlign w:val="bottom"/>
          </w:tcPr>
          <w:p w14:paraId="6ED818A1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PHLF_cat</w:t>
            </w:r>
            <w:proofErr w:type="spellEnd"/>
          </w:p>
        </w:tc>
        <w:tc>
          <w:tcPr>
            <w:tcW w:w="1128" w:type="dxa"/>
            <w:vAlign w:val="bottom"/>
          </w:tcPr>
          <w:p w14:paraId="7335D28B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none</w:t>
            </w:r>
          </w:p>
        </w:tc>
        <w:tc>
          <w:tcPr>
            <w:tcW w:w="1090" w:type="dxa"/>
            <w:vAlign w:val="bottom"/>
          </w:tcPr>
          <w:p w14:paraId="72DB1AA6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kruskal.test</w:t>
            </w:r>
            <w:proofErr w:type="spellEnd"/>
          </w:p>
        </w:tc>
        <w:tc>
          <w:tcPr>
            <w:tcW w:w="1616" w:type="dxa"/>
            <w:vAlign w:val="bottom"/>
          </w:tcPr>
          <w:p w14:paraId="5A9A51C2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010</w:t>
            </w:r>
          </w:p>
        </w:tc>
        <w:tc>
          <w:tcPr>
            <w:tcW w:w="1984" w:type="dxa"/>
            <w:vAlign w:val="bottom"/>
          </w:tcPr>
          <w:p w14:paraId="6D3F5844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05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6</w:t>
            </w:r>
          </w:p>
        </w:tc>
      </w:tr>
      <w:tr w:rsidR="00C70958" w:rsidRPr="002F3E7F" w14:paraId="1D52B733" w14:textId="77777777" w:rsidTr="00C80FE4">
        <w:tc>
          <w:tcPr>
            <w:tcW w:w="1419" w:type="dxa"/>
            <w:vAlign w:val="bottom"/>
          </w:tcPr>
          <w:p w14:paraId="1217B001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Complications</w:t>
            </w:r>
          </w:p>
        </w:tc>
        <w:tc>
          <w:tcPr>
            <w:tcW w:w="1557" w:type="dxa"/>
            <w:vAlign w:val="bottom"/>
          </w:tcPr>
          <w:p w14:paraId="31C7DF58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Mortality</w:t>
            </w:r>
          </w:p>
        </w:tc>
        <w:tc>
          <w:tcPr>
            <w:tcW w:w="1128" w:type="dxa"/>
            <w:vAlign w:val="bottom"/>
          </w:tcPr>
          <w:p w14:paraId="5BD009A9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none</w:t>
            </w:r>
          </w:p>
        </w:tc>
        <w:tc>
          <w:tcPr>
            <w:tcW w:w="1090" w:type="dxa"/>
            <w:vAlign w:val="bottom"/>
          </w:tcPr>
          <w:p w14:paraId="570F784D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kruskal.test</w:t>
            </w:r>
            <w:proofErr w:type="spellEnd"/>
          </w:p>
        </w:tc>
        <w:tc>
          <w:tcPr>
            <w:tcW w:w="1616" w:type="dxa"/>
            <w:vAlign w:val="bottom"/>
          </w:tcPr>
          <w:p w14:paraId="07870EFF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025</w:t>
            </w:r>
          </w:p>
        </w:tc>
        <w:tc>
          <w:tcPr>
            <w:tcW w:w="1984" w:type="dxa"/>
            <w:vAlign w:val="bottom"/>
          </w:tcPr>
          <w:p w14:paraId="63570B20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07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4</w:t>
            </w:r>
          </w:p>
        </w:tc>
      </w:tr>
      <w:tr w:rsidR="00C70958" w:rsidRPr="002F3E7F" w14:paraId="5A4742F1" w14:textId="77777777" w:rsidTr="00C80FE4">
        <w:tc>
          <w:tcPr>
            <w:tcW w:w="1419" w:type="dxa"/>
            <w:vAlign w:val="bottom"/>
          </w:tcPr>
          <w:p w14:paraId="094ADA93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Complications</w:t>
            </w:r>
          </w:p>
        </w:tc>
        <w:tc>
          <w:tcPr>
            <w:tcW w:w="1557" w:type="dxa"/>
            <w:vAlign w:val="bottom"/>
          </w:tcPr>
          <w:p w14:paraId="17AFF1FA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PHLF_cat</w:t>
            </w:r>
            <w:proofErr w:type="spellEnd"/>
          </w:p>
        </w:tc>
        <w:tc>
          <w:tcPr>
            <w:tcW w:w="1128" w:type="dxa"/>
            <w:vAlign w:val="bottom"/>
          </w:tcPr>
          <w:p w14:paraId="53E2BC9D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none</w:t>
            </w:r>
          </w:p>
        </w:tc>
        <w:tc>
          <w:tcPr>
            <w:tcW w:w="1090" w:type="dxa"/>
            <w:vAlign w:val="bottom"/>
          </w:tcPr>
          <w:p w14:paraId="3C6AC71A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kruskal.test</w:t>
            </w:r>
            <w:proofErr w:type="spellEnd"/>
          </w:p>
        </w:tc>
        <w:tc>
          <w:tcPr>
            <w:tcW w:w="1616" w:type="dxa"/>
            <w:vAlign w:val="bottom"/>
          </w:tcPr>
          <w:p w14:paraId="6764F1C8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038</w:t>
            </w:r>
          </w:p>
        </w:tc>
        <w:tc>
          <w:tcPr>
            <w:tcW w:w="1984" w:type="dxa"/>
            <w:vAlign w:val="bottom"/>
          </w:tcPr>
          <w:p w14:paraId="269C6E7C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70958" w:rsidRPr="002F3E7F" w14:paraId="46FCD324" w14:textId="77777777" w:rsidTr="00C80FE4">
        <w:tc>
          <w:tcPr>
            <w:tcW w:w="1419" w:type="dxa"/>
            <w:vAlign w:val="bottom"/>
          </w:tcPr>
          <w:p w14:paraId="7AE004B8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PHLF_num</w:t>
            </w:r>
            <w:proofErr w:type="spellEnd"/>
          </w:p>
        </w:tc>
        <w:tc>
          <w:tcPr>
            <w:tcW w:w="1557" w:type="dxa"/>
            <w:vAlign w:val="bottom"/>
          </w:tcPr>
          <w:p w14:paraId="7F21F9A1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Mortality</w:t>
            </w:r>
          </w:p>
        </w:tc>
        <w:tc>
          <w:tcPr>
            <w:tcW w:w="1128" w:type="dxa"/>
            <w:vAlign w:val="bottom"/>
          </w:tcPr>
          <w:p w14:paraId="5572A02E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none</w:t>
            </w:r>
          </w:p>
        </w:tc>
        <w:tc>
          <w:tcPr>
            <w:tcW w:w="1090" w:type="dxa"/>
            <w:vAlign w:val="bottom"/>
          </w:tcPr>
          <w:p w14:paraId="2977E6F2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kruskal.test</w:t>
            </w:r>
            <w:proofErr w:type="spellEnd"/>
          </w:p>
        </w:tc>
        <w:tc>
          <w:tcPr>
            <w:tcW w:w="1616" w:type="dxa"/>
            <w:vAlign w:val="bottom"/>
          </w:tcPr>
          <w:p w14:paraId="77E38A68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0069</w:t>
            </w:r>
          </w:p>
        </w:tc>
        <w:tc>
          <w:tcPr>
            <w:tcW w:w="1984" w:type="dxa"/>
            <w:vAlign w:val="bottom"/>
          </w:tcPr>
          <w:p w14:paraId="6F41B655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70958" w:rsidRPr="002F3E7F" w14:paraId="05B2D762" w14:textId="77777777" w:rsidTr="00C80FE4">
        <w:tc>
          <w:tcPr>
            <w:tcW w:w="1419" w:type="dxa"/>
            <w:vAlign w:val="bottom"/>
          </w:tcPr>
          <w:p w14:paraId="6C3CD415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PHLF_num</w:t>
            </w:r>
            <w:proofErr w:type="spellEnd"/>
          </w:p>
        </w:tc>
        <w:tc>
          <w:tcPr>
            <w:tcW w:w="1557" w:type="dxa"/>
            <w:vAlign w:val="bottom"/>
          </w:tcPr>
          <w:p w14:paraId="74A118D2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PHLF_cat</w:t>
            </w:r>
            <w:proofErr w:type="spellEnd"/>
          </w:p>
        </w:tc>
        <w:tc>
          <w:tcPr>
            <w:tcW w:w="1128" w:type="dxa"/>
            <w:vAlign w:val="bottom"/>
          </w:tcPr>
          <w:p w14:paraId="63421F68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none</w:t>
            </w:r>
          </w:p>
        </w:tc>
        <w:tc>
          <w:tcPr>
            <w:tcW w:w="1090" w:type="dxa"/>
            <w:vAlign w:val="bottom"/>
          </w:tcPr>
          <w:p w14:paraId="7ABBC101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kruskal.test</w:t>
            </w:r>
            <w:proofErr w:type="spellEnd"/>
          </w:p>
        </w:tc>
        <w:tc>
          <w:tcPr>
            <w:tcW w:w="1616" w:type="dxa"/>
            <w:vAlign w:val="bottom"/>
          </w:tcPr>
          <w:p w14:paraId="0FE8369B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0001</w:t>
            </w:r>
          </w:p>
        </w:tc>
        <w:tc>
          <w:tcPr>
            <w:tcW w:w="1984" w:type="dxa"/>
            <w:vAlign w:val="bottom"/>
          </w:tcPr>
          <w:p w14:paraId="5A8399DF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0099</w:t>
            </w:r>
          </w:p>
        </w:tc>
      </w:tr>
      <w:tr w:rsidR="00C70958" w:rsidRPr="002F3E7F" w14:paraId="302317C6" w14:textId="77777777" w:rsidTr="00C80FE4">
        <w:tc>
          <w:tcPr>
            <w:tcW w:w="1419" w:type="dxa"/>
            <w:vAlign w:val="bottom"/>
          </w:tcPr>
          <w:p w14:paraId="38FD7623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TGF-β1</w:t>
            </w:r>
          </w:p>
        </w:tc>
        <w:tc>
          <w:tcPr>
            <w:tcW w:w="1557" w:type="dxa"/>
            <w:vAlign w:val="bottom"/>
          </w:tcPr>
          <w:p w14:paraId="6EA9E4A5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Blood transfusion</w:t>
            </w:r>
          </w:p>
        </w:tc>
        <w:tc>
          <w:tcPr>
            <w:tcW w:w="1128" w:type="dxa"/>
            <w:vAlign w:val="bottom"/>
          </w:tcPr>
          <w:p w14:paraId="06B5762C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1090" w:type="dxa"/>
            <w:vAlign w:val="bottom"/>
          </w:tcPr>
          <w:p w14:paraId="7A831C92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kruskal.test</w:t>
            </w:r>
            <w:proofErr w:type="spellEnd"/>
          </w:p>
        </w:tc>
        <w:tc>
          <w:tcPr>
            <w:tcW w:w="1616" w:type="dxa"/>
            <w:vAlign w:val="bottom"/>
          </w:tcPr>
          <w:p w14:paraId="12EBFBC9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091</w:t>
            </w:r>
          </w:p>
        </w:tc>
        <w:tc>
          <w:tcPr>
            <w:tcW w:w="1984" w:type="dxa"/>
            <w:vAlign w:val="bottom"/>
          </w:tcPr>
          <w:p w14:paraId="0227137B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</w:tr>
      <w:tr w:rsidR="00C70958" w:rsidRPr="002F3E7F" w14:paraId="41B6890D" w14:textId="77777777" w:rsidTr="00C80FE4">
        <w:tc>
          <w:tcPr>
            <w:tcW w:w="1419" w:type="dxa"/>
            <w:vAlign w:val="bottom"/>
          </w:tcPr>
          <w:p w14:paraId="4D53C25A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Apo-2</w:t>
            </w:r>
          </w:p>
        </w:tc>
        <w:tc>
          <w:tcPr>
            <w:tcW w:w="1557" w:type="dxa"/>
            <w:vAlign w:val="bottom"/>
          </w:tcPr>
          <w:p w14:paraId="2153C2C0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Fibrosis</w:t>
            </w:r>
          </w:p>
        </w:tc>
        <w:tc>
          <w:tcPr>
            <w:tcW w:w="1128" w:type="dxa"/>
            <w:vAlign w:val="bottom"/>
          </w:tcPr>
          <w:p w14:paraId="2563013D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7</w:t>
            </w:r>
          </w:p>
        </w:tc>
        <w:tc>
          <w:tcPr>
            <w:tcW w:w="1090" w:type="dxa"/>
            <w:vAlign w:val="bottom"/>
          </w:tcPr>
          <w:p w14:paraId="6233518E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kruskal.test</w:t>
            </w:r>
            <w:proofErr w:type="spellEnd"/>
          </w:p>
        </w:tc>
        <w:tc>
          <w:tcPr>
            <w:tcW w:w="1616" w:type="dxa"/>
            <w:vAlign w:val="bottom"/>
          </w:tcPr>
          <w:p w14:paraId="65CCB0F7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08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4</w:t>
            </w:r>
          </w:p>
        </w:tc>
        <w:tc>
          <w:tcPr>
            <w:tcW w:w="1984" w:type="dxa"/>
            <w:vAlign w:val="bottom"/>
          </w:tcPr>
          <w:p w14:paraId="78ADE1A6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</w:tr>
      <w:tr w:rsidR="00C70958" w:rsidRPr="002F3E7F" w14:paraId="15F84F60" w14:textId="77777777" w:rsidTr="00C80FE4">
        <w:tc>
          <w:tcPr>
            <w:tcW w:w="1419" w:type="dxa"/>
            <w:vAlign w:val="bottom"/>
          </w:tcPr>
          <w:p w14:paraId="12B4995B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EGF</w:t>
            </w:r>
          </w:p>
        </w:tc>
        <w:tc>
          <w:tcPr>
            <w:tcW w:w="1557" w:type="dxa"/>
            <w:vAlign w:val="bottom"/>
          </w:tcPr>
          <w:p w14:paraId="356C0589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Blood transfusion</w:t>
            </w:r>
          </w:p>
        </w:tc>
        <w:tc>
          <w:tcPr>
            <w:tcW w:w="1128" w:type="dxa"/>
            <w:vAlign w:val="bottom"/>
          </w:tcPr>
          <w:p w14:paraId="0C1D2B92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1090" w:type="dxa"/>
            <w:vAlign w:val="bottom"/>
          </w:tcPr>
          <w:p w14:paraId="561D2880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kruskal.test</w:t>
            </w:r>
            <w:proofErr w:type="spellEnd"/>
          </w:p>
        </w:tc>
        <w:tc>
          <w:tcPr>
            <w:tcW w:w="1616" w:type="dxa"/>
            <w:vAlign w:val="bottom"/>
          </w:tcPr>
          <w:p w14:paraId="37A793A3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07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5</w:t>
            </w:r>
          </w:p>
        </w:tc>
        <w:tc>
          <w:tcPr>
            <w:tcW w:w="1984" w:type="dxa"/>
            <w:vAlign w:val="bottom"/>
          </w:tcPr>
          <w:p w14:paraId="32D7A597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</w:tr>
      <w:tr w:rsidR="00C70958" w:rsidRPr="002F3E7F" w14:paraId="6054C3A5" w14:textId="77777777" w:rsidTr="00C80FE4">
        <w:tc>
          <w:tcPr>
            <w:tcW w:w="1419" w:type="dxa"/>
            <w:vAlign w:val="bottom"/>
          </w:tcPr>
          <w:p w14:paraId="7209CE38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EGF</w:t>
            </w:r>
          </w:p>
        </w:tc>
        <w:tc>
          <w:tcPr>
            <w:tcW w:w="1557" w:type="dxa"/>
            <w:vAlign w:val="bottom"/>
          </w:tcPr>
          <w:p w14:paraId="7D392AF5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Blood transfusion</w:t>
            </w:r>
          </w:p>
        </w:tc>
        <w:tc>
          <w:tcPr>
            <w:tcW w:w="1128" w:type="dxa"/>
            <w:vAlign w:val="bottom"/>
          </w:tcPr>
          <w:p w14:paraId="1531F982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7</w:t>
            </w:r>
          </w:p>
        </w:tc>
        <w:tc>
          <w:tcPr>
            <w:tcW w:w="1090" w:type="dxa"/>
            <w:vAlign w:val="bottom"/>
          </w:tcPr>
          <w:p w14:paraId="393DB77C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kruskal.test</w:t>
            </w:r>
            <w:proofErr w:type="spellEnd"/>
          </w:p>
        </w:tc>
        <w:tc>
          <w:tcPr>
            <w:tcW w:w="1616" w:type="dxa"/>
            <w:vAlign w:val="bottom"/>
          </w:tcPr>
          <w:p w14:paraId="0FB4DFEC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078</w:t>
            </w:r>
          </w:p>
        </w:tc>
        <w:tc>
          <w:tcPr>
            <w:tcW w:w="1984" w:type="dxa"/>
            <w:vAlign w:val="bottom"/>
          </w:tcPr>
          <w:p w14:paraId="28FF2C57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</w:tr>
      <w:tr w:rsidR="00C70958" w:rsidRPr="002F3E7F" w14:paraId="2523154A" w14:textId="77777777" w:rsidTr="00C80FE4">
        <w:tc>
          <w:tcPr>
            <w:tcW w:w="1419" w:type="dxa"/>
            <w:vAlign w:val="bottom"/>
          </w:tcPr>
          <w:p w14:paraId="2EE27A11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GGT</w:t>
            </w:r>
          </w:p>
        </w:tc>
        <w:tc>
          <w:tcPr>
            <w:tcW w:w="1557" w:type="dxa"/>
            <w:vAlign w:val="bottom"/>
          </w:tcPr>
          <w:p w14:paraId="4171B1F2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Trisectionectomy</w:t>
            </w:r>
          </w:p>
        </w:tc>
        <w:tc>
          <w:tcPr>
            <w:tcW w:w="1128" w:type="dxa"/>
            <w:vAlign w:val="bottom"/>
          </w:tcPr>
          <w:p w14:paraId="41C46D9A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-1</w:t>
            </w:r>
          </w:p>
        </w:tc>
        <w:tc>
          <w:tcPr>
            <w:tcW w:w="1090" w:type="dxa"/>
            <w:vAlign w:val="bottom"/>
          </w:tcPr>
          <w:p w14:paraId="27AD7ADF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kruskal.test</w:t>
            </w:r>
            <w:proofErr w:type="spellEnd"/>
          </w:p>
        </w:tc>
        <w:tc>
          <w:tcPr>
            <w:tcW w:w="1616" w:type="dxa"/>
            <w:vAlign w:val="bottom"/>
          </w:tcPr>
          <w:p w14:paraId="454F9341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078</w:t>
            </w:r>
          </w:p>
        </w:tc>
        <w:tc>
          <w:tcPr>
            <w:tcW w:w="1984" w:type="dxa"/>
            <w:vAlign w:val="bottom"/>
          </w:tcPr>
          <w:p w14:paraId="18D10114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</w:tr>
      <w:tr w:rsidR="00C70958" w:rsidRPr="002F3E7F" w14:paraId="3734164D" w14:textId="77777777" w:rsidTr="00C80FE4">
        <w:tc>
          <w:tcPr>
            <w:tcW w:w="1419" w:type="dxa"/>
            <w:vAlign w:val="bottom"/>
          </w:tcPr>
          <w:p w14:paraId="4DF47420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Bilirubin</w:t>
            </w:r>
          </w:p>
        </w:tc>
        <w:tc>
          <w:tcPr>
            <w:tcW w:w="1557" w:type="dxa"/>
            <w:vAlign w:val="bottom"/>
          </w:tcPr>
          <w:p w14:paraId="3617CAF7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Mortality</w:t>
            </w:r>
          </w:p>
        </w:tc>
        <w:tc>
          <w:tcPr>
            <w:tcW w:w="1128" w:type="dxa"/>
            <w:vAlign w:val="bottom"/>
          </w:tcPr>
          <w:p w14:paraId="49D22951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-1</w:t>
            </w:r>
          </w:p>
        </w:tc>
        <w:tc>
          <w:tcPr>
            <w:tcW w:w="1090" w:type="dxa"/>
            <w:vAlign w:val="bottom"/>
          </w:tcPr>
          <w:p w14:paraId="1E87DC20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kruskal.test</w:t>
            </w:r>
            <w:proofErr w:type="spellEnd"/>
          </w:p>
        </w:tc>
        <w:tc>
          <w:tcPr>
            <w:tcW w:w="1616" w:type="dxa"/>
            <w:vAlign w:val="bottom"/>
          </w:tcPr>
          <w:p w14:paraId="5D1466FA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08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4</w:t>
            </w:r>
          </w:p>
        </w:tc>
        <w:tc>
          <w:tcPr>
            <w:tcW w:w="1984" w:type="dxa"/>
            <w:vAlign w:val="bottom"/>
          </w:tcPr>
          <w:p w14:paraId="72BF7D3A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</w:tr>
      <w:tr w:rsidR="00C70958" w:rsidRPr="002F3E7F" w14:paraId="3A3CA2AF" w14:textId="77777777" w:rsidTr="00C80FE4">
        <w:tc>
          <w:tcPr>
            <w:tcW w:w="1419" w:type="dxa"/>
            <w:vAlign w:val="bottom"/>
          </w:tcPr>
          <w:p w14:paraId="6448681B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Bilirubin</w:t>
            </w:r>
          </w:p>
        </w:tc>
        <w:tc>
          <w:tcPr>
            <w:tcW w:w="1557" w:type="dxa"/>
            <w:vAlign w:val="bottom"/>
          </w:tcPr>
          <w:p w14:paraId="48CEAF5F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Mortality</w:t>
            </w:r>
          </w:p>
        </w:tc>
        <w:tc>
          <w:tcPr>
            <w:tcW w:w="1128" w:type="dxa"/>
            <w:vAlign w:val="bottom"/>
          </w:tcPr>
          <w:p w14:paraId="3C2AA801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3</w:t>
            </w:r>
          </w:p>
        </w:tc>
        <w:tc>
          <w:tcPr>
            <w:tcW w:w="1090" w:type="dxa"/>
            <w:vAlign w:val="bottom"/>
          </w:tcPr>
          <w:p w14:paraId="4B7BF5B2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kruskal.test</w:t>
            </w:r>
            <w:proofErr w:type="spellEnd"/>
          </w:p>
        </w:tc>
        <w:tc>
          <w:tcPr>
            <w:tcW w:w="1616" w:type="dxa"/>
            <w:vAlign w:val="bottom"/>
          </w:tcPr>
          <w:p w14:paraId="6D8D8481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078</w:t>
            </w:r>
          </w:p>
        </w:tc>
        <w:tc>
          <w:tcPr>
            <w:tcW w:w="1984" w:type="dxa"/>
            <w:vAlign w:val="bottom"/>
          </w:tcPr>
          <w:p w14:paraId="692136B5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</w:tr>
      <w:tr w:rsidR="00C70958" w:rsidRPr="002F3E7F" w14:paraId="5CC07D7E" w14:textId="77777777" w:rsidTr="00C80FE4">
        <w:tc>
          <w:tcPr>
            <w:tcW w:w="1419" w:type="dxa"/>
            <w:vAlign w:val="bottom"/>
          </w:tcPr>
          <w:p w14:paraId="4339E0C0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Bilirubin</w:t>
            </w:r>
          </w:p>
        </w:tc>
        <w:tc>
          <w:tcPr>
            <w:tcW w:w="1557" w:type="dxa"/>
            <w:vAlign w:val="bottom"/>
          </w:tcPr>
          <w:p w14:paraId="1E70030A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Mortality</w:t>
            </w:r>
          </w:p>
        </w:tc>
        <w:tc>
          <w:tcPr>
            <w:tcW w:w="1128" w:type="dxa"/>
            <w:vAlign w:val="bottom"/>
          </w:tcPr>
          <w:p w14:paraId="4A314F94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7</w:t>
            </w:r>
          </w:p>
        </w:tc>
        <w:tc>
          <w:tcPr>
            <w:tcW w:w="1090" w:type="dxa"/>
            <w:vAlign w:val="bottom"/>
          </w:tcPr>
          <w:p w14:paraId="60C6BC67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kruskal.test</w:t>
            </w:r>
            <w:proofErr w:type="spellEnd"/>
          </w:p>
        </w:tc>
        <w:tc>
          <w:tcPr>
            <w:tcW w:w="1616" w:type="dxa"/>
            <w:vAlign w:val="bottom"/>
          </w:tcPr>
          <w:p w14:paraId="43369AE0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07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8</w:t>
            </w:r>
          </w:p>
        </w:tc>
        <w:tc>
          <w:tcPr>
            <w:tcW w:w="1984" w:type="dxa"/>
            <w:vAlign w:val="bottom"/>
          </w:tcPr>
          <w:p w14:paraId="20E06CF4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</w:tr>
      <w:tr w:rsidR="00C70958" w:rsidRPr="002F3E7F" w14:paraId="771F4D8E" w14:textId="77777777" w:rsidTr="00C80FE4">
        <w:tc>
          <w:tcPr>
            <w:tcW w:w="1419" w:type="dxa"/>
            <w:vAlign w:val="bottom"/>
          </w:tcPr>
          <w:p w14:paraId="5F9B3518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Bilirubin</w:t>
            </w:r>
          </w:p>
        </w:tc>
        <w:tc>
          <w:tcPr>
            <w:tcW w:w="1557" w:type="dxa"/>
            <w:vAlign w:val="bottom"/>
          </w:tcPr>
          <w:p w14:paraId="6050D041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PHLF_cat</w:t>
            </w:r>
            <w:proofErr w:type="spellEnd"/>
          </w:p>
        </w:tc>
        <w:tc>
          <w:tcPr>
            <w:tcW w:w="1128" w:type="dxa"/>
            <w:vAlign w:val="bottom"/>
          </w:tcPr>
          <w:p w14:paraId="17523518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1090" w:type="dxa"/>
            <w:vAlign w:val="bottom"/>
          </w:tcPr>
          <w:p w14:paraId="47CB8746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kruskal.test</w:t>
            </w:r>
            <w:proofErr w:type="spellEnd"/>
          </w:p>
        </w:tc>
        <w:tc>
          <w:tcPr>
            <w:tcW w:w="1616" w:type="dxa"/>
            <w:vAlign w:val="bottom"/>
          </w:tcPr>
          <w:p w14:paraId="6611730D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04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7</w:t>
            </w:r>
          </w:p>
        </w:tc>
        <w:tc>
          <w:tcPr>
            <w:tcW w:w="1984" w:type="dxa"/>
            <w:vAlign w:val="bottom"/>
          </w:tcPr>
          <w:p w14:paraId="4677A5C5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05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6</w:t>
            </w:r>
          </w:p>
        </w:tc>
      </w:tr>
      <w:tr w:rsidR="00C70958" w:rsidRPr="002F3E7F" w14:paraId="00FE32F0" w14:textId="77777777" w:rsidTr="00C80FE4">
        <w:tc>
          <w:tcPr>
            <w:tcW w:w="1419" w:type="dxa"/>
            <w:vAlign w:val="bottom"/>
          </w:tcPr>
          <w:p w14:paraId="06EF3C5F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Bilirubin</w:t>
            </w:r>
          </w:p>
        </w:tc>
        <w:tc>
          <w:tcPr>
            <w:tcW w:w="1557" w:type="dxa"/>
            <w:vAlign w:val="bottom"/>
          </w:tcPr>
          <w:p w14:paraId="22EBBEB0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PHLF_cat</w:t>
            </w:r>
            <w:proofErr w:type="spellEnd"/>
          </w:p>
        </w:tc>
        <w:tc>
          <w:tcPr>
            <w:tcW w:w="1128" w:type="dxa"/>
            <w:vAlign w:val="bottom"/>
          </w:tcPr>
          <w:p w14:paraId="48FF25ED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3</w:t>
            </w:r>
          </w:p>
        </w:tc>
        <w:tc>
          <w:tcPr>
            <w:tcW w:w="1090" w:type="dxa"/>
            <w:vAlign w:val="bottom"/>
          </w:tcPr>
          <w:p w14:paraId="7F5ED394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kruskal.test</w:t>
            </w:r>
            <w:proofErr w:type="spellEnd"/>
          </w:p>
        </w:tc>
        <w:tc>
          <w:tcPr>
            <w:tcW w:w="1616" w:type="dxa"/>
            <w:vAlign w:val="bottom"/>
          </w:tcPr>
          <w:p w14:paraId="73E7D6D7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099</w:t>
            </w:r>
          </w:p>
        </w:tc>
        <w:tc>
          <w:tcPr>
            <w:tcW w:w="1984" w:type="dxa"/>
            <w:vAlign w:val="bottom"/>
          </w:tcPr>
          <w:p w14:paraId="2029DC89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049</w:t>
            </w:r>
          </w:p>
        </w:tc>
      </w:tr>
      <w:tr w:rsidR="00C70958" w:rsidRPr="002F3E7F" w14:paraId="0C0A81D3" w14:textId="77777777" w:rsidTr="00C80FE4">
        <w:tc>
          <w:tcPr>
            <w:tcW w:w="1419" w:type="dxa"/>
            <w:vAlign w:val="bottom"/>
          </w:tcPr>
          <w:p w14:paraId="32F4D963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Bilirubin</w:t>
            </w:r>
          </w:p>
        </w:tc>
        <w:tc>
          <w:tcPr>
            <w:tcW w:w="1557" w:type="dxa"/>
            <w:vAlign w:val="bottom"/>
          </w:tcPr>
          <w:p w14:paraId="76446748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PHLF_cat</w:t>
            </w:r>
            <w:proofErr w:type="spellEnd"/>
          </w:p>
        </w:tc>
        <w:tc>
          <w:tcPr>
            <w:tcW w:w="1128" w:type="dxa"/>
            <w:vAlign w:val="bottom"/>
          </w:tcPr>
          <w:p w14:paraId="393B22F7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7</w:t>
            </w:r>
          </w:p>
        </w:tc>
        <w:tc>
          <w:tcPr>
            <w:tcW w:w="1090" w:type="dxa"/>
            <w:vAlign w:val="bottom"/>
          </w:tcPr>
          <w:p w14:paraId="2CB92BE2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kruskal.test</w:t>
            </w:r>
            <w:proofErr w:type="spellEnd"/>
          </w:p>
        </w:tc>
        <w:tc>
          <w:tcPr>
            <w:tcW w:w="1616" w:type="dxa"/>
            <w:vAlign w:val="bottom"/>
          </w:tcPr>
          <w:p w14:paraId="56D541E2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02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7</w:t>
            </w:r>
          </w:p>
        </w:tc>
        <w:tc>
          <w:tcPr>
            <w:tcW w:w="1984" w:type="dxa"/>
            <w:vAlign w:val="bottom"/>
          </w:tcPr>
          <w:p w14:paraId="4E4D7190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022</w:t>
            </w:r>
          </w:p>
        </w:tc>
      </w:tr>
      <w:tr w:rsidR="00C70958" w:rsidRPr="002F3E7F" w14:paraId="3C316B45" w14:textId="77777777" w:rsidTr="00C80FE4">
        <w:tc>
          <w:tcPr>
            <w:tcW w:w="1419" w:type="dxa"/>
            <w:vAlign w:val="bottom"/>
          </w:tcPr>
          <w:p w14:paraId="0A232D55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CRP</w:t>
            </w:r>
          </w:p>
        </w:tc>
        <w:tc>
          <w:tcPr>
            <w:tcW w:w="1557" w:type="dxa"/>
            <w:vAlign w:val="bottom"/>
          </w:tcPr>
          <w:p w14:paraId="028ED9C5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ASA</w:t>
            </w:r>
          </w:p>
        </w:tc>
        <w:tc>
          <w:tcPr>
            <w:tcW w:w="1128" w:type="dxa"/>
            <w:vAlign w:val="bottom"/>
          </w:tcPr>
          <w:p w14:paraId="3D44FD69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1090" w:type="dxa"/>
            <w:vAlign w:val="bottom"/>
          </w:tcPr>
          <w:p w14:paraId="1ABA6A62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kruskal.test</w:t>
            </w:r>
            <w:proofErr w:type="spellEnd"/>
          </w:p>
        </w:tc>
        <w:tc>
          <w:tcPr>
            <w:tcW w:w="1616" w:type="dxa"/>
            <w:vAlign w:val="bottom"/>
          </w:tcPr>
          <w:p w14:paraId="7C8FF5C8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053</w:t>
            </w:r>
          </w:p>
        </w:tc>
        <w:tc>
          <w:tcPr>
            <w:tcW w:w="1984" w:type="dxa"/>
            <w:vAlign w:val="bottom"/>
          </w:tcPr>
          <w:p w14:paraId="39D50519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</w:tr>
      <w:tr w:rsidR="00C70958" w:rsidRPr="002F3E7F" w14:paraId="19663A88" w14:textId="77777777" w:rsidTr="00C80FE4">
        <w:tc>
          <w:tcPr>
            <w:tcW w:w="1419" w:type="dxa"/>
            <w:vAlign w:val="bottom"/>
          </w:tcPr>
          <w:p w14:paraId="4EED1214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INR</w:t>
            </w:r>
          </w:p>
        </w:tc>
        <w:tc>
          <w:tcPr>
            <w:tcW w:w="1557" w:type="dxa"/>
            <w:vAlign w:val="bottom"/>
          </w:tcPr>
          <w:p w14:paraId="77DB6533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Mortality</w:t>
            </w:r>
          </w:p>
        </w:tc>
        <w:tc>
          <w:tcPr>
            <w:tcW w:w="1128" w:type="dxa"/>
            <w:vAlign w:val="bottom"/>
          </w:tcPr>
          <w:p w14:paraId="36C650DC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3</w:t>
            </w:r>
          </w:p>
        </w:tc>
        <w:tc>
          <w:tcPr>
            <w:tcW w:w="1090" w:type="dxa"/>
            <w:vAlign w:val="bottom"/>
          </w:tcPr>
          <w:p w14:paraId="7118E129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kruskal.test</w:t>
            </w:r>
            <w:proofErr w:type="spellEnd"/>
          </w:p>
        </w:tc>
        <w:tc>
          <w:tcPr>
            <w:tcW w:w="1616" w:type="dxa"/>
            <w:vAlign w:val="bottom"/>
          </w:tcPr>
          <w:p w14:paraId="6282C88B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04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7</w:t>
            </w:r>
          </w:p>
        </w:tc>
        <w:tc>
          <w:tcPr>
            <w:tcW w:w="1984" w:type="dxa"/>
            <w:vAlign w:val="bottom"/>
          </w:tcPr>
          <w:p w14:paraId="4E547701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</w:tr>
      <w:tr w:rsidR="00C70958" w:rsidRPr="002F3E7F" w14:paraId="3A8F2E9D" w14:textId="77777777" w:rsidTr="00C80FE4">
        <w:tc>
          <w:tcPr>
            <w:tcW w:w="1419" w:type="dxa"/>
            <w:vAlign w:val="bottom"/>
          </w:tcPr>
          <w:p w14:paraId="01E02CBB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INR</w:t>
            </w:r>
          </w:p>
        </w:tc>
        <w:tc>
          <w:tcPr>
            <w:tcW w:w="1557" w:type="dxa"/>
            <w:vAlign w:val="bottom"/>
          </w:tcPr>
          <w:p w14:paraId="1020B3B0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Mortality</w:t>
            </w:r>
          </w:p>
        </w:tc>
        <w:tc>
          <w:tcPr>
            <w:tcW w:w="1128" w:type="dxa"/>
            <w:vAlign w:val="bottom"/>
          </w:tcPr>
          <w:p w14:paraId="519A31CB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7</w:t>
            </w:r>
          </w:p>
        </w:tc>
        <w:tc>
          <w:tcPr>
            <w:tcW w:w="1090" w:type="dxa"/>
            <w:vAlign w:val="bottom"/>
          </w:tcPr>
          <w:p w14:paraId="237514D6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kruskal.test</w:t>
            </w:r>
            <w:proofErr w:type="spellEnd"/>
          </w:p>
        </w:tc>
        <w:tc>
          <w:tcPr>
            <w:tcW w:w="1616" w:type="dxa"/>
            <w:vAlign w:val="bottom"/>
          </w:tcPr>
          <w:p w14:paraId="5DAD1248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03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7</w:t>
            </w:r>
          </w:p>
        </w:tc>
        <w:tc>
          <w:tcPr>
            <w:tcW w:w="1984" w:type="dxa"/>
            <w:vAlign w:val="bottom"/>
          </w:tcPr>
          <w:p w14:paraId="53A34B5E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</w:tr>
      <w:tr w:rsidR="00C70958" w:rsidRPr="002F3E7F" w14:paraId="6360C8EE" w14:textId="77777777" w:rsidTr="00C80FE4">
        <w:tc>
          <w:tcPr>
            <w:tcW w:w="1419" w:type="dxa"/>
            <w:vAlign w:val="bottom"/>
          </w:tcPr>
          <w:p w14:paraId="21FC123B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Platelets</w:t>
            </w:r>
          </w:p>
        </w:tc>
        <w:tc>
          <w:tcPr>
            <w:tcW w:w="1557" w:type="dxa"/>
            <w:vAlign w:val="bottom"/>
          </w:tcPr>
          <w:p w14:paraId="5E542910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Gender</w:t>
            </w:r>
          </w:p>
        </w:tc>
        <w:tc>
          <w:tcPr>
            <w:tcW w:w="1128" w:type="dxa"/>
            <w:vAlign w:val="bottom"/>
          </w:tcPr>
          <w:p w14:paraId="5DB83D87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7</w:t>
            </w:r>
          </w:p>
        </w:tc>
        <w:tc>
          <w:tcPr>
            <w:tcW w:w="1090" w:type="dxa"/>
            <w:vAlign w:val="bottom"/>
          </w:tcPr>
          <w:p w14:paraId="001D4168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kruskal.test</w:t>
            </w:r>
            <w:proofErr w:type="spellEnd"/>
          </w:p>
        </w:tc>
        <w:tc>
          <w:tcPr>
            <w:tcW w:w="1616" w:type="dxa"/>
            <w:vAlign w:val="bottom"/>
          </w:tcPr>
          <w:p w14:paraId="7D62F2B1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078</w:t>
            </w:r>
          </w:p>
        </w:tc>
        <w:tc>
          <w:tcPr>
            <w:tcW w:w="1984" w:type="dxa"/>
            <w:vAlign w:val="bottom"/>
          </w:tcPr>
          <w:p w14:paraId="58056E2E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</w:tr>
      <w:tr w:rsidR="00C70958" w:rsidRPr="002F3E7F" w14:paraId="74BE3B0E" w14:textId="77777777" w:rsidTr="00C80FE4">
        <w:tc>
          <w:tcPr>
            <w:tcW w:w="1419" w:type="dxa"/>
            <w:vAlign w:val="bottom"/>
          </w:tcPr>
          <w:p w14:paraId="130933B9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Platelets</w:t>
            </w:r>
          </w:p>
        </w:tc>
        <w:tc>
          <w:tcPr>
            <w:tcW w:w="1557" w:type="dxa"/>
            <w:vAlign w:val="bottom"/>
          </w:tcPr>
          <w:p w14:paraId="6311EAD7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PHLF_cat</w:t>
            </w:r>
            <w:proofErr w:type="spellEnd"/>
          </w:p>
        </w:tc>
        <w:tc>
          <w:tcPr>
            <w:tcW w:w="1128" w:type="dxa"/>
            <w:vAlign w:val="bottom"/>
          </w:tcPr>
          <w:p w14:paraId="416B2182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7</w:t>
            </w:r>
          </w:p>
        </w:tc>
        <w:tc>
          <w:tcPr>
            <w:tcW w:w="1090" w:type="dxa"/>
            <w:vAlign w:val="bottom"/>
          </w:tcPr>
          <w:p w14:paraId="45F1452E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kruskal.test</w:t>
            </w:r>
            <w:proofErr w:type="spellEnd"/>
          </w:p>
        </w:tc>
        <w:tc>
          <w:tcPr>
            <w:tcW w:w="1616" w:type="dxa"/>
            <w:vAlign w:val="bottom"/>
          </w:tcPr>
          <w:p w14:paraId="53F7BE17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031</w:t>
            </w:r>
          </w:p>
        </w:tc>
        <w:tc>
          <w:tcPr>
            <w:tcW w:w="1984" w:type="dxa"/>
            <w:vAlign w:val="bottom"/>
          </w:tcPr>
          <w:p w14:paraId="62446407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</w:tr>
      <w:tr w:rsidR="00C70958" w:rsidRPr="002F3E7F" w14:paraId="70828CA8" w14:textId="77777777" w:rsidTr="00C80FE4">
        <w:tc>
          <w:tcPr>
            <w:tcW w:w="1419" w:type="dxa"/>
            <w:vAlign w:val="bottom"/>
          </w:tcPr>
          <w:p w14:paraId="40EC721C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Creatinine</w:t>
            </w:r>
          </w:p>
        </w:tc>
        <w:tc>
          <w:tcPr>
            <w:tcW w:w="1557" w:type="dxa"/>
            <w:vAlign w:val="bottom"/>
          </w:tcPr>
          <w:p w14:paraId="49E276E9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Gender</w:t>
            </w:r>
          </w:p>
        </w:tc>
        <w:tc>
          <w:tcPr>
            <w:tcW w:w="1128" w:type="dxa"/>
            <w:vAlign w:val="bottom"/>
          </w:tcPr>
          <w:p w14:paraId="0FF8A137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1090" w:type="dxa"/>
            <w:vAlign w:val="bottom"/>
          </w:tcPr>
          <w:p w14:paraId="504D62EB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kruskal.test</w:t>
            </w:r>
            <w:proofErr w:type="spellEnd"/>
          </w:p>
        </w:tc>
        <w:tc>
          <w:tcPr>
            <w:tcW w:w="1616" w:type="dxa"/>
            <w:vAlign w:val="bottom"/>
          </w:tcPr>
          <w:p w14:paraId="43D8A418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091</w:t>
            </w:r>
          </w:p>
        </w:tc>
        <w:tc>
          <w:tcPr>
            <w:tcW w:w="1984" w:type="dxa"/>
            <w:vAlign w:val="bottom"/>
          </w:tcPr>
          <w:p w14:paraId="691BF493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073</w:t>
            </w:r>
          </w:p>
        </w:tc>
      </w:tr>
      <w:tr w:rsidR="00C70958" w:rsidRPr="002F3E7F" w14:paraId="39F29BEF" w14:textId="77777777" w:rsidTr="00C80FE4">
        <w:tc>
          <w:tcPr>
            <w:tcW w:w="1419" w:type="dxa"/>
            <w:vAlign w:val="bottom"/>
          </w:tcPr>
          <w:p w14:paraId="5B5B0064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Creatinine</w:t>
            </w:r>
          </w:p>
        </w:tc>
        <w:tc>
          <w:tcPr>
            <w:tcW w:w="1557" w:type="dxa"/>
            <w:vAlign w:val="bottom"/>
          </w:tcPr>
          <w:p w14:paraId="4D2AE3CE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Gender</w:t>
            </w:r>
          </w:p>
        </w:tc>
        <w:tc>
          <w:tcPr>
            <w:tcW w:w="1128" w:type="dxa"/>
            <w:vAlign w:val="bottom"/>
          </w:tcPr>
          <w:p w14:paraId="017229C3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7</w:t>
            </w:r>
          </w:p>
        </w:tc>
        <w:tc>
          <w:tcPr>
            <w:tcW w:w="1090" w:type="dxa"/>
            <w:vAlign w:val="bottom"/>
          </w:tcPr>
          <w:p w14:paraId="13B8BBBD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kruskal.test</w:t>
            </w:r>
            <w:proofErr w:type="spellEnd"/>
          </w:p>
        </w:tc>
        <w:tc>
          <w:tcPr>
            <w:tcW w:w="1616" w:type="dxa"/>
            <w:vAlign w:val="bottom"/>
          </w:tcPr>
          <w:p w14:paraId="31070759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07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9</w:t>
            </w:r>
          </w:p>
        </w:tc>
        <w:tc>
          <w:tcPr>
            <w:tcW w:w="1984" w:type="dxa"/>
            <w:vAlign w:val="bottom"/>
          </w:tcPr>
          <w:p w14:paraId="75B19D76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</w:tr>
      <w:tr w:rsidR="00C70958" w:rsidRPr="002F3E7F" w14:paraId="53FF6089" w14:textId="77777777" w:rsidTr="00C80FE4">
        <w:tc>
          <w:tcPr>
            <w:tcW w:w="1419" w:type="dxa"/>
            <w:vAlign w:val="bottom"/>
          </w:tcPr>
          <w:p w14:paraId="2B54FCD0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Creatinine</w:t>
            </w:r>
          </w:p>
        </w:tc>
        <w:tc>
          <w:tcPr>
            <w:tcW w:w="1557" w:type="dxa"/>
            <w:vAlign w:val="bottom"/>
          </w:tcPr>
          <w:p w14:paraId="76737AFF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PHLF_cat</w:t>
            </w:r>
            <w:proofErr w:type="spellEnd"/>
          </w:p>
        </w:tc>
        <w:tc>
          <w:tcPr>
            <w:tcW w:w="1128" w:type="dxa"/>
            <w:vAlign w:val="bottom"/>
          </w:tcPr>
          <w:p w14:paraId="474274C2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7</w:t>
            </w:r>
          </w:p>
        </w:tc>
        <w:tc>
          <w:tcPr>
            <w:tcW w:w="1090" w:type="dxa"/>
            <w:vAlign w:val="bottom"/>
          </w:tcPr>
          <w:p w14:paraId="5B861483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kruskal.test</w:t>
            </w:r>
            <w:proofErr w:type="spellEnd"/>
          </w:p>
        </w:tc>
        <w:tc>
          <w:tcPr>
            <w:tcW w:w="1616" w:type="dxa"/>
            <w:vAlign w:val="bottom"/>
          </w:tcPr>
          <w:p w14:paraId="41CDBDDB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08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4</w:t>
            </w:r>
          </w:p>
        </w:tc>
        <w:tc>
          <w:tcPr>
            <w:tcW w:w="1984" w:type="dxa"/>
            <w:vAlign w:val="bottom"/>
          </w:tcPr>
          <w:p w14:paraId="0CF9535A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</w:tr>
      <w:tr w:rsidR="00C70958" w:rsidRPr="002F3E7F" w14:paraId="52705767" w14:textId="77777777" w:rsidTr="00C80FE4">
        <w:tc>
          <w:tcPr>
            <w:tcW w:w="1419" w:type="dxa"/>
            <w:vAlign w:val="bottom"/>
          </w:tcPr>
          <w:p w14:paraId="0727547F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Mortality</w:t>
            </w:r>
          </w:p>
        </w:tc>
        <w:tc>
          <w:tcPr>
            <w:tcW w:w="1557" w:type="dxa"/>
            <w:vAlign w:val="bottom"/>
          </w:tcPr>
          <w:p w14:paraId="0AE12EC2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PHLF_cat</w:t>
            </w:r>
            <w:proofErr w:type="spellEnd"/>
          </w:p>
        </w:tc>
        <w:tc>
          <w:tcPr>
            <w:tcW w:w="1128" w:type="dxa"/>
            <w:vAlign w:val="bottom"/>
          </w:tcPr>
          <w:p w14:paraId="7BCB78CD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none</w:t>
            </w:r>
          </w:p>
        </w:tc>
        <w:tc>
          <w:tcPr>
            <w:tcW w:w="1090" w:type="dxa"/>
            <w:vAlign w:val="bottom"/>
          </w:tcPr>
          <w:p w14:paraId="47E656BE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proofErr w:type="spellStart"/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chisq.test</w:t>
            </w:r>
            <w:proofErr w:type="spellEnd"/>
          </w:p>
        </w:tc>
        <w:tc>
          <w:tcPr>
            <w:tcW w:w="1616" w:type="dxa"/>
            <w:vAlign w:val="bottom"/>
          </w:tcPr>
          <w:p w14:paraId="6A9AA40B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</w:t>
            </w:r>
            <w:r w:rsidRPr="00A02013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083</w:t>
            </w:r>
          </w:p>
        </w:tc>
        <w:tc>
          <w:tcPr>
            <w:tcW w:w="1984" w:type="dxa"/>
            <w:vAlign w:val="bottom"/>
          </w:tcPr>
          <w:p w14:paraId="49941ED9" w14:textId="77777777" w:rsidR="00C70958" w:rsidRPr="00A02013" w:rsidRDefault="00C70958" w:rsidP="00C80FE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</w:tr>
    </w:tbl>
    <w:p w14:paraId="3AD5EBD3" w14:textId="77777777" w:rsidR="00C70958" w:rsidRDefault="00C70958" w:rsidP="00C70958">
      <w:pPr>
        <w:spacing w:line="276" w:lineRule="auto"/>
        <w:jc w:val="both"/>
        <w:rPr>
          <w:rFonts w:asciiTheme="minorHAnsi" w:hAnsiTheme="minorHAnsi" w:cstheme="minorHAnsi"/>
          <w:u w:val="single"/>
          <w:lang w:val="en-GB"/>
        </w:rPr>
      </w:pPr>
    </w:p>
    <w:p w14:paraId="3BC4DC96" w14:textId="77777777" w:rsidR="00C70958" w:rsidRDefault="00C70958" w:rsidP="00C70958">
      <w:pPr>
        <w:spacing w:line="276" w:lineRule="auto"/>
        <w:jc w:val="both"/>
        <w:rPr>
          <w:rFonts w:asciiTheme="minorHAnsi" w:hAnsiTheme="minorHAnsi" w:cstheme="minorHAnsi"/>
          <w:u w:val="single"/>
          <w:lang w:val="en-GB"/>
        </w:rPr>
      </w:pPr>
    </w:p>
    <w:p w14:paraId="0A4F45A8" w14:textId="77777777" w:rsidR="00C70958" w:rsidRDefault="00C70958" w:rsidP="00C70958">
      <w:pPr>
        <w:spacing w:line="276" w:lineRule="auto"/>
        <w:jc w:val="both"/>
        <w:rPr>
          <w:rFonts w:asciiTheme="minorHAnsi" w:hAnsiTheme="minorHAnsi" w:cstheme="minorHAnsi"/>
          <w:u w:val="single"/>
          <w:lang w:val="en-GB"/>
        </w:rPr>
      </w:pPr>
    </w:p>
    <w:p w14:paraId="1E2FE55F" w14:textId="77777777" w:rsidR="00C70958" w:rsidRDefault="00C70958" w:rsidP="00C70958">
      <w:pPr>
        <w:spacing w:line="276" w:lineRule="auto"/>
        <w:jc w:val="both"/>
        <w:rPr>
          <w:rFonts w:asciiTheme="minorHAnsi" w:hAnsiTheme="minorHAnsi" w:cstheme="minorHAnsi"/>
          <w:u w:val="single"/>
          <w:lang w:val="en-GB"/>
        </w:rPr>
      </w:pPr>
    </w:p>
    <w:p w14:paraId="2E7F2EDA" w14:textId="77777777" w:rsidR="00C70958" w:rsidRDefault="00C70958" w:rsidP="00C70958">
      <w:pPr>
        <w:spacing w:line="276" w:lineRule="auto"/>
        <w:jc w:val="both"/>
        <w:rPr>
          <w:rFonts w:asciiTheme="minorHAnsi" w:hAnsiTheme="minorHAnsi" w:cstheme="minorHAnsi"/>
          <w:u w:val="single"/>
          <w:lang w:val="en-GB"/>
        </w:rPr>
      </w:pPr>
    </w:p>
    <w:p w14:paraId="603523A8" w14:textId="77777777" w:rsidR="00C70958" w:rsidRDefault="00C70958" w:rsidP="00C70958">
      <w:pPr>
        <w:spacing w:line="276" w:lineRule="auto"/>
        <w:jc w:val="both"/>
        <w:rPr>
          <w:rFonts w:asciiTheme="minorHAnsi" w:hAnsiTheme="minorHAnsi" w:cstheme="minorHAnsi"/>
          <w:u w:val="single"/>
          <w:lang w:val="en-GB"/>
        </w:rPr>
      </w:pPr>
    </w:p>
    <w:p w14:paraId="71A5C24A" w14:textId="77777777" w:rsidR="00C70958" w:rsidRDefault="00C70958" w:rsidP="00C70958">
      <w:pPr>
        <w:spacing w:line="276" w:lineRule="auto"/>
        <w:jc w:val="both"/>
        <w:rPr>
          <w:rFonts w:asciiTheme="minorHAnsi" w:hAnsiTheme="minorHAnsi" w:cstheme="minorHAnsi"/>
          <w:u w:val="single"/>
          <w:lang w:val="en-GB"/>
        </w:rPr>
      </w:pPr>
    </w:p>
    <w:p w14:paraId="7F1B7E0D" w14:textId="77777777" w:rsidR="00C70958" w:rsidRDefault="00C70958" w:rsidP="00C70958">
      <w:pPr>
        <w:spacing w:line="276" w:lineRule="auto"/>
        <w:jc w:val="both"/>
        <w:rPr>
          <w:rFonts w:asciiTheme="minorHAnsi" w:hAnsiTheme="minorHAnsi" w:cstheme="minorHAnsi"/>
          <w:u w:val="single"/>
          <w:lang w:val="en-GB"/>
        </w:rPr>
      </w:pPr>
    </w:p>
    <w:p w14:paraId="5CBFAB96" w14:textId="77777777" w:rsidR="00C70958" w:rsidRDefault="00C70958" w:rsidP="00C70958">
      <w:pPr>
        <w:spacing w:line="276" w:lineRule="auto"/>
        <w:jc w:val="both"/>
        <w:rPr>
          <w:rFonts w:asciiTheme="minorHAnsi" w:hAnsiTheme="minorHAnsi" w:cstheme="minorHAnsi"/>
          <w:u w:val="single"/>
          <w:lang w:val="en-GB"/>
        </w:rPr>
      </w:pPr>
    </w:p>
    <w:p w14:paraId="402684DD" w14:textId="77777777" w:rsidR="00C70958" w:rsidRDefault="00C70958" w:rsidP="00C70958">
      <w:pPr>
        <w:spacing w:line="276" w:lineRule="auto"/>
        <w:jc w:val="both"/>
        <w:rPr>
          <w:rFonts w:asciiTheme="minorHAnsi" w:hAnsiTheme="minorHAnsi" w:cstheme="minorHAnsi"/>
          <w:u w:val="single"/>
          <w:lang w:val="en-GB"/>
        </w:rPr>
      </w:pPr>
    </w:p>
    <w:p w14:paraId="20C3F74A" w14:textId="77777777" w:rsidR="00C70958" w:rsidRDefault="00C70958" w:rsidP="00C70958">
      <w:pPr>
        <w:spacing w:line="276" w:lineRule="auto"/>
        <w:jc w:val="both"/>
        <w:rPr>
          <w:rFonts w:asciiTheme="minorHAnsi" w:hAnsiTheme="minorHAnsi" w:cstheme="minorHAnsi"/>
          <w:u w:val="single"/>
          <w:lang w:val="en-GB"/>
        </w:rPr>
      </w:pPr>
    </w:p>
    <w:p w14:paraId="18F2A608" w14:textId="77777777" w:rsidR="00C70958" w:rsidRDefault="00C70958" w:rsidP="00C70958">
      <w:pPr>
        <w:spacing w:line="276" w:lineRule="auto"/>
        <w:jc w:val="both"/>
        <w:rPr>
          <w:rFonts w:asciiTheme="minorHAnsi" w:hAnsiTheme="minorHAnsi" w:cstheme="minorHAnsi"/>
          <w:u w:val="single"/>
          <w:lang w:val="en-GB"/>
        </w:rPr>
      </w:pPr>
    </w:p>
    <w:p w14:paraId="3E49A323" w14:textId="77777777" w:rsidR="00C70958" w:rsidRDefault="00C70958" w:rsidP="00C70958">
      <w:pPr>
        <w:spacing w:line="276" w:lineRule="auto"/>
        <w:jc w:val="both"/>
        <w:rPr>
          <w:rFonts w:asciiTheme="minorHAnsi" w:hAnsiTheme="minorHAnsi" w:cstheme="minorHAnsi"/>
          <w:u w:val="single"/>
          <w:lang w:val="en-GB"/>
        </w:rPr>
      </w:pPr>
      <w:proofErr w:type="spellStart"/>
      <w:r w:rsidRPr="00BA7AA1">
        <w:rPr>
          <w:rFonts w:asciiTheme="minorHAnsi" w:hAnsiTheme="minorHAnsi" w:cstheme="minorHAnsi"/>
          <w:u w:val="single"/>
          <w:lang w:val="en-GB"/>
        </w:rPr>
        <w:t>Modeling</w:t>
      </w:r>
      <w:proofErr w:type="spellEnd"/>
    </w:p>
    <w:p w14:paraId="2A0451F4" w14:textId="77777777" w:rsidR="00BB19F2" w:rsidRDefault="00BB19F2" w:rsidP="00C70958">
      <w:pPr>
        <w:spacing w:line="276" w:lineRule="auto"/>
        <w:jc w:val="both"/>
        <w:rPr>
          <w:rFonts w:asciiTheme="minorHAnsi" w:hAnsiTheme="minorHAnsi" w:cstheme="minorHAnsi"/>
          <w:u w:val="single"/>
          <w:lang w:val="en-GB"/>
        </w:rPr>
      </w:pPr>
    </w:p>
    <w:p w14:paraId="02C8C820" w14:textId="77777777" w:rsidR="00BB19F2" w:rsidRPr="00BB19F2" w:rsidRDefault="00BB19F2" w:rsidP="00BB19F2">
      <w:pPr>
        <w:spacing w:line="276" w:lineRule="auto"/>
        <w:jc w:val="both"/>
        <w:rPr>
          <w:rFonts w:asciiTheme="minorHAnsi" w:hAnsiTheme="minorHAnsi" w:cstheme="minorHAnsi"/>
          <w:u w:val="single"/>
          <w:lang w:val="en-GB"/>
        </w:rPr>
      </w:pPr>
      <w:r w:rsidRPr="00BB19F2">
        <w:rPr>
          <w:rFonts w:asciiTheme="minorHAnsi" w:hAnsiTheme="minorHAnsi" w:cstheme="minorHAnsi"/>
          <w:bCs/>
          <w:lang w:val="en-GB"/>
        </w:rPr>
        <w:t>Figure A1</w:t>
      </w:r>
      <w:r w:rsidRPr="00BB19F2">
        <w:rPr>
          <w:rFonts w:asciiTheme="minorHAnsi" w:hAnsiTheme="minorHAnsi" w:cstheme="minorHAnsi"/>
          <w:lang w:val="en-GB"/>
        </w:rPr>
        <w:t>.</w:t>
      </w:r>
    </w:p>
    <w:p w14:paraId="6BB215DD" w14:textId="77777777" w:rsidR="00C70958" w:rsidRPr="00BA7AA1" w:rsidRDefault="00C70958" w:rsidP="00C70958">
      <w:pPr>
        <w:spacing w:line="276" w:lineRule="auto"/>
        <w:jc w:val="both"/>
        <w:rPr>
          <w:rFonts w:asciiTheme="minorHAnsi" w:hAnsiTheme="minorHAnsi" w:cstheme="minorHAnsi"/>
          <w:u w:val="single"/>
          <w:lang w:val="en-GB"/>
        </w:rPr>
      </w:pPr>
    </w:p>
    <w:p w14:paraId="29FDBFDE" w14:textId="77777777" w:rsidR="00C70958" w:rsidRPr="003F6F5E" w:rsidRDefault="00C70958" w:rsidP="00C70958">
      <w:pPr>
        <w:pStyle w:val="NoSpacing"/>
        <w:spacing w:line="276" w:lineRule="auto"/>
        <w:jc w:val="both"/>
        <w:rPr>
          <w:rFonts w:cstheme="minorHAnsi"/>
          <w:sz w:val="24"/>
          <w:szCs w:val="24"/>
          <w:lang w:val="en-GB"/>
        </w:rPr>
      </w:pPr>
      <w:r w:rsidRPr="00F54ADE">
        <w:rPr>
          <w:rFonts w:cstheme="minorHAnsi"/>
          <w:noProof/>
          <w:sz w:val="24"/>
          <w:szCs w:val="24"/>
          <w:lang w:val="en-IN" w:eastAsia="en-IN"/>
        </w:rPr>
        <w:drawing>
          <wp:inline distT="0" distB="0" distL="0" distR="0" wp14:anchorId="7F9DA20B" wp14:editId="5D5E73E9">
            <wp:extent cx="5753100" cy="2070100"/>
            <wp:effectExtent l="0" t="0" r="0" b="6350"/>
            <wp:docPr id="21" name="Grafik 21" descr="C:\Users\Krause\AppData\Local\Microsoft\Windows\INetCache\Content.Word\shortened_ClavienDin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rause\AppData\Local\Microsoft\Windows\INetCache\Content.Word\shortened_ClavienDin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66684" w14:textId="77777777" w:rsidR="00C70958" w:rsidRPr="003F6F5E" w:rsidRDefault="00C70958" w:rsidP="00C70958">
      <w:pPr>
        <w:pStyle w:val="NoSpacing"/>
        <w:spacing w:line="276" w:lineRule="auto"/>
        <w:jc w:val="both"/>
        <w:rPr>
          <w:rFonts w:cstheme="minorHAnsi"/>
          <w:sz w:val="24"/>
          <w:szCs w:val="24"/>
          <w:lang w:val="en-GB"/>
        </w:rPr>
      </w:pPr>
    </w:p>
    <w:p w14:paraId="1E8798A4" w14:textId="7520D900" w:rsidR="00C70958" w:rsidRPr="00F54ADE" w:rsidRDefault="00C70958" w:rsidP="00C70958">
      <w:pPr>
        <w:pStyle w:val="NoSpacing"/>
        <w:spacing w:line="276" w:lineRule="auto"/>
        <w:jc w:val="both"/>
      </w:pPr>
      <w:r w:rsidRPr="003F6F5E">
        <w:rPr>
          <w:rFonts w:cstheme="minorHAnsi"/>
          <w:sz w:val="24"/>
          <w:szCs w:val="24"/>
          <w:lang w:val="en-GB"/>
        </w:rPr>
        <w:t>Prediction error (MSE = mean squared prediction error) for predicting Clavien</w:t>
      </w:r>
      <w:r>
        <w:rPr>
          <w:rFonts w:cstheme="minorHAnsi"/>
          <w:sz w:val="24"/>
          <w:szCs w:val="24"/>
          <w:lang w:val="en-GB"/>
        </w:rPr>
        <w:t>-</w:t>
      </w:r>
      <w:r w:rsidRPr="003F6F5E">
        <w:rPr>
          <w:rFonts w:cstheme="minorHAnsi"/>
          <w:sz w:val="24"/>
          <w:szCs w:val="24"/>
          <w:lang w:val="en-GB"/>
        </w:rPr>
        <w:t>Dindo from different data sets. Data indicated on the x-axis consisted either of only cytokines, cytokine and clinical data, cytokine and routine lab data</w:t>
      </w:r>
      <w:r>
        <w:rPr>
          <w:rFonts w:cstheme="minorHAnsi"/>
          <w:sz w:val="24"/>
          <w:szCs w:val="24"/>
          <w:lang w:val="en-GB"/>
        </w:rPr>
        <w:t>,</w:t>
      </w:r>
      <w:r w:rsidRPr="003F6F5E">
        <w:rPr>
          <w:rFonts w:cstheme="minorHAnsi"/>
          <w:sz w:val="24"/>
          <w:szCs w:val="24"/>
          <w:lang w:val="en-GB"/>
        </w:rPr>
        <w:t xml:space="preserve"> or all three data. For each model</w:t>
      </w:r>
      <w:r>
        <w:rPr>
          <w:rFonts w:cstheme="minorHAnsi"/>
          <w:sz w:val="24"/>
          <w:szCs w:val="24"/>
          <w:lang w:val="en-GB"/>
        </w:rPr>
        <w:t>,</w:t>
      </w:r>
      <w:r w:rsidRPr="003F6F5E">
        <w:rPr>
          <w:rFonts w:cstheme="minorHAnsi"/>
          <w:sz w:val="24"/>
          <w:szCs w:val="24"/>
          <w:lang w:val="en-GB"/>
        </w:rPr>
        <w:t xml:space="preserve"> only data from one time point w</w:t>
      </w:r>
      <w:r>
        <w:rPr>
          <w:rFonts w:cstheme="minorHAnsi"/>
          <w:sz w:val="24"/>
          <w:szCs w:val="24"/>
          <w:lang w:val="en-GB"/>
        </w:rPr>
        <w:t>as</w:t>
      </w:r>
      <w:r w:rsidRPr="003F6F5E">
        <w:rPr>
          <w:rFonts w:cstheme="minorHAnsi"/>
          <w:sz w:val="24"/>
          <w:szCs w:val="24"/>
          <w:lang w:val="en-GB"/>
        </w:rPr>
        <w:t xml:space="preserve"> used. </w:t>
      </w:r>
      <w:r>
        <w:rPr>
          <w:rFonts w:cstheme="minorHAnsi"/>
          <w:sz w:val="24"/>
          <w:szCs w:val="24"/>
          <w:lang w:val="en-GB"/>
        </w:rPr>
        <w:t xml:space="preserve">The </w:t>
      </w:r>
      <w:r w:rsidRPr="003F6F5E">
        <w:rPr>
          <w:rFonts w:cstheme="minorHAnsi"/>
          <w:sz w:val="24"/>
          <w:szCs w:val="24"/>
          <w:lang w:val="en-GB"/>
        </w:rPr>
        <w:t>validation error (solid shape) is consistently and for all applied methods (</w:t>
      </w:r>
      <w:r w:rsidRPr="001C50D2">
        <w:rPr>
          <w:rFonts w:cstheme="minorHAnsi"/>
          <w:sz w:val="24"/>
          <w:szCs w:val="24"/>
          <w:lang w:val="en-GB"/>
        </w:rPr>
        <w:t xml:space="preserve">indicated </w:t>
      </w:r>
      <w:r w:rsidR="008F3592">
        <w:rPr>
          <w:rFonts w:cstheme="minorHAnsi"/>
          <w:sz w:val="24"/>
          <w:szCs w:val="24"/>
          <w:lang w:val="en-GB"/>
        </w:rPr>
        <w:t>with various</w:t>
      </w:r>
      <w:r w:rsidRPr="001C50D2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4B211F">
        <w:rPr>
          <w:rFonts w:cstheme="minorHAnsi"/>
          <w:lang w:val="en-GB"/>
        </w:rPr>
        <w:t>c</w:t>
      </w:r>
      <w:r w:rsidRPr="001C50D2">
        <w:rPr>
          <w:rFonts w:cstheme="minorHAnsi"/>
          <w:sz w:val="24"/>
          <w:szCs w:val="24"/>
          <w:lang w:val="en-GB"/>
        </w:rPr>
        <w:t>olors</w:t>
      </w:r>
      <w:proofErr w:type="spellEnd"/>
      <w:r w:rsidRPr="001C50D2">
        <w:rPr>
          <w:rFonts w:cstheme="minorHAnsi"/>
          <w:sz w:val="24"/>
          <w:szCs w:val="24"/>
          <w:lang w:val="en-GB"/>
        </w:rPr>
        <w:t>) and all</w:t>
      </w:r>
      <w:r w:rsidRPr="003F6F5E">
        <w:rPr>
          <w:rFonts w:cstheme="minorHAnsi"/>
          <w:sz w:val="24"/>
          <w:szCs w:val="24"/>
          <w:lang w:val="en-GB"/>
        </w:rPr>
        <w:t xml:space="preserve"> data sets higher than the training error (hollow shape). </w:t>
      </w:r>
    </w:p>
    <w:p w14:paraId="52F79861" w14:textId="0CC58706" w:rsidR="00C80FE4" w:rsidRDefault="00C80FE4">
      <w:pPr>
        <w:rPr>
          <w:lang w:val="en-US"/>
        </w:rPr>
      </w:pPr>
    </w:p>
    <w:p w14:paraId="10D99C7E" w14:textId="1F2FADCC" w:rsidR="003E6449" w:rsidRDefault="003E6449">
      <w:pPr>
        <w:rPr>
          <w:lang w:val="en-US"/>
        </w:rPr>
      </w:pPr>
    </w:p>
    <w:p w14:paraId="032B263B" w14:textId="6DE112C3" w:rsidR="003E6449" w:rsidRDefault="003E6449">
      <w:pPr>
        <w:rPr>
          <w:lang w:val="en-US"/>
        </w:rPr>
      </w:pPr>
    </w:p>
    <w:p w14:paraId="6E99A2E5" w14:textId="469B7A44" w:rsidR="003E6449" w:rsidRDefault="003E6449">
      <w:pPr>
        <w:rPr>
          <w:lang w:val="en-US"/>
        </w:rPr>
      </w:pPr>
    </w:p>
    <w:p w14:paraId="55AE5F3D" w14:textId="1B991E66" w:rsidR="003E6449" w:rsidRDefault="003E6449">
      <w:pPr>
        <w:rPr>
          <w:lang w:val="en-US"/>
        </w:rPr>
      </w:pPr>
    </w:p>
    <w:p w14:paraId="5C2FE740" w14:textId="31A7042B" w:rsidR="003E6449" w:rsidRDefault="003E6449">
      <w:pPr>
        <w:rPr>
          <w:lang w:val="en-US"/>
        </w:rPr>
      </w:pPr>
    </w:p>
    <w:p w14:paraId="6F57B0FF" w14:textId="689ABC81" w:rsidR="003E6449" w:rsidRDefault="003E6449">
      <w:pPr>
        <w:rPr>
          <w:lang w:val="en-US"/>
        </w:rPr>
      </w:pPr>
    </w:p>
    <w:p w14:paraId="27FF9CD1" w14:textId="428CE8A4" w:rsidR="003E6449" w:rsidRDefault="003E6449">
      <w:pPr>
        <w:rPr>
          <w:lang w:val="en-US"/>
        </w:rPr>
      </w:pPr>
      <w:r>
        <w:rPr>
          <w:lang w:val="en-US"/>
        </w:rPr>
        <w:t>Reference for appendix:</w:t>
      </w:r>
    </w:p>
    <w:p w14:paraId="32C5A5E8" w14:textId="6574E081" w:rsidR="003E6449" w:rsidRDefault="003E6449">
      <w:r w:rsidRPr="003E6449">
        <w:t xml:space="preserve">[1] Wei, R., Wang, J., Jia, E., Chen, T., Ni, Y., &amp; Jia, W. (2018). </w:t>
      </w:r>
      <w:proofErr w:type="spellStart"/>
      <w:r w:rsidRPr="003E6449">
        <w:rPr>
          <w:lang w:val="en-US"/>
        </w:rPr>
        <w:t>GSimp</w:t>
      </w:r>
      <w:proofErr w:type="spellEnd"/>
      <w:r w:rsidRPr="003E6449">
        <w:rPr>
          <w:lang w:val="en-US"/>
        </w:rPr>
        <w:t xml:space="preserve">: A Gibbs sampler based left-censored missing value imputation approach for metabolomics studies. </w:t>
      </w:r>
      <w:r w:rsidRPr="003E6449">
        <w:t xml:space="preserve">PLoS computational biology, 14(1), e1005973. </w:t>
      </w:r>
      <w:r w:rsidR="0038230B">
        <w:rPr>
          <w:rStyle w:val="Hyperlink"/>
          <w:lang w:val="en-US"/>
        </w:rPr>
        <w:fldChar w:fldCharType="begin"/>
      </w:r>
      <w:r w:rsidR="0038230B">
        <w:rPr>
          <w:rStyle w:val="Hyperlink"/>
          <w:lang w:val="en-US"/>
        </w:rPr>
        <w:instrText xml:space="preserve"> HYPERLINK "https://doi.org/10.1371/journal.pcbi.1005973" </w:instrText>
      </w:r>
      <w:r w:rsidR="0038230B">
        <w:rPr>
          <w:rStyle w:val="Hyperlink"/>
          <w:lang w:val="en-US"/>
        </w:rPr>
        <w:fldChar w:fldCharType="separate"/>
      </w:r>
      <w:r w:rsidRPr="009C25D7">
        <w:rPr>
          <w:rStyle w:val="Hyperlink"/>
          <w:lang w:val="en-US"/>
        </w:rPr>
        <w:t>https://doi.org/10.1371/journal.pcbi.1005973</w:t>
      </w:r>
      <w:r w:rsidR="0038230B">
        <w:rPr>
          <w:rStyle w:val="Hyperlink"/>
          <w:lang w:val="en-US"/>
        </w:rPr>
        <w:fldChar w:fldCharType="end"/>
      </w:r>
    </w:p>
    <w:p w14:paraId="4FD5AB2D" w14:textId="77777777" w:rsidR="009C25D7" w:rsidRPr="009C25D7" w:rsidRDefault="009C25D7">
      <w:pPr>
        <w:rPr>
          <w:lang w:val="en-US"/>
        </w:rPr>
      </w:pPr>
    </w:p>
    <w:p w14:paraId="011F5B1B" w14:textId="5A2624FF" w:rsidR="003E6449" w:rsidRDefault="009C25D7">
      <w:pPr>
        <w:rPr>
          <w:lang w:val="en-US"/>
        </w:rPr>
      </w:pPr>
      <w:r>
        <w:rPr>
          <w:lang w:val="en-US"/>
        </w:rPr>
        <w:t xml:space="preserve">[2] </w:t>
      </w:r>
      <w:r w:rsidRPr="009C25D7">
        <w:rPr>
          <w:lang w:val="en-US"/>
        </w:rPr>
        <w:t xml:space="preserve">Zhang, Y., Jenkins, D.F., </w:t>
      </w:r>
      <w:proofErr w:type="spellStart"/>
      <w:r w:rsidRPr="009C25D7">
        <w:rPr>
          <w:lang w:val="en-US"/>
        </w:rPr>
        <w:t>Manimaran</w:t>
      </w:r>
      <w:proofErr w:type="spellEnd"/>
      <w:r w:rsidRPr="009C25D7">
        <w:rPr>
          <w:lang w:val="en-US"/>
        </w:rPr>
        <w:t xml:space="preserve">, S. et al. Alternative empirical Bayes models for adjusting for batch effects in genomic studies. BMC Bioinformatics 19, 262 (2018). </w:t>
      </w:r>
      <w:hyperlink r:id="rId8" w:history="1">
        <w:r w:rsidRPr="009F241D">
          <w:rPr>
            <w:rStyle w:val="Hyperlink"/>
            <w:lang w:val="en-US"/>
          </w:rPr>
          <w:t>https://doi.org/10.1186/s12859-018-2263-6</w:t>
        </w:r>
      </w:hyperlink>
    </w:p>
    <w:p w14:paraId="30CC1D7E" w14:textId="77777777" w:rsidR="009C25D7" w:rsidRPr="008F3592" w:rsidRDefault="009C25D7">
      <w:pPr>
        <w:rPr>
          <w:lang w:val="en-US"/>
        </w:rPr>
      </w:pPr>
    </w:p>
    <w:sectPr w:rsidR="009C25D7" w:rsidRPr="008F3592" w:rsidSect="0038230B">
      <w:footerReference w:type="even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149C8" w14:textId="77777777" w:rsidR="008F3592" w:rsidRDefault="008F3592">
      <w:r>
        <w:separator/>
      </w:r>
    </w:p>
  </w:endnote>
  <w:endnote w:type="continuationSeparator" w:id="0">
    <w:p w14:paraId="28AEBC33" w14:textId="77777777" w:rsidR="008F3592" w:rsidRDefault="008F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Droid Sans Devanagari">
    <w:altName w:val="Arial"/>
    <w:charset w:val="01"/>
    <w:family w:val="auto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98115470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0ECF130" w14:textId="77777777" w:rsidR="008F3592" w:rsidRDefault="008F3592" w:rsidP="00C80FE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EDB0A0" w14:textId="77777777" w:rsidR="008F3592" w:rsidRDefault="008F3592" w:rsidP="00C80FE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77906430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2AF629" w14:textId="77777777" w:rsidR="008F3592" w:rsidRDefault="008F3592" w:rsidP="00C80FE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8230B"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6C325EC1" w14:textId="77777777" w:rsidR="008F3592" w:rsidRDefault="008F3592" w:rsidP="00C80FE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B2D352" w14:textId="77777777" w:rsidR="008F3592" w:rsidRDefault="008F3592">
      <w:r>
        <w:separator/>
      </w:r>
    </w:p>
  </w:footnote>
  <w:footnote w:type="continuationSeparator" w:id="0">
    <w:p w14:paraId="4798C94C" w14:textId="77777777" w:rsidR="008F3592" w:rsidRDefault="008F3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74875"/>
    <w:multiLevelType w:val="hybridMultilevel"/>
    <w:tmpl w:val="49D2695C"/>
    <w:lvl w:ilvl="0" w:tplc="712E7574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E72BF"/>
    <w:multiLevelType w:val="hybridMultilevel"/>
    <w:tmpl w:val="B69E71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3168F"/>
    <w:multiLevelType w:val="hybridMultilevel"/>
    <w:tmpl w:val="F85680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35687"/>
    <w:multiLevelType w:val="hybridMultilevel"/>
    <w:tmpl w:val="FE0EF8E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0457F6"/>
    <w:multiLevelType w:val="hybridMultilevel"/>
    <w:tmpl w:val="D82CBF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873003"/>
    <w:multiLevelType w:val="hybridMultilevel"/>
    <w:tmpl w:val="46F0B5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117DE"/>
    <w:multiLevelType w:val="hybridMultilevel"/>
    <w:tmpl w:val="0DEA1816"/>
    <w:lvl w:ilvl="0" w:tplc="6480EB3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43B51"/>
    <w:multiLevelType w:val="hybridMultilevel"/>
    <w:tmpl w:val="68482F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B4C89"/>
    <w:multiLevelType w:val="hybridMultilevel"/>
    <w:tmpl w:val="FE0EF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36A1D"/>
    <w:multiLevelType w:val="hybridMultilevel"/>
    <w:tmpl w:val="43DCC0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0170A"/>
    <w:multiLevelType w:val="hybridMultilevel"/>
    <w:tmpl w:val="34089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41BD6"/>
    <w:multiLevelType w:val="hybridMultilevel"/>
    <w:tmpl w:val="63400A94"/>
    <w:lvl w:ilvl="0" w:tplc="3BA4535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82B8C"/>
    <w:multiLevelType w:val="hybridMultilevel"/>
    <w:tmpl w:val="98AA38FC"/>
    <w:lvl w:ilvl="0" w:tplc="1C4CDC5E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D3793"/>
    <w:multiLevelType w:val="hybridMultilevel"/>
    <w:tmpl w:val="FE0EF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4947A6"/>
    <w:multiLevelType w:val="hybridMultilevel"/>
    <w:tmpl w:val="C95E8EDA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8F7838"/>
    <w:multiLevelType w:val="hybridMultilevel"/>
    <w:tmpl w:val="A8BEF3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9"/>
  </w:num>
  <w:num w:numId="5">
    <w:abstractNumId w:val="4"/>
  </w:num>
  <w:num w:numId="6">
    <w:abstractNumId w:val="5"/>
  </w:num>
  <w:num w:numId="7">
    <w:abstractNumId w:val="10"/>
  </w:num>
  <w:num w:numId="8">
    <w:abstractNumId w:val="15"/>
  </w:num>
  <w:num w:numId="9">
    <w:abstractNumId w:val="2"/>
  </w:num>
  <w:num w:numId="10">
    <w:abstractNumId w:val="11"/>
  </w:num>
  <w:num w:numId="11">
    <w:abstractNumId w:val="14"/>
  </w:num>
  <w:num w:numId="12">
    <w:abstractNumId w:val="12"/>
  </w:num>
  <w:num w:numId="13">
    <w:abstractNumId w:val="6"/>
  </w:num>
  <w:num w:numId="14">
    <w:abstractNumId w:val="1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958"/>
    <w:rsid w:val="00033C21"/>
    <w:rsid w:val="0038230B"/>
    <w:rsid w:val="003E6449"/>
    <w:rsid w:val="004A099D"/>
    <w:rsid w:val="005737B3"/>
    <w:rsid w:val="00597BF1"/>
    <w:rsid w:val="008431A8"/>
    <w:rsid w:val="00865A8D"/>
    <w:rsid w:val="008D0FA6"/>
    <w:rsid w:val="008F3592"/>
    <w:rsid w:val="00901494"/>
    <w:rsid w:val="009C25D7"/>
    <w:rsid w:val="00AB6483"/>
    <w:rsid w:val="00B360E6"/>
    <w:rsid w:val="00BA02B8"/>
    <w:rsid w:val="00BB19F2"/>
    <w:rsid w:val="00BD779B"/>
    <w:rsid w:val="00C70958"/>
    <w:rsid w:val="00C80FE4"/>
    <w:rsid w:val="00D51E9C"/>
    <w:rsid w:val="00E90ADF"/>
    <w:rsid w:val="00EC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EC908"/>
  <w15:chartTrackingRefBased/>
  <w15:docId w15:val="{33FD0905-B64D-41D3-95FE-80510ECB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09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C70958"/>
    <w:pPr>
      <w:jc w:val="both"/>
      <w:outlineLvl w:val="1"/>
    </w:pPr>
    <w:rPr>
      <w:rFonts w:cstheme="minorHAnsi"/>
      <w:b/>
      <w:b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0958"/>
    <w:pPr>
      <w:spacing w:after="160" w:line="259" w:lineRule="auto"/>
      <w:outlineLvl w:val="2"/>
    </w:pPr>
    <w:rPr>
      <w:rFonts w:asciiTheme="minorHAnsi" w:eastAsiaTheme="minorHAnsi" w:hAnsiTheme="minorHAnsi" w:cstheme="minorHAnsi"/>
      <w:b/>
      <w:bCs/>
      <w:i/>
      <w:iCs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95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C70958"/>
    <w:rPr>
      <w:rFonts w:cstheme="minorHAnsi"/>
      <w:b/>
      <w:b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C70958"/>
    <w:rPr>
      <w:rFonts w:cstheme="minorHAnsi"/>
      <w:b/>
      <w:bCs/>
      <w:i/>
      <w:iCs/>
      <w:sz w:val="24"/>
      <w:szCs w:val="24"/>
      <w:lang w:val="en-GB"/>
    </w:rPr>
  </w:style>
  <w:style w:type="paragraph" w:styleId="Title">
    <w:name w:val="Title"/>
    <w:basedOn w:val="Normal"/>
    <w:next w:val="Normal"/>
    <w:link w:val="TitleChar"/>
    <w:rsid w:val="00C70958"/>
    <w:pPr>
      <w:keepNext/>
      <w:keepLines/>
      <w:pBdr>
        <w:top w:val="nil"/>
        <w:left w:val="nil"/>
        <w:bottom w:val="nil"/>
        <w:right w:val="nil"/>
        <w:between w:val="nil"/>
      </w:pBdr>
      <w:spacing w:after="60" w:line="276" w:lineRule="auto"/>
    </w:pPr>
    <w:rPr>
      <w:rFonts w:ascii="Arial" w:eastAsia="Arial" w:hAnsi="Arial" w:cs="Arial"/>
      <w:color w:val="000000"/>
      <w:sz w:val="52"/>
      <w:szCs w:val="52"/>
      <w:lang w:val="en" w:eastAsia="en-GB"/>
    </w:rPr>
  </w:style>
  <w:style w:type="character" w:customStyle="1" w:styleId="TitleChar">
    <w:name w:val="Title Char"/>
    <w:basedOn w:val="DefaultParagraphFont"/>
    <w:link w:val="Title"/>
    <w:rsid w:val="00C70958"/>
    <w:rPr>
      <w:rFonts w:ascii="Arial" w:eastAsia="Arial" w:hAnsi="Arial" w:cs="Arial"/>
      <w:color w:val="000000"/>
      <w:sz w:val="52"/>
      <w:szCs w:val="52"/>
      <w:lang w:val="en" w:eastAsia="en-GB"/>
    </w:rPr>
  </w:style>
  <w:style w:type="paragraph" w:styleId="NoSpacing">
    <w:name w:val="No Spacing"/>
    <w:link w:val="NoSpacingChar"/>
    <w:uiPriority w:val="1"/>
    <w:qFormat/>
    <w:rsid w:val="00C70958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709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0958"/>
    <w:pPr>
      <w:spacing w:after="16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095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09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0958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958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958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C709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70958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70958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70958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Zchn"/>
    <w:rsid w:val="00C70958"/>
    <w:pPr>
      <w:spacing w:line="259" w:lineRule="auto"/>
      <w:jc w:val="center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70958"/>
    <w:rPr>
      <w:lang w:val="en-US"/>
    </w:rPr>
  </w:style>
  <w:style w:type="character" w:customStyle="1" w:styleId="EndNoteBibliographyTitleZchn">
    <w:name w:val="EndNote Bibliography Title Zchn"/>
    <w:basedOn w:val="NoSpacingChar"/>
    <w:link w:val="EndNoteBibliographyTitle"/>
    <w:rsid w:val="00C70958"/>
    <w:rPr>
      <w:rFonts w:ascii="Calibri" w:hAnsi="Calibri" w:cs="Calibri"/>
      <w:lang w:val="en-US"/>
    </w:rPr>
  </w:style>
  <w:style w:type="paragraph" w:customStyle="1" w:styleId="EndNoteBibliography">
    <w:name w:val="EndNote Bibliography"/>
    <w:basedOn w:val="Normal"/>
    <w:link w:val="EndNoteBibliographyZchn"/>
    <w:rsid w:val="00C70958"/>
    <w:pPr>
      <w:spacing w:after="16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EndNoteBibliographyZchn">
    <w:name w:val="EndNote Bibliography Zchn"/>
    <w:basedOn w:val="NoSpacingChar"/>
    <w:link w:val="EndNoteBibliography"/>
    <w:rsid w:val="00C70958"/>
    <w:rPr>
      <w:rFonts w:ascii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C70958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C70958"/>
    <w:rPr>
      <w:color w:val="605E5C"/>
      <w:shd w:val="clear" w:color="auto" w:fill="E1DFDD"/>
    </w:rPr>
  </w:style>
  <w:style w:type="paragraph" w:customStyle="1" w:styleId="TextBody-FirstlineofSection">
    <w:name w:val="Text Body - First line of Section"/>
    <w:basedOn w:val="BodyText"/>
    <w:qFormat/>
    <w:rsid w:val="00C70958"/>
    <w:pPr>
      <w:widowControl w:val="0"/>
      <w:spacing w:after="140" w:line="288" w:lineRule="auto"/>
      <w:jc w:val="both"/>
    </w:pPr>
    <w:rPr>
      <w:rFonts w:ascii="Liberation Serif" w:eastAsia="Droid Sans Fallback" w:hAnsi="Liberation Serif" w:cs="Droid Sans Devanagari"/>
      <w:color w:val="00000A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C70958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7095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09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70958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C70958"/>
  </w:style>
  <w:style w:type="paragraph" w:styleId="Revision">
    <w:name w:val="Revision"/>
    <w:hidden/>
    <w:uiPriority w:val="99"/>
    <w:semiHidden/>
    <w:rsid w:val="00C70958"/>
    <w:pPr>
      <w:spacing w:after="0" w:line="240" w:lineRule="auto"/>
    </w:pPr>
    <w:rPr>
      <w:lang w:val="en-US"/>
    </w:rPr>
  </w:style>
  <w:style w:type="character" w:customStyle="1" w:styleId="NichtaufgelsteErwhnung2">
    <w:name w:val="Nicht aufgelöste Erwähnung2"/>
    <w:basedOn w:val="DefaultParagraphFont"/>
    <w:uiPriority w:val="99"/>
    <w:semiHidden/>
    <w:unhideWhenUsed/>
    <w:rsid w:val="00C70958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70958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C70958"/>
  </w:style>
  <w:style w:type="paragraph" w:styleId="HTMLPreformatted">
    <w:name w:val="HTML Preformatted"/>
    <w:basedOn w:val="Normal"/>
    <w:link w:val="HTMLPreformattedChar"/>
    <w:uiPriority w:val="99"/>
    <w:unhideWhenUsed/>
    <w:rsid w:val="00C709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0958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NichtaufgelsteErwhnung3">
    <w:name w:val="Nicht aufgelöste Erwähnung3"/>
    <w:basedOn w:val="DefaultParagraphFont"/>
    <w:uiPriority w:val="99"/>
    <w:semiHidden/>
    <w:unhideWhenUsed/>
    <w:rsid w:val="00C7095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70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">
    <w:name w:val="title1"/>
    <w:basedOn w:val="Normal"/>
    <w:rsid w:val="00C70958"/>
    <w:rPr>
      <w:sz w:val="27"/>
      <w:szCs w:val="27"/>
    </w:rPr>
  </w:style>
  <w:style w:type="paragraph" w:customStyle="1" w:styleId="desc2">
    <w:name w:val="desc2"/>
    <w:basedOn w:val="Normal"/>
    <w:rsid w:val="00C70958"/>
    <w:rPr>
      <w:sz w:val="26"/>
      <w:szCs w:val="26"/>
    </w:rPr>
  </w:style>
  <w:style w:type="paragraph" w:customStyle="1" w:styleId="details1">
    <w:name w:val="details1"/>
    <w:basedOn w:val="Normal"/>
    <w:rsid w:val="00C70958"/>
    <w:rPr>
      <w:sz w:val="22"/>
      <w:szCs w:val="22"/>
    </w:rPr>
  </w:style>
  <w:style w:type="character" w:customStyle="1" w:styleId="jrnl">
    <w:name w:val="jrnl"/>
    <w:basedOn w:val="DefaultParagraphFont"/>
    <w:rsid w:val="00C70958"/>
  </w:style>
  <w:style w:type="character" w:customStyle="1" w:styleId="NichtaufgelsteErwhnung4">
    <w:name w:val="Nicht aufgelöste Erwähnung4"/>
    <w:basedOn w:val="DefaultParagraphFont"/>
    <w:uiPriority w:val="99"/>
    <w:semiHidden/>
    <w:unhideWhenUsed/>
    <w:rsid w:val="00C70958"/>
    <w:rPr>
      <w:color w:val="605E5C"/>
      <w:shd w:val="clear" w:color="auto" w:fill="E1DFDD"/>
    </w:rPr>
  </w:style>
  <w:style w:type="character" w:customStyle="1" w:styleId="a">
    <w:name w:val="_"/>
    <w:basedOn w:val="DefaultParagraphFont"/>
    <w:rsid w:val="00C70958"/>
  </w:style>
  <w:style w:type="character" w:customStyle="1" w:styleId="NichtaufgelsteErwhnung5">
    <w:name w:val="Nicht aufgelöste Erwähnung5"/>
    <w:basedOn w:val="DefaultParagraphFont"/>
    <w:uiPriority w:val="99"/>
    <w:semiHidden/>
    <w:unhideWhenUsed/>
    <w:rsid w:val="00C70958"/>
    <w:rPr>
      <w:color w:val="605E5C"/>
      <w:shd w:val="clear" w:color="auto" w:fill="E1DFDD"/>
    </w:rPr>
  </w:style>
  <w:style w:type="character" w:customStyle="1" w:styleId="highlight">
    <w:name w:val="highlight"/>
    <w:basedOn w:val="DefaultParagraphFont"/>
    <w:rsid w:val="00C70958"/>
  </w:style>
  <w:style w:type="paragraph" w:styleId="Header">
    <w:name w:val="header"/>
    <w:basedOn w:val="Normal"/>
    <w:link w:val="HeaderChar"/>
    <w:uiPriority w:val="99"/>
    <w:unhideWhenUsed/>
    <w:rsid w:val="00C709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958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ichtaufgelsteErwhnung6">
    <w:name w:val="Nicht aufgelöste Erwähnung6"/>
    <w:basedOn w:val="DefaultParagraphFont"/>
    <w:uiPriority w:val="99"/>
    <w:semiHidden/>
    <w:unhideWhenUsed/>
    <w:rsid w:val="00C70958"/>
    <w:rPr>
      <w:color w:val="605E5C"/>
      <w:shd w:val="clear" w:color="auto" w:fill="E1DFDD"/>
    </w:rPr>
  </w:style>
  <w:style w:type="character" w:customStyle="1" w:styleId="NichtaufgelsteErwhnung7">
    <w:name w:val="Nicht aufgelöste Erwähnung7"/>
    <w:basedOn w:val="DefaultParagraphFont"/>
    <w:uiPriority w:val="99"/>
    <w:semiHidden/>
    <w:unhideWhenUsed/>
    <w:rsid w:val="00C70958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64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/s12859-018-2263-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Schön</dc:creator>
  <cp:keywords/>
  <dc:description/>
  <cp:lastModifiedBy>Vigneshwaran R.</cp:lastModifiedBy>
  <cp:revision>3</cp:revision>
  <dcterms:created xsi:type="dcterms:W3CDTF">2021-09-08T09:55:00Z</dcterms:created>
  <dcterms:modified xsi:type="dcterms:W3CDTF">2022-07-19T09:37:00Z</dcterms:modified>
</cp:coreProperties>
</file>