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rPr>
          <w:rFonts w:ascii="Arial" w:eastAsiaTheme="majorEastAsia" w:hAnsi="Arial" w:cs="Arial"/>
          <w:color w:val="2E74B5" w:themeColor="accent1" w:themeShade="BF"/>
          <w:sz w:val="24"/>
          <w:szCs w:val="24"/>
        </w:rPr>
      </w:pPr>
      <w:r>
        <w:rPr>
          <w:rFonts w:ascii="Arial" w:eastAsiaTheme="majorEastAsia" w:hAnsi="Arial" w:cs="Arial"/>
          <w:color w:val="2E74B5" w:themeColor="accent1" w:themeShade="BF"/>
          <w:sz w:val="24"/>
          <w:szCs w:val="24"/>
        </w:rPr>
        <w:t>Online supporting information</w:t>
      </w:r>
    </w:p>
    <w:sdt>
      <w:sdtPr>
        <w:rPr>
          <w:rFonts w:ascii="Arial" w:eastAsiaTheme="minorHAnsi" w:hAnsi="Arial" w:cs="Arial"/>
          <w:color w:val="auto"/>
          <w:sz w:val="24"/>
          <w:szCs w:val="24"/>
        </w:rPr>
        <w:id w:val="-100734550"/>
        <w:docPartObj>
          <w:docPartGallery w:val="Table of Contents"/>
          <w:docPartUnique/>
        </w:docPartObj>
      </w:sdtPr>
      <w:sdtEndPr>
        <w:rPr>
          <w:b/>
          <w:bCs/>
          <w:noProof/>
        </w:rPr>
      </w:sdtEndPr>
      <w:sdtContent>
        <w:p>
          <w:pPr>
            <w:pStyle w:val="TOCHeading"/>
            <w:spacing w:line="480" w:lineRule="auto"/>
            <w:rPr>
              <w:rFonts w:ascii="Arial" w:hAnsi="Arial" w:cs="Arial"/>
              <w:sz w:val="24"/>
              <w:szCs w:val="24"/>
            </w:rPr>
          </w:pPr>
          <w:r>
            <w:rPr>
              <w:rFonts w:ascii="Arial" w:hAnsi="Arial" w:cs="Arial"/>
              <w:sz w:val="24"/>
              <w:szCs w:val="24"/>
            </w:rPr>
            <w:t>Contents</w:t>
          </w:r>
        </w:p>
        <w:p>
          <w:pPr>
            <w:pStyle w:val="TOC2"/>
            <w:tabs>
              <w:tab w:val="right" w:leader="dot" w:pos="9350"/>
            </w:tabs>
            <w:rPr>
              <w:rFonts w:eastAsiaTheme="minorEastAsia"/>
              <w:noProof/>
            </w:rPr>
          </w:pPr>
          <w:r>
            <w:rPr>
              <w:rFonts w:ascii="Arial" w:hAnsi="Arial" w:cs="Arial"/>
              <w:sz w:val="24"/>
              <w:szCs w:val="24"/>
            </w:rPr>
            <w:fldChar w:fldCharType="begin"/>
          </w:r>
          <w:r>
            <w:rPr>
              <w:rFonts w:ascii="Arial" w:hAnsi="Arial" w:cs="Arial"/>
              <w:sz w:val="24"/>
              <w:szCs w:val="24"/>
            </w:rPr>
            <w:instrText xml:space="preserve"> TOC \o "1-3" \h \z \u </w:instrText>
          </w:r>
          <w:r>
            <w:rPr>
              <w:rFonts w:ascii="Arial" w:hAnsi="Arial" w:cs="Arial"/>
              <w:sz w:val="24"/>
              <w:szCs w:val="24"/>
            </w:rPr>
            <w:fldChar w:fldCharType="separate"/>
          </w:r>
          <w:hyperlink w:anchor="_Toc103583063" w:history="1">
            <w:r>
              <w:rPr>
                <w:rStyle w:val="Hyperlink"/>
                <w:rFonts w:ascii="Arial" w:hAnsi="Arial" w:cs="Arial"/>
                <w:noProof/>
              </w:rPr>
              <w:t>Supplementary Methods</w:t>
            </w:r>
            <w:r>
              <w:rPr>
                <w:noProof/>
                <w:webHidden/>
              </w:rPr>
              <w:tab/>
            </w:r>
            <w:r>
              <w:rPr>
                <w:noProof/>
                <w:webHidden/>
              </w:rPr>
              <w:fldChar w:fldCharType="begin"/>
            </w:r>
            <w:r>
              <w:rPr>
                <w:noProof/>
                <w:webHidden/>
              </w:rPr>
              <w:instrText xml:space="preserve"> PAGEREF _Toc103583063 \h </w:instrText>
            </w:r>
            <w:r>
              <w:rPr>
                <w:noProof/>
                <w:webHidden/>
              </w:rPr>
            </w:r>
            <w:r>
              <w:rPr>
                <w:noProof/>
                <w:webHidden/>
              </w:rPr>
              <w:fldChar w:fldCharType="separate"/>
            </w:r>
            <w:r>
              <w:rPr>
                <w:noProof/>
                <w:webHidden/>
              </w:rPr>
              <w:t>2</w:t>
            </w:r>
            <w:r>
              <w:rPr>
                <w:noProof/>
                <w:webHidden/>
              </w:rPr>
              <w:fldChar w:fldCharType="end"/>
            </w:r>
          </w:hyperlink>
        </w:p>
        <w:p>
          <w:pPr>
            <w:pStyle w:val="TOC3"/>
            <w:tabs>
              <w:tab w:val="right" w:leader="dot" w:pos="9350"/>
            </w:tabs>
            <w:rPr>
              <w:rFonts w:eastAsiaTheme="minorEastAsia"/>
              <w:noProof/>
            </w:rPr>
          </w:pPr>
          <w:hyperlink w:anchor="_Toc103583064" w:history="1">
            <w:r>
              <w:rPr>
                <w:rStyle w:val="Hyperlink"/>
                <w:rFonts w:ascii="Arial" w:hAnsi="Arial" w:cs="Arial"/>
                <w:noProof/>
              </w:rPr>
              <w:t>Methods 1: Genetic data (GINIplus/LISA &amp; BAMSE)</w:t>
            </w:r>
            <w:r>
              <w:rPr>
                <w:noProof/>
                <w:webHidden/>
              </w:rPr>
              <w:tab/>
            </w:r>
            <w:r>
              <w:rPr>
                <w:noProof/>
                <w:webHidden/>
              </w:rPr>
              <w:fldChar w:fldCharType="begin"/>
            </w:r>
            <w:r>
              <w:rPr>
                <w:noProof/>
                <w:webHidden/>
              </w:rPr>
              <w:instrText xml:space="preserve"> PAGEREF _Toc103583064 \h </w:instrText>
            </w:r>
            <w:r>
              <w:rPr>
                <w:noProof/>
                <w:webHidden/>
              </w:rPr>
            </w:r>
            <w:r>
              <w:rPr>
                <w:noProof/>
                <w:webHidden/>
              </w:rPr>
              <w:fldChar w:fldCharType="separate"/>
            </w:r>
            <w:r>
              <w:rPr>
                <w:noProof/>
                <w:webHidden/>
              </w:rPr>
              <w:t>2</w:t>
            </w:r>
            <w:r>
              <w:rPr>
                <w:noProof/>
                <w:webHidden/>
              </w:rPr>
              <w:fldChar w:fldCharType="end"/>
            </w:r>
          </w:hyperlink>
        </w:p>
        <w:p>
          <w:pPr>
            <w:pStyle w:val="TOC3"/>
            <w:tabs>
              <w:tab w:val="right" w:leader="dot" w:pos="9350"/>
            </w:tabs>
            <w:rPr>
              <w:rFonts w:eastAsiaTheme="minorEastAsia"/>
              <w:noProof/>
            </w:rPr>
          </w:pPr>
          <w:hyperlink w:anchor="_Toc103583065" w:history="1">
            <w:r>
              <w:rPr>
                <w:rStyle w:val="Hyperlink"/>
                <w:rFonts w:ascii="Arial" w:hAnsi="Arial" w:cs="Arial"/>
                <w:noProof/>
              </w:rPr>
              <w:t>Methods 2: Polygenic Risk Scores (PRS)</w:t>
            </w:r>
            <w:r>
              <w:rPr>
                <w:noProof/>
                <w:webHidden/>
              </w:rPr>
              <w:tab/>
            </w:r>
            <w:r>
              <w:rPr>
                <w:noProof/>
                <w:webHidden/>
              </w:rPr>
              <w:fldChar w:fldCharType="begin"/>
            </w:r>
            <w:r>
              <w:rPr>
                <w:noProof/>
                <w:webHidden/>
              </w:rPr>
              <w:instrText xml:space="preserve"> PAGEREF _Toc103583065 \h </w:instrText>
            </w:r>
            <w:r>
              <w:rPr>
                <w:noProof/>
                <w:webHidden/>
              </w:rPr>
            </w:r>
            <w:r>
              <w:rPr>
                <w:noProof/>
                <w:webHidden/>
              </w:rPr>
              <w:fldChar w:fldCharType="separate"/>
            </w:r>
            <w:r>
              <w:rPr>
                <w:noProof/>
                <w:webHidden/>
              </w:rPr>
              <w:t>4</w:t>
            </w:r>
            <w:r>
              <w:rPr>
                <w:noProof/>
                <w:webHidden/>
              </w:rPr>
              <w:fldChar w:fldCharType="end"/>
            </w:r>
          </w:hyperlink>
        </w:p>
        <w:p>
          <w:pPr>
            <w:pStyle w:val="TOC3"/>
            <w:tabs>
              <w:tab w:val="right" w:leader="dot" w:pos="9350"/>
            </w:tabs>
            <w:rPr>
              <w:rFonts w:eastAsiaTheme="minorEastAsia"/>
              <w:noProof/>
            </w:rPr>
          </w:pPr>
          <w:hyperlink w:anchor="_Toc103583066" w:history="1">
            <w:r>
              <w:rPr>
                <w:rStyle w:val="Hyperlink"/>
                <w:rFonts w:ascii="Arial" w:hAnsi="Arial" w:cs="Arial"/>
                <w:noProof/>
              </w:rPr>
              <w:t>Methods 3: BAMSE study - Disease and characteristics measurement and definition</w:t>
            </w:r>
            <w:r>
              <w:rPr>
                <w:noProof/>
                <w:webHidden/>
              </w:rPr>
              <w:tab/>
            </w:r>
            <w:r>
              <w:rPr>
                <w:noProof/>
                <w:webHidden/>
              </w:rPr>
              <w:fldChar w:fldCharType="begin"/>
            </w:r>
            <w:r>
              <w:rPr>
                <w:noProof/>
                <w:webHidden/>
              </w:rPr>
              <w:instrText xml:space="preserve"> PAGEREF _Toc103583066 \h </w:instrText>
            </w:r>
            <w:r>
              <w:rPr>
                <w:noProof/>
                <w:webHidden/>
              </w:rPr>
            </w:r>
            <w:r>
              <w:rPr>
                <w:noProof/>
                <w:webHidden/>
              </w:rPr>
              <w:fldChar w:fldCharType="separate"/>
            </w:r>
            <w:r>
              <w:rPr>
                <w:noProof/>
                <w:webHidden/>
              </w:rPr>
              <w:t>5</w:t>
            </w:r>
            <w:r>
              <w:rPr>
                <w:noProof/>
                <w:webHidden/>
              </w:rPr>
              <w:fldChar w:fldCharType="end"/>
            </w:r>
          </w:hyperlink>
        </w:p>
        <w:p>
          <w:pPr>
            <w:pStyle w:val="TOC3"/>
            <w:tabs>
              <w:tab w:val="right" w:leader="dot" w:pos="9350"/>
            </w:tabs>
            <w:rPr>
              <w:rFonts w:eastAsiaTheme="minorEastAsia"/>
              <w:noProof/>
            </w:rPr>
          </w:pPr>
          <w:hyperlink w:anchor="_Toc103583067" w:history="1">
            <w:r>
              <w:rPr>
                <w:rStyle w:val="Hyperlink"/>
                <w:rFonts w:ascii="Arial" w:hAnsi="Arial" w:cs="Arial"/>
                <w:noProof/>
              </w:rPr>
              <w:t>Methods 4: Analysis and missingness and following sensitivity analyses</w:t>
            </w:r>
            <w:r>
              <w:rPr>
                <w:noProof/>
                <w:webHidden/>
              </w:rPr>
              <w:tab/>
            </w:r>
            <w:r>
              <w:rPr>
                <w:noProof/>
                <w:webHidden/>
              </w:rPr>
              <w:fldChar w:fldCharType="begin"/>
            </w:r>
            <w:r>
              <w:rPr>
                <w:noProof/>
                <w:webHidden/>
              </w:rPr>
              <w:instrText xml:space="preserve"> PAGEREF _Toc103583067 \h </w:instrText>
            </w:r>
            <w:r>
              <w:rPr>
                <w:noProof/>
                <w:webHidden/>
              </w:rPr>
            </w:r>
            <w:r>
              <w:rPr>
                <w:noProof/>
                <w:webHidden/>
              </w:rPr>
              <w:fldChar w:fldCharType="separate"/>
            </w:r>
            <w:r>
              <w:rPr>
                <w:noProof/>
                <w:webHidden/>
              </w:rPr>
              <w:t>7</w:t>
            </w:r>
            <w:r>
              <w:rPr>
                <w:noProof/>
                <w:webHidden/>
              </w:rPr>
              <w:fldChar w:fldCharType="end"/>
            </w:r>
          </w:hyperlink>
        </w:p>
        <w:p>
          <w:pPr>
            <w:pStyle w:val="TOC2"/>
            <w:tabs>
              <w:tab w:val="right" w:leader="dot" w:pos="9350"/>
            </w:tabs>
            <w:rPr>
              <w:rFonts w:eastAsiaTheme="minorEastAsia"/>
              <w:noProof/>
            </w:rPr>
          </w:pPr>
          <w:hyperlink w:anchor="_Toc103583068" w:history="1">
            <w:r>
              <w:rPr>
                <w:rStyle w:val="Hyperlink"/>
                <w:rFonts w:ascii="Arial" w:hAnsi="Arial" w:cs="Arial"/>
                <w:noProof/>
              </w:rPr>
              <w:t>Table S1</w:t>
            </w:r>
            <w:r>
              <w:rPr>
                <w:noProof/>
                <w:webHidden/>
              </w:rPr>
              <w:tab/>
            </w:r>
            <w:r>
              <w:rPr>
                <w:noProof/>
                <w:webHidden/>
              </w:rPr>
              <w:fldChar w:fldCharType="begin"/>
            </w:r>
            <w:r>
              <w:rPr>
                <w:noProof/>
                <w:webHidden/>
              </w:rPr>
              <w:instrText xml:space="preserve"> PAGEREF _Toc103583068 \h </w:instrText>
            </w:r>
            <w:r>
              <w:rPr>
                <w:noProof/>
                <w:webHidden/>
              </w:rPr>
            </w:r>
            <w:r>
              <w:rPr>
                <w:noProof/>
                <w:webHidden/>
              </w:rPr>
              <w:fldChar w:fldCharType="separate"/>
            </w:r>
            <w:r>
              <w:rPr>
                <w:noProof/>
                <w:webHidden/>
              </w:rPr>
              <w:t>8</w:t>
            </w:r>
            <w:r>
              <w:rPr>
                <w:noProof/>
                <w:webHidden/>
              </w:rPr>
              <w:fldChar w:fldCharType="end"/>
            </w:r>
          </w:hyperlink>
        </w:p>
        <w:p>
          <w:pPr>
            <w:pStyle w:val="TOC2"/>
            <w:tabs>
              <w:tab w:val="right" w:leader="dot" w:pos="9350"/>
            </w:tabs>
            <w:rPr>
              <w:rFonts w:eastAsiaTheme="minorEastAsia"/>
              <w:noProof/>
            </w:rPr>
          </w:pPr>
          <w:hyperlink w:anchor="_Toc103583069" w:history="1">
            <w:r>
              <w:rPr>
                <w:rStyle w:val="Hyperlink"/>
                <w:rFonts w:ascii="Arial" w:hAnsi="Arial" w:cs="Arial"/>
                <w:noProof/>
              </w:rPr>
              <w:t>Table S2</w:t>
            </w:r>
            <w:r>
              <w:rPr>
                <w:noProof/>
                <w:webHidden/>
              </w:rPr>
              <w:tab/>
            </w:r>
            <w:r>
              <w:rPr>
                <w:noProof/>
                <w:webHidden/>
              </w:rPr>
              <w:fldChar w:fldCharType="begin"/>
            </w:r>
            <w:r>
              <w:rPr>
                <w:noProof/>
                <w:webHidden/>
              </w:rPr>
              <w:instrText xml:space="preserve"> PAGEREF _Toc103583069 \h </w:instrText>
            </w:r>
            <w:r>
              <w:rPr>
                <w:noProof/>
                <w:webHidden/>
              </w:rPr>
            </w:r>
            <w:r>
              <w:rPr>
                <w:noProof/>
                <w:webHidden/>
              </w:rPr>
              <w:fldChar w:fldCharType="separate"/>
            </w:r>
            <w:r>
              <w:rPr>
                <w:noProof/>
                <w:webHidden/>
              </w:rPr>
              <w:t>10</w:t>
            </w:r>
            <w:r>
              <w:rPr>
                <w:noProof/>
                <w:webHidden/>
              </w:rPr>
              <w:fldChar w:fldCharType="end"/>
            </w:r>
          </w:hyperlink>
        </w:p>
        <w:p>
          <w:pPr>
            <w:pStyle w:val="TOC2"/>
            <w:tabs>
              <w:tab w:val="right" w:leader="dot" w:pos="9350"/>
            </w:tabs>
            <w:rPr>
              <w:rFonts w:eastAsiaTheme="minorEastAsia"/>
              <w:noProof/>
            </w:rPr>
          </w:pPr>
          <w:hyperlink w:anchor="_Toc103583070" w:history="1">
            <w:r>
              <w:rPr>
                <w:rStyle w:val="Hyperlink"/>
                <w:rFonts w:ascii="Arial" w:hAnsi="Arial" w:cs="Arial"/>
                <w:noProof/>
              </w:rPr>
              <w:t>Figure S1</w:t>
            </w:r>
            <w:r>
              <w:rPr>
                <w:noProof/>
                <w:webHidden/>
              </w:rPr>
              <w:tab/>
            </w:r>
            <w:r>
              <w:rPr>
                <w:noProof/>
                <w:webHidden/>
              </w:rPr>
              <w:fldChar w:fldCharType="begin"/>
            </w:r>
            <w:r>
              <w:rPr>
                <w:noProof/>
                <w:webHidden/>
              </w:rPr>
              <w:instrText xml:space="preserve"> PAGEREF _Toc103583070 \h </w:instrText>
            </w:r>
            <w:r>
              <w:rPr>
                <w:noProof/>
                <w:webHidden/>
              </w:rPr>
            </w:r>
            <w:r>
              <w:rPr>
                <w:noProof/>
                <w:webHidden/>
              </w:rPr>
              <w:fldChar w:fldCharType="separate"/>
            </w:r>
            <w:r>
              <w:rPr>
                <w:noProof/>
                <w:webHidden/>
              </w:rPr>
              <w:t>12</w:t>
            </w:r>
            <w:r>
              <w:rPr>
                <w:noProof/>
                <w:webHidden/>
              </w:rPr>
              <w:fldChar w:fldCharType="end"/>
            </w:r>
          </w:hyperlink>
        </w:p>
        <w:p>
          <w:pPr>
            <w:pStyle w:val="TOC2"/>
            <w:tabs>
              <w:tab w:val="right" w:leader="dot" w:pos="9350"/>
            </w:tabs>
            <w:rPr>
              <w:rFonts w:eastAsiaTheme="minorEastAsia"/>
              <w:noProof/>
            </w:rPr>
          </w:pPr>
          <w:hyperlink w:anchor="_Toc103583071" w:history="1">
            <w:r>
              <w:rPr>
                <w:rStyle w:val="Hyperlink"/>
                <w:rFonts w:ascii="Arial" w:hAnsi="Arial" w:cs="Arial"/>
                <w:noProof/>
              </w:rPr>
              <w:t>Figure S2</w:t>
            </w:r>
            <w:r>
              <w:rPr>
                <w:noProof/>
                <w:webHidden/>
              </w:rPr>
              <w:tab/>
            </w:r>
            <w:r>
              <w:rPr>
                <w:noProof/>
                <w:webHidden/>
              </w:rPr>
              <w:fldChar w:fldCharType="begin"/>
            </w:r>
            <w:r>
              <w:rPr>
                <w:noProof/>
                <w:webHidden/>
              </w:rPr>
              <w:instrText xml:space="preserve"> PAGEREF _Toc103583071 \h </w:instrText>
            </w:r>
            <w:r>
              <w:rPr>
                <w:noProof/>
                <w:webHidden/>
              </w:rPr>
            </w:r>
            <w:r>
              <w:rPr>
                <w:noProof/>
                <w:webHidden/>
              </w:rPr>
              <w:fldChar w:fldCharType="separate"/>
            </w:r>
            <w:r>
              <w:rPr>
                <w:noProof/>
                <w:webHidden/>
              </w:rPr>
              <w:t>13</w:t>
            </w:r>
            <w:r>
              <w:rPr>
                <w:noProof/>
                <w:webHidden/>
              </w:rPr>
              <w:fldChar w:fldCharType="end"/>
            </w:r>
          </w:hyperlink>
        </w:p>
        <w:p>
          <w:pPr>
            <w:pStyle w:val="TOC2"/>
            <w:tabs>
              <w:tab w:val="right" w:leader="dot" w:pos="9350"/>
            </w:tabs>
            <w:rPr>
              <w:rFonts w:eastAsiaTheme="minorEastAsia"/>
              <w:noProof/>
            </w:rPr>
          </w:pPr>
          <w:hyperlink w:anchor="_Toc103583072" w:history="1">
            <w:r>
              <w:rPr>
                <w:rStyle w:val="Hyperlink"/>
                <w:rFonts w:ascii="Arial" w:hAnsi="Arial" w:cs="Arial"/>
                <w:noProof/>
              </w:rPr>
              <w:t>Figure S3</w:t>
            </w:r>
            <w:r>
              <w:rPr>
                <w:noProof/>
                <w:webHidden/>
              </w:rPr>
              <w:tab/>
            </w:r>
            <w:r>
              <w:rPr>
                <w:noProof/>
                <w:webHidden/>
              </w:rPr>
              <w:fldChar w:fldCharType="begin"/>
            </w:r>
            <w:r>
              <w:rPr>
                <w:noProof/>
                <w:webHidden/>
              </w:rPr>
              <w:instrText xml:space="preserve"> PAGEREF _Toc103583072 \h </w:instrText>
            </w:r>
            <w:r>
              <w:rPr>
                <w:noProof/>
                <w:webHidden/>
              </w:rPr>
            </w:r>
            <w:r>
              <w:rPr>
                <w:noProof/>
                <w:webHidden/>
              </w:rPr>
              <w:fldChar w:fldCharType="separate"/>
            </w:r>
            <w:r>
              <w:rPr>
                <w:noProof/>
                <w:webHidden/>
              </w:rPr>
              <w:t>14</w:t>
            </w:r>
            <w:r>
              <w:rPr>
                <w:noProof/>
                <w:webHidden/>
              </w:rPr>
              <w:fldChar w:fldCharType="end"/>
            </w:r>
          </w:hyperlink>
        </w:p>
        <w:p>
          <w:pPr>
            <w:pStyle w:val="TOC2"/>
            <w:tabs>
              <w:tab w:val="right" w:leader="dot" w:pos="9350"/>
            </w:tabs>
            <w:rPr>
              <w:rFonts w:eastAsiaTheme="minorEastAsia"/>
              <w:noProof/>
            </w:rPr>
          </w:pPr>
          <w:hyperlink w:anchor="_Toc103583073" w:history="1">
            <w:r>
              <w:rPr>
                <w:rStyle w:val="Hyperlink"/>
                <w:rFonts w:ascii="Arial" w:hAnsi="Arial" w:cs="Arial"/>
                <w:noProof/>
              </w:rPr>
              <w:t>Figure S4a</w:t>
            </w:r>
            <w:r>
              <w:rPr>
                <w:noProof/>
                <w:webHidden/>
              </w:rPr>
              <w:tab/>
            </w:r>
            <w:r>
              <w:rPr>
                <w:noProof/>
                <w:webHidden/>
              </w:rPr>
              <w:fldChar w:fldCharType="begin"/>
            </w:r>
            <w:r>
              <w:rPr>
                <w:noProof/>
                <w:webHidden/>
              </w:rPr>
              <w:instrText xml:space="preserve"> PAGEREF _Toc103583073 \h </w:instrText>
            </w:r>
            <w:r>
              <w:rPr>
                <w:noProof/>
                <w:webHidden/>
              </w:rPr>
            </w:r>
            <w:r>
              <w:rPr>
                <w:noProof/>
                <w:webHidden/>
              </w:rPr>
              <w:fldChar w:fldCharType="separate"/>
            </w:r>
            <w:r>
              <w:rPr>
                <w:noProof/>
                <w:webHidden/>
              </w:rPr>
              <w:t>15</w:t>
            </w:r>
            <w:r>
              <w:rPr>
                <w:noProof/>
                <w:webHidden/>
              </w:rPr>
              <w:fldChar w:fldCharType="end"/>
            </w:r>
          </w:hyperlink>
        </w:p>
        <w:p>
          <w:pPr>
            <w:pStyle w:val="TOC2"/>
            <w:tabs>
              <w:tab w:val="right" w:leader="dot" w:pos="9350"/>
            </w:tabs>
            <w:rPr>
              <w:rFonts w:eastAsiaTheme="minorEastAsia"/>
              <w:noProof/>
            </w:rPr>
          </w:pPr>
          <w:hyperlink w:anchor="_Toc103583074" w:history="1">
            <w:r>
              <w:rPr>
                <w:rStyle w:val="Hyperlink"/>
                <w:rFonts w:ascii="Arial" w:hAnsi="Arial" w:cs="Arial"/>
                <w:noProof/>
              </w:rPr>
              <w:t>Figure S4b</w:t>
            </w:r>
            <w:r>
              <w:rPr>
                <w:noProof/>
                <w:webHidden/>
              </w:rPr>
              <w:tab/>
            </w:r>
            <w:r>
              <w:rPr>
                <w:noProof/>
                <w:webHidden/>
              </w:rPr>
              <w:fldChar w:fldCharType="begin"/>
            </w:r>
            <w:r>
              <w:rPr>
                <w:noProof/>
                <w:webHidden/>
              </w:rPr>
              <w:instrText xml:space="preserve"> PAGEREF _Toc103583074 \h </w:instrText>
            </w:r>
            <w:r>
              <w:rPr>
                <w:noProof/>
                <w:webHidden/>
              </w:rPr>
            </w:r>
            <w:r>
              <w:rPr>
                <w:noProof/>
                <w:webHidden/>
              </w:rPr>
              <w:fldChar w:fldCharType="separate"/>
            </w:r>
            <w:r>
              <w:rPr>
                <w:noProof/>
                <w:webHidden/>
              </w:rPr>
              <w:t>16</w:t>
            </w:r>
            <w:r>
              <w:rPr>
                <w:noProof/>
                <w:webHidden/>
              </w:rPr>
              <w:fldChar w:fldCharType="end"/>
            </w:r>
          </w:hyperlink>
        </w:p>
        <w:p>
          <w:pPr>
            <w:pStyle w:val="TOC2"/>
            <w:tabs>
              <w:tab w:val="right" w:leader="dot" w:pos="9350"/>
            </w:tabs>
            <w:rPr>
              <w:rFonts w:eastAsiaTheme="minorEastAsia"/>
              <w:noProof/>
            </w:rPr>
          </w:pPr>
          <w:hyperlink w:anchor="_Toc103583075" w:history="1">
            <w:r>
              <w:rPr>
                <w:rStyle w:val="Hyperlink"/>
                <w:rFonts w:ascii="Arial" w:hAnsi="Arial" w:cs="Arial"/>
                <w:noProof/>
              </w:rPr>
              <w:t>Figure S5</w:t>
            </w:r>
            <w:r>
              <w:rPr>
                <w:noProof/>
                <w:webHidden/>
              </w:rPr>
              <w:tab/>
            </w:r>
            <w:r>
              <w:rPr>
                <w:noProof/>
                <w:webHidden/>
              </w:rPr>
              <w:fldChar w:fldCharType="begin"/>
            </w:r>
            <w:r>
              <w:rPr>
                <w:noProof/>
                <w:webHidden/>
              </w:rPr>
              <w:instrText xml:space="preserve"> PAGEREF _Toc103583075 \h </w:instrText>
            </w:r>
            <w:r>
              <w:rPr>
                <w:noProof/>
                <w:webHidden/>
              </w:rPr>
            </w:r>
            <w:r>
              <w:rPr>
                <w:noProof/>
                <w:webHidden/>
              </w:rPr>
              <w:fldChar w:fldCharType="separate"/>
            </w:r>
            <w:r>
              <w:rPr>
                <w:noProof/>
                <w:webHidden/>
              </w:rPr>
              <w:t>17</w:t>
            </w:r>
            <w:r>
              <w:rPr>
                <w:noProof/>
                <w:webHidden/>
              </w:rPr>
              <w:fldChar w:fldCharType="end"/>
            </w:r>
          </w:hyperlink>
        </w:p>
        <w:p>
          <w:pPr>
            <w:pStyle w:val="TOC2"/>
            <w:tabs>
              <w:tab w:val="right" w:leader="dot" w:pos="9350"/>
            </w:tabs>
            <w:rPr>
              <w:rFonts w:eastAsiaTheme="minorEastAsia"/>
              <w:noProof/>
            </w:rPr>
          </w:pPr>
          <w:hyperlink w:anchor="_Toc103583076" w:history="1">
            <w:r>
              <w:rPr>
                <w:rStyle w:val="Hyperlink"/>
                <w:rFonts w:ascii="Arial" w:hAnsi="Arial" w:cs="Arial"/>
                <w:noProof/>
              </w:rPr>
              <w:t>Figure S6a</w:t>
            </w:r>
            <w:r>
              <w:rPr>
                <w:noProof/>
                <w:webHidden/>
              </w:rPr>
              <w:tab/>
            </w:r>
            <w:r>
              <w:rPr>
                <w:noProof/>
                <w:webHidden/>
              </w:rPr>
              <w:fldChar w:fldCharType="begin"/>
            </w:r>
            <w:r>
              <w:rPr>
                <w:noProof/>
                <w:webHidden/>
              </w:rPr>
              <w:instrText xml:space="preserve"> PAGEREF _Toc103583076 \h </w:instrText>
            </w:r>
            <w:r>
              <w:rPr>
                <w:noProof/>
                <w:webHidden/>
              </w:rPr>
            </w:r>
            <w:r>
              <w:rPr>
                <w:noProof/>
                <w:webHidden/>
              </w:rPr>
              <w:fldChar w:fldCharType="separate"/>
            </w:r>
            <w:r>
              <w:rPr>
                <w:noProof/>
                <w:webHidden/>
              </w:rPr>
              <w:t>18</w:t>
            </w:r>
            <w:r>
              <w:rPr>
                <w:noProof/>
                <w:webHidden/>
              </w:rPr>
              <w:fldChar w:fldCharType="end"/>
            </w:r>
          </w:hyperlink>
        </w:p>
        <w:p>
          <w:pPr>
            <w:pStyle w:val="TOC2"/>
            <w:tabs>
              <w:tab w:val="right" w:leader="dot" w:pos="9350"/>
            </w:tabs>
            <w:rPr>
              <w:rFonts w:eastAsiaTheme="minorEastAsia"/>
              <w:noProof/>
            </w:rPr>
          </w:pPr>
          <w:hyperlink w:anchor="_Toc103583077" w:history="1">
            <w:r>
              <w:rPr>
                <w:rStyle w:val="Hyperlink"/>
                <w:rFonts w:ascii="Arial" w:hAnsi="Arial" w:cs="Arial"/>
                <w:noProof/>
              </w:rPr>
              <w:t>Figure S6b</w:t>
            </w:r>
            <w:r>
              <w:rPr>
                <w:noProof/>
                <w:webHidden/>
              </w:rPr>
              <w:tab/>
            </w:r>
            <w:r>
              <w:rPr>
                <w:noProof/>
                <w:webHidden/>
              </w:rPr>
              <w:fldChar w:fldCharType="begin"/>
            </w:r>
            <w:r>
              <w:rPr>
                <w:noProof/>
                <w:webHidden/>
              </w:rPr>
              <w:instrText xml:space="preserve"> PAGEREF _Toc103583077 \h </w:instrText>
            </w:r>
            <w:r>
              <w:rPr>
                <w:noProof/>
                <w:webHidden/>
              </w:rPr>
            </w:r>
            <w:r>
              <w:rPr>
                <w:noProof/>
                <w:webHidden/>
              </w:rPr>
              <w:fldChar w:fldCharType="separate"/>
            </w:r>
            <w:r>
              <w:rPr>
                <w:noProof/>
                <w:webHidden/>
              </w:rPr>
              <w:t>19</w:t>
            </w:r>
            <w:r>
              <w:rPr>
                <w:noProof/>
                <w:webHidden/>
              </w:rPr>
              <w:fldChar w:fldCharType="end"/>
            </w:r>
          </w:hyperlink>
        </w:p>
        <w:p>
          <w:pPr>
            <w:pStyle w:val="TOC2"/>
            <w:tabs>
              <w:tab w:val="right" w:leader="dot" w:pos="9350"/>
            </w:tabs>
            <w:rPr>
              <w:rFonts w:eastAsiaTheme="minorEastAsia"/>
              <w:noProof/>
            </w:rPr>
          </w:pPr>
          <w:hyperlink w:anchor="_Toc103583078" w:history="1">
            <w:r>
              <w:rPr>
                <w:rStyle w:val="Hyperlink"/>
                <w:rFonts w:ascii="Arial" w:hAnsi="Arial" w:cs="Arial"/>
                <w:noProof/>
              </w:rPr>
              <w:t>Figure S7a</w:t>
            </w:r>
            <w:r>
              <w:rPr>
                <w:noProof/>
                <w:webHidden/>
              </w:rPr>
              <w:tab/>
            </w:r>
            <w:r>
              <w:rPr>
                <w:noProof/>
                <w:webHidden/>
              </w:rPr>
              <w:fldChar w:fldCharType="begin"/>
            </w:r>
            <w:r>
              <w:rPr>
                <w:noProof/>
                <w:webHidden/>
              </w:rPr>
              <w:instrText xml:space="preserve"> PAGEREF _Toc103583078 \h </w:instrText>
            </w:r>
            <w:r>
              <w:rPr>
                <w:noProof/>
                <w:webHidden/>
              </w:rPr>
            </w:r>
            <w:r>
              <w:rPr>
                <w:noProof/>
                <w:webHidden/>
              </w:rPr>
              <w:fldChar w:fldCharType="separate"/>
            </w:r>
            <w:r>
              <w:rPr>
                <w:noProof/>
                <w:webHidden/>
              </w:rPr>
              <w:t>20</w:t>
            </w:r>
            <w:r>
              <w:rPr>
                <w:noProof/>
                <w:webHidden/>
              </w:rPr>
              <w:fldChar w:fldCharType="end"/>
            </w:r>
          </w:hyperlink>
        </w:p>
        <w:p>
          <w:pPr>
            <w:pStyle w:val="TOC2"/>
            <w:tabs>
              <w:tab w:val="right" w:leader="dot" w:pos="9350"/>
            </w:tabs>
            <w:rPr>
              <w:rFonts w:eastAsiaTheme="minorEastAsia"/>
              <w:noProof/>
            </w:rPr>
          </w:pPr>
          <w:hyperlink w:anchor="_Toc103583079" w:history="1">
            <w:r>
              <w:rPr>
                <w:rStyle w:val="Hyperlink"/>
                <w:rFonts w:ascii="Arial" w:hAnsi="Arial" w:cs="Arial"/>
                <w:noProof/>
              </w:rPr>
              <w:t>Figure S7b</w:t>
            </w:r>
            <w:r>
              <w:rPr>
                <w:noProof/>
                <w:webHidden/>
              </w:rPr>
              <w:tab/>
            </w:r>
            <w:r>
              <w:rPr>
                <w:noProof/>
                <w:webHidden/>
              </w:rPr>
              <w:fldChar w:fldCharType="begin"/>
            </w:r>
            <w:r>
              <w:rPr>
                <w:noProof/>
                <w:webHidden/>
              </w:rPr>
              <w:instrText xml:space="preserve"> PAGEREF _Toc103583079 \h </w:instrText>
            </w:r>
            <w:r>
              <w:rPr>
                <w:noProof/>
                <w:webHidden/>
              </w:rPr>
            </w:r>
            <w:r>
              <w:rPr>
                <w:noProof/>
                <w:webHidden/>
              </w:rPr>
              <w:fldChar w:fldCharType="separate"/>
            </w:r>
            <w:r>
              <w:rPr>
                <w:noProof/>
                <w:webHidden/>
              </w:rPr>
              <w:t>20</w:t>
            </w:r>
            <w:r>
              <w:rPr>
                <w:noProof/>
                <w:webHidden/>
              </w:rPr>
              <w:fldChar w:fldCharType="end"/>
            </w:r>
          </w:hyperlink>
        </w:p>
        <w:p>
          <w:pPr>
            <w:pStyle w:val="TOC2"/>
            <w:tabs>
              <w:tab w:val="right" w:leader="dot" w:pos="9350"/>
            </w:tabs>
            <w:rPr>
              <w:rFonts w:eastAsiaTheme="minorEastAsia"/>
              <w:noProof/>
            </w:rPr>
          </w:pPr>
          <w:hyperlink w:anchor="_Toc103583080" w:history="1">
            <w:r>
              <w:rPr>
                <w:rStyle w:val="Hyperlink"/>
                <w:rFonts w:ascii="Arial" w:hAnsi="Arial" w:cs="Arial"/>
                <w:noProof/>
              </w:rPr>
              <w:t>Figure S8</w:t>
            </w:r>
            <w:r>
              <w:rPr>
                <w:noProof/>
                <w:webHidden/>
              </w:rPr>
              <w:tab/>
            </w:r>
            <w:r>
              <w:rPr>
                <w:noProof/>
                <w:webHidden/>
              </w:rPr>
              <w:fldChar w:fldCharType="begin"/>
            </w:r>
            <w:r>
              <w:rPr>
                <w:noProof/>
                <w:webHidden/>
              </w:rPr>
              <w:instrText xml:space="preserve"> PAGEREF _Toc103583080 \h </w:instrText>
            </w:r>
            <w:r>
              <w:rPr>
                <w:noProof/>
                <w:webHidden/>
              </w:rPr>
            </w:r>
            <w:r>
              <w:rPr>
                <w:noProof/>
                <w:webHidden/>
              </w:rPr>
              <w:fldChar w:fldCharType="separate"/>
            </w:r>
            <w:r>
              <w:rPr>
                <w:noProof/>
                <w:webHidden/>
              </w:rPr>
              <w:t>21</w:t>
            </w:r>
            <w:r>
              <w:rPr>
                <w:noProof/>
                <w:webHidden/>
              </w:rPr>
              <w:fldChar w:fldCharType="end"/>
            </w:r>
          </w:hyperlink>
        </w:p>
        <w:p>
          <w:pPr>
            <w:pStyle w:val="TOC2"/>
            <w:tabs>
              <w:tab w:val="right" w:leader="dot" w:pos="9350"/>
            </w:tabs>
            <w:rPr>
              <w:rFonts w:eastAsiaTheme="minorEastAsia"/>
              <w:noProof/>
            </w:rPr>
          </w:pPr>
          <w:hyperlink w:anchor="_Toc103583081" w:history="1">
            <w:r>
              <w:rPr>
                <w:rStyle w:val="Hyperlink"/>
                <w:rFonts w:ascii="Arial" w:hAnsi="Arial" w:cs="Arial"/>
                <w:noProof/>
              </w:rPr>
              <w:t>References</w:t>
            </w:r>
            <w:r>
              <w:rPr>
                <w:noProof/>
                <w:webHidden/>
              </w:rPr>
              <w:tab/>
            </w:r>
            <w:r>
              <w:rPr>
                <w:noProof/>
                <w:webHidden/>
              </w:rPr>
              <w:fldChar w:fldCharType="begin"/>
            </w:r>
            <w:r>
              <w:rPr>
                <w:noProof/>
                <w:webHidden/>
              </w:rPr>
              <w:instrText xml:space="preserve"> PAGEREF _Toc103583081 \h </w:instrText>
            </w:r>
            <w:r>
              <w:rPr>
                <w:noProof/>
                <w:webHidden/>
              </w:rPr>
            </w:r>
            <w:r>
              <w:rPr>
                <w:noProof/>
                <w:webHidden/>
              </w:rPr>
              <w:fldChar w:fldCharType="separate"/>
            </w:r>
            <w:r>
              <w:rPr>
                <w:noProof/>
                <w:webHidden/>
              </w:rPr>
              <w:t>22</w:t>
            </w:r>
            <w:r>
              <w:rPr>
                <w:noProof/>
                <w:webHidden/>
              </w:rPr>
              <w:fldChar w:fldCharType="end"/>
            </w:r>
          </w:hyperlink>
        </w:p>
        <w:p>
          <w:pPr>
            <w:spacing w:line="480" w:lineRule="auto"/>
            <w:rPr>
              <w:rFonts w:ascii="Arial" w:hAnsi="Arial" w:cs="Arial"/>
              <w:sz w:val="24"/>
              <w:szCs w:val="24"/>
            </w:rPr>
          </w:pPr>
          <w:r>
            <w:rPr>
              <w:rFonts w:ascii="Arial" w:hAnsi="Arial" w:cs="Arial"/>
              <w:b/>
              <w:bCs/>
              <w:noProof/>
              <w:sz w:val="24"/>
              <w:szCs w:val="24"/>
            </w:rPr>
            <w:fldChar w:fldCharType="end"/>
          </w:r>
        </w:p>
      </w:sdtContent>
    </w:sdt>
    <w:p>
      <w:pPr>
        <w:spacing w:line="480" w:lineRule="auto"/>
        <w:rPr>
          <w:rFonts w:ascii="Arial" w:hAnsi="Arial" w:cs="Arial"/>
          <w:sz w:val="24"/>
          <w:szCs w:val="24"/>
          <w:lang w:val="de-DE"/>
        </w:rPr>
      </w:pPr>
    </w:p>
    <w:p>
      <w:pPr>
        <w:spacing w:line="480" w:lineRule="auto"/>
        <w:rPr>
          <w:rFonts w:ascii="Arial" w:hAnsi="Arial" w:cs="Arial"/>
          <w:sz w:val="24"/>
          <w:szCs w:val="24"/>
          <w:lang w:val="de-DE"/>
        </w:rPr>
      </w:pPr>
    </w:p>
    <w:p>
      <w:pPr>
        <w:spacing w:line="480" w:lineRule="auto"/>
        <w:rPr>
          <w:rFonts w:ascii="Arial" w:eastAsiaTheme="majorEastAsia" w:hAnsi="Arial" w:cs="Arial"/>
          <w:color w:val="1F4D78" w:themeColor="accent1" w:themeShade="7F"/>
          <w:sz w:val="24"/>
          <w:szCs w:val="24"/>
          <w:lang w:val="de-DE"/>
        </w:rPr>
      </w:pPr>
      <w:r>
        <w:rPr>
          <w:rFonts w:ascii="Arial" w:hAnsi="Arial" w:cs="Arial"/>
          <w:sz w:val="24"/>
          <w:szCs w:val="24"/>
          <w:lang w:val="de-DE"/>
        </w:rPr>
        <w:br w:type="page"/>
      </w:r>
    </w:p>
    <w:p>
      <w:pPr>
        <w:pStyle w:val="Heading2"/>
        <w:spacing w:line="480" w:lineRule="auto"/>
        <w:rPr>
          <w:rFonts w:ascii="Arial" w:hAnsi="Arial" w:cs="Arial"/>
          <w:sz w:val="24"/>
          <w:szCs w:val="24"/>
        </w:rPr>
      </w:pPr>
      <w:bookmarkStart w:id="0" w:name="_Toc103583063"/>
      <w:r>
        <w:rPr>
          <w:rFonts w:ascii="Arial" w:hAnsi="Arial" w:cs="Arial"/>
          <w:sz w:val="24"/>
          <w:szCs w:val="24"/>
        </w:rPr>
        <w:lastRenderedPageBreak/>
        <w:t>Supplementary Methods</w:t>
      </w:r>
      <w:bookmarkEnd w:id="0"/>
    </w:p>
    <w:p>
      <w:pPr>
        <w:pStyle w:val="Heading3"/>
        <w:spacing w:line="480" w:lineRule="auto"/>
        <w:rPr>
          <w:rFonts w:ascii="Arial" w:hAnsi="Arial" w:cs="Arial"/>
        </w:rPr>
      </w:pPr>
      <w:bookmarkStart w:id="1" w:name="_Toc103583064"/>
      <w:r>
        <w:rPr>
          <w:rFonts w:ascii="Arial" w:hAnsi="Arial" w:cs="Arial"/>
        </w:rPr>
        <w:t>Methods 1: Genetic data (GINIplus/LISA &amp; BAMSE)</w:t>
      </w:r>
      <w:bookmarkEnd w:id="1"/>
    </w:p>
    <w:p>
      <w:pPr>
        <w:pStyle w:val="ListParagraph"/>
        <w:numPr>
          <w:ilvl w:val="0"/>
          <w:numId w:val="3"/>
        </w:numPr>
        <w:spacing w:line="480" w:lineRule="auto"/>
        <w:rPr>
          <w:rFonts w:ascii="Arial" w:hAnsi="Arial" w:cs="Arial"/>
          <w:sz w:val="24"/>
          <w:szCs w:val="24"/>
        </w:rPr>
      </w:pPr>
      <w:r>
        <w:rPr>
          <w:rFonts w:ascii="Arial" w:hAnsi="Arial" w:cs="Arial"/>
          <w:sz w:val="24"/>
          <w:szCs w:val="24"/>
        </w:rPr>
        <w:t>Genotyping</w:t>
      </w:r>
    </w:p>
    <w:p>
      <w:pPr>
        <w:spacing w:line="480" w:lineRule="auto"/>
        <w:rPr>
          <w:rFonts w:ascii="Arial" w:hAnsi="Arial" w:cs="Arial"/>
          <w:sz w:val="24"/>
          <w:szCs w:val="24"/>
        </w:rPr>
      </w:pPr>
      <w:r>
        <w:rPr>
          <w:rFonts w:ascii="Arial" w:hAnsi="Arial" w:cs="Arial"/>
          <w:sz w:val="24"/>
          <w:szCs w:val="24"/>
        </w:rPr>
        <w:t xml:space="preserve">Genetic data for GINIplus/LISA was measured in two study centers, Munich and Wesel, at different time-points. For the Munich study center Affymetrix Chip 5.0 and 6.0 (Thermo Fisher, USA) blood and saliva samples collected at 6 and 10 years were used. Wesel used the Infinium Global Screening Array GSA v2 MD on samples from 6, 10 and 15 years. Criteria for exclusion of individuals were: a call rate below 95%, heterozygosity outside mean +/- 4sd, a failure of the sex check or a failure of the similarity quality control using MDS analysis based on IBS. Criteria for exclusion of variants were: a call rate below 95%, a MAF &lt; 0.01 and a HWE p-value &lt; 0.00001. After quality control the Munich sample consists of 1511 participants with genetic data available and the Wesel sample of 792 participants. </w:t>
      </w:r>
    </w:p>
    <w:p>
      <w:pPr>
        <w:spacing w:line="480" w:lineRule="auto"/>
        <w:rPr>
          <w:rFonts w:ascii="Arial" w:hAnsi="Arial" w:cs="Arial"/>
          <w:sz w:val="24"/>
          <w:szCs w:val="24"/>
        </w:rPr>
      </w:pPr>
      <w:r>
        <w:rPr>
          <w:rFonts w:ascii="Arial" w:hAnsi="Arial" w:cs="Arial"/>
          <w:sz w:val="24"/>
          <w:szCs w:val="24"/>
        </w:rPr>
        <w:t xml:space="preserve">Within the BAMSE project, genotyping was done in two waves. Wave1 was done on the Illumina Human 610-quad array (Illumina, Inc., San Diego, CA). A total of 505 samples were genotyped (a subset of the study consisting of asthma cases and controls, out of which 485 samples were of good genotype quality. Wave2 was done on the Illumina Infinium Global Screening Array-24 v1.0 (GSA) BeadChip, where a total of 2387 samples were genotyped, out of which 2367 samples were of good genotype quality. Samples were further excluded if the 10 genetic principal components indicated a non-EU ethnic outlier after projection of the study samples on the 1000 Genomes reference sample. For imputation, samples were also excluded if their genotyping success rate was lower than 95% and SNPs were excluded for - Call rate &lt; 95%; HWE p&lt; 1e-6; MAF </w:t>
      </w:r>
      <w:r>
        <w:rPr>
          <w:rFonts w:ascii="Arial" w:hAnsi="Arial" w:cs="Arial"/>
          <w:sz w:val="24"/>
          <w:szCs w:val="24"/>
        </w:rPr>
        <w:lastRenderedPageBreak/>
        <w:t xml:space="preserve">&lt; 0.01, determined using Plink 2.0. After further quality control a total of 464 participants within wave1 and 2194 participants within wave2 remained. </w:t>
      </w:r>
    </w:p>
    <w:p>
      <w:pPr>
        <w:pStyle w:val="ListParagraph"/>
        <w:numPr>
          <w:ilvl w:val="0"/>
          <w:numId w:val="3"/>
        </w:numPr>
        <w:spacing w:line="480" w:lineRule="auto"/>
        <w:rPr>
          <w:rFonts w:ascii="Arial" w:hAnsi="Arial" w:cs="Arial"/>
          <w:sz w:val="24"/>
          <w:szCs w:val="24"/>
        </w:rPr>
      </w:pPr>
      <w:r>
        <w:rPr>
          <w:rFonts w:ascii="Arial" w:hAnsi="Arial" w:cs="Arial"/>
          <w:sz w:val="24"/>
          <w:szCs w:val="24"/>
        </w:rPr>
        <w:t>Imputation</w:t>
      </w:r>
    </w:p>
    <w:p>
      <w:pPr>
        <w:spacing w:line="480" w:lineRule="auto"/>
        <w:rPr>
          <w:rFonts w:ascii="Arial" w:hAnsi="Arial" w:cs="Arial"/>
          <w:sz w:val="24"/>
          <w:szCs w:val="24"/>
        </w:rPr>
      </w:pPr>
      <w:r>
        <w:rPr>
          <w:rFonts w:ascii="Arial" w:hAnsi="Arial" w:cs="Arial"/>
          <w:sz w:val="24"/>
          <w:szCs w:val="24"/>
        </w:rPr>
        <w:t xml:space="preserve">All data was imputed using the HRC version 1.1 </w:t>
      </w:r>
      <w:r>
        <w:rPr>
          <w:rFonts w:ascii="Arial" w:hAnsi="Arial" w:cs="Arial"/>
          <w:sz w:val="24"/>
          <w:szCs w:val="24"/>
        </w:rPr>
        <w:fldChar w:fldCharType="begin"/>
      </w:r>
      <w:r>
        <w:rPr>
          <w:rFonts w:ascii="Arial" w:hAnsi="Arial" w:cs="Arial"/>
          <w:sz w:val="24"/>
          <w:szCs w:val="24"/>
        </w:rPr>
        <w:instrText xml:space="preserve"> ADDIN ZOTERO_ITEM CSL_CITATION {"citationID":"LlShlVt0","properties":{"formattedCitation":"\\super 1\\nosupersub{}","plainCitation":"1","noteIndex":0},"citationItems":[{"id":1404,"uris":["http://zotero.org/groups/2409649/items/A85W3JVI"],"itemData":{"id":1404,"type":"article-journal","abstract":"Jonathan Marchini, Gonçalo Abecasis, Richard Durbin and colleagues describe the construction of a reference panel of human haplotypes from whole-genome sequencing data. They are able to use this to accurately impute genotypes at low minor allele frequency and present remote server resources for use by the community.","container-title":"Nature Genetics","DOI":"10.1038/ng.3643","ISSN":"1546-1718","issue":"10","language":"en","note":"number: 10\npublisher: Nature Publishing Group","page":"1279-1283","source":"www.nature.com","title":"A reference panel of 64,976 haplotypes for genotype imputation","volume":"48","author":[{"family":"McCarthy","given":"Shane"},{"family":"Das","given":"Sayantan"},{"family":"Kretzschmar","given":"Warren"},{"family":"Delaneau","given":"Olivier"},{"family":"Wood","given":"Andrew R"},{"family":"Teumer","given":"Alexander"},{"family":"Kang","given":"Hyun Min"},{"family":"Fuchsberger","given":"Christian"},{"family":"Danecek","given":"Petr"},{"family":"Sharp","given":"Kevin"},{"family":"Luo","given":"Yang"},{"family":"Sidore","given":"Carlo"},{"family":"Kwong","given":"Alan"},{"family":"Timpson","given":"Nicholas"},{"family":"Koskinen","given":"Seppo"},{"family":"Vrieze","given":"Scott"},{"family":"Scott","given":"Laura J"},{"family":"Zhang","given":"He"},{"family":"Mahajan","given":"Anubha"},{"family":"Veldink","given":"Jan"},{"family":"Peters","given":"Ulrike"},{"family":"Pato","given":"Carlos"},{"family":"Duijn","given":"Cornelia M","non-dropping-particle":"van"},{"family":"Gillies","given":"Christopher E"},{"family":"Gandin","given":"Ilaria"},{"family":"Mezzavilla","given":"Massimo"},{"family":"Gilly","given":"Arthur"},{"family":"Cocca","given":"Massimiliano"},{"family":"Traglia","given":"Michela"},{"family":"Angius","given":"Andrea"},{"family":"Barrett","given":"Jeffrey C"},{"family":"Boomsma","given":"Dorrett"},{"family":"Branham","given":"Kari"},{"family":"Breen","given":"Gerome"},{"family":"Brummett","given":"Chad M"},{"family":"Busonero","given":"Fabio"},{"family":"Campbell","given":"Harry"},{"family":"Chan","given":"Andrew"},{"family":"Chen","given":"Sai"},{"family":"Chew","given":"Emily"},{"family":"Collins","given":"Francis S"},{"family":"Corbin","given":"Laura J"},{"family":"Smith","given":"George Davey"},{"family":"Dedoussis","given":"George"},{"family":"Dorr","given":"Marcus"},{"family":"Farmaki","given":"Aliki-Eleni"},{"family":"Ferrucci","given":"Luigi"},{"family":"Forer","given":"Lukas"},{"family":"Fraser","given":"Ross M"},{"family":"Gabriel","given":"Stacey"},{"family":"Levy","given":"Shawn"},{"family":"Groop","given":"Leif"},{"family":"Harrison","given":"Tabitha"},{"family":"Hattersley","given":"Andrew"},{"family":"Holmen","given":"Oddgeir L"},{"family":"Hveem","given":"Kristian"},{"family":"Kretzler","given":"Matthias"},{"family":"Lee","given":"James C"},{"family":"McGue","given":"Matt"},{"family":"Meitinger","given":"Thomas"},{"family":"Melzer","given":"David"},{"family":"Min","given":"Josine L"},{"family":"Mohlke","given":"Karen L"},{"family":"Vincent","given":"John B"},{"family":"Nauck","given":"Matthias"},{"family":"Nickerson","given":"Deborah"},{"family":"Palotie","given":"Aarno"},{"family":"Pato","given":"Michele"},{"family":"Pirastu","given":"Nicola"},{"family":"McInnis","given":"Melvin"},{"family":"Richards","given":"J Brent"},{"family":"Sala","given":"Cinzia"},{"family":"Salomaa","given":"Veikko"},{"family":"Schlessinger","given":"David"},{"family":"Schoenherr","given":"Sebastian"},{"family":"Slagboom","given":"P Eline"},{"family":"Small","given":"Kerrin"},{"family":"Spector","given":"Timothy"},{"family":"Stambolian","given":"Dwight"},{"family":"Tuke","given":"Marcus"},{"family":"Tuomilehto","given":"Jaakko"},{"family":"Van den Berg","given":"Leonard H"},{"family":"Van Rheenen","given":"Wouter"},{"family":"Volker","given":"Uwe"},{"family":"Wijmenga","given":"Cisca"},{"family":"Toniolo","given":"Daniela"},{"family":"Zeggini","given":"Eleftheria"},{"family":"Gasparini","given":"Paolo"},{"family":"Sampson","given":"Matthew G"},{"family":"Wilson","given":"James F"},{"family":"Frayling","given":"Timothy"},{"family":"Bakker","given":"Paul I W","non-dropping-particle":"de"},{"family":"Swertz","given":"Morris A"},{"family":"McCarroll","given":"Steven"},{"family":"Kooperberg","given":"Charles"},{"family":"Dekker","given":"Annelot"},{"family":"Altshuler","given":"David"},{"family":"Willer","given":"Cristen"},{"family":"Iacono","given":"William"},{"family":"Ripatti","given":"Samuli"},{"family":"Soranzo","given":"Nicole"},{"family":"Walter","given":"Klaudia"},{"family":"Swaroop","given":"Anand"},{"family":"Cucca","given":"Francesco"},{"family":"Anderson","given":"Carl A"},{"family":"Myers","given":"Richard M"},{"family":"Boehnke","given":"Michael"},{"family":"McCarthy","given":"Mark I"},{"family":"Durbin","given":"Richard"},{"family":"Abecasis","given":"Gonçalo"},{"family":"Marchini","given":"Jonathan"},{"literal":"the Haplotype Reference Consortium"}],"issued":{"date-parts":[["2016",10]]}}}],"schema":"https://github.com/citation-style-language/schema/raw/master/csl-citation.json"} </w:instrText>
      </w:r>
      <w:r>
        <w:rPr>
          <w:rFonts w:ascii="Arial" w:hAnsi="Arial" w:cs="Arial"/>
          <w:sz w:val="24"/>
          <w:szCs w:val="24"/>
        </w:rPr>
        <w:fldChar w:fldCharType="separate"/>
      </w:r>
      <w:r>
        <w:rPr>
          <w:rFonts w:ascii="Arial" w:hAnsi="Arial" w:cs="Arial"/>
          <w:sz w:val="24"/>
          <w:szCs w:val="24"/>
          <w:vertAlign w:val="superscript"/>
        </w:rPr>
        <w:t>1</w:t>
      </w:r>
      <w:r>
        <w:rPr>
          <w:rFonts w:ascii="Arial" w:hAnsi="Arial" w:cs="Arial"/>
          <w:sz w:val="24"/>
          <w:szCs w:val="24"/>
        </w:rPr>
        <w:fldChar w:fldCharType="end"/>
      </w:r>
      <w:r>
        <w:rPr>
          <w:rFonts w:ascii="Arial" w:hAnsi="Arial" w:cs="Arial"/>
          <w:sz w:val="24"/>
          <w:szCs w:val="24"/>
        </w:rPr>
        <w:t xml:space="preserve"> on the Michigan server for GINIplus and LISA and on the Sanger imputation server (EAGLE2+PBWT) for BAMSE.</w:t>
      </w:r>
    </w:p>
    <w:p>
      <w:pPr>
        <w:pStyle w:val="ListParagraph"/>
        <w:numPr>
          <w:ilvl w:val="0"/>
          <w:numId w:val="3"/>
        </w:numPr>
        <w:spacing w:line="480" w:lineRule="auto"/>
        <w:rPr>
          <w:rFonts w:ascii="Arial" w:hAnsi="Arial" w:cs="Arial"/>
          <w:sz w:val="24"/>
          <w:szCs w:val="24"/>
        </w:rPr>
      </w:pPr>
      <w:r>
        <w:rPr>
          <w:rFonts w:ascii="Arial" w:hAnsi="Arial" w:cs="Arial"/>
          <w:sz w:val="24"/>
          <w:szCs w:val="24"/>
        </w:rPr>
        <w:t>FLG mutation</w:t>
      </w:r>
    </w:p>
    <w:p>
      <w:pPr>
        <w:spacing w:line="480" w:lineRule="auto"/>
        <w:rPr>
          <w:rFonts w:ascii="Arial" w:hAnsi="Arial" w:cs="Arial"/>
          <w:sz w:val="24"/>
          <w:szCs w:val="24"/>
        </w:rPr>
      </w:pPr>
      <w:r>
        <w:rPr>
          <w:rFonts w:ascii="Arial" w:hAnsi="Arial" w:cs="Arial"/>
          <w:sz w:val="24"/>
          <w:szCs w:val="24"/>
        </w:rPr>
        <w:t xml:space="preserve">Data on the FLG loss-of function mutations was available for the two most common mutations (R501X, 2282del4) in GINIplus/LISA and on three common mutations (R501X, R2447X and 2282del4) in BAMSE. Having any one or multiple mutations resulted both in a positive response to our binary FLG variable. </w:t>
      </w:r>
    </w:p>
    <w:p>
      <w:pPr>
        <w:spacing w:line="480" w:lineRule="auto"/>
        <w:rPr>
          <w:rFonts w:ascii="Arial" w:hAnsi="Arial" w:cs="Arial"/>
          <w:sz w:val="24"/>
          <w:szCs w:val="24"/>
        </w:rPr>
      </w:pPr>
      <w:r>
        <w:rPr>
          <w:rFonts w:ascii="Arial" w:hAnsi="Arial" w:cs="Arial"/>
          <w:sz w:val="24"/>
          <w:szCs w:val="24"/>
        </w:rPr>
        <w:t xml:space="preserve">Within GINIplus/LISA genotyping for R501X was performed with the MassARRAY system (Sequenom, San Diego,California) and the 2282del4 mutation was genotyped using a fluorescently labeled PCR fragment on an Applied Biosystems 3100 or 3730DNA sequencer </w:t>
      </w:r>
      <w:r>
        <w:rPr>
          <w:rFonts w:ascii="Arial" w:hAnsi="Arial" w:cs="Arial"/>
          <w:sz w:val="24"/>
          <w:szCs w:val="24"/>
        </w:rPr>
        <w:fldChar w:fldCharType="begin"/>
      </w:r>
      <w:r>
        <w:rPr>
          <w:rFonts w:ascii="Arial" w:hAnsi="Arial" w:cs="Arial"/>
          <w:sz w:val="24"/>
          <w:szCs w:val="24"/>
        </w:rPr>
        <w:instrText xml:space="preserve"> ADDIN ZOTERO_ITEM CSL_CITATION {"citationID":"ghSKA2Qd","properties":{"formattedCitation":"\\super 2\\nosupersub{}","plainCitation":"2","noteIndex":0},"citationItems":[{"id":1491,"uris":["http://zotero.org/groups/2409649/items/ETZEEXIT"],"itemData":{"id":1491,"type":"article-journal","abstract":"Background\nAtopic dermatitis (AD) is a chronic inflammatory skin disease with a strong genetic background. One of the characteristic features of AD and causative factor for the disease is an impaired epidermal skin barrier based on a primary defect of epidermal differentiation.\nObjectives\nRecently, 2 loss-of-function mutations (R501X and 2282derl4) in the filaggrin gene (FLG) that cause ichthyosis vulgaris, one of the most common inherited skin disorders of keratinization, have been reported to be strong predisposing factors for AD.\nMethods\nWe evaluated the association of the loss-of-function mutations R501X and 2282del4 within the FLG gene in a large collection of 476 well-characterized white German families with AD by using the transmission-disequilibrium test.\nResults\nOur family-based approach revealed prominent associations between the 2 loss-of-function FLG mutations and AD, as previously observed in a traditional Mendelian linkage analysis and case-control cohort analysis approach. In addition, we observed associations of the FLG mutations in particular with the extrinsic subtype of AD, which is characterized by high total serum IgE levels and concomitant allergic sensitizations. Furthermore, FLG mutations are significantly associated with palmar hyperlinearity in patients with AD, which represents a shared feature of AD and ichthyosis vulgaris.\nConclusion\nTogether these data implicate that FLG is the first really strong genetic factor identified in a common complex disease.\nClinical implications\nThese findings underline the crucial role of the skin barrier in preventing allergic sensitization.","container-title":"Journal of Allergy and Clinical Immunology","DOI":"10.1016/j.jaci.2006.05.004","ISSN":"0091-6749","issue":"1","journalAbbreviation":"Journal of Allergy and Clinical Immunology","language":"en","page":"214-219","source":"ScienceDirect","title":"Loss-of-function variations within the filaggrin gene predispose for atopic dermatitis with allergic sensitizations","volume":"118","author":[{"family":"Weidinger","given":"Stephan"},{"family":"Illig","given":"Thomas"},{"family":"Baurecht","given":"Hansjörg"},{"family":"Irvine","given":"Alan D."},{"family":"Rodriguez","given":"Elke"},{"family":"Diaz-Lacava","given":"Amalia"},{"family":"Klopp","given":"Norman"},{"family":"Wagenpfeil","given":"Stefan"},{"family":"Zhao","given":"Yiwei"},{"family":"Liao","given":"Haihui"},{"family":"Lee","given":"Simon P."},{"family":"Palmer","given":"Colin N. A."},{"family":"Jenneck","given":"Claudia"},{"family":"Maintz","given":"Laura"},{"family":"Hagemann","given":"Tobias"},{"family":"Behrendt","given":"Heidrun"},{"family":"Ring","given":"Johannes"},{"family":"Nothen","given":"Markus M."},{"family":"McLean","given":"W. H. Irwin"},{"family":"Novak","given":"Natalija"}],"issued":{"date-parts":[["2006",7,1]]}}}],"schema":"https://github.com/citation-style-language/schema/raw/master/csl-citation.json"} </w:instrText>
      </w:r>
      <w:r>
        <w:rPr>
          <w:rFonts w:ascii="Arial" w:hAnsi="Arial" w:cs="Arial"/>
          <w:sz w:val="24"/>
          <w:szCs w:val="24"/>
        </w:rPr>
        <w:fldChar w:fldCharType="separate"/>
      </w:r>
      <w:r>
        <w:rPr>
          <w:rFonts w:ascii="Arial" w:hAnsi="Arial" w:cs="Arial"/>
          <w:sz w:val="24"/>
          <w:szCs w:val="24"/>
          <w:vertAlign w:val="superscript"/>
        </w:rPr>
        <w:t>2</w:t>
      </w:r>
      <w:r>
        <w:rPr>
          <w:rFonts w:ascii="Arial" w:hAnsi="Arial" w:cs="Arial"/>
          <w:sz w:val="24"/>
          <w:szCs w:val="24"/>
        </w:rPr>
        <w:fldChar w:fldCharType="end"/>
      </w:r>
      <w:r>
        <w:rPr>
          <w:rFonts w:ascii="Arial" w:hAnsi="Arial" w:cs="Arial"/>
          <w:sz w:val="24"/>
          <w:szCs w:val="24"/>
        </w:rPr>
        <w:t>. Within BAMSE, FLG mutations were analyzed using TaqMan allelic discrimination for R501X and R2447X on the ABI Prism 7500 detection system according to the manufacturer’s protocol (Applied Biosystems, Foster City, CA, U.S.A.) and MALDI</w:t>
      </w:r>
      <w:r>
        <w:rPr>
          <w:rFonts w:ascii="Cambria Math" w:hAnsi="Cambria Math" w:cs="Cambria Math"/>
          <w:sz w:val="24"/>
          <w:szCs w:val="24"/>
        </w:rPr>
        <w:t>‐</w:t>
      </w:r>
      <w:r>
        <w:rPr>
          <w:rFonts w:ascii="Arial" w:hAnsi="Arial" w:cs="Arial"/>
          <w:sz w:val="24"/>
          <w:szCs w:val="24"/>
        </w:rPr>
        <w:t>TOF (matrix</w:t>
      </w:r>
      <w:r>
        <w:rPr>
          <w:rFonts w:ascii="Cambria Math" w:hAnsi="Cambria Math" w:cs="Cambria Math"/>
          <w:sz w:val="24"/>
          <w:szCs w:val="24"/>
        </w:rPr>
        <w:t>‐</w:t>
      </w:r>
      <w:r>
        <w:rPr>
          <w:rFonts w:ascii="Arial" w:hAnsi="Arial" w:cs="Arial"/>
          <w:sz w:val="24"/>
          <w:szCs w:val="24"/>
        </w:rPr>
        <w:t>assisted laser desorption/ionization</w:t>
      </w:r>
      <w:r>
        <w:rPr>
          <w:rFonts w:ascii="Cambria Math" w:hAnsi="Cambria Math" w:cs="Cambria Math"/>
          <w:sz w:val="24"/>
          <w:szCs w:val="24"/>
        </w:rPr>
        <w:t>‐</w:t>
      </w:r>
      <w:r>
        <w:rPr>
          <w:rFonts w:ascii="Arial" w:hAnsi="Arial" w:cs="Arial"/>
          <w:sz w:val="24"/>
          <w:szCs w:val="24"/>
        </w:rPr>
        <w:t xml:space="preserve">time of flight; Sequenom GmbH, Hamburg, Germany) for 2282del4 </w:t>
      </w:r>
      <w:r>
        <w:rPr>
          <w:rFonts w:ascii="Arial" w:hAnsi="Arial" w:cs="Arial"/>
          <w:sz w:val="24"/>
          <w:szCs w:val="24"/>
        </w:rPr>
        <w:fldChar w:fldCharType="begin"/>
      </w:r>
      <w:r>
        <w:rPr>
          <w:rFonts w:ascii="Arial" w:hAnsi="Arial" w:cs="Arial"/>
          <w:sz w:val="24"/>
          <w:szCs w:val="24"/>
        </w:rPr>
        <w:instrText xml:space="preserve"> ADDIN ZOTERO_ITEM CSL_CITATION {"citationID":"kc968Slf","properties":{"formattedCitation":"\\super 3\\nosupersub{}","plainCitation":"3","noteIndex":0},"citationItems":[{"id":1452,"uris":["http://zotero.org/groups/2409649/items/RX2P5I9P"],"itemData":{"id":1452,"type":"article-journal","abstract":"Background Filaggrin (FLG) mutations are major genetic determinants for eczema, but their role in eczema severity needs further investigation. Children with eczema are at higher risk of having asthma and rhinitis but it is not known if this risk is associated with the severity of eczema. Objectives To investigate eczema severity in relation to sex, FLG mutations, asthma, rhinitis and topical treatment among preadolescent children in a population-based cohort. Methods Parental questionnaires were used to obtain data on symptoms of eczema, asthma, and rhinitis among 3301 preadolescent children. Eczema severity was evaluated based on sleep disturbance, extent of disease and total time with eczema the previous year. Genotyping was performed in 1854 individuals for three common FLG mutations (R501X, R2447X and 2282del4). Results Eczema was more prevalent among girls (14·5%) than boys (9·4%). FLG mutations were detected in 13·1% of children with mild eczema and 12·5% with moderate-to-severe eczema. Of children with moderate-to-severe eczema, 45·1% had rhinitis and 22·0% had asthma compared with 32·7% and 13·8% of children with mild eczema, respectively. Children with moderate-to-severe eczema used moisturizers and topical glucocorticoids more frequently than children with mild eczema. Boys used moisturizers less frequently than girls. Conclusions More preadolescent girls than boys had eczema. FLG mutations did not influence eczema severity in our population-based cohort. Prevalence of rhinitis and asthma was associated with eczema severity, with the highest prevalence among boys with moderate-to-severe eczema.","container-title":"British Journal of Dermatology","DOI":"https://doi.org/10.1111/bjd.12196","ISSN":"1365-2133","issue":"3","language":"en","note":"_eprint: https://onlinelibrary.wiley.com/doi/pdf/10.1111/bjd.12196","page":"588-594","source":"Wiley Online Library","title":"Eczema severity in preadolescent children and its relation to sex, filaggrin mutations, asthma, rhinitis, aggravating factors and topical treatment: a report from the BAMSE birth cohort","title-short":"Eczema severity in preadolescent children and its relation to sex, filaggrin mutations, asthma, rhinitis, aggravating factors and topical treatment","volume":"168","author":[{"family":"Ballardini","given":"N."},{"family":"Kull","given":"I."},{"family":"Söderhäll","given":"C."},{"family":"Lilja","given":"G."},{"family":"Wickman","given":"M."},{"family":"Wahlgren","given":"C. F."}],"issued":{"date-parts":[["2013"]]}}}],"schema":"https://github.com/citation-style-language/schema/raw/master/csl-citation.json"} </w:instrText>
      </w:r>
      <w:r>
        <w:rPr>
          <w:rFonts w:ascii="Arial" w:hAnsi="Arial" w:cs="Arial"/>
          <w:sz w:val="24"/>
          <w:szCs w:val="24"/>
        </w:rPr>
        <w:fldChar w:fldCharType="separate"/>
      </w:r>
      <w:r>
        <w:rPr>
          <w:rFonts w:ascii="Arial" w:hAnsi="Arial" w:cs="Arial"/>
          <w:sz w:val="24"/>
          <w:szCs w:val="24"/>
          <w:vertAlign w:val="superscript"/>
        </w:rPr>
        <w:t>3</w:t>
      </w:r>
      <w:r>
        <w:rPr>
          <w:rFonts w:ascii="Arial" w:hAnsi="Arial" w:cs="Arial"/>
          <w:sz w:val="24"/>
          <w:szCs w:val="24"/>
        </w:rPr>
        <w:fldChar w:fldCharType="end"/>
      </w:r>
      <w:r>
        <w:rPr>
          <w:rFonts w:ascii="Arial" w:hAnsi="Arial" w:cs="Arial"/>
          <w:sz w:val="24"/>
          <w:szCs w:val="24"/>
        </w:rPr>
        <w:t>.</w:t>
      </w:r>
    </w:p>
    <w:p>
      <w:pPr>
        <w:rPr>
          <w:rFonts w:ascii="Arial" w:eastAsiaTheme="majorEastAsia" w:hAnsi="Arial" w:cs="Arial"/>
          <w:color w:val="1F4D78" w:themeColor="accent1" w:themeShade="7F"/>
          <w:sz w:val="24"/>
          <w:szCs w:val="24"/>
        </w:rPr>
      </w:pPr>
      <w:r>
        <w:rPr>
          <w:rFonts w:ascii="Arial" w:hAnsi="Arial" w:cs="Arial"/>
        </w:rPr>
        <w:br w:type="page"/>
      </w:r>
    </w:p>
    <w:p>
      <w:pPr>
        <w:pStyle w:val="Heading3"/>
        <w:spacing w:line="480" w:lineRule="auto"/>
        <w:rPr>
          <w:rFonts w:ascii="Arial" w:hAnsi="Arial" w:cs="Arial"/>
        </w:rPr>
      </w:pPr>
      <w:bookmarkStart w:id="2" w:name="_Toc103583065"/>
      <w:r>
        <w:rPr>
          <w:rFonts w:ascii="Arial" w:hAnsi="Arial" w:cs="Arial"/>
        </w:rPr>
        <w:lastRenderedPageBreak/>
        <w:t>Methods 2: Polygenic Risk Scores (PRS)</w:t>
      </w:r>
      <w:bookmarkEnd w:id="2"/>
    </w:p>
    <w:p>
      <w:pPr>
        <w:spacing w:line="480" w:lineRule="auto"/>
        <w:rPr>
          <w:rFonts w:ascii="Arial" w:hAnsi="Arial" w:cs="Arial"/>
          <w:sz w:val="24"/>
          <w:szCs w:val="24"/>
        </w:rPr>
      </w:pPr>
      <w:r>
        <w:rPr>
          <w:rFonts w:ascii="Arial" w:hAnsi="Arial" w:cs="Arial"/>
          <w:sz w:val="24"/>
          <w:szCs w:val="24"/>
        </w:rPr>
        <w:t xml:space="preserve">PRS for the assessment of genetic associations between identified risk variants and derived clusters were calculated from previously published GWAS results on any allergic disease </w:t>
      </w:r>
      <w:r>
        <w:rPr>
          <w:rFonts w:ascii="Arial" w:hAnsi="Arial" w:cs="Arial"/>
          <w:sz w:val="24"/>
          <w:szCs w:val="24"/>
        </w:rPr>
        <w:fldChar w:fldCharType="begin"/>
      </w:r>
      <w:r>
        <w:rPr>
          <w:rFonts w:ascii="Arial" w:hAnsi="Arial" w:cs="Arial"/>
          <w:sz w:val="24"/>
          <w:szCs w:val="24"/>
        </w:rPr>
        <w:instrText xml:space="preserve"> ADDIN ZOTERO_ITEM CSL_CITATION {"citationID":"PMqZzEA7","properties":{"formattedCitation":"\\super 4,5\\nosupersub{}","plainCitation":"4,5","noteIndex":0},"citationItems":[{"id":498,"uris":["http://zotero.org/groups/2409646/items/VNQZ7PBN"],"itemData":{"id":498,"type":"article-journal","abstract":"Asthma, hay fever (or allergic rhinitis) and eczema (or atopic\ndermatitis) often coexist in the same individuals, partly because of a shared genetic origin–. To\nidentify shared risk variants, we performed a genome-wide association study\n(GWAS, n=360,838) of a broad allergic disease phenotype that\nconsiders the presence of any one of these three diseases. We identified 136\nindependent risk variants (P&lt;3x10-8),\nincluding 73 not previously reported, which implicate 132 nearby genes in\nallergic disease pathophysiology. Disease-specific effects were detected for\nonly six variants, confirming that most represent shared risk factors.\nTissue-specific heritability and biological process enrichment analyses suggest\nthat shared risk variants influence lymphocyte-mediated immunity. Six target\ngenes provide an opportunity for drug repositioning, while for 36 genes CpG\nmethylation was found to influence transcription independently of genetic\neffects. Asthma, hay fever and eczema partly coexist because they share many\ngenetic risk variants that dysregulate the expression of immune-related\ngenes.","container-title":"Nature genetics","DOI":"10.1038/ng.3985","ISSN":"1061-4036","issue":"12","journalAbbreviation":"Nat Genet","note":"PMID: 29083406\nPMCID: PMC5989923","page":"1752-1757","source":"PubMed Central","title":"Shared genetic origin of asthma, hay fever and eczema elucidates allergic disease biology","volume":"49","author":[{"family":"Ferreira","given":"Manuel A"},{"family":"Vonk","given":"Judith M"},{"family":"Baurecht","given":"Hansjörg"},{"family":"Marenholz","given":"Ingo"},{"family":"Tian","given":"Chao"},{"family":"Hoffman","given":"Joshua D"},{"family":"Helmer","given":"Quinta"},{"family":"Tillander","given":"Annika"},{"family":"Ullemar","given":"Vilhelmina"},{"family":"Dongen","given":"Jenny","non-dropping-particle":"van"},{"family":"Lu","given":"Yi"},{"family":"Rüschendorf","given":"Franz"},{"family":"Esparza-Gordillo","given":"Jorge"},{"family":"Medway","given":"Chris W"},{"family":"Mountjoy","given":"Edward"},{"family":"Burrows","given":"Kimberley"},{"family":"Hummel","given":"Oliver"},{"family":"Grosche","given":"Sarah"},{"family":"Brumpton","given":"Ben M"},{"family":"Witte","given":"John S"},{"family":"Hottenga","given":"Jouke-Jan"},{"family":"Willemsen","given":"Gonneke"},{"family":"Zheng","given":"Jie"},{"family":"Rodríguez","given":"Elke"},{"family":"Hotze","given":"Melanie"},{"family":"Franke","given":"Andre"},{"family":"Revez","given":"Joana A"},{"family":"Beesley","given":"Jonathan"},{"family":"Matheson","given":"Melanie C"},{"family":"Dharmage","given":"Shyamali C"},{"family":"Bain","given":"Lisa M"},{"family":"Fritsche","given":"Lars G"},{"family":"Gabrielsen","given":"Maiken E"},{"family":"Balliu","given":"Brunilda"},{"family":"Nielsen","given":"Jonas B"},{"family":"Zhou","given":"Wei"},{"family":"Hveem","given":"Kristian"},{"family":"Langhammer","given":"Arnulf"},{"family":"Holmen","given":"Oddgeir L"},{"family":"Løset","given":"Mari"},{"family":"Abecasis","given":"Gonçalo R"},{"family":"Willer","given":"Cristen J"},{"family":"Arnold","given":"Andreas"},{"family":"Homuth","given":"Georg"},{"family":"Schmidt","given":"Carsten O"},{"family":"Thompson","given":"Philip J"},{"family":"Martin","given":"Nicholas G"},{"family":"Duffy","given":"David L"},{"family":"Novak","given":"Natalija"},{"family":"Schulz","given":"Holger"},{"family":"Karrasch","given":"Stefan"},{"family":"Gieger","given":"Christian"},{"family":"Strauch","given":"Konstantin"},{"family":"Melles","given":"Ronald B"},{"family":"Hinds","given":"David A"},{"family":"Hübner","given":"Norbert"},{"family":"Weidinger","given":"Stephan"},{"family":"Magnusson","given":"Patrik KE"},{"family":"Jansen","given":"Rick"},{"family":"Jorgenson","given":"Eric"},{"family":"Lee","given":"Young-Ae"},{"family":"Boomsma","given":"Dorret I"},{"family":"Almqvist","given":"Catarina"},{"family":"Karlsson","given":"Robert"},{"family":"Koppelman","given":"Gerard H"},{"family":"Paternoster","given":"Lavinia"}],"issued":{"date-parts":[["2017",12]]}}},{"id":511,"uris":["http://zotero.org/groups/2409646/items/YWV2H775"],"itemData":{"id":511,"type":"article-journal","abstract":"Background\nA recent genome-wide association study (GWAS) identified 99 loci that contain genetic risk variants shared between asthma, hay fever, and eczema. Many more risk loci shared between these common allergic diseases remain to be discovered, which could point to new therapeutic opportunities.\nObjective\nWe sought to identify novel risk loci shared between asthma, hay fever, and eczema by applying a gene-based test of association to results from a published GWAS that included data from 360,838 subjects.\nMethods\nWe used approximate conditional analysis to adjust the results from the published GWAS for the effects of the top risk variants identified in that study. We then analyzed the adjusted GWAS results with the EUGENE gene-based approach, which combines evidence for association with disease risk across regulatory variants identified in different tissues. Novel gene-based associations were followed up in an independent sample of 233,898 subjects from the UK Biobank study.\nResults\nOf the 19,432 genes tested, 30 had a significant gene-based association at a Bonferroni-corrected P value of 2.5 × 10−6. Of these, 20 were also significantly associated (P &lt; .05/30 = .0016) with disease risk in the replication sample, including 19 that were located in 11 loci not reported to contain allergy risk variants in previous GWASs. Among these were 9 genes with a known function that is directly relevant to allergic disease: FOSL2, VPRBP, IPCEF1, PRR5L, NCF4, APOBR, IL27, ATXN2L, and LAT. For 4 genes (eg, ATXN2L), a genetically determined decrease in gene expression was associated with decreased allergy risk, and therefore drugs that inhibit gene expression or function are predicted to ameliorate disease symptoms. The opposite directional effect was observed for 14 genes, including IL27, a cytokine known to suppress TH2 responses.\nConclusion\nUsing a gene-based approach, we identified 11 risk loci for allergic disease that were not reported in previous GWASs. Functional studies that investigate the contribution of the 19 associated genes to the pathophysiology of allergic disease and assess their therapeutic potential are warranted.","container-title":"Journal of Allergy and Clinical Immunology","DOI":"10.1016/j.jaci.2018.03.012","ISSN":"0091-6749","issue":"2","journalAbbreviation":"Journal of Allergy and Clinical Immunology","language":"en","page":"691-699","source":"ScienceDirect","title":"Eleven loci with new reproducible genetic associations with allergic disease risk","volume":"143","author":[{"family":"Ferreira","given":"Manuel A. R."},{"family":"Vonk","given":"Judith M."},{"family":"Baurecht","given":"Hansjörg"},{"family":"Marenholz","given":"Ingo"},{"family":"Tian","given":"Chao"},{"family":"Hoffman","given":"Joshua D."},{"family":"Helmer","given":"Quinta"},{"family":"Tillander","given":"Annika"},{"family":"Ullemar","given":"Vilhelmina"},{"family":"Lu","given":"Yi"},{"family":"Rüschendorf","given":"Franz"},{"family":"Hinds","given":"David A."},{"family":"Hübner","given":"Norbert"},{"family":"Weidinger","given":"Stephan"},{"family":"Magnusson","given":"Patrik K. E."},{"family":"Jorgenson","given":"Eric"},{"family":"Lee","given":"Young-Ae"},{"family":"Boomsma","given":"Dorret I."},{"family":"Karlsson","given":"Robert"},{"family":"Almqvist","given":"Catarina"},{"family":"Koppelman","given":"Gerard H."},{"family":"Paternoster","given":"Lavinia"}],"issued":{"date-parts":[["2019",2,1]]}}}],"schema":"https://github.com/citation-style-language/schema/raw/master/csl-citation.json"} </w:instrText>
      </w:r>
      <w:r>
        <w:rPr>
          <w:rFonts w:ascii="Arial" w:hAnsi="Arial" w:cs="Arial"/>
          <w:sz w:val="24"/>
          <w:szCs w:val="24"/>
        </w:rPr>
        <w:fldChar w:fldCharType="separate"/>
      </w:r>
      <w:r>
        <w:rPr>
          <w:rFonts w:ascii="Arial" w:hAnsi="Arial" w:cs="Arial"/>
          <w:sz w:val="24"/>
          <w:szCs w:val="24"/>
          <w:vertAlign w:val="superscript"/>
        </w:rPr>
        <w:t>4,5</w:t>
      </w:r>
      <w:r>
        <w:rPr>
          <w:rFonts w:ascii="Arial" w:hAnsi="Arial" w:cs="Arial"/>
          <w:sz w:val="24"/>
          <w:szCs w:val="24"/>
        </w:rPr>
        <w:fldChar w:fldCharType="end"/>
      </w:r>
      <w:r>
        <w:rPr>
          <w:rFonts w:ascii="Arial" w:hAnsi="Arial" w:cs="Arial"/>
          <w:sz w:val="24"/>
          <w:szCs w:val="24"/>
          <w:lang w:val="de-DE"/>
        </w:rPr>
        <w:t xml:space="preserve">, asthma </w:t>
      </w:r>
      <w:r>
        <w:rPr>
          <w:rFonts w:ascii="Arial" w:hAnsi="Arial" w:cs="Arial"/>
          <w:sz w:val="24"/>
          <w:szCs w:val="24"/>
        </w:rPr>
        <w:fldChar w:fldCharType="begin"/>
      </w:r>
      <w:r>
        <w:rPr>
          <w:rFonts w:ascii="Arial" w:hAnsi="Arial" w:cs="Arial"/>
          <w:sz w:val="24"/>
          <w:szCs w:val="24"/>
          <w:lang w:val="de-DE"/>
        </w:rPr>
        <w:instrText xml:space="preserve"> ADDIN ZOTERO_ITEM CSL_CITATION {"citationID":"xm2SkRqp","properties":{"formattedCitation":"\\super 6\\nosupersub{}","plainCitation":"6","noteIndex":0},"citationItems":[{"id":1317,"uris":["http://zotero.org/groups/2409646/items/7B35GQ5C"],"itemData":{"id":1317,"type":"article-journal","abstract":"Asthma is an inflammatory airway disease that is estimated to affect 339 million people globally. The symptoms of about 5–10% of patients with asthma are not adequately controlled with current therapy, and little success has been achieved in developing drugs that target the underlying mechanisms of asthma rather than suppressing symptoms. Over the past 3 years, well powered genetic studies of asthma have increased the number of independent asthma-associated genetic loci to 128. In this Series paper, we describe the immense progress in asthma genetics over the past 13 years and link asthma genetic variants to possible drug targets. Further studies are needed to establish the functional significance of gene variants associated with asthma in subgroups of patients and to describe the biological networks within which they function. The genomics-guided discovery of plausible drug targets for asthma could pave the way for the repurposing of existing drugs for asthma and the development of new treatments.","container-title":"The Lancet Respiratory Medicine","DOI":"10.1016/S2213-2600(20)30363-5","ISSN":"2213-2600","issue":"10","journalAbbreviation":"The Lancet Respiratory Medicine","language":"en","page":"1045-1056","source":"ScienceDirect","title":"The genetics of asthma and the promise of genomics-guided drug target discovery","volume":"8","author":[{"family":"El-Husseini","given":"Zaid W"},{"family":"Gosens","given":"Reinoud"},{"family":"Dekker","given":"Frank"},{"family":"Koppelman","given":"Gerard H"}],"issued":{"date-parts":[["2020",10,1]]}}}],"schema":"https://github.com/citation-style-language/schema/raw/master/csl-citation.json"} </w:instrText>
      </w:r>
      <w:r>
        <w:rPr>
          <w:rFonts w:ascii="Arial" w:hAnsi="Arial" w:cs="Arial"/>
          <w:sz w:val="24"/>
          <w:szCs w:val="24"/>
        </w:rPr>
        <w:fldChar w:fldCharType="separate"/>
      </w:r>
      <w:r>
        <w:rPr>
          <w:rFonts w:ascii="Arial" w:hAnsi="Arial" w:cs="Arial"/>
          <w:sz w:val="24"/>
          <w:szCs w:val="24"/>
          <w:vertAlign w:val="superscript"/>
        </w:rPr>
        <w:t>6</w:t>
      </w:r>
      <w:r>
        <w:rPr>
          <w:rFonts w:ascii="Arial" w:hAnsi="Arial" w:cs="Arial"/>
          <w:sz w:val="24"/>
          <w:szCs w:val="24"/>
        </w:rPr>
        <w:fldChar w:fldCharType="end"/>
      </w:r>
      <w:r>
        <w:rPr>
          <w:rFonts w:ascii="Arial" w:hAnsi="Arial" w:cs="Arial"/>
          <w:sz w:val="24"/>
          <w:szCs w:val="24"/>
          <w:lang w:val="de-DE"/>
        </w:rPr>
        <w:t xml:space="preserve">, dermatitis </w:t>
      </w:r>
      <w:r>
        <w:rPr>
          <w:rFonts w:ascii="Arial" w:hAnsi="Arial" w:cs="Arial"/>
          <w:sz w:val="24"/>
          <w:szCs w:val="24"/>
          <w:lang w:val="de-DE"/>
        </w:rPr>
        <w:fldChar w:fldCharType="begin"/>
      </w:r>
      <w:r>
        <w:rPr>
          <w:rFonts w:ascii="Arial" w:hAnsi="Arial" w:cs="Arial"/>
          <w:sz w:val="24"/>
          <w:szCs w:val="24"/>
          <w:lang w:val="de-DE"/>
        </w:rPr>
        <w:instrText xml:space="preserve"> ADDIN ZOTERO_ITEM CSL_CITATION {"citationID":"2kNL3ROT","properties":{"formattedCitation":"\\super 7\\nosupersub{}","plainCitation":"7","noteIndex":0},"citationItems":[{"id":504,"uris":["http://zotero.org/groups/2409646/items/QQ88DR27"],"itemData":{"id":504,"type":"article-journal","abstract":"Genetic association studies have identified 21 loci associated with atopic dermatitis risk predominantly in populations of European ancestry. To identify further susceptibility loci for this common, complex skin disease, we performed a meta-analysis of &gt;15 million genetic variants in 21,399 cases and 95,464 controls from populations of European, African, Japanese and Latino ancestry, followed by replication in 32,059 cases and 228,628 controls from 18 studies. We identified ten new risk loci, bringing the total number of known atopic dermatitis risk loci to 31 (with new secondary signals at four of these loci). Notably, the new loci include candidate genes with roles in the regulation of innate host defenses and T cell function, underscoring the important contribution of (auto)immune mechanisms to atopic dermatitis pathogenesis.","container-title":"Nature Genetics","DOI":"10.1038/ng.3424","ISSN":"1546-1718","issue":"12","journalAbbreviation":"Nat. Genet.","language":"eng","note":"PMID: 26482879\nPMCID: PMC4753676","page":"1449-1456","source":"PubMed","title":"Multi-ancestry genome-wide association study of 21,000 cases and 95,000 controls identifies new risk loci for atopic dermatitis","volume":"47","author":[{"family":"Paternoster","given":"Lavinia"},{"family":"Standl","given":"Marie"},{"family":"Waage","given":"Johannes"},{"family":"Baurecht","given":"Hansjörg"},{"family":"Hotze","given":"Melanie"},{"family":"Strachan","given":"David P."},{"family":"Curtin","given":"John A."},{"family":"Bønnelykke","given":"Klaus"},{"family":"Tian","given":"Chao"},{"family":"Takahashi","given":"Atsushi"},{"family":"Esparza-Gordillo","given":"Jorge"},{"family":"Alves","given":"Alexessander Couto"},{"family":"Thyssen","given":"Jacob P."},{"family":"Dekker","given":"Herman T.","non-dropping-particle":"den"},{"family":"Ferreira","given":"Manuel A."},{"family":"Altmaier","given":"Elisabeth"},{"family":"Sleiman","given":"Patrick Ma"},{"family":"Xiao","given":"Feng Li"},{"family":"Gonzalez","given":"Juan R."},{"family":"Marenholz","given":"Ingo"},{"family":"Kalb","given":"Birgit"},{"family":"Yanes","given":"Maria Pino"},{"family":"Xu","given":"Cheng-Jian"},{"family":"Carstensen","given":"Lisbeth"},{"family":"Groen-Blokhuis","given":"Maria M."},{"family":"Venturini","given":"Cristina"},{"family":"Pennell","given":"Craig E."},{"family":"Barton","given":"Sheila J."},{"family":"Levin","given":"Albert M."},{"family":"Curjuric","given":"Ivan"},{"family":"Bustamante","given":"Mariona"},{"family":"Kreiner-Møller","given":"Eskil"},{"family":"Lockett","given":"Gabrielle A."},{"family":"Bacelis","given":"Jonas"},{"family":"Bunyavanich","given":"Supinda"},{"family":"Myers","given":"Rachel A."},{"family":"Matanovic","given":"Anja"},{"family":"Kumar","given":"Ashish"},{"family":"Tung","given":"Joyce Y."},{"family":"Hirota","given":"Tomomitsu"},{"family":"Kubo","given":"Michiaki"},{"family":"McArdle","given":"Wendy L."},{"family":"Henderson","given":"A. J."},{"family":"Kemp","given":"John P."},{"family":"Zheng","given":"Jie"},{"family":"Smith","given":"George Davey"},{"family":"Rüschendorf","given":"Franz"},{"family":"Bauerfeind","given":"Anja"},{"family":"Lee-Kirsch","given":"Min Ae"},{"family":"Arnold","given":"Andreas"},{"family":"Homuth","given":"Georg"},{"family":"Schmidt","given":"Carsten O."},{"family":"Mangold","given":"Elisabeth"},{"family":"Cichon","given":"Sven"},{"family":"Keil","given":"Thomas"},{"family":"Rodríguez","given":"Elke"},{"family":"Peters","given":"Annette"},{"family":"Franke","given":"Andre"},{"family":"Lieb","given":"Wolfgang"},{"family":"Novak","given":"Natalija"},{"family":"Fölster-Holst","given":"Regina"},{"family":"Horikoshi","given":"Momoko"},{"family":"Pekkanen","given":"Juha"},{"family":"Sebert","given":"Sylvain"},{"family":"Husemoen","given":"Lise L."},{"family":"Grarup","given":"Niels"},{"family":"Jongste","given":"Johan C.","non-dropping-particle":"de"},{"family":"Rivadeneira","given":"Fernando"},{"family":"Hofman","given":"Albert"},{"family":"Jaddoe","given":"Vincent Wv"},{"family":"Pasmans","given":"Suzanne Gma"},{"family":"Elbert","given":"Niels J."},{"family":"Uitterlinden","given":"André G."},{"family":"Marks","given":"Guy B."},{"family":"Thompson","given":"Philip J."},{"family":"Matheson","given":"Melanie C."},{"family":"Robertson","given":"Colin F."},{"literal":"Australian Asthma Genetics Consortium (AAGC)"},{"family":"Ried","given":"Janina S."},{"family":"Li","given":"Jin"},{"family":"Zuo","given":"Xian Bo"},{"family":"Zheng","given":"Xiao Dong"},{"family":"Yin","given":"Xian Yong"},{"family":"Sun","given":"Liang Dan"},{"family":"McAleer","given":"Maeve A."},{"family":"O'Regan","given":"Grainne M."},{"family":"Fahy","given":"Caoimhe Mr"},{"family":"Campbell","given":"Linda E."},{"family":"Macek","given":"Milan"},{"family":"Kurek","given":"Michael"},{"family":"Hu","given":"Donglei"},{"family":"Eng","given":"Celeste"},{"family":"Postma","given":"Dirkje S."},{"family":"Feenstra","given":"Bjarke"},{"family":"Geller","given":"Frank"},{"family":"Hottenga","given":"Jouke Jan"},{"family":"Middeldorp","given":"Christel M."},{"family":"Hysi","given":"Pirro"},{"family":"Bataille","given":"Veronique"},{"family":"Spector","given":"Tim"},{"family":"Tiesler","given":"Carla Mt"},{"family":"Thiering","given":"Elisabeth"},{"family":"Pahukasahasram","given":"Badri"},{"family":"Yang","given":"James J."},{"family":"Imboden","given":"Medea"},{"family":"Huntsman","given":"Scott"},{"family":"Vilor-Tejedor","given":"Natàlia"},{"family":"Relton","given":"Caroline L."},{"family":"Myhre","given":"Ronny"},{"family":"Nystad","given":"Wenche"},{"family":"Custovic","given":"Adnan"},{"family":"Weiss","given":"Scott T."},{"family":"Meyers","given":"Deborah A."},{"family":"Söderhäll","given":"Cilla"},{"family":"Melén","given":"Erik"},{"family":"Ober","given":"Carole"},{"family":"Raby","given":"Benjamin A."},{"family":"Simpson","given":"Angela"},{"family":"Jacobsson","given":"Bo"},{"family":"Holloway","given":"John W."},{"family":"Bisgaard","given":"Hans"},{"family":"Sunyer","given":"Jordi"},{"family":"Hensch","given":"Nicole M. Probst"},{"family":"Williams","given":"L. Keoki"},{"family":"Godfrey","given":"Keith M."},{"family":"Wang","given":"Carol A."},{"family":"Boomsma","given":"Dorret I."},{"family":"Melbye","given":"Mads"},{"family":"Koppelman","given":"Gerard H."},{"family":"Jarvis","given":"Deborah"},{"family":"McLean","given":"Wh Irwin"},{"family":"Irvine","given":"Alan D."},{"family":"Zhang","given":"Xue Jun"},{"family":"Hakonarson","given":"Hakon"},{"family":"Gieger","given":"Christian"},{"family":"Burchard","given":"Esteban G."},{"family":"Martin","given":"Nicholas G."},{"family":"Duijts","given":"Liesbeth"},{"family":"Linneberg","given":"Allan"},{"family":"Jarvelin","given":"Marjo-Riitta"},{"family":"Noethen","given":"Markus M."},{"family":"Lau","given":"Susanne"},{"family":"Hübner","given":"Norbert"},{"family":"Lee","given":"Young-Ae"},{"family":"Tamari","given":"Mayumi"},{"family":"Hinds","given":"David A."},{"family":"Glass","given":"Daniel"},{"family":"Brown","given":"Sara J."},{"family":"Heinrich","given":"Joachim"},{"family":"Evans","given":"David M."},{"family":"Weidinger","given":"Stephan"}],"issued":{"date-parts":[["2015",12]]}}}],"schema":"https://github.com/citation-style-language/schema/raw/master/csl-citation.json"} </w:instrText>
      </w:r>
      <w:r>
        <w:rPr>
          <w:rFonts w:ascii="Arial" w:hAnsi="Arial" w:cs="Arial"/>
          <w:sz w:val="24"/>
          <w:szCs w:val="24"/>
          <w:lang w:val="de-DE"/>
        </w:rPr>
        <w:fldChar w:fldCharType="separate"/>
      </w:r>
      <w:r>
        <w:rPr>
          <w:rFonts w:ascii="Arial" w:hAnsi="Arial" w:cs="Arial"/>
          <w:sz w:val="24"/>
          <w:szCs w:val="24"/>
          <w:vertAlign w:val="superscript"/>
        </w:rPr>
        <w:t>7</w:t>
      </w:r>
      <w:r>
        <w:rPr>
          <w:rFonts w:ascii="Arial" w:hAnsi="Arial" w:cs="Arial"/>
          <w:sz w:val="24"/>
          <w:szCs w:val="24"/>
          <w:lang w:val="de-DE"/>
        </w:rPr>
        <w:fldChar w:fldCharType="end"/>
      </w:r>
      <w:r>
        <w:rPr>
          <w:rFonts w:ascii="Arial" w:hAnsi="Arial" w:cs="Arial"/>
          <w:sz w:val="24"/>
          <w:szCs w:val="24"/>
        </w:rPr>
        <w:t xml:space="preserve">, rhinitis </w:t>
      </w:r>
      <w:r>
        <w:rPr>
          <w:rFonts w:ascii="Arial" w:hAnsi="Arial" w:cs="Arial"/>
          <w:sz w:val="24"/>
          <w:szCs w:val="24"/>
        </w:rPr>
        <w:fldChar w:fldCharType="begin"/>
      </w:r>
      <w:r>
        <w:rPr>
          <w:rFonts w:ascii="Arial" w:hAnsi="Arial" w:cs="Arial"/>
          <w:sz w:val="24"/>
          <w:szCs w:val="24"/>
        </w:rPr>
        <w:instrText xml:space="preserve"> ADDIN ZOTERO_ITEM CSL_CITATION {"citationID":"ZTroOenu","properties":{"formattedCitation":"\\super 8\\nosupersub{}","plainCitation":"8","noteIndex":0},"citationItems":[{"id":803,"uris":["http://zotero.org/groups/2409649/items/JKF48MHZ"],"itemData":{"id":803,"type":"article-journal","abstract":"Allergic rhinitis is the most common clinical presentation of allergy, affecting 400 million people worldwide, with increasing incidence in westernized countries1,2. To elucidate the genetic architecture and understand the underlying disease mechanisms, we carried out a meta-analysis of allergic rhinitis in 59,762 cases and 152,358 controls of European ancestry and identified a total of 41 risk loci for allergic rhinitis, including 20 loci not previously associated with allergic rhinitis, which were confirmed in a replication phase of 60,720 cases and 618,527 controls. Functional annotation implicated genes involved in various immune pathways, and fine mapping of the HLA region suggested amino acid variants important for antigen binding. We further performed genome-wide association study (GWAS) analyses of allergic sensitization against inhalant allergens and nonallergic rhinitis, which suggested shared genetic mechanisms across rhinitis-related traits. Future studies of the identified loci and genes might identify novel targets for treatment and prevention of allergic rhinitis.","container-title":"Nature Genetics","DOI":"10.1038/s41588-018-0157-1","ISSN":"1546-1718","issue":"8","journalAbbreviation":"Nat. Genet.","language":"eng","note":"PMID: 30013184","page":"1072-1080","source":"PubMed","title":"Genome-wide association and HLA fine-mapping studies identify risk loci and genetic pathways underlying allergic rhinitis","volume":"50","author":[{"family":"Waage","given":"Johannes"},{"family":"Standl","given":"Marie"},{"family":"Curtin","given":"John A."},{"family":"Jessen","given":"Leon E."},{"family":"Thorsen","given":"Jonathan"},{"family":"Tian","given":"Chao"},{"family":"Schoettler","given":"Nathan"},{"literal":"23andMe Research Team"},{"literal":"AAGC collaborators"},{"family":"Flores","given":"Carlos"},{"family":"Abdellaoui","given":"Abdel"},{"family":"Ahluwalia","given":"Tarunveer S."},{"family":"Alves","given":"Alexessander C."},{"family":"Amaral","given":"Andre F. S."},{"family":"Antó","given":"Josep M."},{"family":"Arnold","given":"Andreas"},{"family":"Barreto-Luis","given":"Amalia"},{"family":"Baurecht","given":"Hansjörg"},{"family":"Beijsterveldt","given":"Catharina E. M.","non-dropping-particle":"van"},{"family":"Bleecker","given":"Eugene R."},{"family":"Bonàs-Guarch","given":"Sílvia"},{"family":"Boomsma","given":"Dorret I."},{"family":"Brix","given":"Susanne"},{"family":"Bunyavanich","given":"Supinda"},{"family":"Burchard","given":"Esteban G."},{"family":"Chen","given":"Zhanghua"},{"family":"Curjuric","given":"Ivan"},{"family":"Custovic","given":"Adnan"},{"family":"Dekker","given":"Herman T.","non-dropping-particle":"den"},{"family":"Dharmage","given":"Shyamali C."},{"family":"Dmitrieva","given":"Julia"},{"family":"Duijts","given":"Liesbeth"},{"family":"Ege","given":"Markus J."},{"family":"Gauderman","given":"W. James"},{"family":"Georges","given":"Michel"},{"family":"Gieger","given":"Christian"},{"family":"Gilliland","given":"Frank"},{"family":"Granell","given":"Raquel"},{"family":"Gui","given":"Hongsheng"},{"family":"Hansen","given":"Torben"},{"family":"Heinrich","given":"Joachim"},{"family":"Henderson","given":"John"},{"family":"Hernandez-Pacheco","given":"Natalia"},{"family":"Holt","given":"Patrick"},{"family":"Imboden","given":"Medea"},{"family":"Jaddoe","given":"Vincent W. V."},{"family":"Jarvelin","given":"Marjo-Riitta"},{"family":"Jarvis","given":"Deborah L."},{"family":"Jensen","given":"Kamilla K."},{"family":"Jónsdóttir","given":"Ingileif"},{"family":"Kabesch","given":"Michael"},{"family":"Kaprio","given":"Jaakko"},{"family":"Kumar","given":"Ashish"},{"family":"Lee","given":"Young-Ae"},{"family":"Levin","given":"Albert M."},{"family":"Li","given":"Xingnan"},{"family":"Lorenzo-Diaz","given":"Fabian"},{"family":"Melén","given":"Erik"},{"family":"Mercader","given":"Josep M."},{"family":"Meyers","given":"Deborah A."},{"family":"Myers","given":"Rachel"},{"family":"Nicolae","given":"Dan L."},{"family":"Nohr","given":"Ellen A."},{"family":"Palviainen","given":"Teemu"},{"family":"Paternoster","given":"Lavinia"},{"family":"Pennell","given":"Craig E."},{"family":"Pershagen","given":"Göran"},{"family":"Pino-Yanes","given":"Maria"},{"family":"Probst-Hensch","given":"Nicole M."},{"family":"Rüschendorf","given":"Franz"},{"family":"Simpson","given":"Angela"},{"family":"Stefansson","given":"Kari"},{"family":"Sunyer","given":"Jordi"},{"family":"Sveinbjornsson","given":"Gardar"},{"family":"Thiering","given":"Elisabeth"},{"family":"Thompson","given":"Philip J."},{"family":"Torrent","given":"Maties"},{"family":"Torrents","given":"David"},{"family":"Tung","given":"Joyce Y."},{"family":"Wang","given":"Carol A."},{"family":"Weidinger","given":"Stephan"},{"family":"Weiss","given":"Scott"},{"family":"Willemsen","given":"Gonneke"},{"family":"Williams","given":"L. Keoki"},{"family":"Ober","given":"Carole"},{"family":"Hinds","given":"David A."},{"family":"Ferreira","given":"Manuel A."},{"family":"Bisgaard","given":"Hans"},{"family":"Strachan","given":"David P."},{"family":"Bønnelykke","given":"Klaus"}],"issued":{"date-parts":[["2018"]]}}}],"schema":"https://github.com/citation-style-language/schema/raw/master/csl-citation.json"} </w:instrText>
      </w:r>
      <w:r>
        <w:rPr>
          <w:rFonts w:ascii="Arial" w:hAnsi="Arial" w:cs="Arial"/>
          <w:sz w:val="24"/>
          <w:szCs w:val="24"/>
        </w:rPr>
        <w:fldChar w:fldCharType="separate"/>
      </w:r>
      <w:r>
        <w:rPr>
          <w:rFonts w:ascii="Arial" w:hAnsi="Arial" w:cs="Arial"/>
          <w:sz w:val="24"/>
          <w:szCs w:val="24"/>
          <w:vertAlign w:val="superscript"/>
        </w:rPr>
        <w:t>8</w:t>
      </w:r>
      <w:r>
        <w:rPr>
          <w:rFonts w:ascii="Arial" w:hAnsi="Arial" w:cs="Arial"/>
          <w:sz w:val="24"/>
          <w:szCs w:val="24"/>
        </w:rPr>
        <w:fldChar w:fldCharType="end"/>
      </w:r>
      <w:r>
        <w:rPr>
          <w:rFonts w:ascii="Arial" w:hAnsi="Arial" w:cs="Arial"/>
          <w:sz w:val="24"/>
          <w:szCs w:val="24"/>
        </w:rPr>
        <w:t xml:space="preserve"> and high IgE </w:t>
      </w:r>
      <w:r>
        <w:rPr>
          <w:rFonts w:ascii="Arial" w:hAnsi="Arial" w:cs="Arial"/>
          <w:sz w:val="24"/>
          <w:szCs w:val="24"/>
        </w:rPr>
        <w:fldChar w:fldCharType="begin"/>
      </w:r>
      <w:r>
        <w:rPr>
          <w:rFonts w:ascii="Arial" w:hAnsi="Arial" w:cs="Arial"/>
          <w:sz w:val="24"/>
          <w:szCs w:val="24"/>
        </w:rPr>
        <w:instrText xml:space="preserve"> ADDIN ZOTERO_ITEM CSL_CITATION {"citationID":"OjHPeSjA","properties":{"formattedCitation":"\\super 9\\nosupersub{}","plainCitation":"9","noteIndex":0},"citationItems":[{"id":1576,"uris":["http://zotero.org/groups/2409649/items/LA424YJG"],"itemData":{"id":1576,"type":"article-journal","abstract":"BACKGROUND: Atopy and plasma IgE concentration are genetically complex traits, and the specific genetic risk factors that lead to IgE dysregulation and clinical atopy are an area of active investigation.\nOBJECTIVE: We sought to ascertain the genetic risk factors that lead to IgE dysregulation.\nMETHODS: A genome-wide association study (GWAS) was performed in 6819 participants from the Framingham Heart Study (FHS). Seventy of the top single nucleotide polymorphisms (SNPs) were selected based on P values and linkage disequilibrium among neighboring SNPs and evaluated in a meta-analysis with 5 independent populations from the Cooperative Health Research in the Region of Augsburg cohort, the British 1958 Birth Cohort, and the Childhood Asthma Management Program cohort.\nRESULTS: Thirteen SNPs located in the region of 3 genes, FCER1A, signal transducer and activator of transcription 6 (STAT6), and IL13, were found to have genome-wide significance in the FHS cohort GWAS. The most significant SNPs from the 3 regions were rs2251746 (FCER1A, P = 2.11 × 10(-12)), rs1059513 (STAT6, P = 2.87 × 10(-8)), and rs1295686 (IL13, P = 3.55 × 10(-8)). Four additional gene regions, HLA-G, HLA-DQA2, HLA-A, and Duffy blood group, chemokine receptor (DARC), reached genome-wide statistical significance in a meta-analysis combining the FHS and replication cohorts, although the DARC association did not appear independent of SNPs in the nearby FCER1A gene.\nCONCLUSION: This GWAS of the FHS cohort has identified genetic loci in HLA genes that might have a role in the pathogenesis of IgE dysregulation and atopy. It also confirmed the association of the known susceptibility loci FCER1A, STAT6, and IL13 for the dysregulation of total IgE.","container-title":"The Journal of Allergy and Clinical Immunology","DOI":"10.1016/j.jaci.2011.09.029","ISSN":"1097-6825","issue":"3","journalAbbreviation":"J Allergy Clin Immunol","language":"eng","note":"PMID: 22075330\nPMCID: PMC3293994","page":"840-845.e21","source":"PubMed","title":"A genome-wide association study of plasma total IgE concentrations in the Framingham Heart Study","volume":"129","author":[{"family":"Granada","given":"Mark"},{"family":"Wilk","given":"Jemma B."},{"family":"Tuzova","given":"Marina"},{"family":"Strachan","given":"David P."},{"family":"Weidinger","given":"Stephan"},{"family":"Albrecht","given":"Eva"},{"family":"Gieger","given":"Christian"},{"family":"Heinrich","given":"Joachim"},{"family":"Himes","given":"Blanca E."},{"family":"Hunninghake","given":"Gary M."},{"family":"Celedón","given":"Juan C."},{"family":"Weiss","given":"Scott T."},{"family":"Cruikshank","given":"William W."},{"family":"Farrer","given":"Lindsay A."},{"family":"Center","given":"David M."},{"family":"O'Connor","given":"George T."}],"issued":{"date-parts":[["2012",3]]}}}],"schema":"https://github.com/citation-style-language/schema/raw/master/csl-citation.json"} </w:instrText>
      </w:r>
      <w:r>
        <w:rPr>
          <w:rFonts w:ascii="Arial" w:hAnsi="Arial" w:cs="Arial"/>
          <w:sz w:val="24"/>
          <w:szCs w:val="24"/>
        </w:rPr>
        <w:fldChar w:fldCharType="separate"/>
      </w:r>
      <w:r>
        <w:rPr>
          <w:rFonts w:ascii="Arial" w:hAnsi="Arial" w:cs="Arial"/>
          <w:sz w:val="24"/>
          <w:szCs w:val="24"/>
          <w:vertAlign w:val="superscript"/>
        </w:rPr>
        <w:t>9</w:t>
      </w:r>
      <w:r>
        <w:rPr>
          <w:rFonts w:ascii="Arial" w:hAnsi="Arial" w:cs="Arial"/>
          <w:sz w:val="24"/>
          <w:szCs w:val="24"/>
        </w:rPr>
        <w:fldChar w:fldCharType="end"/>
      </w:r>
      <w:r>
        <w:rPr>
          <w:rFonts w:ascii="Arial" w:hAnsi="Arial" w:cs="Arial"/>
          <w:sz w:val="24"/>
          <w:szCs w:val="24"/>
        </w:rPr>
        <w:t>. Dosage information on genome-wide significant SNPs were extracted for each participant and weighted with the identified GWAS effect size. Quality control excluded multiallelic SNPs, highly correlated variants based on linkage disequilibrium (R² &gt; 0.7), those with a low imputation quality (R²&lt; 0.4) and SNPs with a minor allele frequency of less than 1%. We further checked, if the effect allele frequencies within the cohorts corresponded to the ones reported in the GWAS and the reference population. Proxies for missing SNPs and those failing quality control were extracted (R²&gt; 0.7) and assessed in the same way. PRS were ultimately calculated as a weighted sum of GWAS effect estimates and individual dosage information per participant and transformed to z-scores.</w:t>
      </w:r>
    </w:p>
    <w:p>
      <w:pPr>
        <w:rPr>
          <w:rFonts w:ascii="Arial" w:eastAsiaTheme="majorEastAsia" w:hAnsi="Arial" w:cs="Arial"/>
          <w:color w:val="1F4D78" w:themeColor="accent1" w:themeShade="7F"/>
          <w:sz w:val="24"/>
          <w:szCs w:val="24"/>
        </w:rPr>
      </w:pPr>
      <w:r>
        <w:rPr>
          <w:rFonts w:ascii="Arial" w:hAnsi="Arial" w:cs="Arial"/>
        </w:rPr>
        <w:br w:type="page"/>
      </w:r>
    </w:p>
    <w:p>
      <w:pPr>
        <w:pStyle w:val="Heading3"/>
        <w:spacing w:line="480" w:lineRule="auto"/>
        <w:rPr>
          <w:rFonts w:ascii="Arial" w:hAnsi="Arial" w:cs="Arial"/>
        </w:rPr>
      </w:pPr>
      <w:bookmarkStart w:id="3" w:name="_Toc103583066"/>
      <w:r>
        <w:rPr>
          <w:rFonts w:ascii="Arial" w:hAnsi="Arial" w:cs="Arial"/>
        </w:rPr>
        <w:lastRenderedPageBreak/>
        <w:t>Methods 3: BAMSE study - Disease and characteristics measurement and definition</w:t>
      </w:r>
      <w:bookmarkEnd w:id="3"/>
    </w:p>
    <w:p>
      <w:pPr>
        <w:spacing w:line="480" w:lineRule="auto"/>
        <w:rPr>
          <w:rFonts w:ascii="Arial" w:hAnsi="Arial" w:cs="Arial"/>
          <w:sz w:val="24"/>
          <w:szCs w:val="24"/>
        </w:rPr>
      </w:pPr>
      <w:r>
        <w:rPr>
          <w:rFonts w:ascii="Arial" w:hAnsi="Arial" w:cs="Arial"/>
          <w:sz w:val="24"/>
          <w:szCs w:val="24"/>
        </w:rPr>
        <w:t>The BAMSE (Swedish abbreviation for Children, Allergy, Milieu, Stockholm, Epidemiology) study is a Swedish longitudinal prospective birth cohort study of 4,089 children born between 1994 and 1996 in the area of Stockholm. At ages 1, 2, 4, 8, 12 and 16 years, parents completed questionnaires on their children’s health including allergic symptoms and diseases. At ages 4, 8 and 16 years, a clinical follow-up (including blood sampling for DNA extraction) was performed. Written study consent was obtained from all participating children and their parents, and the study was approved by the Regional Ethics Committee in Stockholm (dnr 02-420 and 2010/1474/-31/3).</w:t>
      </w:r>
    </w:p>
    <w:p>
      <w:pPr>
        <w:spacing w:line="480" w:lineRule="auto"/>
        <w:rPr>
          <w:rFonts w:ascii="Arial" w:hAnsi="Arial" w:cs="Arial"/>
          <w:sz w:val="24"/>
          <w:szCs w:val="24"/>
        </w:rPr>
      </w:pPr>
      <w:r>
        <w:rPr>
          <w:rFonts w:ascii="Arial" w:hAnsi="Arial" w:cs="Arial"/>
          <w:sz w:val="24"/>
          <w:szCs w:val="24"/>
        </w:rPr>
        <w:t>Childhood asthma during ages 0-4, 4-8, 8-12 and 12-16 years was defined if at least two of the following three criteria were fulfilled: doctor’s diagnosis of asthma ever; wheezing in the last 12 months; and/or use of asthma medication in the last 12 months at ages 1, 2 or 4 and 8, 12 or 16 years, respectively. Current asthma was defined as a positive answer to doctor diagnosis of asthma, and at least one of the following: wheezing in the last 12 months; or use of asthma medication in the last 12 months. Dermatitis was defined as dry skin in combination with itchy rash and dermatitis-typical localization in the last 12 months and rhinitis was labelled as prolonged sneezing or a runny or blocked nose without common cold in the last 12 months (see also Table S1).</w:t>
      </w:r>
    </w:p>
    <w:p>
      <w:pPr>
        <w:spacing w:line="480" w:lineRule="auto"/>
        <w:rPr>
          <w:rFonts w:ascii="Arial" w:hAnsi="Arial" w:cs="Arial"/>
          <w:sz w:val="24"/>
          <w:szCs w:val="24"/>
        </w:rPr>
      </w:pPr>
      <w:r>
        <w:rPr>
          <w:rFonts w:ascii="Arial" w:hAnsi="Arial" w:cs="Arial"/>
          <w:sz w:val="24"/>
          <w:szCs w:val="24"/>
        </w:rPr>
        <w:t>IgE measures were obtained at 4, 8 and 16 years using the ImmunoCAP System (Thermo Fisher Scientific, Uppsala, Sweden). IgE-sensitization to allergens was defined as IgE ≥ 0.35 kU/l to one or more of the common tested airborne or food allergens.</w:t>
      </w:r>
    </w:p>
    <w:p>
      <w:pPr>
        <w:spacing w:line="480" w:lineRule="auto"/>
        <w:rPr>
          <w:rFonts w:ascii="Arial" w:hAnsi="Arial" w:cs="Arial"/>
          <w:sz w:val="24"/>
          <w:szCs w:val="24"/>
        </w:rPr>
      </w:pPr>
      <w:r>
        <w:rPr>
          <w:rFonts w:ascii="Arial" w:hAnsi="Arial" w:cs="Arial"/>
          <w:sz w:val="24"/>
          <w:szCs w:val="24"/>
        </w:rPr>
        <w:lastRenderedPageBreak/>
        <w:t>Spirometry data at 16 years was measured using the Jaeger MasterScreen</w:t>
      </w:r>
      <w:r>
        <w:rPr>
          <w:rFonts w:ascii="Cambria Math" w:hAnsi="Cambria Math" w:cs="Cambria Math"/>
          <w:sz w:val="24"/>
          <w:szCs w:val="24"/>
        </w:rPr>
        <w:t>‐</w:t>
      </w:r>
      <w:r>
        <w:rPr>
          <w:rFonts w:ascii="Arial" w:hAnsi="Arial" w:cs="Arial"/>
          <w:sz w:val="24"/>
          <w:szCs w:val="24"/>
        </w:rPr>
        <w:t xml:space="preserve">IOS system (Carefusion Technologies, San Diego, CA, USA). Further information can be found in Hallberg et al. </w:t>
      </w:r>
      <w:r>
        <w:rPr>
          <w:rFonts w:ascii="Arial" w:hAnsi="Arial" w:cs="Arial"/>
          <w:sz w:val="24"/>
          <w:szCs w:val="24"/>
        </w:rPr>
        <w:fldChar w:fldCharType="begin"/>
      </w:r>
      <w:r>
        <w:rPr>
          <w:rFonts w:ascii="Arial" w:hAnsi="Arial" w:cs="Arial"/>
          <w:sz w:val="24"/>
          <w:szCs w:val="24"/>
        </w:rPr>
        <w:instrText xml:space="preserve"> ADDIN ZOTERO_ITEM CSL_CITATION {"citationID":"eXI0oYw1","properties":{"formattedCitation":"\\super 10\\nosupersub{}","plainCitation":"10","noteIndex":0},"citationItems":[{"id":1446,"uris":["http://zotero.org/groups/2409649/items/MXVH766Q"],"itemData":{"id":1446,"type":"article-journal","abstract":"Background Asthma is a disease affecting many locations throughout the airway. Most studies have used spirometry as the primary assessment of airway obstruction, a method that may be less sensitive in regard to peripheral airway obstruction. The aim of this study was to elucidate the associations between asthma phenotypes based on age of onset and duration of symptoms, and (i) spirometry and (ii) small airway involvement measured by impulse oscillometry (IOS) in adolescence. Methods Children and adolescents taking part in BAMSE, a prospective birth cohort study, performed spirometry at 8 and 16 years and IOS at 16 years of age. Based on data collected in questionnaires, children were categorized into the following groups: ‘never asthma’, ‘early transient asthma’, ‘early persistent asthma’, and ‘late onset asthma’. Results Compared with the never asthma group, all asthma groups were associated with lower FEV1 at 16 years of age (early transient—119 ml, 95% confidence interval −204 to −34; early persistent—410 ml, 95%CI −533; −287; and late onset—148 ml, 95%CI −237; −58). Between 8 and 16 years, significantly less increase in FEV1 was observed in the early persistent and late onset groups. The small airway index ‘R5–20’ was significantly associated with active asthma at 16 years, but not transient asthma. Conclusions All asthma phenotypes studied were negatively associated with FEV1 in adolescence. IOS measurements indicated that active asthma could be associated with small airway impairments. These results provide new insights into the physiology underlying wheezing phenotypes based on age of onset and duration of disease.","container-title":"Allergy","DOI":"https://doi.org/10.1111/all.12598","ISSN":"1398-9995","issue":"6","language":"en","note":"_eprint: https://onlinelibrary.wiley.com/doi/pdf/10.1111/all.12598","page":"667-673","source":"Wiley Online Library","title":"Asthma phenotypes and lung function up to 16 years of age—the BAMSE cohort","volume":"70","author":[{"family":"Hallberg","given":"J."},{"family":"Thunqvist","given":"P."},{"family":"Schultz","given":"E. S."},{"family":"Kull","given":"I."},{"family":"Bottai","given":"M."},{"family":"Merritt","given":"A.-S."},{"family":"Chiesa","given":"F."},{"family":"Gustafsson","given":"P. M."},{"family":"Melén","given":"E."}],"issued":{"date-parts":[["2015"]]}}}],"schema":"https://github.com/citation-style-language/schema/raw/master/csl-citation.json"} </w:instrText>
      </w:r>
      <w:r>
        <w:rPr>
          <w:rFonts w:ascii="Arial" w:hAnsi="Arial" w:cs="Arial"/>
          <w:sz w:val="24"/>
          <w:szCs w:val="24"/>
        </w:rPr>
        <w:fldChar w:fldCharType="separate"/>
      </w:r>
      <w:r>
        <w:rPr>
          <w:rFonts w:ascii="Arial" w:hAnsi="Arial" w:cs="Arial"/>
          <w:sz w:val="24"/>
          <w:szCs w:val="24"/>
          <w:vertAlign w:val="superscript"/>
        </w:rPr>
        <w:t>10</w:t>
      </w:r>
      <w:r>
        <w:rPr>
          <w:rFonts w:ascii="Arial" w:hAnsi="Arial" w:cs="Arial"/>
          <w:sz w:val="24"/>
          <w:szCs w:val="24"/>
        </w:rPr>
        <w:fldChar w:fldCharType="end"/>
      </w:r>
      <w:r>
        <w:rPr>
          <w:rFonts w:ascii="Arial" w:hAnsi="Arial" w:cs="Arial"/>
          <w:sz w:val="24"/>
          <w:szCs w:val="24"/>
        </w:rPr>
        <w:t>. We analyzed the same spirometric parameters as in GINIplus/LISA.</w:t>
      </w:r>
    </w:p>
    <w:p>
      <w:pPr>
        <w:rPr>
          <w:rFonts w:ascii="Arial" w:hAnsi="Arial" w:cs="Arial"/>
        </w:rPr>
      </w:pPr>
      <w:r>
        <w:rPr>
          <w:rFonts w:ascii="Arial" w:hAnsi="Arial" w:cs="Arial"/>
        </w:rPr>
        <w:br w:type="page"/>
      </w:r>
    </w:p>
    <w:p>
      <w:pPr>
        <w:pStyle w:val="Heading3"/>
        <w:spacing w:line="480" w:lineRule="auto"/>
        <w:rPr>
          <w:rFonts w:ascii="Arial" w:hAnsi="Arial" w:cs="Arial"/>
        </w:rPr>
      </w:pPr>
      <w:bookmarkStart w:id="4" w:name="_Toc103583067"/>
      <w:r>
        <w:rPr>
          <w:rFonts w:ascii="Arial" w:hAnsi="Arial" w:cs="Arial"/>
        </w:rPr>
        <w:lastRenderedPageBreak/>
        <w:t>Methods 4: Analysis and missingness and following sensitivity analyses</w:t>
      </w:r>
      <w:bookmarkEnd w:id="4"/>
    </w:p>
    <w:p>
      <w:pPr>
        <w:spacing w:line="480" w:lineRule="auto"/>
        <w:rPr>
          <w:rFonts w:ascii="Arial" w:hAnsi="Arial" w:cs="Arial"/>
          <w:sz w:val="24"/>
          <w:szCs w:val="24"/>
        </w:rPr>
      </w:pPr>
      <w:r>
        <w:rPr>
          <w:rFonts w:ascii="Arial" w:hAnsi="Arial" w:cs="Arial"/>
          <w:sz w:val="24"/>
          <w:szCs w:val="24"/>
        </w:rPr>
        <w:t>To address the implications of missing values in diagnoses before clustering, we took several steps to rule out biases. For the original clustering presented in Figure 1, we used last observation carried forward (LOCF) on all participants with a maximum of 3 missing values per diagnosis (asthma, dermatitis, r</w:t>
      </w:r>
      <w:bookmarkStart w:id="5" w:name="_GoBack"/>
      <w:bookmarkEnd w:id="5"/>
      <w:r>
        <w:rPr>
          <w:rFonts w:ascii="Arial" w:hAnsi="Arial" w:cs="Arial"/>
          <w:sz w:val="24"/>
          <w:szCs w:val="24"/>
        </w:rPr>
        <w:t xml:space="preserve">hinitis). </w:t>
      </w:r>
    </w:p>
    <w:p>
      <w:pPr>
        <w:spacing w:line="480" w:lineRule="auto"/>
        <w:rPr>
          <w:rFonts w:ascii="Arial" w:hAnsi="Arial" w:cs="Arial"/>
          <w:sz w:val="24"/>
          <w:szCs w:val="24"/>
        </w:rPr>
      </w:pPr>
      <w:r>
        <w:rPr>
          <w:rFonts w:ascii="Arial" w:hAnsi="Arial" w:cs="Arial"/>
          <w:sz w:val="24"/>
          <w:szCs w:val="24"/>
        </w:rPr>
        <w:t>We investigated structural missingness over this original classification by computing the percentage of missing values for each cluster over all three diagnoses and time points. Results are presented in a heatmap in Figure S7a (GINIplus/LISA) and S7b (BAMSE).</w:t>
      </w:r>
    </w:p>
    <w:p>
      <w:pPr>
        <w:spacing w:line="480" w:lineRule="auto"/>
        <w:rPr>
          <w:rFonts w:ascii="Arial" w:eastAsiaTheme="majorEastAsia" w:hAnsi="Arial" w:cs="Arial"/>
          <w:color w:val="1F4D78" w:themeColor="accent1" w:themeShade="7F"/>
          <w:sz w:val="24"/>
          <w:szCs w:val="24"/>
        </w:rPr>
      </w:pPr>
      <w:r>
        <w:rPr>
          <w:rFonts w:ascii="Arial" w:hAnsi="Arial" w:cs="Arial"/>
          <w:sz w:val="24"/>
          <w:szCs w:val="24"/>
        </w:rPr>
        <w:t xml:space="preserve">Based on this missingness, we performed sensitivity analyses in GINIplus/LISA on complete cases only (trajectories displayed in Fig. S4a &amp; S4b, results from multinomial regressions in Table S10) and filled diagnoses using another imputation method, namely bagging tree imputation applied with the </w:t>
      </w:r>
      <w:r>
        <w:rPr>
          <w:rFonts w:ascii="Arial" w:hAnsi="Arial" w:cs="Arial"/>
          <w:i/>
          <w:sz w:val="24"/>
          <w:szCs w:val="24"/>
        </w:rPr>
        <w:t>caret</w:t>
      </w:r>
      <w:r>
        <w:rPr>
          <w:rFonts w:ascii="Arial" w:hAnsi="Arial" w:cs="Arial"/>
          <w:sz w:val="24"/>
          <w:szCs w:val="24"/>
        </w:rPr>
        <w:t xml:space="preserve"> package</w:t>
      </w:r>
      <w:r>
        <w:rPr>
          <w:rFonts w:ascii="Arial" w:hAnsi="Arial" w:cs="Arial"/>
          <w:sz w:val="24"/>
          <w:szCs w:val="24"/>
        </w:rPr>
        <w:fldChar w:fldCharType="begin"/>
      </w:r>
      <w:r>
        <w:rPr>
          <w:rFonts w:ascii="Arial" w:hAnsi="Arial" w:cs="Arial"/>
          <w:sz w:val="24"/>
          <w:szCs w:val="24"/>
        </w:rPr>
        <w:instrText xml:space="preserve"> ADDIN ZOTERO_ITEM CSL_CITATION {"citationID":"KlOWNZIV","properties":{"formattedCitation":"\\super 11\\nosupersub{}","plainCitation":"11","noteIndex":0},"citationItems":[{"id":1994,"uris":["http://zotero.org/groups/2409649/items/2DTYLJGR"],"itemData":{"id":1994,"type":"article-journal","abstract":"The caret package, short for classification and regression training, contains numerous tools for developing predictive models using the rich set of models available in R. The package focuses on simplifying model training and tuning across a wide variety of modeling techniques. It also includes methods for pre-processing training data, calculating variable importance, and model visualizations. An example from computational chemistry is used to illustrate the functionality on a real data set and to benchmark the benefits of parallel processing with several types of models.","container-title":"Journal of Statistical Software","DOI":"10.18637/jss.v028.i05","ISSN":"1548-7660","language":"en","page":"1-26","source":"www.jstatsoft.org","title":"Building Predictive Models in R Using the caret Package","volume":"28","author":[{"family":"Kuhn","given":"Max"}],"issued":{"date-parts":[["2008",11,10]]}}}],"schema":"https://github.com/citation-style-language/schema/raw/master/csl-citation.json"} </w:instrText>
      </w:r>
      <w:r>
        <w:rPr>
          <w:rFonts w:ascii="Arial" w:hAnsi="Arial" w:cs="Arial"/>
          <w:sz w:val="24"/>
          <w:szCs w:val="24"/>
        </w:rPr>
        <w:fldChar w:fldCharType="separate"/>
      </w:r>
      <w:r>
        <w:rPr>
          <w:rFonts w:ascii="Arial" w:hAnsi="Arial" w:cs="Arial"/>
          <w:sz w:val="24"/>
          <w:szCs w:val="24"/>
          <w:vertAlign w:val="superscript"/>
        </w:rPr>
        <w:t>11</w:t>
      </w:r>
      <w:r>
        <w:rPr>
          <w:rFonts w:ascii="Arial" w:hAnsi="Arial" w:cs="Arial"/>
          <w:sz w:val="24"/>
          <w:szCs w:val="24"/>
        </w:rPr>
        <w:fldChar w:fldCharType="end"/>
      </w:r>
      <w:r>
        <w:rPr>
          <w:rFonts w:ascii="Arial" w:hAnsi="Arial" w:cs="Arial"/>
          <w:sz w:val="24"/>
          <w:szCs w:val="24"/>
        </w:rPr>
        <w:t xml:space="preserve"> (trajectories displayed in Fig. S6a &amp; S6b, results from multinomial regressions in Table S11). </w:t>
      </w:r>
      <w:r>
        <w:rPr>
          <w:rFonts w:ascii="Arial" w:hAnsi="Arial" w:cs="Arial"/>
        </w:rPr>
        <w:br w:type="page"/>
      </w:r>
    </w:p>
    <w:p>
      <w:pPr>
        <w:pStyle w:val="Heading2"/>
        <w:spacing w:line="480" w:lineRule="auto"/>
        <w:rPr>
          <w:rFonts w:ascii="Arial" w:hAnsi="Arial" w:cs="Arial"/>
          <w:sz w:val="24"/>
          <w:szCs w:val="24"/>
        </w:rPr>
      </w:pPr>
      <w:bookmarkStart w:id="6" w:name="_Toc103583068"/>
      <w:r>
        <w:rPr>
          <w:rFonts w:ascii="Arial" w:hAnsi="Arial" w:cs="Arial"/>
          <w:sz w:val="24"/>
          <w:szCs w:val="24"/>
        </w:rPr>
        <w:lastRenderedPageBreak/>
        <w:t>Table S1</w:t>
      </w:r>
      <w:bookmarkEnd w:id="6"/>
    </w:p>
    <w:p>
      <w:pPr>
        <w:rPr>
          <w:rFonts w:ascii="Arial" w:hAnsi="Arial" w:cs="Arial"/>
          <w:sz w:val="24"/>
          <w:szCs w:val="24"/>
        </w:rPr>
      </w:pPr>
      <w:r>
        <w:rPr>
          <w:rFonts w:ascii="Arial" w:hAnsi="Arial" w:cs="Arial"/>
          <w:sz w:val="24"/>
          <w:szCs w:val="24"/>
        </w:rPr>
        <w:t xml:space="preserve">Table S1: Study-specific definition of allergic diseases and allergen sensitization in addition to the main text. </w:t>
      </w:r>
    </w:p>
    <w:tbl>
      <w:tblPr>
        <w:tblStyle w:val="TableGrid"/>
        <w:tblW w:w="0" w:type="auto"/>
        <w:tblLook w:val="04A0" w:firstRow="1" w:lastRow="0" w:firstColumn="1" w:lastColumn="0" w:noHBand="0" w:noVBand="1"/>
      </w:tblPr>
      <w:tblGrid>
        <w:gridCol w:w="2245"/>
        <w:gridCol w:w="7105"/>
      </w:tblGrid>
      <w:tr>
        <w:tc>
          <w:tcPr>
            <w:tcW w:w="2245" w:type="dxa"/>
          </w:tcPr>
          <w:p>
            <w:pPr>
              <w:rPr>
                <w:rFonts w:ascii="Arial" w:hAnsi="Arial" w:cs="Arial"/>
                <w:i/>
                <w:sz w:val="24"/>
              </w:rPr>
            </w:pPr>
            <w:r>
              <w:rPr>
                <w:rFonts w:ascii="Arial" w:hAnsi="Arial" w:cs="Arial"/>
                <w:i/>
                <w:sz w:val="20"/>
              </w:rPr>
              <w:t>Cohort – Disease</w:t>
            </w:r>
          </w:p>
        </w:tc>
        <w:tc>
          <w:tcPr>
            <w:tcW w:w="7105" w:type="dxa"/>
          </w:tcPr>
          <w:p>
            <w:pPr>
              <w:rPr>
                <w:rFonts w:ascii="Arial" w:hAnsi="Arial" w:cs="Arial"/>
                <w:sz w:val="24"/>
              </w:rPr>
            </w:pPr>
            <w:r>
              <w:rPr>
                <w:rFonts w:ascii="Arial" w:hAnsi="Arial" w:cs="Arial"/>
                <w:sz w:val="24"/>
              </w:rPr>
              <w:t>Definition</w:t>
            </w:r>
          </w:p>
        </w:tc>
      </w:tr>
      <w:tr>
        <w:tc>
          <w:tcPr>
            <w:tcW w:w="2245" w:type="dxa"/>
          </w:tcPr>
          <w:p>
            <w:pPr>
              <w:rPr>
                <w:rFonts w:ascii="Arial" w:hAnsi="Arial" w:cs="Arial"/>
                <w:b/>
                <w:sz w:val="24"/>
              </w:rPr>
            </w:pPr>
            <w:r>
              <w:rPr>
                <w:rFonts w:ascii="Arial" w:hAnsi="Arial" w:cs="Arial"/>
                <w:b/>
                <w:sz w:val="24"/>
              </w:rPr>
              <w:t>GINIplus/LISA</w:t>
            </w:r>
          </w:p>
        </w:tc>
        <w:tc>
          <w:tcPr>
            <w:tcW w:w="7105" w:type="dxa"/>
          </w:tcPr>
          <w:p>
            <w:pPr>
              <w:rPr>
                <w:rFonts w:ascii="Arial" w:hAnsi="Arial" w:cs="Arial"/>
                <w:sz w:val="24"/>
              </w:rPr>
            </w:pPr>
          </w:p>
        </w:tc>
      </w:tr>
      <w:tr>
        <w:tc>
          <w:tcPr>
            <w:tcW w:w="2245" w:type="dxa"/>
          </w:tcPr>
          <w:p>
            <w:pPr>
              <w:rPr>
                <w:rFonts w:ascii="Arial" w:hAnsi="Arial" w:cs="Arial"/>
                <w:sz w:val="24"/>
              </w:rPr>
            </w:pPr>
            <w:r>
              <w:rPr>
                <w:rFonts w:ascii="Arial" w:hAnsi="Arial" w:cs="Arial"/>
                <w:sz w:val="24"/>
              </w:rPr>
              <w:t>Asthma</w:t>
            </w:r>
          </w:p>
        </w:tc>
        <w:tc>
          <w:tcPr>
            <w:tcW w:w="7105" w:type="dxa"/>
          </w:tcPr>
          <w:p>
            <w:pPr>
              <w:rPr>
                <w:rFonts w:ascii="Arial" w:hAnsi="Arial" w:cs="Arial"/>
                <w:sz w:val="24"/>
              </w:rPr>
            </w:pPr>
            <w:r>
              <w:rPr>
                <w:rFonts w:ascii="Arial" w:hAnsi="Arial" w:cs="Arial"/>
                <w:sz w:val="24"/>
              </w:rPr>
              <w:t>Positive response to the question: “Has a doctor diagnosed your child with asthma in the last 12 months?” – Asked during each follow-up and aggregated to these time points (0-1, 1-2, 2-4, 4-6, 6-10, 10-15: e.g. asthma4 could be an asthma diagnosis in the third or fourth year of life; asthma 15 a diagnosis between the eleventh or fifteenth year of life)</w:t>
            </w:r>
          </w:p>
        </w:tc>
      </w:tr>
      <w:tr>
        <w:tc>
          <w:tcPr>
            <w:tcW w:w="2245" w:type="dxa"/>
          </w:tcPr>
          <w:p>
            <w:pPr>
              <w:rPr>
                <w:rFonts w:ascii="Arial" w:hAnsi="Arial" w:cs="Arial"/>
                <w:sz w:val="24"/>
              </w:rPr>
            </w:pPr>
            <w:r>
              <w:rPr>
                <w:rFonts w:ascii="Arial" w:hAnsi="Arial" w:cs="Arial"/>
                <w:sz w:val="24"/>
              </w:rPr>
              <w:t>Dermatitis</w:t>
            </w:r>
          </w:p>
        </w:tc>
        <w:tc>
          <w:tcPr>
            <w:tcW w:w="7105" w:type="dxa"/>
          </w:tcPr>
          <w:p>
            <w:pPr>
              <w:rPr>
                <w:rFonts w:ascii="Arial" w:hAnsi="Arial" w:cs="Arial"/>
                <w:sz w:val="24"/>
              </w:rPr>
            </w:pPr>
            <w:r>
              <w:rPr>
                <w:rFonts w:ascii="Arial" w:hAnsi="Arial" w:cs="Arial"/>
                <w:sz w:val="24"/>
              </w:rPr>
              <w:t>Positive response to the question: “Has a doctor diagnosed your child with atopic or non-atopic eczema or dermatitis in the last 12 months?” – Aggregation see above.</w:t>
            </w:r>
          </w:p>
        </w:tc>
      </w:tr>
      <w:tr>
        <w:tc>
          <w:tcPr>
            <w:tcW w:w="2245" w:type="dxa"/>
          </w:tcPr>
          <w:p>
            <w:pPr>
              <w:rPr>
                <w:rFonts w:ascii="Arial" w:hAnsi="Arial" w:cs="Arial"/>
                <w:sz w:val="24"/>
              </w:rPr>
            </w:pPr>
            <w:r>
              <w:rPr>
                <w:rFonts w:ascii="Arial" w:hAnsi="Arial" w:cs="Arial"/>
                <w:sz w:val="24"/>
              </w:rPr>
              <w:t>Rhinitis</w:t>
            </w:r>
          </w:p>
        </w:tc>
        <w:tc>
          <w:tcPr>
            <w:tcW w:w="7105" w:type="dxa"/>
          </w:tcPr>
          <w:p>
            <w:pPr>
              <w:rPr>
                <w:rFonts w:ascii="Arial" w:hAnsi="Arial" w:cs="Arial"/>
                <w:sz w:val="24"/>
              </w:rPr>
            </w:pPr>
            <w:r>
              <w:rPr>
                <w:rFonts w:ascii="Arial" w:hAnsi="Arial" w:cs="Arial"/>
                <w:sz w:val="24"/>
              </w:rPr>
              <w:t xml:space="preserve">Positive response to the question: “Has a doctor diagnosed your child with allergic rhinitis or hay fever in the last 12 months?” – Aggregation see above. </w:t>
            </w:r>
          </w:p>
          <w:p>
            <w:pPr>
              <w:rPr>
                <w:rFonts w:ascii="Arial" w:hAnsi="Arial" w:cs="Arial"/>
                <w:sz w:val="24"/>
              </w:rPr>
            </w:pPr>
            <w:r>
              <w:rPr>
                <w:rFonts w:ascii="Arial" w:hAnsi="Arial" w:cs="Arial"/>
                <w:sz w:val="24"/>
              </w:rPr>
              <w:t>This question was separated in two (hay fever and allergic rhinitis) in the tenth follow-up and was aggregated again for the purpose of this study.</w:t>
            </w:r>
          </w:p>
        </w:tc>
      </w:tr>
      <w:tr>
        <w:tc>
          <w:tcPr>
            <w:tcW w:w="2245" w:type="dxa"/>
          </w:tcPr>
          <w:p>
            <w:pPr>
              <w:rPr>
                <w:rFonts w:ascii="Arial" w:hAnsi="Arial" w:cs="Arial"/>
                <w:sz w:val="24"/>
              </w:rPr>
            </w:pPr>
            <w:r>
              <w:rPr>
                <w:rFonts w:ascii="Arial" w:hAnsi="Arial" w:cs="Arial"/>
                <w:sz w:val="24"/>
              </w:rPr>
              <w:t>Aeroallergen sensitization</w:t>
            </w:r>
          </w:p>
        </w:tc>
        <w:tc>
          <w:tcPr>
            <w:tcW w:w="7105" w:type="dxa"/>
          </w:tcPr>
          <w:p>
            <w:pPr>
              <w:rPr>
                <w:rFonts w:ascii="Arial" w:hAnsi="Arial" w:cs="Arial"/>
                <w:sz w:val="24"/>
              </w:rPr>
            </w:pPr>
            <w:r>
              <w:rPr>
                <w:rFonts w:ascii="Arial" w:hAnsi="Arial" w:cs="Arial"/>
                <w:sz w:val="24"/>
              </w:rPr>
              <w:t xml:space="preserve">Sensitization against a mix of common aeroallergens (SX1: </w:t>
            </w:r>
            <w:r>
              <w:rPr>
                <w:rFonts w:ascii="Arial" w:hAnsi="Arial" w:cs="Arial"/>
                <w:sz w:val="24"/>
                <w:szCs w:val="24"/>
              </w:rPr>
              <w:t>Dermatophagoides pteronyssinus, cat, dog, rye, timothy grass, Cladosporium herbarum, birch and mugwort</w:t>
            </w:r>
            <w:r>
              <w:rPr>
                <w:rFonts w:ascii="Arial" w:hAnsi="Arial" w:cs="Arial"/>
                <w:sz w:val="24"/>
              </w:rPr>
              <w:t>) with a cut-off higher than 0.35kU/L</w:t>
            </w:r>
          </w:p>
        </w:tc>
      </w:tr>
      <w:tr>
        <w:tc>
          <w:tcPr>
            <w:tcW w:w="2245" w:type="dxa"/>
          </w:tcPr>
          <w:p>
            <w:pPr>
              <w:rPr>
                <w:rFonts w:ascii="Arial" w:hAnsi="Arial" w:cs="Arial"/>
                <w:sz w:val="24"/>
              </w:rPr>
            </w:pPr>
            <w:r>
              <w:rPr>
                <w:rFonts w:ascii="Arial" w:hAnsi="Arial" w:cs="Arial"/>
                <w:sz w:val="24"/>
              </w:rPr>
              <w:t>Food allergen sensitization</w:t>
            </w:r>
          </w:p>
        </w:tc>
        <w:tc>
          <w:tcPr>
            <w:tcW w:w="7105" w:type="dxa"/>
          </w:tcPr>
          <w:p>
            <w:pPr>
              <w:rPr>
                <w:rFonts w:ascii="Arial" w:hAnsi="Arial" w:cs="Arial"/>
                <w:sz w:val="24"/>
                <w:szCs w:val="24"/>
              </w:rPr>
            </w:pPr>
            <w:r>
              <w:rPr>
                <w:rFonts w:ascii="Arial" w:hAnsi="Arial" w:cs="Arial"/>
                <w:sz w:val="24"/>
              </w:rPr>
              <w:t>Sensitization against a mix of common food allergens (FX5:</w:t>
            </w:r>
            <w:r>
              <w:t xml:space="preserve"> </w:t>
            </w:r>
            <w:r>
              <w:rPr>
                <w:rFonts w:ascii="Arial" w:hAnsi="Arial" w:cs="Arial"/>
                <w:sz w:val="24"/>
                <w:szCs w:val="24"/>
              </w:rPr>
              <w:t>Egg, cow milk, wheat, peanut, soybean, and codfish</w:t>
            </w:r>
            <w:r>
              <w:rPr>
                <w:rFonts w:ascii="Arial" w:hAnsi="Arial" w:cs="Arial"/>
                <w:sz w:val="24"/>
              </w:rPr>
              <w:t>) with a cut-off higher than 0.35kU/L</w:t>
            </w:r>
          </w:p>
        </w:tc>
      </w:tr>
      <w:tr>
        <w:tc>
          <w:tcPr>
            <w:tcW w:w="2245" w:type="dxa"/>
          </w:tcPr>
          <w:p>
            <w:pPr>
              <w:rPr>
                <w:rFonts w:ascii="Arial" w:hAnsi="Arial" w:cs="Arial"/>
                <w:b/>
                <w:sz w:val="24"/>
              </w:rPr>
            </w:pPr>
            <w:r>
              <w:rPr>
                <w:rFonts w:ascii="Arial" w:hAnsi="Arial" w:cs="Arial"/>
                <w:b/>
                <w:sz w:val="24"/>
              </w:rPr>
              <w:t>BAMSE</w:t>
            </w:r>
          </w:p>
        </w:tc>
        <w:tc>
          <w:tcPr>
            <w:tcW w:w="7105" w:type="dxa"/>
          </w:tcPr>
          <w:p>
            <w:pPr>
              <w:rPr>
                <w:rFonts w:ascii="Arial" w:hAnsi="Arial" w:cs="Arial"/>
                <w:sz w:val="24"/>
              </w:rPr>
            </w:pPr>
          </w:p>
        </w:tc>
      </w:tr>
      <w:tr>
        <w:tc>
          <w:tcPr>
            <w:tcW w:w="2245" w:type="dxa"/>
          </w:tcPr>
          <w:p>
            <w:pPr>
              <w:rPr>
                <w:rFonts w:ascii="Arial" w:hAnsi="Arial" w:cs="Arial"/>
                <w:sz w:val="24"/>
              </w:rPr>
            </w:pPr>
            <w:r>
              <w:rPr>
                <w:rFonts w:ascii="Arial" w:hAnsi="Arial" w:cs="Arial"/>
                <w:sz w:val="24"/>
              </w:rPr>
              <w:t>Asthma</w:t>
            </w:r>
          </w:p>
        </w:tc>
        <w:tc>
          <w:tcPr>
            <w:tcW w:w="7105" w:type="dxa"/>
          </w:tcPr>
          <w:p>
            <w:pPr>
              <w:rPr>
                <w:rFonts w:ascii="Arial" w:hAnsi="Arial" w:cs="Arial"/>
                <w:sz w:val="24"/>
              </w:rPr>
            </w:pPr>
            <w:r>
              <w:rPr>
                <w:rFonts w:ascii="Arial" w:hAnsi="Arial" w:cs="Arial"/>
                <w:sz w:val="24"/>
              </w:rPr>
              <w:t xml:space="preserve">At least two of the following criteria: </w:t>
            </w:r>
          </w:p>
          <w:p>
            <w:pPr>
              <w:pStyle w:val="ListParagraph"/>
              <w:numPr>
                <w:ilvl w:val="0"/>
                <w:numId w:val="1"/>
              </w:numPr>
              <w:rPr>
                <w:rFonts w:ascii="Arial" w:hAnsi="Arial" w:cs="Arial"/>
                <w:sz w:val="24"/>
              </w:rPr>
            </w:pPr>
            <w:r>
              <w:rPr>
                <w:rFonts w:ascii="Arial" w:hAnsi="Arial" w:cs="Arial"/>
                <w:sz w:val="24"/>
              </w:rPr>
              <w:t>Doctor’s diagnosis of asthma ever</w:t>
            </w:r>
          </w:p>
          <w:p>
            <w:pPr>
              <w:pStyle w:val="ListParagraph"/>
              <w:numPr>
                <w:ilvl w:val="0"/>
                <w:numId w:val="1"/>
              </w:numPr>
              <w:rPr>
                <w:rFonts w:ascii="Arial" w:hAnsi="Arial" w:cs="Arial"/>
                <w:sz w:val="24"/>
              </w:rPr>
            </w:pPr>
            <w:r>
              <w:rPr>
                <w:rFonts w:ascii="Arial" w:hAnsi="Arial" w:cs="Arial"/>
                <w:sz w:val="24"/>
              </w:rPr>
              <w:t>Parent report of wheezing in the last 12 months</w:t>
            </w:r>
          </w:p>
          <w:p>
            <w:pPr>
              <w:pStyle w:val="ListParagraph"/>
              <w:numPr>
                <w:ilvl w:val="0"/>
                <w:numId w:val="1"/>
              </w:numPr>
              <w:rPr>
                <w:rFonts w:ascii="Arial" w:hAnsi="Arial" w:cs="Arial"/>
                <w:sz w:val="24"/>
              </w:rPr>
            </w:pPr>
            <w:r>
              <w:rPr>
                <w:rFonts w:ascii="Arial" w:hAnsi="Arial" w:cs="Arial"/>
                <w:sz w:val="24"/>
              </w:rPr>
              <w:t>Use of asthma medication in the last 12 months</w:t>
            </w:r>
          </w:p>
          <w:p>
            <w:pPr>
              <w:rPr>
                <w:rFonts w:ascii="Arial" w:hAnsi="Arial" w:cs="Arial"/>
                <w:sz w:val="24"/>
              </w:rPr>
            </w:pPr>
            <w:r>
              <w:rPr>
                <w:rFonts w:ascii="Arial" w:hAnsi="Arial" w:cs="Arial"/>
                <w:sz w:val="24"/>
              </w:rPr>
              <w:t>The latter two criteria were evaluated only at the follow-up time points 1, 2, 4, 8, 12 and 16 years of age.</w:t>
            </w:r>
          </w:p>
        </w:tc>
      </w:tr>
      <w:tr>
        <w:tc>
          <w:tcPr>
            <w:tcW w:w="2245" w:type="dxa"/>
          </w:tcPr>
          <w:p>
            <w:pPr>
              <w:rPr>
                <w:rFonts w:ascii="Arial" w:hAnsi="Arial" w:cs="Arial"/>
                <w:sz w:val="24"/>
              </w:rPr>
            </w:pPr>
            <w:r>
              <w:rPr>
                <w:rFonts w:ascii="Arial" w:hAnsi="Arial" w:cs="Arial"/>
                <w:sz w:val="24"/>
              </w:rPr>
              <w:t>Dermatitis</w:t>
            </w:r>
          </w:p>
        </w:tc>
        <w:tc>
          <w:tcPr>
            <w:tcW w:w="7105" w:type="dxa"/>
          </w:tcPr>
          <w:p>
            <w:pPr>
              <w:rPr>
                <w:rFonts w:ascii="Arial" w:hAnsi="Arial" w:cs="Arial"/>
                <w:sz w:val="24"/>
              </w:rPr>
            </w:pPr>
            <w:r>
              <w:rPr>
                <w:rFonts w:ascii="Arial" w:hAnsi="Arial" w:cs="Arial"/>
                <w:sz w:val="24"/>
              </w:rPr>
              <w:t xml:space="preserve">Parent report of </w:t>
            </w:r>
            <w:r>
              <w:rPr>
                <w:rFonts w:ascii="Arial" w:hAnsi="Arial" w:cs="Arial"/>
                <w:sz w:val="24"/>
                <w:szCs w:val="24"/>
              </w:rPr>
              <w:t>dry skin in combination with itchy rash and dermatitis-typical localization in the last 12 months.</w:t>
            </w:r>
          </w:p>
        </w:tc>
      </w:tr>
      <w:tr>
        <w:tc>
          <w:tcPr>
            <w:tcW w:w="2245" w:type="dxa"/>
          </w:tcPr>
          <w:p>
            <w:pPr>
              <w:rPr>
                <w:rFonts w:ascii="Arial" w:hAnsi="Arial" w:cs="Arial"/>
                <w:sz w:val="24"/>
              </w:rPr>
            </w:pPr>
            <w:r>
              <w:rPr>
                <w:rFonts w:ascii="Arial" w:hAnsi="Arial" w:cs="Arial"/>
                <w:sz w:val="24"/>
              </w:rPr>
              <w:t>Rhinitis</w:t>
            </w:r>
          </w:p>
        </w:tc>
        <w:tc>
          <w:tcPr>
            <w:tcW w:w="7105" w:type="dxa"/>
          </w:tcPr>
          <w:p>
            <w:pPr>
              <w:rPr>
                <w:rFonts w:ascii="Arial" w:hAnsi="Arial" w:cs="Arial"/>
                <w:sz w:val="24"/>
              </w:rPr>
            </w:pPr>
            <w:r>
              <w:rPr>
                <w:rFonts w:ascii="Arial" w:hAnsi="Arial" w:cs="Arial"/>
                <w:sz w:val="24"/>
              </w:rPr>
              <w:t>Parent report of prolonged sneezing or a runny or blocked nose without common cold in the last 12 months.</w:t>
            </w:r>
          </w:p>
        </w:tc>
      </w:tr>
      <w:tr>
        <w:tc>
          <w:tcPr>
            <w:tcW w:w="2245" w:type="dxa"/>
          </w:tcPr>
          <w:p>
            <w:pPr>
              <w:rPr>
                <w:rFonts w:ascii="Arial" w:hAnsi="Arial" w:cs="Arial"/>
                <w:sz w:val="24"/>
              </w:rPr>
            </w:pPr>
            <w:r>
              <w:rPr>
                <w:rFonts w:ascii="Arial" w:hAnsi="Arial" w:cs="Arial"/>
                <w:sz w:val="24"/>
              </w:rPr>
              <w:t>Aeroallergen sensitization</w:t>
            </w:r>
          </w:p>
        </w:tc>
        <w:tc>
          <w:tcPr>
            <w:tcW w:w="7105" w:type="dxa"/>
          </w:tcPr>
          <w:p>
            <w:pPr>
              <w:rPr>
                <w:rFonts w:ascii="Arial" w:hAnsi="Arial" w:cs="Arial"/>
                <w:sz w:val="24"/>
              </w:rPr>
            </w:pPr>
            <w:r>
              <w:rPr>
                <w:rFonts w:ascii="Arial" w:hAnsi="Arial" w:cs="Arial"/>
                <w:sz w:val="24"/>
              </w:rPr>
              <w:t xml:space="preserve">Sensitization against a mix of common aeroallergens (SX1: </w:t>
            </w:r>
            <w:r>
              <w:rPr>
                <w:rFonts w:ascii="Arial" w:hAnsi="Arial" w:cs="Arial"/>
                <w:sz w:val="24"/>
                <w:szCs w:val="24"/>
              </w:rPr>
              <w:t>Phadiatop; timothy, birch, cat, dog, house dust mites (Dermatophagoides pteronyssinus at ages 4 years and 8 years and Dermatophagoides pteronyssinus and/or Dermatophagoides farinae at age 16) mugwort, horse, and Cladosporium herbarum</w:t>
            </w:r>
            <w:r>
              <w:rPr>
                <w:rFonts w:ascii="Arial" w:hAnsi="Arial" w:cs="Arial"/>
                <w:sz w:val="24"/>
              </w:rPr>
              <w:t>) with a cut-off higher than 0.35kU/L</w:t>
            </w:r>
          </w:p>
        </w:tc>
      </w:tr>
      <w:tr>
        <w:tc>
          <w:tcPr>
            <w:tcW w:w="2245" w:type="dxa"/>
          </w:tcPr>
          <w:p>
            <w:pPr>
              <w:rPr>
                <w:rFonts w:ascii="Arial" w:hAnsi="Arial" w:cs="Arial"/>
                <w:sz w:val="24"/>
              </w:rPr>
            </w:pPr>
            <w:r>
              <w:rPr>
                <w:rFonts w:ascii="Arial" w:hAnsi="Arial" w:cs="Arial"/>
                <w:sz w:val="24"/>
              </w:rPr>
              <w:lastRenderedPageBreak/>
              <w:t>Food allergen sensitization</w:t>
            </w:r>
          </w:p>
        </w:tc>
        <w:tc>
          <w:tcPr>
            <w:tcW w:w="7105" w:type="dxa"/>
          </w:tcPr>
          <w:p>
            <w:pPr>
              <w:rPr>
                <w:rFonts w:ascii="Arial" w:hAnsi="Arial" w:cs="Arial"/>
                <w:b/>
                <w:sz w:val="24"/>
              </w:rPr>
            </w:pPr>
            <w:r>
              <w:rPr>
                <w:rFonts w:ascii="Arial" w:hAnsi="Arial" w:cs="Arial"/>
                <w:sz w:val="24"/>
              </w:rPr>
              <w:t xml:space="preserve">Sensitization against a mix of common aeroallergens (FX5: </w:t>
            </w:r>
            <w:r>
              <w:rPr>
                <w:rFonts w:ascii="Arial" w:hAnsi="Arial" w:cs="Arial"/>
                <w:sz w:val="24"/>
                <w:szCs w:val="24"/>
              </w:rPr>
              <w:t>Egg, cow milk, wheat, peanut, soybean, and codfish</w:t>
            </w:r>
            <w:r>
              <w:rPr>
                <w:rFonts w:ascii="Arial" w:hAnsi="Arial" w:cs="Arial"/>
                <w:sz w:val="24"/>
              </w:rPr>
              <w:t>) with a cut-off higher than 0.35kU/L</w:t>
            </w:r>
          </w:p>
        </w:tc>
      </w:tr>
    </w:tbl>
    <w:p>
      <w:pPr>
        <w:rPr>
          <w:rFonts w:ascii="Arial" w:eastAsiaTheme="majorEastAsia" w:hAnsi="Arial" w:cs="Arial"/>
          <w:color w:val="2E74B5" w:themeColor="accent1" w:themeShade="BF"/>
          <w:sz w:val="24"/>
          <w:szCs w:val="24"/>
        </w:rPr>
      </w:pPr>
      <w:r>
        <w:rPr>
          <w:rFonts w:ascii="Arial" w:hAnsi="Arial" w:cs="Arial"/>
          <w:sz w:val="24"/>
          <w:szCs w:val="24"/>
        </w:rPr>
        <w:br w:type="page"/>
      </w:r>
    </w:p>
    <w:p>
      <w:pPr>
        <w:pStyle w:val="Heading2"/>
        <w:spacing w:line="480" w:lineRule="auto"/>
        <w:rPr>
          <w:rFonts w:ascii="Arial" w:hAnsi="Arial" w:cs="Arial"/>
          <w:sz w:val="24"/>
          <w:szCs w:val="24"/>
        </w:rPr>
      </w:pPr>
      <w:bookmarkStart w:id="7" w:name="_Toc103583069"/>
      <w:r>
        <w:rPr>
          <w:rFonts w:ascii="Arial" w:hAnsi="Arial" w:cs="Arial"/>
          <w:sz w:val="24"/>
          <w:szCs w:val="24"/>
        </w:rPr>
        <w:lastRenderedPageBreak/>
        <w:t>Table S2</w:t>
      </w:r>
      <w:bookmarkEnd w:id="7"/>
      <w:r>
        <w:rPr>
          <w:rFonts w:ascii="Arial" w:hAnsi="Arial" w:cs="Arial"/>
          <w:sz w:val="24"/>
          <w:szCs w:val="24"/>
        </w:rPr>
        <w:t xml:space="preserve"> </w:t>
      </w:r>
    </w:p>
    <w:p>
      <w:pPr>
        <w:rPr>
          <w:rFonts w:ascii="Arial" w:hAnsi="Arial" w:cs="Arial"/>
          <w:sz w:val="24"/>
          <w:szCs w:val="24"/>
        </w:rPr>
      </w:pPr>
      <w:r>
        <w:rPr>
          <w:rFonts w:ascii="Arial" w:hAnsi="Arial" w:cs="Arial"/>
          <w:sz w:val="24"/>
          <w:szCs w:val="24"/>
        </w:rPr>
        <w:t>Table S2: List of early-life determinants and study variables investigated regarding their cluster distribution in the current study</w:t>
      </w:r>
    </w:p>
    <w:tbl>
      <w:tblPr>
        <w:tblStyle w:val="TableGrid"/>
        <w:tblW w:w="0" w:type="auto"/>
        <w:tblLook w:val="04A0" w:firstRow="1" w:lastRow="0" w:firstColumn="1" w:lastColumn="0" w:noHBand="0" w:noVBand="1"/>
      </w:tblPr>
      <w:tblGrid>
        <w:gridCol w:w="1751"/>
        <w:gridCol w:w="5723"/>
        <w:gridCol w:w="1876"/>
      </w:tblGrid>
      <w:tr>
        <w:tc>
          <w:tcPr>
            <w:tcW w:w="1615" w:type="dxa"/>
          </w:tcPr>
          <w:p>
            <w:pPr>
              <w:rPr>
                <w:rFonts w:ascii="Arial" w:hAnsi="Arial" w:cs="Arial"/>
                <w:b/>
                <w:sz w:val="24"/>
                <w:szCs w:val="24"/>
              </w:rPr>
            </w:pPr>
            <w:r>
              <w:rPr>
                <w:rFonts w:ascii="Arial" w:hAnsi="Arial" w:cs="Arial"/>
                <w:b/>
                <w:sz w:val="24"/>
                <w:szCs w:val="24"/>
              </w:rPr>
              <w:t>Variable</w:t>
            </w:r>
          </w:p>
        </w:tc>
        <w:tc>
          <w:tcPr>
            <w:tcW w:w="5850" w:type="dxa"/>
          </w:tcPr>
          <w:p>
            <w:pPr>
              <w:rPr>
                <w:rFonts w:ascii="Arial" w:hAnsi="Arial" w:cs="Arial"/>
                <w:b/>
                <w:sz w:val="24"/>
                <w:szCs w:val="24"/>
              </w:rPr>
            </w:pPr>
            <w:r>
              <w:rPr>
                <w:rFonts w:ascii="Arial" w:hAnsi="Arial" w:cs="Arial"/>
                <w:b/>
                <w:sz w:val="24"/>
                <w:szCs w:val="24"/>
              </w:rPr>
              <w:t>Definition</w:t>
            </w:r>
          </w:p>
        </w:tc>
        <w:tc>
          <w:tcPr>
            <w:tcW w:w="1885" w:type="dxa"/>
          </w:tcPr>
          <w:p>
            <w:pPr>
              <w:rPr>
                <w:rFonts w:ascii="Arial" w:hAnsi="Arial" w:cs="Arial"/>
                <w:b/>
                <w:sz w:val="24"/>
                <w:szCs w:val="24"/>
              </w:rPr>
            </w:pPr>
            <w:r>
              <w:rPr>
                <w:rFonts w:ascii="Arial" w:hAnsi="Arial" w:cs="Arial"/>
                <w:b/>
                <w:sz w:val="24"/>
                <w:szCs w:val="24"/>
              </w:rPr>
              <w:t>Reference publication:</w:t>
            </w:r>
          </w:p>
        </w:tc>
      </w:tr>
      <w:tr>
        <w:tc>
          <w:tcPr>
            <w:tcW w:w="1615" w:type="dxa"/>
          </w:tcPr>
          <w:p>
            <w:pPr>
              <w:rPr>
                <w:rFonts w:ascii="Arial" w:hAnsi="Arial" w:cs="Arial"/>
                <w:sz w:val="24"/>
                <w:szCs w:val="24"/>
              </w:rPr>
            </w:pPr>
            <w:r>
              <w:rPr>
                <w:rFonts w:ascii="Arial" w:hAnsi="Arial" w:cs="Arial"/>
                <w:sz w:val="24"/>
                <w:szCs w:val="24"/>
              </w:rPr>
              <w:t>Sex</w:t>
            </w:r>
          </w:p>
        </w:tc>
        <w:tc>
          <w:tcPr>
            <w:tcW w:w="5850" w:type="dxa"/>
          </w:tcPr>
          <w:p>
            <w:pPr>
              <w:rPr>
                <w:rFonts w:ascii="Arial" w:hAnsi="Arial" w:cs="Arial"/>
                <w:sz w:val="24"/>
                <w:szCs w:val="24"/>
              </w:rPr>
            </w:pPr>
            <w:r>
              <w:rPr>
                <w:rFonts w:ascii="Arial" w:hAnsi="Arial" w:cs="Arial"/>
                <w:sz w:val="24"/>
                <w:szCs w:val="24"/>
              </w:rPr>
              <w:t>Sex as defined in the cohort (male or female)</w:t>
            </w:r>
          </w:p>
        </w:tc>
        <w:tc>
          <w:tcPr>
            <w:tcW w:w="1885" w:type="dxa"/>
          </w:tcPr>
          <w:p>
            <w:pPr>
              <w:rPr>
                <w:rFonts w:ascii="Arial" w:hAnsi="Arial" w:cs="Arial"/>
                <w:sz w:val="24"/>
                <w:szCs w:val="24"/>
              </w:rPr>
            </w:pPr>
            <w:r>
              <w:rPr>
                <w:rFonts w:ascii="Arial" w:hAnsi="Arial" w:cs="Arial"/>
                <w:sz w:val="24"/>
                <w:szCs w:val="24"/>
              </w:rPr>
              <w:t xml:space="preserve">Paternoster 2018, Hu 2019 </w:t>
            </w:r>
            <w:r>
              <w:rPr>
                <w:rFonts w:ascii="Arial" w:hAnsi="Arial" w:cs="Arial"/>
                <w:sz w:val="24"/>
                <w:szCs w:val="24"/>
              </w:rPr>
              <w:fldChar w:fldCharType="begin"/>
            </w:r>
            <w:r>
              <w:rPr>
                <w:rFonts w:ascii="Arial" w:hAnsi="Arial" w:cs="Arial"/>
                <w:sz w:val="24"/>
                <w:szCs w:val="24"/>
              </w:rPr>
              <w:instrText xml:space="preserve"> ADDIN ZOTERO_ITEM CSL_CITATION {"citationID":"g7nWsbPZ","properties":{"formattedCitation":"\\super 12,13\\nosupersub{}","plainCitation":"12,13","noteIndex":0},"citationItems":[{"id":475,"uris":["http://zotero.org/groups/2409646/items/4AGMSWSA"],"itemData":{"id":475,"type":"article-journal","abstract":"Background\nAtopic dermatitis (AD) is a prevalent disease with variable natural history. Longitudinal birth cohort studies provide an opportunity to define subgroups on the basis of disease trajectories, which may represent different genetic and environmental pathomechanisms.\n\nObjectives\nWe sought to investigate the existence of distinct longitudinal phenotypes of AD and test whether these findings are reproducible in 2 independent cohorts.\n\nMethods\nThe presence of AD was examined in 2 birth cohort studies including 9894 children from the United Kingdom (ALSPAC) and 3652 from the Netherlands (PIAMA). AD was defined by parental report of a typical itchy and/or flexural rash. Longitudinal latent class analysis was used to investigate patterns of AD from birth to the age of 11 to 16 years. We investigated associations with known AD risk factors, including FLG null mutations, 23 other established AD-genetic risk variants, and atopic comorbidity.\n\nResults\nSix latent classes were identified, representing subphenotypes of AD, with remarkable consistency between the 2 cohorts. The most prevalent class was early-onset-early-resolving AD, which was associated with male sex. Two classes of persistent disease were identified (early-onset-persistent and early-onset-late-resolving); these were most strongly associated with the AD-genetic risk score as well as personal and parental history of atopic disease. A yet unrecognized class of mid-onset-resolving AD, not associated with FLG mutations, but strongly associated with asthma, was identified.\n\nConclusions\nSix classes based on temporal trajectories of rash were consistently identified in 2 population-based cohorts. The differing risk factor profiles and diverse prognoses demonstrate the potential importance of a stratified medicine approach for AD.","container-title":"The Journal of Allergy and Clinical Immunology","DOI":"10.1016/j.jaci.2017.09.044","ISSN":"0091-6749","issue":"3","journalAbbreviation":"J Allergy Clin Immunol","note":"PMID: 29129583\nPMCID: PMC5840507","page":"964-971","source":"PubMed Central","title":"Identification of atopic dermatitis subgroups in children from 2 longitudinal birth cohorts","volume":"141","author":[{"family":"Paternoster","given":"Lavinia"},{"family":"Savenije","given":"Olga E.M."},{"family":"Heron","given":"Jon"},{"family":"Evans","given":"David M."},{"family":"Vonk","given":"Judith M."},{"family":"Brunekreef","given":"Bert"},{"family":"Wijga","given":"Alet H."},{"family":"Henderson","given":"A. John"},{"family":"Koppelman","given":"Gerard H."},{"family":"Brown","given":"Sara J."}],"issued":{"date-parts":[["2018",3]]}}},{"id":451,"uris":["http://zotero.org/groups/2409646/items/MYK7B8T9"],"itemData":{"id":451,"type":"article-journal","abstract":"Background Childhood eczema is variable in onset and persistence. Objectives To identify eczema phenotypes during childhood, and their associations with early-life environmental and genetic factors. Methods In this study of 5297 children from a multiethnic population-based prospective cohort study, phenotypes based on parent-reported physician-diagnosed eczema from age 6 months to 10 years were identified using latent class growth analysis. Information on environmental factors was obtained using postal questionnaires. Four filaggrin mutations were genotyped and a risk score was calculated based on 30 genetic variants. Weighted adjusted multinomial models were used for association analyses. Results We identified the following five eczema phenotypes: never (76%), early transient (8%), mid-transient (6%) and late transient (8%) and persistent eczema (2%). Early transient and persistent eczema were most common in first-born children, those with a parental history of eczema, allergy or asthma and those with persistent wheezing [range of odds ratio (OR): 1.37, 95% confidence interval (CI) 1.07–1.74 and OR 3.38, 95%CI 1.95–5.85]. Early transient eczema was most common in male children only (OR 1·49, 95% CI 1·18–1·89). Children with late transient or persistent eczema were more often of Asian ethnicity (OR 2·04, 95% CI 1·14–3·65 and OR 3·08, 95% CI 1·34–7·10, respectively). Children with early, late transient and persistent eczema more often had a filaggrin mutation or additional risk alleles (range OR: 1.07, 95%CI 1.02–1.12 and OR 2.21, 95%CI 1.39–3.50). Eczema phenotypes were not associated with maternal education, breastfeeding, day care attendance and pet exposure. Conclusions Five eczema phenotypes were identified in a multiethnic paediatric population with limited differences in risk profiles, except for sex and ethnicity. What's already known about this topic? Two previous studies in longitudinal birth cohorts identified four and six different eczema phenotypes, predominantly in children of European ethnicity. What does this study add? Five eczema phenotypes were identified in a multiethnic paediatric population using latent class growth analysis. Children with early transient and persistent eczema were most often first-born children and had persistent wheezing, filaggrin mutation or additional risk alleles. Previously known eczema risk factors had limited differentiating capabilities for eczema phenotypes, except for the association of early transient eczema with male children, and late transient and persistent eczema with Asian ethnicity.","container-title":"British Journal of Dermatology","DOI":"10.1111/bjd.17879","ISSN":"1365-2133","issue":"6","language":"en","note":"_eprint: https://onlinelibrary.wiley.com/doi/pdf/10.1111/bjd.17879","page":"1190-1197","source":"Wiley Online Library","title":"Most associations of early-life environmental exposures and genetic risk factors poorly differentiate between eczema phenotypes: the Generation R Study","title-short":"Most associations of early-life environmental exposures and genetic risk factors poorly differentiate between eczema phenotypes","volume":"181","author":[{"family":"Hu","given":"C."},{"family":"Duijts","given":"L."},{"family":"Erler","given":"N. S."},{"family":"Elbert","given":"N. J."},{"family":"Piketty","given":"C."},{"family":"Bourdès","given":"V."},{"family":"Blanchet</w:instrText>
            </w:r>
            <w:r>
              <w:rPr>
                <w:rFonts w:ascii="Cambria Math" w:hAnsi="Cambria Math" w:cs="Cambria Math"/>
                <w:sz w:val="24"/>
                <w:szCs w:val="24"/>
              </w:rPr>
              <w:instrText>‐</w:instrText>
            </w:r>
            <w:r>
              <w:rPr>
                <w:rFonts w:ascii="Arial" w:hAnsi="Arial" w:cs="Arial"/>
                <w:sz w:val="24"/>
                <w:szCs w:val="24"/>
              </w:rPr>
              <w:instrText xml:space="preserve">Réthoré","given":"S."},{"family":"Jongste","given":"J. C.","dropping-particle":"de"},{"family":"Pasmans","given":"S. G. M. A."},{"family":"Felix","given":"J. F."},{"family":"Nijsten","given":"T."}],"issued":{"date-parts":[["2019"]]}}}],"schema":"https://github.com/citation-style-language/schema/raw/master/csl-citation.json"} </w:instrText>
            </w:r>
            <w:r>
              <w:rPr>
                <w:rFonts w:ascii="Arial" w:hAnsi="Arial" w:cs="Arial"/>
                <w:sz w:val="24"/>
                <w:szCs w:val="24"/>
              </w:rPr>
              <w:fldChar w:fldCharType="separate"/>
            </w:r>
            <w:r>
              <w:rPr>
                <w:rFonts w:ascii="Arial" w:hAnsi="Arial" w:cs="Arial"/>
                <w:sz w:val="24"/>
                <w:szCs w:val="24"/>
                <w:vertAlign w:val="superscript"/>
              </w:rPr>
              <w:t>12,13</w:t>
            </w:r>
            <w:r>
              <w:rPr>
                <w:rFonts w:ascii="Arial" w:hAnsi="Arial" w:cs="Arial"/>
                <w:sz w:val="24"/>
                <w:szCs w:val="24"/>
              </w:rPr>
              <w:fldChar w:fldCharType="end"/>
            </w:r>
          </w:p>
        </w:tc>
      </w:tr>
      <w:tr>
        <w:tc>
          <w:tcPr>
            <w:tcW w:w="1615" w:type="dxa"/>
          </w:tcPr>
          <w:p>
            <w:pPr>
              <w:rPr>
                <w:rFonts w:ascii="Arial" w:hAnsi="Arial" w:cs="Arial"/>
                <w:sz w:val="24"/>
                <w:szCs w:val="24"/>
              </w:rPr>
            </w:pPr>
            <w:r>
              <w:rPr>
                <w:rFonts w:ascii="Arial" w:hAnsi="Arial" w:cs="Arial"/>
                <w:sz w:val="24"/>
                <w:szCs w:val="24"/>
              </w:rPr>
              <w:t>Study</w:t>
            </w:r>
          </w:p>
        </w:tc>
        <w:tc>
          <w:tcPr>
            <w:tcW w:w="5850" w:type="dxa"/>
          </w:tcPr>
          <w:p>
            <w:pPr>
              <w:rPr>
                <w:rFonts w:ascii="Arial" w:hAnsi="Arial" w:cs="Arial"/>
                <w:sz w:val="24"/>
                <w:szCs w:val="24"/>
              </w:rPr>
            </w:pPr>
            <w:r>
              <w:rPr>
                <w:rFonts w:ascii="Arial" w:hAnsi="Arial" w:cs="Arial"/>
                <w:sz w:val="24"/>
                <w:szCs w:val="24"/>
              </w:rPr>
              <w:t>Factor defining GINIplus intervention arm, GINIplus control arm or LISA study participant</w:t>
            </w:r>
          </w:p>
        </w:tc>
        <w:tc>
          <w:tcPr>
            <w:tcW w:w="1885" w:type="dxa"/>
          </w:tcPr>
          <w:p>
            <w:pPr>
              <w:rPr>
                <w:rFonts w:ascii="Arial" w:hAnsi="Arial" w:cs="Arial"/>
                <w:sz w:val="24"/>
                <w:szCs w:val="24"/>
              </w:rPr>
            </w:pPr>
            <w:r>
              <w:rPr>
                <w:rFonts w:ascii="Arial" w:hAnsi="Arial" w:cs="Arial"/>
                <w:sz w:val="24"/>
                <w:szCs w:val="24"/>
              </w:rPr>
              <w:t xml:space="preserve">Study-specific, von Berg 2010, Gappa 2021 </w:t>
            </w:r>
            <w:r>
              <w:rPr>
                <w:rFonts w:ascii="Arial" w:hAnsi="Arial" w:cs="Arial"/>
                <w:sz w:val="24"/>
                <w:szCs w:val="24"/>
              </w:rPr>
              <w:fldChar w:fldCharType="begin"/>
            </w:r>
            <w:r>
              <w:rPr>
                <w:rFonts w:ascii="Arial" w:hAnsi="Arial" w:cs="Arial"/>
                <w:sz w:val="24"/>
                <w:szCs w:val="24"/>
              </w:rPr>
              <w:instrText xml:space="preserve"> ADDIN ZOTERO_ITEM CSL_CITATION {"citationID":"PkHbOmsH","properties":{"formattedCitation":"\\super 14,15\\nosupersub{}","plainCitation":"14,15","noteIndex":0},"citationItems":[{"id":779,"uris":["http://zotero.org/groups/2409649/items/7ICCRRE6"],"itemData":{"id":779,"type":"article-journal","abstract":"Background Nutritional intervention with hydrolysed infant formulas has been shown efficacious in preventing eczema in children predisposed to allergy. However, this preventive effect has never been related to the natural course of eczema in children with or without a family history of allergy. The aim of this study therefore was to compare the course of eczema in predisposed children after nutritional intervention to the natural course of eczema. Method The prospective German birth cohort study GINIplus includes a total of 5991 children, subdivided into interventional and non-interventional groups. Children with a familial predisposition for allergy whose parents agreed to participate in the prospective, double-blind intervention trial (N=2252) were randomly assigned at birth to one of four formulas: partially or extensively hydrolysed whey, extensively hydrolysed casein (eHF-C) or standard cow's milk formula. Children with or without familial predisposition represented the non-interventional group (N=3739). Follow-up data were taken from yearly self-administered questionnaires from 1 up to 6 years. The outcome was physician-diagnosed eczema and its symptoms. The cumulative incidence of eczema in predisposed children with or without nutritional intervention was compared with that of non-predisposed children who did not receive intervention. Cox regression was used to adjust for confounding. Results Predisposed children without nutritional intervention had a 2.1 times higher risk for eczema [95% confidence interval (CI) 1.6–2.7] than children without a familial predisposition. The risk was smaller with nutritional intervention even levelling out to 1.3 (95% CI 0.9–1.9) in children fed eHF-C formula. Conclusion Although direct comparability is somewhat restricted, the data demonstrate that early intervention with hydrolysed infant formulas can substantially compensate up until the age of 6 years for an enhanced risk of childhood eczema due to familial predisposition to allergy. Cite this as: A. v. Berg, U. Krämer, E. Link, C. Bollrath, J. Heinrich, I. Brockow, S. Koletzko, A. Grübl, B. Filipiak-Pittroff, H.-E. Wichmann, C.-P. Bauer, D. Reinhardt, D. Berdel and the GINIplus study group, Clinical &amp; Experimental Allergy, 2010 (40) 627–636.","container-title":"Clinical &amp; Experimental Allergy","DOI":"10.1111/j.1365-2222.2009.03444.x","ISSN":"1365-2222","issue":"4","language":"en","page":"627-636","source":"Wiley Online Library","title":"Impact of early feeding on childhood eczema: development after nutritional intervention compared with the natural course – the GINIplus study up to the age of 6 years","title-short":"Impact of early feeding on childhood eczema","volume":"40","author":[{"family":"Berg","given":"A.","dropping-particle":"v"},{"family":"Krämer","given":"U."},{"family":"Link","given":"E."},{"family":"Bollrath","given":"C."},{"family":"Heinrich","given":"J."},{"family":"Brockow","given":"I."},{"family":"Koletzko","given":"S."},{"family":"Grübl","given":"A."},{"family":"Filipiak</w:instrText>
            </w:r>
            <w:r>
              <w:rPr>
                <w:rFonts w:ascii="Cambria Math" w:hAnsi="Cambria Math" w:cs="Cambria Math"/>
                <w:sz w:val="24"/>
                <w:szCs w:val="24"/>
              </w:rPr>
              <w:instrText>‐</w:instrText>
            </w:r>
            <w:r>
              <w:rPr>
                <w:rFonts w:ascii="Arial" w:hAnsi="Arial" w:cs="Arial"/>
                <w:sz w:val="24"/>
                <w:szCs w:val="24"/>
              </w:rPr>
              <w:instrText>Pittroff","given":"B."},{"family":"Wichmann","given":"H.-E."},{"family":"Bauer","given":"C.-P."},{"family":"Reinhardt","given":"D."},{"family":"Berdel","given":"D."}],"issued":{"date-parts":[["2010"]]}}},{"id":1436,"uris":["http://zotero.org/groups/2409649/items/ZAZZA5KZ"],"itemData":{"id":1436,"type":"article-journal","container-title":"Allergy","DOI":"https://doi.org/10.1111/all.14709","ISSN":"1398-9995","issue":"n/a","language":"en","note":"_eprint: https://onlinelibrary.wiley.com/doi/pdf/10.1111/all.14709","source":"Wiley Online Library","title":"Long-term effects of hydrolyzed formulae on atopic diseases in the GINI study","URL":"https://onlinelibrary.wiley.com/doi/abs/10.1111/all.14709","volume":"n/a","author":[{"family":"Gappa","given":"Monika"},{"family":"Filipiak</w:instrText>
            </w:r>
            <w:r>
              <w:rPr>
                <w:rFonts w:ascii="Cambria Math" w:hAnsi="Cambria Math" w:cs="Cambria Math"/>
                <w:sz w:val="24"/>
                <w:szCs w:val="24"/>
              </w:rPr>
              <w:instrText>‐</w:instrText>
            </w:r>
            <w:r>
              <w:rPr>
                <w:rFonts w:ascii="Arial" w:hAnsi="Arial" w:cs="Arial"/>
                <w:sz w:val="24"/>
                <w:szCs w:val="24"/>
              </w:rPr>
              <w:instrText xml:space="preserve">Pittroff","given":"Birgit"},{"family":"Libuda","given":"Lars"},{"family":"Berg","given":"Andrea","dropping-particle":"von"},{"family":"Koletzko","given":"Sibylle"},{"family":"Bauer","given":"Carl-Peter"},{"family":"Heinrich","given":"Joachim"},{"family":"Schikowski","given":"Tamara"},{"family":"Berdel","given":"Dietrich"},{"family":"Standl","given":"Marie"}],"accessed":{"date-parts":[["2021",3,24]]}}}],"schema":"https://github.com/citation-style-language/schema/raw/master/csl-citation.json"} </w:instrText>
            </w:r>
            <w:r>
              <w:rPr>
                <w:rFonts w:ascii="Arial" w:hAnsi="Arial" w:cs="Arial"/>
                <w:sz w:val="24"/>
                <w:szCs w:val="24"/>
              </w:rPr>
              <w:fldChar w:fldCharType="separate"/>
            </w:r>
            <w:r>
              <w:rPr>
                <w:rFonts w:ascii="Arial" w:hAnsi="Arial" w:cs="Arial"/>
                <w:sz w:val="24"/>
                <w:szCs w:val="24"/>
                <w:vertAlign w:val="superscript"/>
              </w:rPr>
              <w:t>14,15</w:t>
            </w:r>
            <w:r>
              <w:rPr>
                <w:rFonts w:ascii="Arial" w:hAnsi="Arial" w:cs="Arial"/>
                <w:sz w:val="24"/>
                <w:szCs w:val="24"/>
              </w:rPr>
              <w:fldChar w:fldCharType="end"/>
            </w:r>
          </w:p>
        </w:tc>
      </w:tr>
      <w:tr>
        <w:tc>
          <w:tcPr>
            <w:tcW w:w="1615" w:type="dxa"/>
          </w:tcPr>
          <w:p>
            <w:pPr>
              <w:rPr>
                <w:rFonts w:ascii="Arial" w:hAnsi="Arial" w:cs="Arial"/>
                <w:sz w:val="24"/>
                <w:szCs w:val="24"/>
              </w:rPr>
            </w:pPr>
            <w:r>
              <w:rPr>
                <w:rFonts w:ascii="Arial" w:hAnsi="Arial" w:cs="Arial"/>
                <w:sz w:val="24"/>
                <w:szCs w:val="24"/>
              </w:rPr>
              <w:t>Study center</w:t>
            </w:r>
          </w:p>
        </w:tc>
        <w:tc>
          <w:tcPr>
            <w:tcW w:w="5850" w:type="dxa"/>
          </w:tcPr>
          <w:p>
            <w:pPr>
              <w:rPr>
                <w:rFonts w:ascii="Arial" w:hAnsi="Arial" w:cs="Arial"/>
                <w:sz w:val="24"/>
                <w:szCs w:val="24"/>
              </w:rPr>
            </w:pPr>
            <w:r>
              <w:rPr>
                <w:rFonts w:ascii="Arial" w:hAnsi="Arial" w:cs="Arial"/>
                <w:sz w:val="24"/>
                <w:szCs w:val="24"/>
              </w:rPr>
              <w:t>One out of Munich or Wesel for GINIplus or one of Munich, Wesel, Bad Honnef and Leipzig for LISA</w:t>
            </w:r>
          </w:p>
        </w:tc>
        <w:tc>
          <w:tcPr>
            <w:tcW w:w="1885" w:type="dxa"/>
          </w:tcPr>
          <w:p>
            <w:pPr>
              <w:rPr>
                <w:rFonts w:ascii="Arial" w:hAnsi="Arial" w:cs="Arial"/>
                <w:sz w:val="24"/>
                <w:szCs w:val="24"/>
              </w:rPr>
            </w:pPr>
            <w:r>
              <w:rPr>
                <w:rFonts w:ascii="Arial" w:hAnsi="Arial" w:cs="Arial"/>
                <w:sz w:val="24"/>
                <w:szCs w:val="24"/>
              </w:rPr>
              <w:t>Study-specific</w:t>
            </w:r>
          </w:p>
        </w:tc>
      </w:tr>
      <w:tr>
        <w:tc>
          <w:tcPr>
            <w:tcW w:w="1615" w:type="dxa"/>
          </w:tcPr>
          <w:p>
            <w:pPr>
              <w:rPr>
                <w:rFonts w:ascii="Arial" w:hAnsi="Arial" w:cs="Arial"/>
                <w:sz w:val="24"/>
                <w:szCs w:val="24"/>
              </w:rPr>
            </w:pPr>
            <w:r>
              <w:rPr>
                <w:rFonts w:ascii="Arial" w:hAnsi="Arial" w:cs="Arial"/>
                <w:sz w:val="24"/>
                <w:szCs w:val="24"/>
              </w:rPr>
              <w:t>Family history of allergic disease</w:t>
            </w:r>
          </w:p>
        </w:tc>
        <w:tc>
          <w:tcPr>
            <w:tcW w:w="5850" w:type="dxa"/>
          </w:tcPr>
          <w:p>
            <w:pPr>
              <w:rPr>
                <w:rFonts w:ascii="Arial" w:hAnsi="Arial" w:cs="Arial"/>
                <w:sz w:val="24"/>
                <w:szCs w:val="24"/>
              </w:rPr>
            </w:pPr>
            <w:r>
              <w:rPr>
                <w:rFonts w:ascii="Arial" w:hAnsi="Arial" w:cs="Arial"/>
                <w:sz w:val="24"/>
                <w:szCs w:val="24"/>
              </w:rPr>
              <w:t>Asthma, dermatitis or hay fever ever reported for none, one or both biological parents (0/1/2)</w:t>
            </w:r>
          </w:p>
        </w:tc>
        <w:tc>
          <w:tcPr>
            <w:tcW w:w="1885" w:type="dxa"/>
          </w:tcPr>
          <w:p>
            <w:pPr>
              <w:rPr>
                <w:rFonts w:ascii="Arial" w:hAnsi="Arial" w:cs="Arial"/>
                <w:sz w:val="24"/>
                <w:szCs w:val="24"/>
              </w:rPr>
            </w:pPr>
            <w:r>
              <w:rPr>
                <w:rFonts w:ascii="Arial" w:hAnsi="Arial" w:cs="Arial"/>
                <w:sz w:val="24"/>
                <w:szCs w:val="24"/>
              </w:rPr>
              <w:t xml:space="preserve">Hu 2019 </w:t>
            </w:r>
            <w:r>
              <w:rPr>
                <w:rFonts w:ascii="Arial" w:hAnsi="Arial" w:cs="Arial"/>
                <w:sz w:val="24"/>
                <w:szCs w:val="24"/>
              </w:rPr>
              <w:fldChar w:fldCharType="begin"/>
            </w:r>
            <w:r>
              <w:rPr>
                <w:rFonts w:ascii="Arial" w:hAnsi="Arial" w:cs="Arial"/>
                <w:sz w:val="24"/>
                <w:szCs w:val="24"/>
              </w:rPr>
              <w:instrText xml:space="preserve"> ADDIN ZOTERO_ITEM CSL_CITATION {"citationID":"EhKM0WHR","properties":{"formattedCitation":"\\super 13\\nosupersub{}","plainCitation":"13","noteIndex":0},"citationItems":[{"id":451,"uris":["http://zotero.org/groups/2409646/items/MYK7B8T9"],"itemData":{"id":451,"type":"article-journal","abstract":"Background Childhood eczema is variable in onset and persistence. Objectives To identify eczema phenotypes during childhood, and their associations with early-life environmental and genetic factors. Methods In this study of 5297 children from a multiethnic population-based prospective cohort study, phenotypes based on parent-reported physician-diagnosed eczema from age 6 months to 10 years were identified using latent class growth analysis. Information on environmental factors was obtained using postal questionnaires. Four filaggrin mutations were genotyped and a risk score was calculated based on 30 genetic variants. Weighted adjusted multinomial models were used for association analyses. Results We identified the following five eczema phenotypes: never (76%), early transient (8%), mid-transient (6%) and late transient (8%) and persistent eczema (2%). Early transient and persistent eczema were most common in first-born children, those with a parental history of eczema, allergy or asthma and those with persistent wheezing [range of odds ratio (OR): 1.37, 95% confidence interval (CI) 1.07–1.74 and OR 3.38, 95%CI 1.95–5.85]. Early transient eczema was most common in male children only (OR 1·49, 95% CI 1·18–1·89). Children with late transient or persistent eczema were more often of Asian ethnicity (OR 2·04, 95% CI 1·14–3·65 and OR 3·08, 95% CI 1·34–7·10, respectively). Children with early, late transient and persistent eczema more often had a filaggrin mutation or additional risk alleles (range OR: 1.07, 95%CI 1.02–1.12 and OR 2.21, 95%CI 1.39–3.50). Eczema phenotypes were not associated with maternal education, breastfeeding, day care attendance and pet exposure. Conclusions Five eczema phenotypes were identified in a multiethnic paediatric population with limited differences in risk profiles, except for sex and ethnicity. What's already known about this topic? Two previous studies in longitudinal birth cohorts identified four and six different eczema phenotypes, predominantly in children of European ethnicity. What does this study add? Five eczema phenotypes were identified in a multiethnic paediatric population using latent class growth analysis. Children with early transient and persistent eczema were most often first-born children and had persistent wheezing, filaggrin mutation or additional risk alleles. Previously known eczema risk factors had limited differentiating capabilities for eczema phenotypes, except for the association of early transient eczema with male children, and late transient and persistent eczema with Asian ethnicity.","container-title":"British Journal of Dermatology","DOI":"10.1111/bjd.17879","ISSN":"1365-2133","issue":"6","language":"en","note":"_eprint: https://onlinelibrary.wiley.com/doi/pdf/10.1111/bjd.17879","page":"1190-1197","source":"Wiley Online Library","title":"Most associations of early-life environmental exposures and genetic risk factors poorly differentiate between eczema phenotypes: the Generation R Study","title-short":"Most associations of early-life environmental exposures and genetic risk factors poorly differentiate between eczema phenotypes","volume":"181","author":[{"family":"Hu","given":"C."},{"family":"Duijts","given":"L."},{"family":"Erler","given":"N. S."},{"family":"Elbert","given":"N. J."},{"family":"Piketty","given":"C."},{"family":"Bourdès","given":"V."},{"family":"Blanchet</w:instrText>
            </w:r>
            <w:r>
              <w:rPr>
                <w:rFonts w:ascii="Cambria Math" w:hAnsi="Cambria Math" w:cs="Cambria Math"/>
                <w:sz w:val="24"/>
                <w:szCs w:val="24"/>
              </w:rPr>
              <w:instrText>‐</w:instrText>
            </w:r>
            <w:r>
              <w:rPr>
                <w:rFonts w:ascii="Arial" w:hAnsi="Arial" w:cs="Arial"/>
                <w:sz w:val="24"/>
                <w:szCs w:val="24"/>
              </w:rPr>
              <w:instrText xml:space="preserve">Réthoré","given":"S."},{"family":"Jongste","given":"J. C.","dropping-particle":"de"},{"family":"Pasmans","given":"S. G. M. A."},{"family":"Felix","given":"J. F."},{"family":"Nijsten","given":"T."}],"issued":{"date-parts":[["2019"]]}}}],"schema":"https://github.com/citation-style-language/schema/raw/master/csl-citation.json"} </w:instrText>
            </w:r>
            <w:r>
              <w:rPr>
                <w:rFonts w:ascii="Arial" w:hAnsi="Arial" w:cs="Arial"/>
                <w:sz w:val="24"/>
                <w:szCs w:val="24"/>
              </w:rPr>
              <w:fldChar w:fldCharType="separate"/>
            </w:r>
            <w:r>
              <w:rPr>
                <w:rFonts w:ascii="Arial" w:hAnsi="Arial" w:cs="Arial"/>
                <w:sz w:val="24"/>
                <w:szCs w:val="24"/>
                <w:vertAlign w:val="superscript"/>
              </w:rPr>
              <w:t>13</w:t>
            </w:r>
            <w:r>
              <w:rPr>
                <w:rFonts w:ascii="Arial" w:hAnsi="Arial" w:cs="Arial"/>
                <w:sz w:val="24"/>
                <w:szCs w:val="24"/>
              </w:rPr>
              <w:fldChar w:fldCharType="end"/>
            </w:r>
          </w:p>
        </w:tc>
      </w:tr>
      <w:tr>
        <w:tc>
          <w:tcPr>
            <w:tcW w:w="1615" w:type="dxa"/>
          </w:tcPr>
          <w:p>
            <w:pPr>
              <w:rPr>
                <w:rFonts w:ascii="Arial" w:hAnsi="Arial" w:cs="Arial"/>
                <w:sz w:val="24"/>
                <w:szCs w:val="24"/>
              </w:rPr>
            </w:pPr>
            <w:r>
              <w:rPr>
                <w:rFonts w:ascii="Arial" w:hAnsi="Arial" w:cs="Arial"/>
                <w:sz w:val="24"/>
                <w:szCs w:val="24"/>
              </w:rPr>
              <w:t>Maternal history</w:t>
            </w:r>
          </w:p>
        </w:tc>
        <w:tc>
          <w:tcPr>
            <w:tcW w:w="5850" w:type="dxa"/>
          </w:tcPr>
          <w:p>
            <w:pPr>
              <w:rPr>
                <w:rFonts w:ascii="Arial" w:hAnsi="Arial" w:cs="Arial"/>
                <w:sz w:val="24"/>
                <w:szCs w:val="24"/>
              </w:rPr>
            </w:pPr>
            <w:r>
              <w:rPr>
                <w:rFonts w:ascii="Arial" w:hAnsi="Arial" w:cs="Arial"/>
                <w:sz w:val="24"/>
                <w:szCs w:val="24"/>
              </w:rPr>
              <w:t>Asthma, dermatitis or hay fever ever reported for the mother (0/1)</w:t>
            </w:r>
          </w:p>
        </w:tc>
        <w:tc>
          <w:tcPr>
            <w:tcW w:w="1885" w:type="dxa"/>
          </w:tcPr>
          <w:p>
            <w:pPr>
              <w:rPr>
                <w:rFonts w:ascii="Arial" w:hAnsi="Arial" w:cs="Arial"/>
                <w:sz w:val="24"/>
                <w:szCs w:val="24"/>
              </w:rPr>
            </w:pPr>
            <w:r>
              <w:rPr>
                <w:rFonts w:ascii="Arial" w:hAnsi="Arial" w:cs="Arial"/>
                <w:sz w:val="24"/>
                <w:szCs w:val="24"/>
              </w:rPr>
              <w:t xml:space="preserve">Paternoster 2018 (split for asthma and eczema) </w:t>
            </w:r>
            <w:r>
              <w:rPr>
                <w:rFonts w:ascii="Arial" w:hAnsi="Arial" w:cs="Arial"/>
                <w:sz w:val="24"/>
                <w:szCs w:val="24"/>
              </w:rPr>
              <w:fldChar w:fldCharType="begin"/>
            </w:r>
            <w:r>
              <w:rPr>
                <w:rFonts w:ascii="Arial" w:hAnsi="Arial" w:cs="Arial"/>
                <w:sz w:val="24"/>
                <w:szCs w:val="24"/>
              </w:rPr>
              <w:instrText xml:space="preserve"> ADDIN ZOTERO_ITEM CSL_CITATION {"citationID":"gbW9FVvP","properties":{"formattedCitation":"\\super 12\\nosupersub{}","plainCitation":"12","noteIndex":0},"citationItems":[{"id":475,"uris":["http://zotero.org/groups/2409646/items/4AGMSWSA"],"itemData":{"id":475,"type":"article-journal","abstract":"Background\nAtopic dermatitis (AD) is a prevalent disease with variable natural history. Longitudinal birth cohort studies provide an opportunity to define subgroups on the basis of disease trajectories, which may represent different genetic and environmental pathomechanisms.\n\nObjectives\nWe sought to investigate the existence of distinct longitudinal phenotypes of AD and test whether these findings are reproducible in 2 independent cohorts.\n\nMethods\nThe presence of AD was examined in 2 birth cohort studies including 9894 children from the United Kingdom (ALSPAC) and 3652 from the Netherlands (PIAMA). AD was defined by parental report of a typical itchy and/or flexural rash. Longitudinal latent class analysis was used to investigate patterns of AD from birth to the age of 11 to 16 years. We investigated associations with known AD risk factors, including FLG null mutations, 23 other established AD-genetic risk variants, and atopic comorbidity.\n\nResults\nSix latent classes were identified, representing subphenotypes of AD, with remarkable consistency between the 2 cohorts. The most prevalent class was early-onset-early-resolving AD, which was associated with male sex. Two classes of persistent disease were identified (early-onset-persistent and early-onset-late-resolving); these were most strongly associated with the AD-genetic risk score as well as personal and parental history of atopic disease. A yet unrecognized class of mid-onset-resolving AD, not associated with FLG mutations, but strongly associated with asthma, was identified.\n\nConclusions\nSix classes based on temporal trajectories of rash were consistently identified in 2 population-based cohorts. The differing risk factor profiles and diverse prognoses demonstrate the potential importance of a stratified medicine approach for AD.","container-title":"The Journal of Allergy and Clinical Immunology","DOI":"10.1016/j.jaci.2017.09.044","ISSN":"0091-6749","issue":"3","journalAbbreviation":"J Allergy Clin Immunol","note":"PMID: 29129583\nPMCID: PMC5840507","page":"964-971","source":"PubMed Central","title":"Identification of atopic dermatitis subgroups in children from 2 longitudinal birth cohorts","volume":"141","author":[{"family":"Paternoster","given":"Lavinia"},{"family":"Savenije","given":"Olga E.M."},{"family":"Heron","given":"Jon"},{"family":"Evans","given":"David M."},{"family":"Vonk","given":"Judith M."},{"family":"Brunekreef","given":"Bert"},{"family":"Wijga","given":"Alet H."},{"family":"Henderson","given":"A. John"},{"family":"Koppelman","given":"Gerard H."},{"family":"Brown","given":"Sara J."}],"issued":{"date-parts":[["2018",3]]}}}],"schema":"https://github.com/citation-style-language/schema/raw/master/csl-citation.json"} </w:instrText>
            </w:r>
            <w:r>
              <w:rPr>
                <w:rFonts w:ascii="Arial" w:hAnsi="Arial" w:cs="Arial"/>
                <w:sz w:val="24"/>
                <w:szCs w:val="24"/>
              </w:rPr>
              <w:fldChar w:fldCharType="separate"/>
            </w:r>
            <w:r>
              <w:rPr>
                <w:rFonts w:ascii="Arial" w:hAnsi="Arial" w:cs="Arial"/>
                <w:sz w:val="24"/>
                <w:szCs w:val="24"/>
                <w:vertAlign w:val="superscript"/>
              </w:rPr>
              <w:t>12</w:t>
            </w:r>
            <w:r>
              <w:rPr>
                <w:rFonts w:ascii="Arial" w:hAnsi="Arial" w:cs="Arial"/>
                <w:sz w:val="24"/>
                <w:szCs w:val="24"/>
              </w:rPr>
              <w:fldChar w:fldCharType="end"/>
            </w:r>
          </w:p>
        </w:tc>
      </w:tr>
      <w:tr>
        <w:tc>
          <w:tcPr>
            <w:tcW w:w="1615" w:type="dxa"/>
          </w:tcPr>
          <w:p>
            <w:pPr>
              <w:rPr>
                <w:rFonts w:ascii="Arial" w:hAnsi="Arial" w:cs="Arial"/>
                <w:sz w:val="24"/>
                <w:szCs w:val="24"/>
              </w:rPr>
            </w:pPr>
            <w:r>
              <w:rPr>
                <w:rFonts w:ascii="Arial" w:hAnsi="Arial" w:cs="Arial"/>
                <w:sz w:val="24"/>
                <w:szCs w:val="24"/>
              </w:rPr>
              <w:t>Paternal history</w:t>
            </w:r>
          </w:p>
        </w:tc>
        <w:tc>
          <w:tcPr>
            <w:tcW w:w="5850" w:type="dxa"/>
          </w:tcPr>
          <w:p>
            <w:pPr>
              <w:rPr>
                <w:rFonts w:ascii="Arial" w:hAnsi="Arial" w:cs="Arial"/>
                <w:sz w:val="24"/>
                <w:szCs w:val="24"/>
              </w:rPr>
            </w:pPr>
            <w:r>
              <w:rPr>
                <w:rFonts w:ascii="Arial" w:hAnsi="Arial" w:cs="Arial"/>
                <w:sz w:val="24"/>
                <w:szCs w:val="24"/>
              </w:rPr>
              <w:t>Asthma, dermatitis or hay fever ever reported for the father (0/1)</w:t>
            </w:r>
          </w:p>
        </w:tc>
        <w:tc>
          <w:tcPr>
            <w:tcW w:w="1885" w:type="dxa"/>
          </w:tcPr>
          <w:p>
            <w:pPr>
              <w:rPr>
                <w:rFonts w:ascii="Arial" w:hAnsi="Arial" w:cs="Arial"/>
                <w:sz w:val="24"/>
                <w:szCs w:val="24"/>
              </w:rPr>
            </w:pPr>
            <w:r>
              <w:rPr>
                <w:rFonts w:ascii="Arial" w:hAnsi="Arial" w:cs="Arial"/>
                <w:sz w:val="24"/>
                <w:szCs w:val="24"/>
              </w:rPr>
              <w:t xml:space="preserve">Paternoster 2018 (split for asthma and eczema) </w:t>
            </w:r>
            <w:r>
              <w:rPr>
                <w:rFonts w:ascii="Arial" w:hAnsi="Arial" w:cs="Arial"/>
                <w:sz w:val="24"/>
                <w:szCs w:val="24"/>
              </w:rPr>
              <w:fldChar w:fldCharType="begin"/>
            </w:r>
            <w:r>
              <w:rPr>
                <w:rFonts w:ascii="Arial" w:hAnsi="Arial" w:cs="Arial"/>
                <w:sz w:val="24"/>
                <w:szCs w:val="24"/>
              </w:rPr>
              <w:instrText xml:space="preserve"> ADDIN ZOTERO_ITEM CSL_CITATION {"citationID":"iIlAGgw3","properties":{"formattedCitation":"\\super 12\\nosupersub{}","plainCitation":"12","noteIndex":0},"citationItems":[{"id":475,"uris":["http://zotero.org/groups/2409646/items/4AGMSWSA"],"itemData":{"id":475,"type":"article-journal","abstract":"Background\nAtopic dermatitis (AD) is a prevalent disease with variable natural history. Longitudinal birth cohort studies provide an opportunity to define subgroups on the basis of disease trajectories, which may represent different genetic and environmental pathomechanisms.\n\nObjectives\nWe sought to investigate the existence of distinct longitudinal phenotypes of AD and test whether these findings are reproducible in 2 independent cohorts.\n\nMethods\nThe presence of AD was examined in 2 birth cohort studies including 9894 children from the United Kingdom (ALSPAC) and 3652 from the Netherlands (PIAMA). AD was defined by parental report of a typical itchy and/or flexural rash. Longitudinal latent class analysis was used to investigate patterns of AD from birth to the age of 11 to 16 years. We investigated associations with known AD risk factors, including FLG null mutations, 23 other established AD-genetic risk variants, and atopic comorbidity.\n\nResults\nSix latent classes were identified, representing subphenotypes of AD, with remarkable consistency between the 2 cohorts. The most prevalent class was early-onset-early-resolving AD, which was associated with male sex. Two classes of persistent disease were identified (early-onset-persistent and early-onset-late-resolving); these were most strongly associated with the AD-genetic risk score as well as personal and parental history of atopic disease. A yet unrecognized class of mid-onset-resolving AD, not associated with FLG mutations, but strongly associated with asthma, was identified.\n\nConclusions\nSix classes based on temporal trajectories of rash were consistently identified in 2 population-based cohorts. The differing risk factor profiles and diverse prognoses demonstrate the potential importance of a stratified medicine approach for AD.","container-title":"The Journal of Allergy and Clinical Immunology","DOI":"10.1016/j.jaci.2017.09.044","ISSN":"0091-6749","issue":"3","journalAbbreviation":"J Allergy Clin Immunol","note":"PMID: 29129583\nPMCID: PMC5840507","page":"964-971","source":"PubMed Central","title":"Identification of atopic dermatitis subgroups in children from 2 longitudinal birth cohorts","volume":"141","author":[{"family":"Paternoster","given":"Lavinia"},{"family":"Savenije","given":"Olga E.M."},{"family":"Heron","given":"Jon"},{"family":"Evans","given":"David M."},{"family":"Vonk","given":"Judith M."},{"family":"Brunekreef","given":"Bert"},{"family":"Wijga","given":"Alet H."},{"family":"Henderson","given":"A. John"},{"family":"Koppelman","given":"Gerard H."},{"family":"Brown","given":"Sara J."}],"issued":{"date-parts":[["2018",3]]}}}],"schema":"https://github.com/citation-style-language/schema/raw/master/csl-citation.json"} </w:instrText>
            </w:r>
            <w:r>
              <w:rPr>
                <w:rFonts w:ascii="Arial" w:hAnsi="Arial" w:cs="Arial"/>
                <w:sz w:val="24"/>
                <w:szCs w:val="24"/>
              </w:rPr>
              <w:fldChar w:fldCharType="separate"/>
            </w:r>
            <w:r>
              <w:rPr>
                <w:rFonts w:ascii="Arial" w:hAnsi="Arial" w:cs="Arial"/>
                <w:sz w:val="24"/>
                <w:szCs w:val="24"/>
                <w:vertAlign w:val="superscript"/>
              </w:rPr>
              <w:t>12</w:t>
            </w:r>
            <w:r>
              <w:rPr>
                <w:rFonts w:ascii="Arial" w:hAnsi="Arial" w:cs="Arial"/>
                <w:sz w:val="24"/>
                <w:szCs w:val="24"/>
              </w:rPr>
              <w:fldChar w:fldCharType="end"/>
            </w:r>
          </w:p>
        </w:tc>
      </w:tr>
      <w:tr>
        <w:tc>
          <w:tcPr>
            <w:tcW w:w="1615" w:type="dxa"/>
          </w:tcPr>
          <w:p>
            <w:pPr>
              <w:rPr>
                <w:rFonts w:ascii="Arial" w:hAnsi="Arial" w:cs="Arial"/>
                <w:sz w:val="24"/>
                <w:szCs w:val="24"/>
              </w:rPr>
            </w:pPr>
            <w:r>
              <w:rPr>
                <w:rFonts w:ascii="Arial" w:hAnsi="Arial" w:cs="Arial"/>
                <w:sz w:val="24"/>
                <w:szCs w:val="24"/>
              </w:rPr>
              <w:t>Parental education</w:t>
            </w:r>
          </w:p>
        </w:tc>
        <w:tc>
          <w:tcPr>
            <w:tcW w:w="5850" w:type="dxa"/>
          </w:tcPr>
          <w:p>
            <w:pPr>
              <w:rPr>
                <w:rFonts w:ascii="Arial" w:hAnsi="Arial" w:cs="Arial"/>
                <w:sz w:val="24"/>
                <w:szCs w:val="24"/>
              </w:rPr>
            </w:pPr>
            <w:r>
              <w:rPr>
                <w:rFonts w:ascii="Arial" w:hAnsi="Arial" w:cs="Arial"/>
                <w:sz w:val="24"/>
                <w:szCs w:val="24"/>
              </w:rPr>
              <w:t>Defined as low, medium or high based on highest general school certificate</w:t>
            </w:r>
          </w:p>
        </w:tc>
        <w:tc>
          <w:tcPr>
            <w:tcW w:w="1885" w:type="dxa"/>
          </w:tcPr>
          <w:p>
            <w:pPr>
              <w:rPr>
                <w:rFonts w:ascii="Arial" w:hAnsi="Arial" w:cs="Arial"/>
                <w:sz w:val="24"/>
                <w:szCs w:val="24"/>
              </w:rPr>
            </w:pPr>
            <w:r>
              <w:rPr>
                <w:rFonts w:ascii="Arial" w:hAnsi="Arial" w:cs="Arial"/>
                <w:sz w:val="24"/>
                <w:szCs w:val="24"/>
              </w:rPr>
              <w:t xml:space="preserve">Hu 2019 </w:t>
            </w:r>
            <w:r>
              <w:rPr>
                <w:rFonts w:ascii="Arial" w:hAnsi="Arial" w:cs="Arial"/>
                <w:sz w:val="24"/>
                <w:szCs w:val="24"/>
              </w:rPr>
              <w:fldChar w:fldCharType="begin"/>
            </w:r>
            <w:r>
              <w:rPr>
                <w:rFonts w:ascii="Arial" w:hAnsi="Arial" w:cs="Arial"/>
                <w:sz w:val="24"/>
                <w:szCs w:val="24"/>
              </w:rPr>
              <w:instrText xml:space="preserve"> ADDIN ZOTERO_ITEM CSL_CITATION {"citationID":"aGnC76iQ","properties":{"formattedCitation":"\\super 13\\nosupersub{}","plainCitation":"13","noteIndex":0},"citationItems":[{"id":451,"uris":["http://zotero.org/groups/2409646/items/MYK7B8T9"],"itemData":{"id":451,"type":"article-journal","abstract":"Background Childhood eczema is variable in onset and persistence. Objectives To identify eczema phenotypes during childhood, and their associations with early-life environmental and genetic factors. Methods In this study of 5297 children from a multiethnic population-based prospective cohort study, phenotypes based on parent-reported physician-diagnosed eczema from age 6 months to 10 years were identified using latent class growth analysis. Information on environmental factors was obtained using postal questionnaires. Four filaggrin mutations were genotyped and a risk score was calculated based on 30 genetic variants. Weighted adjusted multinomial models were used for association analyses. Results We identified the following five eczema phenotypes: never (76%), early transient (8%), mid-transient (6%) and late transient (8%) and persistent eczema (2%). Early transient and persistent eczema were most common in first-born children, those with a parental history of eczema, allergy or asthma and those with persistent wheezing [range of odds ratio (OR): 1.37, 95% confidence interval (CI) 1.07–1.74 and OR 3.38, 95%CI 1.95–5.85]. Early transient eczema was most common in male children only (OR 1·49, 95% CI 1·18–1·89). Children with late transient or persistent eczema were more often of Asian ethnicity (OR 2·04, 95% CI 1·14–3·65 and OR 3·08, 95% CI 1·34–7·10, respectively). Children with early, late transient and persistent eczema more often had a filaggrin mutation or additional risk alleles (range OR: 1.07, 95%CI 1.02–1.12 and OR 2.21, 95%CI 1.39–3.50). Eczema phenotypes were not associated with maternal education, breastfeeding, day care attendance and pet exposure. Conclusions Five eczema phenotypes were identified in a multiethnic paediatric population with limited differences in risk profiles, except for sex and ethnicity. What's already known about this topic? Two previous studies in longitudinal birth cohorts identified four and six different eczema phenotypes, predominantly in children of European ethnicity. What does this study add? Five eczema phenotypes were identified in a multiethnic paediatric population using latent class growth analysis. Children with early transient and persistent eczema were most often first-born children and had persistent wheezing, filaggrin mutation or additional risk alleles. Previously known eczema risk factors had limited differentiating capabilities for eczema phenotypes, except for the association of early transient eczema with male children, and late transient and persistent eczema with Asian ethnicity.","container-title":"British Journal of Dermatology","DOI":"10.1111/bjd.17879","ISSN":"1365-2133","issue":"6","language":"en","note":"_eprint: https://onlinelibrary.wiley.com/doi/pdf/10.1111/bjd.17879","page":"1190-1197","source":"Wiley Online Library","title":"Most associations of early-life environmental exposures and genetic risk factors poorly differentiate between eczema phenotypes: the Generation R Study","title-short":"Most associations of early-life environmental exposures and genetic risk factors poorly differentiate between eczema phenotypes","volume":"181","author":[{"family":"Hu","given":"C."},{"family":"Duijts","given":"L."},{"family":"Erler","given":"N. S."},{"family":"Elbert","given":"N. J."},{"family":"Piketty","given":"C."},{"family":"Bourdès","given":"V."},{"family":"Blanchet</w:instrText>
            </w:r>
            <w:r>
              <w:rPr>
                <w:rFonts w:ascii="Cambria Math" w:hAnsi="Cambria Math" w:cs="Cambria Math"/>
                <w:sz w:val="24"/>
                <w:szCs w:val="24"/>
              </w:rPr>
              <w:instrText>‐</w:instrText>
            </w:r>
            <w:r>
              <w:rPr>
                <w:rFonts w:ascii="Arial" w:hAnsi="Arial" w:cs="Arial"/>
                <w:sz w:val="24"/>
                <w:szCs w:val="24"/>
              </w:rPr>
              <w:instrText xml:space="preserve">Réthoré","given":"S."},{"family":"Jongste","given":"J. C.","dropping-particle":"de"},{"family":"Pasmans","given":"S. G. M. A."},{"family":"Felix","given":"J. F."},{"family":"Nijsten","given":"T."}],"issued":{"date-parts":[["2019"]]}}}],"schema":"https://github.com/citation-style-language/schema/raw/master/csl-citation.json"} </w:instrText>
            </w:r>
            <w:r>
              <w:rPr>
                <w:rFonts w:ascii="Arial" w:hAnsi="Arial" w:cs="Arial"/>
                <w:sz w:val="24"/>
                <w:szCs w:val="24"/>
              </w:rPr>
              <w:fldChar w:fldCharType="separate"/>
            </w:r>
            <w:r>
              <w:rPr>
                <w:rFonts w:ascii="Arial" w:hAnsi="Arial" w:cs="Arial"/>
                <w:sz w:val="24"/>
                <w:szCs w:val="24"/>
                <w:vertAlign w:val="superscript"/>
              </w:rPr>
              <w:t>13</w:t>
            </w:r>
            <w:r>
              <w:rPr>
                <w:rFonts w:ascii="Arial" w:hAnsi="Arial" w:cs="Arial"/>
                <w:sz w:val="24"/>
                <w:szCs w:val="24"/>
              </w:rPr>
              <w:fldChar w:fldCharType="end"/>
            </w:r>
          </w:p>
        </w:tc>
      </w:tr>
      <w:tr>
        <w:tc>
          <w:tcPr>
            <w:tcW w:w="1615" w:type="dxa"/>
          </w:tcPr>
          <w:p>
            <w:pPr>
              <w:rPr>
                <w:rFonts w:ascii="Arial" w:hAnsi="Arial" w:cs="Arial"/>
                <w:sz w:val="24"/>
                <w:szCs w:val="24"/>
              </w:rPr>
            </w:pPr>
            <w:r>
              <w:rPr>
                <w:rFonts w:ascii="Arial" w:hAnsi="Arial" w:cs="Arial"/>
                <w:sz w:val="24"/>
                <w:szCs w:val="24"/>
              </w:rPr>
              <w:t>Caesarean section</w:t>
            </w:r>
          </w:p>
        </w:tc>
        <w:tc>
          <w:tcPr>
            <w:tcW w:w="5850" w:type="dxa"/>
          </w:tcPr>
          <w:p>
            <w:pPr>
              <w:rPr>
                <w:rFonts w:ascii="Arial" w:hAnsi="Arial" w:cs="Arial"/>
                <w:sz w:val="24"/>
                <w:szCs w:val="24"/>
              </w:rPr>
            </w:pPr>
            <w:r>
              <w:rPr>
                <w:rFonts w:ascii="Arial" w:hAnsi="Arial" w:cs="Arial"/>
                <w:sz w:val="24"/>
                <w:szCs w:val="24"/>
              </w:rPr>
              <w:t>If participate was born performing caesarean section (0/1)</w:t>
            </w:r>
          </w:p>
        </w:tc>
        <w:tc>
          <w:tcPr>
            <w:tcW w:w="1885" w:type="dxa"/>
          </w:tcPr>
          <w:p>
            <w:pPr>
              <w:rPr>
                <w:rFonts w:ascii="Arial" w:hAnsi="Arial" w:cs="Arial"/>
                <w:sz w:val="24"/>
                <w:szCs w:val="24"/>
              </w:rPr>
            </w:pPr>
            <w:r>
              <w:rPr>
                <w:rFonts w:ascii="Arial" w:hAnsi="Arial" w:cs="Arial"/>
                <w:sz w:val="24"/>
                <w:szCs w:val="24"/>
              </w:rPr>
              <w:t xml:space="preserve">Bager 2008 </w:t>
            </w:r>
            <w:r>
              <w:rPr>
                <w:rFonts w:ascii="Arial" w:hAnsi="Arial" w:cs="Arial"/>
                <w:sz w:val="24"/>
                <w:szCs w:val="24"/>
              </w:rPr>
              <w:fldChar w:fldCharType="begin"/>
            </w:r>
            <w:r>
              <w:rPr>
                <w:rFonts w:ascii="Arial" w:hAnsi="Arial" w:cs="Arial"/>
                <w:sz w:val="24"/>
                <w:szCs w:val="24"/>
              </w:rPr>
              <w:instrText xml:space="preserve"> ADDIN ZOTERO_ITEM CSL_CITATION {"citationID":"8jFPcFy6","properties":{"formattedCitation":"\\super 16\\nosupersub{}","plainCitation":"16","noteIndex":0},"citationItems":[{"id":1477,"uris":["http://zotero.org/groups/2409649/items/GW6BFL5M"],"itemData":{"id":1477,"type":"article-journal","abstract":"Background Studies of delivery by caesarean section (c-section) and the offspring's risk of allergic diseases are of current interest due to concerns about the increased use of c-section in many countries. However, previous studies have reported inconsistent findings. Objective We investigated whether delivery by c-section is associated with an increased risk of atopy and allergic disease by reviewing the literature, performing a meta-analysis, and assessing publication bias. Methods We used a systematic literature search of MEDLINE (1966 to May 2007). Six common allergic outcomes were included: food allergy/food atopy, inhalant atopy, eczema/atopic dermatitis, allergic rhinitis, asthma, and hospitalization for asthma. For each outcome a meta-analysis was performed, where a summary odds ratio (OR) was calculated taking into account heterogeneity between the study-specific relative risks. Publication bias was assessed using the funnel plot method. Results We identified 26 studies on delivery by c-section and one or more of the six allergic outcomes. C-section was associated with an increased summary OR of food allergy/food atopy (OR 1.32, 95% CI 1.12–1.55; six studies), allergic rhinitis (OR 1.23, 95% CI 1.12–1.35; seven studies), asthma (OR 1.18, 95% CI 1.05–1.32; 13 studies), and hospitalization for asthma (OR 1.21, 95% CI 1.12–1.31; seven studies), whereas there was no association with inhalant atopy (OR 1.06, 95% CI 0.82–1.38; four studies) and eczema/atopic dermatitis (OR 1.03, 95% CI 0.98–1.09; six studies). Funnel plots indicated that the association with food allergy/food atopy could be difficult to interpret due to publication bias. For each significant association with an allergic outcome, only 1–4% of cases were attributable to c-section. Conclusion Delivery by c-section is associated with a moderate risk increase for allergic rhinitis, asthma, hospitalization for asthma, and perhaps food allergy/food atopy, but not with inhalant atopy or atopic dermatitis. The increased use of c-section during the last decades is unlikely to have contributed much to the allergy epidemic observed during the same period.","container-title":"Clinical &amp; Experimental Allergy","DOI":"https://doi.org/10.1111/j.1365-2222.2008.02939.x","ISSN":"1365-2222","issue":"4","language":"en","note":"_eprint: https://onlinelibrary.wiley.com/doi/pdf/10.1111/j.1365-2222.2008.02939.x","page":"634-642","source":"Wiley Online Library","title":"Caesarean delivery and risk of atopy and allergic disesase: meta-analyses","title-short":"Caesarean delivery and risk of atopy and allergic disesase","volume":"38","author":[{"family":"Bager","given":"P."},{"family":"Wohlfahrt","given":"J."},{"family":"Westergaard","given":"T."}],"issued":{"date-parts":[["2008"]]}}}],"schema":"https://github.com/citation-style-language/schema/raw/master/csl-citation.json"} </w:instrText>
            </w:r>
            <w:r>
              <w:rPr>
                <w:rFonts w:ascii="Arial" w:hAnsi="Arial" w:cs="Arial"/>
                <w:sz w:val="24"/>
                <w:szCs w:val="24"/>
              </w:rPr>
              <w:fldChar w:fldCharType="separate"/>
            </w:r>
            <w:r>
              <w:rPr>
                <w:rFonts w:ascii="Arial" w:hAnsi="Arial" w:cs="Arial"/>
                <w:sz w:val="24"/>
                <w:szCs w:val="24"/>
                <w:vertAlign w:val="superscript"/>
              </w:rPr>
              <w:t>16</w:t>
            </w:r>
            <w:r>
              <w:rPr>
                <w:rFonts w:ascii="Arial" w:hAnsi="Arial" w:cs="Arial"/>
                <w:sz w:val="24"/>
                <w:szCs w:val="24"/>
              </w:rPr>
              <w:fldChar w:fldCharType="end"/>
            </w:r>
          </w:p>
        </w:tc>
      </w:tr>
      <w:tr>
        <w:tc>
          <w:tcPr>
            <w:tcW w:w="1615" w:type="dxa"/>
          </w:tcPr>
          <w:p>
            <w:pPr>
              <w:rPr>
                <w:rFonts w:ascii="Arial" w:hAnsi="Arial" w:cs="Arial"/>
                <w:sz w:val="24"/>
                <w:szCs w:val="24"/>
              </w:rPr>
            </w:pPr>
            <w:r>
              <w:rPr>
                <w:rFonts w:ascii="Arial" w:hAnsi="Arial" w:cs="Arial"/>
                <w:sz w:val="24"/>
                <w:szCs w:val="24"/>
              </w:rPr>
              <w:t>Breastfeeding</w:t>
            </w:r>
          </w:p>
        </w:tc>
        <w:tc>
          <w:tcPr>
            <w:tcW w:w="5850" w:type="dxa"/>
          </w:tcPr>
          <w:p>
            <w:pPr>
              <w:rPr>
                <w:rFonts w:ascii="Arial" w:hAnsi="Arial" w:cs="Arial"/>
                <w:sz w:val="24"/>
                <w:szCs w:val="24"/>
              </w:rPr>
            </w:pPr>
            <w:r>
              <w:rPr>
                <w:rFonts w:ascii="Arial" w:hAnsi="Arial" w:cs="Arial"/>
                <w:sz w:val="24"/>
                <w:szCs w:val="24"/>
              </w:rPr>
              <w:t>Participants were exclusively breastfed during the first four months of life (0/1)</w:t>
            </w:r>
          </w:p>
        </w:tc>
        <w:tc>
          <w:tcPr>
            <w:tcW w:w="1885" w:type="dxa"/>
          </w:tcPr>
          <w:p>
            <w:pPr>
              <w:rPr>
                <w:rFonts w:ascii="Arial" w:hAnsi="Arial" w:cs="Arial"/>
                <w:sz w:val="24"/>
                <w:szCs w:val="24"/>
              </w:rPr>
            </w:pPr>
            <w:r>
              <w:rPr>
                <w:rFonts w:ascii="Arial" w:hAnsi="Arial" w:cs="Arial"/>
                <w:sz w:val="24"/>
                <w:szCs w:val="24"/>
              </w:rPr>
              <w:t xml:space="preserve">Paternoster 2018, Hu 2019 </w:t>
            </w:r>
            <w:r>
              <w:rPr>
                <w:rFonts w:ascii="Arial" w:hAnsi="Arial" w:cs="Arial"/>
                <w:sz w:val="24"/>
                <w:szCs w:val="24"/>
              </w:rPr>
              <w:fldChar w:fldCharType="begin"/>
            </w:r>
            <w:r>
              <w:rPr>
                <w:rFonts w:ascii="Arial" w:hAnsi="Arial" w:cs="Arial"/>
                <w:sz w:val="24"/>
                <w:szCs w:val="24"/>
              </w:rPr>
              <w:instrText xml:space="preserve"> ADDIN ZOTERO_ITEM CSL_CITATION {"citationID":"4PoPFoHM","properties":{"formattedCitation":"\\super 12,13\\nosupersub{}","plainCitation":"12,13","noteIndex":0},"citationItems":[{"id":475,"uris":["http://zotero.org/groups/2409646/items/4AGMSWSA"],"itemData":{"id":475,"type":"article-journal","abstract":"Background\nAtopic dermatitis (AD) is a prevalent disease with variable natural history. Longitudinal birth cohort studies provide an opportunity to define subgroups on the basis of disease trajectories, which may represent different genetic and environmental pathomechanisms.\n\nObjectives\nWe sought to investigate the existence of distinct longitudinal phenotypes of AD and test whether these findings are reproducible in 2 independent cohorts.\n\nMethods\nThe presence of AD was examined in 2 birth cohort studies including 9894 children from the United Kingdom (ALSPAC) and 3652 from the Netherlands (PIAMA). AD was defined by parental report of a typical itchy and/or flexural rash. Longitudinal latent class analysis was used to investigate patterns of AD from birth to the age of 11 to 16 years. We investigated associations with known AD risk factors, including FLG null mutations, 23 other established AD-genetic risk variants, and atopic comorbidity.\n\nResults\nSix latent classes were identified, representing subphenotypes of AD, with remarkable consistency between the 2 cohorts. The most prevalent class was early-onset-early-resolving AD, which was associated with male sex. Two classes of persistent disease were identified (early-onset-persistent and early-onset-late-resolving); these were most strongly associated with the AD-genetic risk score as well as personal and parental history of atopic disease. A yet unrecognized class of mid-onset-resolving AD, not associated with FLG mutations, but strongly associated with asthma, was identified.\n\nConclusions\nSix classes based on temporal trajectories of rash were consistently identified in 2 population-based cohorts. The differing risk factor profiles and diverse prognoses demonstrate the potential importance of a stratified medicine approach for AD.","container-title":"The Journal of Allergy and Clinical Immunology","DOI":"10.1016/j.jaci.2017.09.044","ISSN":"0091-6749","issue":"3","journalAbbreviation":"J Allergy Clin Immunol","note":"PMID: 29129583\nPMCID: PMC5840507","page":"964-971","source":"PubMed Central","title":"Identification of atopic dermatitis subgroups in children from 2 longitudinal birth cohorts","volume":"141","author":[{"family":"Paternoster","given":"Lavinia"},{"family":"Savenije","given":"Olga E.M."},{"family":"Heron","given":"Jon"},{"family":"Evans","given":"David M."},{"family":"Vonk","given":"Judith M."},{"family":"Brunekreef","given":"Bert"},{"family":"Wijga","given":"Alet H."},{"family":"Henderson","given":"A. John"},{"family":"Koppelman","given":"Gerard H."},{"family":"Brown","given":"Sara J."}],"issued":{"date-parts":[["2018",3]]}}},{"id":451,"uris":["http://zotero.org/groups/2409646/items/MYK7B8T9"],"itemData":{"id":451,"type":"article-journal","abstract":"Background Childhood eczema is variable in onset and persistence. Objectives To identify eczema phenotypes during childhood, and their associations with early-life environmental and genetic factors. Methods In this study of 5297 children from a multiethnic population-based prospective cohort study, phenotypes based on parent-reported physician-diagnosed eczema from age 6 months to 10 years were identified using latent class growth analysis. Information on environmental factors was obtained using postal questionnaires. Four filaggrin mutations were genotyped and a risk score was calculated based on 30 genetic variants. Weighted adjusted multinomial models were used for association analyses. Results We identified the following five eczema phenotypes: never (76%), early transient (8%), mid-transient (6%) and late transient (8%) and persistent eczema (2%). Early transient and persistent eczema were most common in first-born children, those with a parental history of eczema, allergy or asthma and those with persistent wheezing [range of odds ratio (OR): 1.37, 95% confidence interval (CI) 1.07–1.74 and OR 3.38, 95%CI 1.95–5.85]. Early transient eczema was most common in male children only (OR 1·49, 95% CI 1·18–1·89). Children with late transient or persistent eczema were more often of Asian ethnicity (OR 2·04, 95% CI 1·14–3·65 and OR 3·08, 95% CI 1·34–7·10, respectively). Children with early, late transient and persistent eczema more often had a filaggrin mutation or additional risk alleles (range OR: 1.07, 95%CI 1.02–1.12 and OR 2.21, 95%CI 1.39–3.50). Eczema phenotypes were not associated with maternal education, breastfeeding, day care attendance and pet exposure. Conclusions Five eczema phenotypes were identified in a multiethnic paediatric population with limited differences in risk profiles, except for sex and ethnicity. What's already known about this topic? Two previous studies in longitudinal birth cohorts identified four and six different eczema phenotypes, predominantly in children of European ethnicity. What does this study add? Five eczema phenotypes were identified in a multiethnic paediatric population using latent class growth analysis. Children with early transient and persistent eczema were most often first-born children and had persistent wheezing, filaggrin mutation or additional risk alleles. Previously known eczema risk factors had limited differentiating capabilities for eczema phenotypes, except for the association of early transient eczema with male children, and late transient and persistent eczema with Asian ethnicity.","container-title":"British Journal of Dermatology","DOI":"10.1111/bjd.17879","ISSN":"1365-2133","issue":"6","language":"en","note":"_eprint: https://onlinelibrary.wiley.com/doi/pdf/10.1111/bjd.17879","page":"1190-1197","source":"Wiley Online Library","title":"Most associations of early-life environmental exposures and genetic risk factors poorly differentiate between eczema phenotypes: the Generation R Study","title-short":"Most associations of early-life environmental exposures and genetic risk factors poorly differentiate between eczema phenotypes","volume":"181","author":[{"family":"Hu","given":"C."},{"family":"Duijts","given":"L."},{"family":"Erler","given":"N. S."},{"family":"Elbert","given":"N. J."},{"family":"Piketty","given":"C."},{"family":"Bourdès","given":"V."},{"family":"Blanchet</w:instrText>
            </w:r>
            <w:r>
              <w:rPr>
                <w:rFonts w:ascii="Cambria Math" w:hAnsi="Cambria Math" w:cs="Cambria Math"/>
                <w:sz w:val="24"/>
                <w:szCs w:val="24"/>
              </w:rPr>
              <w:instrText>‐</w:instrText>
            </w:r>
            <w:r>
              <w:rPr>
                <w:rFonts w:ascii="Arial" w:hAnsi="Arial" w:cs="Arial"/>
                <w:sz w:val="24"/>
                <w:szCs w:val="24"/>
              </w:rPr>
              <w:instrText xml:space="preserve">Réthoré","given":"S."},{"family":"Jongste","given":"J. C.","dropping-particle":"de"},{"family":"Pasmans","given":"S. G. M. A."},{"family":"Felix","given":"J. F."},{"family":"Nijsten","given":"T."}],"issued":{"date-parts":[["2019"]]}}}],"schema":"https://github.com/citation-style-language/schema/raw/master/csl-citation.json"} </w:instrText>
            </w:r>
            <w:r>
              <w:rPr>
                <w:rFonts w:ascii="Arial" w:hAnsi="Arial" w:cs="Arial"/>
                <w:sz w:val="24"/>
                <w:szCs w:val="24"/>
              </w:rPr>
              <w:fldChar w:fldCharType="separate"/>
            </w:r>
            <w:r>
              <w:rPr>
                <w:rFonts w:ascii="Arial" w:hAnsi="Arial" w:cs="Arial"/>
                <w:sz w:val="24"/>
                <w:szCs w:val="24"/>
                <w:vertAlign w:val="superscript"/>
              </w:rPr>
              <w:t>12,13</w:t>
            </w:r>
            <w:r>
              <w:rPr>
                <w:rFonts w:ascii="Arial" w:hAnsi="Arial" w:cs="Arial"/>
                <w:sz w:val="24"/>
                <w:szCs w:val="24"/>
              </w:rPr>
              <w:fldChar w:fldCharType="end"/>
            </w:r>
          </w:p>
        </w:tc>
      </w:tr>
      <w:tr>
        <w:tc>
          <w:tcPr>
            <w:tcW w:w="1615" w:type="dxa"/>
          </w:tcPr>
          <w:p>
            <w:pPr>
              <w:rPr>
                <w:rFonts w:ascii="Arial" w:hAnsi="Arial" w:cs="Arial"/>
                <w:sz w:val="24"/>
                <w:szCs w:val="24"/>
              </w:rPr>
            </w:pPr>
            <w:r>
              <w:rPr>
                <w:rFonts w:ascii="Arial" w:hAnsi="Arial" w:cs="Arial"/>
                <w:sz w:val="24"/>
                <w:szCs w:val="24"/>
              </w:rPr>
              <w:t>Presence of older siblings</w:t>
            </w:r>
          </w:p>
        </w:tc>
        <w:tc>
          <w:tcPr>
            <w:tcW w:w="5850" w:type="dxa"/>
          </w:tcPr>
          <w:p>
            <w:pPr>
              <w:rPr>
                <w:rFonts w:ascii="Arial" w:hAnsi="Arial" w:cs="Arial"/>
                <w:sz w:val="24"/>
                <w:szCs w:val="24"/>
              </w:rPr>
            </w:pPr>
            <w:r>
              <w:rPr>
                <w:rFonts w:ascii="Arial" w:hAnsi="Arial" w:cs="Arial"/>
                <w:sz w:val="24"/>
                <w:szCs w:val="24"/>
              </w:rPr>
              <w:t>Participants had older siblings (0/1)</w:t>
            </w:r>
          </w:p>
        </w:tc>
        <w:tc>
          <w:tcPr>
            <w:tcW w:w="1885" w:type="dxa"/>
          </w:tcPr>
          <w:p>
            <w:pPr>
              <w:rPr>
                <w:rFonts w:ascii="Arial" w:hAnsi="Arial" w:cs="Arial"/>
                <w:sz w:val="24"/>
                <w:szCs w:val="24"/>
              </w:rPr>
            </w:pPr>
            <w:r>
              <w:rPr>
                <w:rFonts w:ascii="Arial" w:hAnsi="Arial" w:cs="Arial"/>
                <w:sz w:val="24"/>
                <w:szCs w:val="24"/>
              </w:rPr>
              <w:t xml:space="preserve">Nicolaou 2008 </w:t>
            </w:r>
            <w:r>
              <w:rPr>
                <w:rFonts w:ascii="Arial" w:hAnsi="Arial" w:cs="Arial"/>
                <w:sz w:val="24"/>
                <w:szCs w:val="24"/>
              </w:rPr>
              <w:fldChar w:fldCharType="begin"/>
            </w:r>
            <w:r>
              <w:rPr>
                <w:rFonts w:ascii="Arial" w:hAnsi="Arial" w:cs="Arial"/>
                <w:sz w:val="24"/>
                <w:szCs w:val="24"/>
              </w:rPr>
              <w:instrText xml:space="preserve"> ADDIN ZOTERO_ITEM CSL_CITATION {"citationID":"BAdlBHZV","properties":{"formattedCitation":"\\super 17\\nosupersub{}","plainCitation":"17","noteIndex":0},"citationItems":[{"id":1468,"uris":["http://zotero.org/groups/2409649/items/5F39XEXG"],"itemData":{"id":1468,"type":"article-journal","abstract":"&lt;h3&gt;Background&lt;/h3&gt;&lt;p&gt;There are conflicting data on the effect of day-care attendance and position in sibship on the development of wheezing.&lt;/p&gt;&lt;h3&gt;Objective&lt;/h3&gt;&lt;p&gt;To investigate the relationship between day-care attendance and position in sibship with early childhood wheeze.&lt;/p&gt;&lt;h3&gt;Methods&lt;/h3&gt;&lt;p&gt;Prospective population-based birth cohort. At age 5 years, we collected information on parentally reported symptoms (n = 922); lung function was ascertained using plethysmography (n = 745) and allergic sensitization by skin testing (n = 815). Participants were assigned into categories according to the age of entry to day-care (0-6, 6-12, &gt;12 mo) and number of older siblings (0, 1, 2, &gt;2).&lt;/p&gt;&lt;h3&gt;Results&lt;/h3&gt;&lt;p&gt;Current wheeze was reported by 203 participants (22%); 224 (28%) were sensitized. In the multivariate model, sensitization (odds ratio, 2.47; 95% CI, 1.66-3.67), male sex (1.49, 1.01-2.20), maternal asthma (1.72, 1.10-2.68), and maternal smoking during pregnancy (2.15, 1.26-3.66) significantly increased the risk of wheezing. Entering day-care between 6 and 12 or after 12 months of age was significantly and inversely associated with current wheeze (0.25, 0.11-0.60; and 0.65, 0.44-0.98, respectively). Entry into nursery between 6 and 12 months reduced the risk of persistent wheezing (&lt;i&gt;P&lt;/i&gt; = .04). We found no association between day-care attendance and lung function. Entering nursery in the first 6 months of life was associated with increased risk of atopy (2.47, 1.23-4.95). Having older siblings was associated only with rhinoconjunctivitis (0.72, 0.54-0.97).&lt;/p&gt;&lt;h3&gt;Conclusion&lt;/h3&gt;&lt;p&gt;Day-care attendance was associated with a reduced risk of current wheezing in 5-year-old children. The protective effect appeared strongest for children who entered day-care between the ages of 6 and 12 months.&lt;/p&gt;","container-title":"Journal of Allergy and Clinical Immunology","DOI":"10.1016/j.jaci.2008.06.033","ISSN":"0091-6749, 1097-6825","issue":"3","journalAbbreviation":"Journal of Allergy and Clinical Immunology","language":"English","note":"publisher: Elsevier\nPMID: 18774386","page":"500-506.e5","source":"www.jacionline.org","title":"Day-care attendance, position in sibship, and early childhood wheezing: A population-based birth cohort study","title-short":"Day-care attendance, position in sibship, and early childhood wheezing","volume":"122","author":[{"family":"Nicolaou","given":"Nicolaos C."},{"family":"Simpson","given":"Angela"},{"family":"Lowe","given":"Lesley A."},{"family":"Murray","given":"Clare S."},{"family":"Woodcock","given":"Ashley"},{"family":"Custovic","given":"Adnan"}],"issued":{"date-parts":[["2008",9,1]]}}}],"schema":"https://github.com/citation-style-language/schema/raw/master/csl-citation.json"} </w:instrText>
            </w:r>
            <w:r>
              <w:rPr>
                <w:rFonts w:ascii="Arial" w:hAnsi="Arial" w:cs="Arial"/>
                <w:sz w:val="24"/>
                <w:szCs w:val="24"/>
              </w:rPr>
              <w:fldChar w:fldCharType="separate"/>
            </w:r>
            <w:r>
              <w:rPr>
                <w:rFonts w:ascii="Arial" w:hAnsi="Arial" w:cs="Arial"/>
                <w:sz w:val="24"/>
                <w:szCs w:val="24"/>
                <w:vertAlign w:val="superscript"/>
              </w:rPr>
              <w:t>17</w:t>
            </w:r>
            <w:r>
              <w:rPr>
                <w:rFonts w:ascii="Arial" w:hAnsi="Arial" w:cs="Arial"/>
                <w:sz w:val="24"/>
                <w:szCs w:val="24"/>
              </w:rPr>
              <w:fldChar w:fldCharType="end"/>
            </w:r>
          </w:p>
        </w:tc>
      </w:tr>
      <w:tr>
        <w:tc>
          <w:tcPr>
            <w:tcW w:w="1615" w:type="dxa"/>
          </w:tcPr>
          <w:p>
            <w:pPr>
              <w:rPr>
                <w:rFonts w:ascii="Arial" w:hAnsi="Arial" w:cs="Arial"/>
                <w:sz w:val="24"/>
                <w:szCs w:val="24"/>
              </w:rPr>
            </w:pPr>
            <w:r>
              <w:rPr>
                <w:rFonts w:ascii="Arial" w:hAnsi="Arial" w:cs="Arial"/>
                <w:sz w:val="24"/>
                <w:szCs w:val="24"/>
              </w:rPr>
              <w:t>Maternal smoking during pregnancy</w:t>
            </w:r>
          </w:p>
        </w:tc>
        <w:tc>
          <w:tcPr>
            <w:tcW w:w="5850" w:type="dxa"/>
          </w:tcPr>
          <w:p>
            <w:pPr>
              <w:rPr>
                <w:rFonts w:ascii="Arial" w:hAnsi="Arial" w:cs="Arial"/>
                <w:sz w:val="24"/>
                <w:szCs w:val="24"/>
              </w:rPr>
            </w:pPr>
            <w:r>
              <w:rPr>
                <w:rFonts w:ascii="Arial" w:hAnsi="Arial" w:cs="Arial"/>
                <w:sz w:val="24"/>
                <w:szCs w:val="24"/>
              </w:rPr>
              <w:t>If mothers answered to have smoked at least one cigarette during the second or third trimester of pregnancy (0/1)</w:t>
            </w:r>
          </w:p>
        </w:tc>
        <w:tc>
          <w:tcPr>
            <w:tcW w:w="1885" w:type="dxa"/>
          </w:tcPr>
          <w:p>
            <w:pPr>
              <w:rPr>
                <w:rFonts w:ascii="Arial" w:hAnsi="Arial" w:cs="Arial"/>
                <w:sz w:val="24"/>
                <w:szCs w:val="24"/>
              </w:rPr>
            </w:pPr>
            <w:r>
              <w:rPr>
                <w:rFonts w:ascii="Arial" w:hAnsi="Arial" w:cs="Arial"/>
                <w:sz w:val="24"/>
                <w:szCs w:val="24"/>
              </w:rPr>
              <w:t xml:space="preserve">Luzak 2017 (lung function) </w:t>
            </w:r>
            <w:r>
              <w:rPr>
                <w:rFonts w:ascii="Arial" w:hAnsi="Arial" w:cs="Arial"/>
                <w:sz w:val="24"/>
                <w:szCs w:val="24"/>
              </w:rPr>
              <w:fldChar w:fldCharType="begin"/>
            </w:r>
            <w:r>
              <w:rPr>
                <w:rFonts w:ascii="Arial" w:hAnsi="Arial" w:cs="Arial"/>
                <w:sz w:val="24"/>
                <w:szCs w:val="24"/>
              </w:rPr>
              <w:instrText xml:space="preserve"> ADDIN ZOTERO_ITEM CSL_CITATION {"citationID":"uVJGrDwE","properties":{"formattedCitation":"\\super 18\\nosupersub{}","plainCitation":"18","noteIndex":0},"citationItems":[{"id":754,"uris":["http://zotero.org/groups/2409649/items/DGC2G4TD"],"itemData":{"id":754,"type":"article-journal","abstract":"Background\nVarious factors may affect lung function at different stages in life. Since investigations that simultaneously consider several factors are rare, we examined the relative importance of early life, current environmental/lifestyle factors and allergic diseases on lung function in 15-year-olds.\n\nMethods\nBest subset selection was performed for linear regression models to investigate associations between 21 diverse early life events and current factors with spirometric parameters (forced vital capacity, forced expiratory volume in 1 s and maximal mid-expiratory flow (FEF25–75)) in 1326 participants of the German GINIplus and LISAplus birth cohorts. To reduce model complexity, one model for each spirometric parameter was replicated 1000 times in random subpopulations (N = 884). Only those factors that were included in &gt;70% of the replication models were retained in the final analysis.\n\nResults\nA higher peak weight velocity and early lung infections were the early life events prevalently associated with airflow limitation and FEF25–75. Current environmental/lifestyle factors at age 15 years and allergic diseases that were associated with lung function were: indoor second-hand smoke exposure, vitamin D concentration, body mass index (BMI) and asthma status. Sex and height captured the majority of the explained variance (&gt;75%), followed by BMI (≤23.7%). The variance explained by early life events was comparatively low (median: 4.8%; range: 0.2–22.4%), but these events were consistently negatively associated with airway function.\n\nConclusions\nAlthough the explained variance was mainly captured by well-known factors included in lung function prediction equations, our findings indicate early life and current factors that should be considered in studies on lung health among adolescents.\n\nElectronic supplementary material\nThe online version of this article (doi:10.1186/s12931-017-0619-5) contains supplementary material, which is available to authorized users.","container-title":"Respiratory Research","DOI":"10.1186/s12931-017-0619-5","ISSN":"1465-9921","journalAbbreviation":"Respir Res","note":"PMID: 28701166\nPMCID: PMC5508705","source":"PubMed Central","title":"Which early life events or current environmental and lifestyle factors influence lung function in adolescents? – results from the GINIplus &amp; LISAplus studies","title-short":"Which early life events or current environmental and lifestyle factors influence lung function in adolescents?","URL":"https://www.ncbi.nlm.nih.gov/pmc/articles/PMC5508705/","volume":"18","author":[{"family":"Luzak","given":"Agnes"},{"family":"Fuertes","given":"Elaine"},{"family":"Flexeder","given":"Claudia"},{"family":"Standl","given":"Marie"},{"family":"Berg","given":"Andrea","non-dropping-particle":"von"},{"family":"Berdel","given":"Dietrich"},{"family":"Koletzko","given":"Sibylle"},{"family":"Heinrich","given":"Joachim"},{"family":"Nowak","given":"Dennis"},{"family":"Schulz","given":"Holger"}],"accessed":{"date-parts":[["2020",2,27]]},"issued":{"date-parts":[["2017"]]}}}],"schema":"https://github.com/citation-style-language/schema/raw/master/csl-citation.json"} </w:instrText>
            </w:r>
            <w:r>
              <w:rPr>
                <w:rFonts w:ascii="Arial" w:hAnsi="Arial" w:cs="Arial"/>
                <w:sz w:val="24"/>
                <w:szCs w:val="24"/>
              </w:rPr>
              <w:fldChar w:fldCharType="separate"/>
            </w:r>
            <w:r>
              <w:rPr>
                <w:rFonts w:ascii="Arial" w:hAnsi="Arial" w:cs="Arial"/>
                <w:sz w:val="24"/>
                <w:szCs w:val="24"/>
                <w:vertAlign w:val="superscript"/>
              </w:rPr>
              <w:t>18</w:t>
            </w:r>
            <w:r>
              <w:rPr>
                <w:rFonts w:ascii="Arial" w:hAnsi="Arial" w:cs="Arial"/>
                <w:sz w:val="24"/>
                <w:szCs w:val="24"/>
              </w:rPr>
              <w:fldChar w:fldCharType="end"/>
            </w:r>
          </w:p>
        </w:tc>
      </w:tr>
      <w:tr>
        <w:tc>
          <w:tcPr>
            <w:tcW w:w="1615" w:type="dxa"/>
          </w:tcPr>
          <w:p>
            <w:pPr>
              <w:rPr>
                <w:rFonts w:ascii="Arial" w:hAnsi="Arial" w:cs="Arial"/>
                <w:sz w:val="24"/>
                <w:szCs w:val="24"/>
              </w:rPr>
            </w:pPr>
            <w:r>
              <w:rPr>
                <w:rFonts w:ascii="Arial" w:hAnsi="Arial" w:cs="Arial"/>
                <w:sz w:val="24"/>
                <w:szCs w:val="24"/>
              </w:rPr>
              <w:t>Environmental tobacco smoke exposure</w:t>
            </w:r>
          </w:p>
        </w:tc>
        <w:tc>
          <w:tcPr>
            <w:tcW w:w="5850" w:type="dxa"/>
          </w:tcPr>
          <w:p>
            <w:pPr>
              <w:rPr>
                <w:rFonts w:ascii="Arial" w:hAnsi="Arial" w:cs="Arial"/>
                <w:sz w:val="24"/>
                <w:szCs w:val="24"/>
              </w:rPr>
            </w:pPr>
            <w:r>
              <w:rPr>
                <w:rFonts w:ascii="Arial" w:hAnsi="Arial" w:cs="Arial"/>
                <w:sz w:val="24"/>
                <w:szCs w:val="24"/>
              </w:rPr>
              <w:t>Smoking inside the house/flat within the first four years of life of the child (0/1)</w:t>
            </w:r>
          </w:p>
        </w:tc>
        <w:tc>
          <w:tcPr>
            <w:tcW w:w="1885" w:type="dxa"/>
          </w:tcPr>
          <w:p>
            <w:pPr>
              <w:rPr>
                <w:rFonts w:ascii="Arial" w:hAnsi="Arial" w:cs="Arial"/>
                <w:sz w:val="24"/>
                <w:szCs w:val="24"/>
              </w:rPr>
            </w:pPr>
            <w:r>
              <w:rPr>
                <w:rFonts w:ascii="Arial" w:hAnsi="Arial" w:cs="Arial"/>
                <w:sz w:val="24"/>
                <w:szCs w:val="24"/>
              </w:rPr>
              <w:t xml:space="preserve">Luzak 2017 (lung function) </w:t>
            </w:r>
            <w:r>
              <w:rPr>
                <w:rFonts w:ascii="Arial" w:hAnsi="Arial" w:cs="Arial"/>
                <w:sz w:val="24"/>
                <w:szCs w:val="24"/>
              </w:rPr>
              <w:fldChar w:fldCharType="begin"/>
            </w:r>
            <w:r>
              <w:rPr>
                <w:rFonts w:ascii="Arial" w:hAnsi="Arial" w:cs="Arial"/>
                <w:sz w:val="24"/>
                <w:szCs w:val="24"/>
              </w:rPr>
              <w:instrText xml:space="preserve"> ADDIN ZOTERO_ITEM CSL_CITATION {"citationID":"g0le3Chs","properties":{"formattedCitation":"\\super 18\\nosupersub{}","plainCitation":"18","noteIndex":0},"citationItems":[{"id":754,"uris":["http://zotero.org/groups/2409649/items/DGC2G4TD"],"itemData":{"id":754,"type":"article-journal","abstract":"Background\nVarious factors may affect lung function at different stages in life. Since investigations that simultaneously consider several factors are rare, we examined the relative importance of early life, current environmental/lifestyle factors and allergic diseases on lung function in 15-year-olds.\n\nMethods\nBest subset selection was performed for linear regression models to investigate associations between 21 diverse early life events and current factors with spirometric parameters (forced vital capacity, forced expiratory volume in 1 s and maximal mid-expiratory flow (FEF25–75)) in 1326 participants of the German GINIplus and LISAplus birth cohorts. To reduce model complexity, one model for each spirometric parameter was replicated 1000 times in random subpopulations (N = 884). Only those factors that were included in &gt;70% of the replication models were retained in the final analysis.\n\nResults\nA higher peak weight velocity and early lung infections were the early life events prevalently associated with airflow limitation and FEF25–75. Current environmental/lifestyle factors at age 15 years and allergic diseases that were associated with lung function were: indoor second-hand smoke exposure, vitamin D concentration, body mass index (BMI) and asthma status. Sex and height captured the majority of the explained variance (&gt;75%), followed by BMI (≤23.7%). The variance explained by early life events was comparatively low (median: 4.8%; range: 0.2–22.4%), but these events were consistently negatively associated with airway function.\n\nConclusions\nAlthough the explained variance was mainly captured by well-known factors included in lung function prediction equations, our findings indicate early life and current factors that should be considered in studies on lung health among adolescents.\n\nElectronic supplementary material\nThe online version of this article (doi:10.1186/s12931-017-0619-5) contains supplementary material, which is available to authorized users.","container-title":"Respiratory Research","DOI":"10.1186/s12931-017-0619-5","ISSN":"1465-9921","journalAbbreviation":"Respir Res","note":"PMID: 28701166\nPMCID: PMC5508705","source":"PubMed Central","title":"Which early life events or current environmental and lifestyle factors influence lung function in adolescents? – results from the GINIplus &amp; LISAplus studies","title-short":"Which early life events or current environmental and lifestyle factors influence lung function in adolescents?","URL":"https://www.ncbi.nlm.nih.gov/pmc/articles/PMC5508705/","volume":"18","author":[{"family":"Luzak","given":"Agnes"},{"family":"Fuertes","given":"Elaine"},{"family":"Flexeder","given":"Claudia"},{"family":"Standl","given":"Marie"},{"family":"Berg","given":"Andrea","non-dropping-particle":"von"},{"family":"Berdel","given":"Dietrich"},{"family":"Koletzko","given":"Sibylle"},{"family":"Heinrich","given":"Joachim"},{"family":"Nowak","given":"Dennis"},{"family":"Schulz","given":"Holger"}],"accessed":{"date-parts":[["2020",2,27]]},"issued":{"date-parts":[["2017"]]}}}],"schema":"https://github.com/citation-style-language/schema/raw/master/csl-citation.json"} </w:instrText>
            </w:r>
            <w:r>
              <w:rPr>
                <w:rFonts w:ascii="Arial" w:hAnsi="Arial" w:cs="Arial"/>
                <w:sz w:val="24"/>
                <w:szCs w:val="24"/>
              </w:rPr>
              <w:fldChar w:fldCharType="separate"/>
            </w:r>
            <w:r>
              <w:rPr>
                <w:rFonts w:ascii="Arial" w:hAnsi="Arial" w:cs="Arial"/>
                <w:sz w:val="24"/>
                <w:szCs w:val="24"/>
                <w:vertAlign w:val="superscript"/>
              </w:rPr>
              <w:t>18</w:t>
            </w:r>
            <w:r>
              <w:rPr>
                <w:rFonts w:ascii="Arial" w:hAnsi="Arial" w:cs="Arial"/>
                <w:sz w:val="24"/>
                <w:szCs w:val="24"/>
              </w:rPr>
              <w:fldChar w:fldCharType="end"/>
            </w:r>
          </w:p>
        </w:tc>
      </w:tr>
      <w:tr>
        <w:tc>
          <w:tcPr>
            <w:tcW w:w="1615" w:type="dxa"/>
          </w:tcPr>
          <w:p>
            <w:pPr>
              <w:rPr>
                <w:rFonts w:ascii="Arial" w:hAnsi="Arial" w:cs="Arial"/>
                <w:sz w:val="24"/>
                <w:szCs w:val="24"/>
              </w:rPr>
            </w:pPr>
            <w:r>
              <w:rPr>
                <w:rFonts w:ascii="Arial" w:hAnsi="Arial" w:cs="Arial"/>
                <w:sz w:val="24"/>
                <w:szCs w:val="24"/>
              </w:rPr>
              <w:t>Furry big pets</w:t>
            </w:r>
          </w:p>
        </w:tc>
        <w:tc>
          <w:tcPr>
            <w:tcW w:w="5850" w:type="dxa"/>
          </w:tcPr>
          <w:p>
            <w:pPr>
              <w:rPr>
                <w:rFonts w:ascii="Arial" w:hAnsi="Arial" w:cs="Arial"/>
                <w:sz w:val="24"/>
                <w:szCs w:val="24"/>
              </w:rPr>
            </w:pPr>
            <w:r>
              <w:rPr>
                <w:rFonts w:ascii="Arial" w:hAnsi="Arial" w:cs="Arial"/>
                <w:sz w:val="24"/>
                <w:szCs w:val="24"/>
              </w:rPr>
              <w:t>Participants had at least one cat or dog within the first four years of life (0/1)</w:t>
            </w:r>
          </w:p>
        </w:tc>
        <w:tc>
          <w:tcPr>
            <w:tcW w:w="1885" w:type="dxa"/>
          </w:tcPr>
          <w:p>
            <w:pPr>
              <w:rPr>
                <w:rFonts w:ascii="Arial" w:hAnsi="Arial" w:cs="Arial"/>
                <w:sz w:val="24"/>
                <w:szCs w:val="24"/>
              </w:rPr>
            </w:pPr>
            <w:r>
              <w:rPr>
                <w:rFonts w:ascii="Arial" w:hAnsi="Arial" w:cs="Arial"/>
                <w:sz w:val="24"/>
                <w:szCs w:val="24"/>
              </w:rPr>
              <w:t xml:space="preserve">Hu 2019 </w:t>
            </w:r>
            <w:r>
              <w:rPr>
                <w:rFonts w:ascii="Arial" w:hAnsi="Arial" w:cs="Arial"/>
                <w:sz w:val="24"/>
                <w:szCs w:val="24"/>
              </w:rPr>
              <w:fldChar w:fldCharType="begin"/>
            </w:r>
            <w:r>
              <w:rPr>
                <w:rFonts w:ascii="Arial" w:hAnsi="Arial" w:cs="Arial"/>
                <w:sz w:val="24"/>
                <w:szCs w:val="24"/>
              </w:rPr>
              <w:instrText xml:space="preserve"> ADDIN ZOTERO_ITEM CSL_CITATION {"citationID":"ovpHTY1U","properties":{"formattedCitation":"\\super 13\\nosupersub{}","plainCitation":"13","noteIndex":0},"citationItems":[{"id":451,"uris":["http://zotero.org/groups/2409646/items/MYK7B8T9"],"itemData":{"id":451,"type":"article-journal","abstract":"Background Childhood eczema is variable in onset and persistence. Objectives To identify eczema phenotypes during childhood, and their associations with early-life environmental and genetic factors. Methods In this study of 5297 children from a multiethnic population-based prospective cohort study, phenotypes based on parent-reported physician-diagnosed eczema from age 6 months to 10 years were identified using latent class growth analysis. Information on environmental factors was obtained using postal questionnaires. Four filaggrin mutations were genotyped and a risk score was calculated based on 30 genetic variants. Weighted adjusted multinomial models were used for association analyses. Results We identified the following five eczema phenotypes: never (76%), early transient (8%), mid-transient (6%) and late transient (8%) and persistent eczema (2%). Early transient and persistent eczema were most common in first-born children, those with a parental history of eczema, allergy or asthma and those with persistent wheezing [range of odds ratio (OR): 1.37, 95% confidence interval (CI) 1.07–1.74 and OR 3.38, 95%CI 1.95–5.85]. Early transient eczema was most common in male children only (OR 1·49, 95% CI 1·18–1·89). Children with late transient or persistent eczema were more often of Asian ethnicity (OR 2·04, 95% CI 1·14–3·65 and OR 3·08, 95% CI 1·34–7·10, respectively). Children with early, late transient and persistent eczema more often had a filaggrin mutation or additional risk alleles (range OR: 1.07, 95%CI 1.02–1.12 and OR 2.21, 95%CI 1.39–3.50). Eczema phenotypes were not associated with maternal education, breastfeeding, day care attendance and pet exposure. Conclusions Five eczema phenotypes were identified in a multiethnic paediatric population with limited differences in risk profiles, except for sex and ethnicity. What's already known about this topic? Two previous studies in longitudinal birth cohorts identified four and six different eczema phenotypes, predominantly in children of European ethnicity. What does this study add? Five eczema phenotypes were identified in a multiethnic paediatric population using latent class growth analysis. Children with early transient and persistent eczema were most often first-born children and had persistent wheezing, filaggrin mutation or additional risk alleles. Previously known eczema risk factors had limited differentiating capabilities for eczema phenotypes, except for the association of early transient eczema with male children, and late transient and persistent eczema with Asian ethnicity.","container-title":"British Journal of Dermatology","DOI":"10.1111/bjd.17879","ISSN":"1365-2133","issue":"6","language":"en","note":"_eprint: https://onlinelibrary.wiley.com/doi/pdf/10.1111/bjd.17879","page":"1190-1197","source":"Wiley Online Library","title":"Most associations of early-life environmental exposures and genetic risk factors poorly differentiate between eczema phenotypes: the Generation R Study","title-short":"Most associations of early-life environmental exposures and genetic risk factors poorly differentiate between eczema phenotypes","volume":"181","author":[{"family":"Hu","given":"C."},{"family":"Duijts","given":"L."},{"family":"Erler","given":"N. S."},{"family":"Elbert","given":"N. J."},{"family":"Piketty","given":"C."},{"family":"Bourdès","given":"V."},{"family":"Blanchet</w:instrText>
            </w:r>
            <w:r>
              <w:rPr>
                <w:rFonts w:ascii="Cambria Math" w:hAnsi="Cambria Math" w:cs="Cambria Math"/>
                <w:sz w:val="24"/>
                <w:szCs w:val="24"/>
              </w:rPr>
              <w:instrText>‐</w:instrText>
            </w:r>
            <w:r>
              <w:rPr>
                <w:rFonts w:ascii="Arial" w:hAnsi="Arial" w:cs="Arial"/>
                <w:sz w:val="24"/>
                <w:szCs w:val="24"/>
              </w:rPr>
              <w:instrText xml:space="preserve">Réthoré","given":"S."},{"family":"Jongste","given":"J. C.","dropping-particle":"de"},{"family":"Pasmans","given":"S. G. M. A."},{"family":"Felix","given":"J. F."},{"family":"Nijsten","given":"T."}],"issued":{"date-parts":[["2019"]]}}}],"schema":"https://github.com/citation-style-language/schema/raw/master/csl-citation.json"} </w:instrText>
            </w:r>
            <w:r>
              <w:rPr>
                <w:rFonts w:ascii="Arial" w:hAnsi="Arial" w:cs="Arial"/>
                <w:sz w:val="24"/>
                <w:szCs w:val="24"/>
              </w:rPr>
              <w:fldChar w:fldCharType="separate"/>
            </w:r>
            <w:r>
              <w:rPr>
                <w:rFonts w:ascii="Arial" w:hAnsi="Arial" w:cs="Arial"/>
                <w:sz w:val="24"/>
                <w:szCs w:val="24"/>
                <w:vertAlign w:val="superscript"/>
              </w:rPr>
              <w:t>13</w:t>
            </w:r>
            <w:r>
              <w:rPr>
                <w:rFonts w:ascii="Arial" w:hAnsi="Arial" w:cs="Arial"/>
                <w:sz w:val="24"/>
                <w:szCs w:val="24"/>
              </w:rPr>
              <w:fldChar w:fldCharType="end"/>
            </w:r>
          </w:p>
        </w:tc>
      </w:tr>
      <w:tr>
        <w:tc>
          <w:tcPr>
            <w:tcW w:w="1615" w:type="dxa"/>
          </w:tcPr>
          <w:p>
            <w:pPr>
              <w:rPr>
                <w:rFonts w:ascii="Arial" w:hAnsi="Arial" w:cs="Arial"/>
                <w:sz w:val="24"/>
                <w:szCs w:val="24"/>
              </w:rPr>
            </w:pPr>
            <w:r>
              <w:rPr>
                <w:rFonts w:ascii="Arial" w:hAnsi="Arial" w:cs="Arial"/>
                <w:sz w:val="24"/>
                <w:szCs w:val="24"/>
              </w:rPr>
              <w:lastRenderedPageBreak/>
              <w:t>Bronchitis infection</w:t>
            </w:r>
          </w:p>
        </w:tc>
        <w:tc>
          <w:tcPr>
            <w:tcW w:w="5850" w:type="dxa"/>
          </w:tcPr>
          <w:p>
            <w:pPr>
              <w:rPr>
                <w:rFonts w:ascii="Arial" w:hAnsi="Arial" w:cs="Arial"/>
                <w:sz w:val="24"/>
                <w:szCs w:val="24"/>
              </w:rPr>
            </w:pPr>
            <w:r>
              <w:rPr>
                <w:rFonts w:ascii="Arial" w:hAnsi="Arial" w:cs="Arial"/>
                <w:sz w:val="24"/>
                <w:szCs w:val="24"/>
              </w:rPr>
              <w:t>Physician diagnosis of bronchitis within the first three years of life (0/1)</w:t>
            </w:r>
          </w:p>
        </w:tc>
        <w:tc>
          <w:tcPr>
            <w:tcW w:w="1885" w:type="dxa"/>
          </w:tcPr>
          <w:p>
            <w:pPr>
              <w:rPr>
                <w:rFonts w:ascii="Arial" w:hAnsi="Arial" w:cs="Arial"/>
                <w:sz w:val="24"/>
                <w:szCs w:val="24"/>
              </w:rPr>
            </w:pPr>
            <w:r>
              <w:rPr>
                <w:rFonts w:ascii="Arial" w:hAnsi="Arial" w:cs="Arial"/>
                <w:sz w:val="24"/>
                <w:szCs w:val="24"/>
              </w:rPr>
              <w:t xml:space="preserve">Luzak 2017 (lung function) </w:t>
            </w:r>
            <w:r>
              <w:rPr>
                <w:rFonts w:ascii="Arial" w:hAnsi="Arial" w:cs="Arial"/>
                <w:sz w:val="24"/>
                <w:szCs w:val="24"/>
              </w:rPr>
              <w:fldChar w:fldCharType="begin"/>
            </w:r>
            <w:r>
              <w:rPr>
                <w:rFonts w:ascii="Arial" w:hAnsi="Arial" w:cs="Arial"/>
                <w:sz w:val="24"/>
                <w:szCs w:val="24"/>
              </w:rPr>
              <w:instrText xml:space="preserve"> ADDIN ZOTERO_ITEM CSL_CITATION {"citationID":"1eI0vL1m","properties":{"formattedCitation":"\\super 18\\nosupersub{}","plainCitation":"18","noteIndex":0},"citationItems":[{"id":754,"uris":["http://zotero.org/groups/2409649/items/DGC2G4TD"],"itemData":{"id":754,"type":"article-journal","abstract":"Background\nVarious factors may affect lung function at different stages in life. Since investigations that simultaneously consider several factors are rare, we examined the relative importance of early life, current environmental/lifestyle factors and allergic diseases on lung function in 15-year-olds.\n\nMethods\nBest subset selection was performed for linear regression models to investigate associations between 21 diverse early life events and current factors with spirometric parameters (forced vital capacity, forced expiratory volume in 1 s and maximal mid-expiratory flow (FEF25–75)) in 1326 participants of the German GINIplus and LISAplus birth cohorts. To reduce model complexity, one model for each spirometric parameter was replicated 1000 times in random subpopulations (N = 884). Only those factors that were included in &gt;70% of the replication models were retained in the final analysis.\n\nResults\nA higher peak weight velocity and early lung infections were the early life events prevalently associated with airflow limitation and FEF25–75. Current environmental/lifestyle factors at age 15 years and allergic diseases that were associated with lung function were: indoor second-hand smoke exposure, vitamin D concentration, body mass index (BMI) and asthma status. Sex and height captured the majority of the explained variance (&gt;75%), followed by BMI (≤23.7%). The variance explained by early life events was comparatively low (median: 4.8%; range: 0.2–22.4%), but these events were consistently negatively associated with airway function.\n\nConclusions\nAlthough the explained variance was mainly captured by well-known factors included in lung function prediction equations, our findings indicate early life and current factors that should be considered in studies on lung health among adolescents.\n\nElectronic supplementary material\nThe online version of this article (doi:10.1186/s12931-017-0619-5) contains supplementary material, which is available to authorized users.","container-title":"Respiratory Research","DOI":"10.1186/s12931-017-0619-5","ISSN":"1465-9921","journalAbbreviation":"Respir Res","note":"PMID: 28701166\nPMCID: PMC5508705","source":"PubMed Central","title":"Which early life events or current environmental and lifestyle factors influence lung function in adolescents? – results from the GINIplus &amp; LISAplus studies","title-short":"Which early life events or current environmental and lifestyle factors influence lung function in adolescents?","URL":"https://www.ncbi.nlm.nih.gov/pmc/articles/PMC5508705/","volume":"18","author":[{"family":"Luzak","given":"Agnes"},{"family":"Fuertes","given":"Elaine"},{"family":"Flexeder","given":"Claudia"},{"family":"Standl","given":"Marie"},{"family":"Berg","given":"Andrea","non-dropping-particle":"von"},{"family":"Berdel","given":"Dietrich"},{"family":"Koletzko","given":"Sibylle"},{"family":"Heinrich","given":"Joachim"},{"family":"Nowak","given":"Dennis"},{"family":"Schulz","given":"Holger"}],"accessed":{"date-parts":[["2020",2,27]]},"issued":{"date-parts":[["2017"]]}}}],"schema":"https://github.com/citation-style-language/schema/raw/master/csl-citation.json"} </w:instrText>
            </w:r>
            <w:r>
              <w:rPr>
                <w:rFonts w:ascii="Arial" w:hAnsi="Arial" w:cs="Arial"/>
                <w:sz w:val="24"/>
                <w:szCs w:val="24"/>
              </w:rPr>
              <w:fldChar w:fldCharType="separate"/>
            </w:r>
            <w:r>
              <w:rPr>
                <w:rFonts w:ascii="Arial" w:hAnsi="Arial" w:cs="Arial"/>
                <w:sz w:val="24"/>
                <w:szCs w:val="24"/>
                <w:vertAlign w:val="superscript"/>
              </w:rPr>
              <w:t>18</w:t>
            </w:r>
            <w:r>
              <w:rPr>
                <w:rFonts w:ascii="Arial" w:hAnsi="Arial" w:cs="Arial"/>
                <w:sz w:val="24"/>
                <w:szCs w:val="24"/>
              </w:rPr>
              <w:fldChar w:fldCharType="end"/>
            </w:r>
          </w:p>
        </w:tc>
      </w:tr>
      <w:tr>
        <w:tc>
          <w:tcPr>
            <w:tcW w:w="1615" w:type="dxa"/>
          </w:tcPr>
          <w:p>
            <w:pPr>
              <w:rPr>
                <w:rFonts w:ascii="Arial" w:hAnsi="Arial" w:cs="Arial"/>
                <w:sz w:val="24"/>
                <w:szCs w:val="24"/>
              </w:rPr>
            </w:pPr>
            <w:r>
              <w:rPr>
                <w:rFonts w:ascii="Arial" w:hAnsi="Arial" w:cs="Arial"/>
                <w:sz w:val="24"/>
                <w:szCs w:val="24"/>
              </w:rPr>
              <w:t>Urbanicity</w:t>
            </w:r>
          </w:p>
        </w:tc>
        <w:tc>
          <w:tcPr>
            <w:tcW w:w="5850" w:type="dxa"/>
          </w:tcPr>
          <w:p>
            <w:pPr>
              <w:rPr>
                <w:rFonts w:ascii="Arial" w:hAnsi="Arial" w:cs="Arial"/>
                <w:sz w:val="24"/>
                <w:szCs w:val="24"/>
              </w:rPr>
            </w:pPr>
            <w:r>
              <w:rPr>
                <w:rFonts w:ascii="Arial" w:hAnsi="Arial" w:cs="Arial"/>
                <w:sz w:val="24"/>
                <w:szCs w:val="24"/>
              </w:rPr>
              <w:t>Urbanicity of the home address at birth (according to the DGURBA 2014 definition): 1 - Cities (densely populated areas),  2 - Towns and suburbs (intermediate density areas), 3 - Rural areas (thinly populated areas). Available for participants located it Munich, Wesel and Leipzig</w:t>
            </w:r>
          </w:p>
        </w:tc>
        <w:tc>
          <w:tcPr>
            <w:tcW w:w="1885" w:type="dxa"/>
          </w:tcPr>
          <w:p>
            <w:pPr>
              <w:rPr>
                <w:rFonts w:ascii="Arial" w:hAnsi="Arial" w:cs="Arial"/>
                <w:sz w:val="24"/>
                <w:szCs w:val="24"/>
              </w:rPr>
            </w:pPr>
          </w:p>
        </w:tc>
      </w:tr>
    </w:tbl>
    <w:p>
      <w:pPr>
        <w:spacing w:line="480" w:lineRule="auto"/>
        <w:rPr>
          <w:rFonts w:ascii="Arial" w:hAnsi="Arial" w:cs="Arial"/>
          <w:sz w:val="24"/>
          <w:szCs w:val="24"/>
        </w:rPr>
      </w:pPr>
    </w:p>
    <w:p>
      <w:pPr>
        <w:rPr>
          <w:rFonts w:ascii="Arial" w:eastAsiaTheme="majorEastAsia" w:hAnsi="Arial" w:cs="Arial"/>
          <w:color w:val="2E74B5" w:themeColor="accent1" w:themeShade="BF"/>
          <w:sz w:val="24"/>
          <w:szCs w:val="24"/>
        </w:rPr>
      </w:pPr>
      <w:r>
        <w:rPr>
          <w:rFonts w:ascii="Arial" w:hAnsi="Arial" w:cs="Arial"/>
          <w:sz w:val="24"/>
          <w:szCs w:val="24"/>
        </w:rPr>
        <w:br w:type="page"/>
      </w:r>
    </w:p>
    <w:p>
      <w:pPr>
        <w:pStyle w:val="Heading2"/>
        <w:spacing w:line="480" w:lineRule="auto"/>
      </w:pPr>
      <w:bookmarkStart w:id="8" w:name="_Toc103583070"/>
      <w:r>
        <w:rPr>
          <w:rFonts w:ascii="Arial" w:hAnsi="Arial" w:cs="Arial"/>
          <w:sz w:val="24"/>
          <w:szCs w:val="24"/>
        </w:rPr>
        <w:lastRenderedPageBreak/>
        <w:t>Figure S1</w:t>
      </w:r>
      <w:bookmarkEnd w:id="8"/>
    </w:p>
    <w:p>
      <w:pPr>
        <w:keepNext/>
        <w:spacing w:line="480" w:lineRule="auto"/>
      </w:pPr>
      <w:r>
        <w:rPr>
          <w:noProof/>
          <w:sz w:val="16"/>
          <w:szCs w:val="16"/>
        </w:rPr>
        <w:drawing>
          <wp:inline distT="0" distB="0" distL="0" distR="0">
            <wp:extent cx="4909627" cy="4458086"/>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lowchart_SUPP.PNG"/>
                    <pic:cNvPicPr/>
                  </pic:nvPicPr>
                  <pic:blipFill>
                    <a:blip r:embed="rId8">
                      <a:extLst>
                        <a:ext uri="{28A0092B-C50C-407E-A947-70E740481C1C}">
                          <a14:useLocalDpi xmlns:a14="http://schemas.microsoft.com/office/drawing/2010/main" val="0"/>
                        </a:ext>
                      </a:extLst>
                    </a:blip>
                    <a:stretch>
                      <a:fillRect/>
                    </a:stretch>
                  </pic:blipFill>
                  <pic:spPr>
                    <a:xfrm>
                      <a:off x="0" y="0"/>
                      <a:ext cx="4909627" cy="4458086"/>
                    </a:xfrm>
                    <a:prstGeom prst="rect">
                      <a:avLst/>
                    </a:prstGeom>
                  </pic:spPr>
                </pic:pic>
              </a:graphicData>
            </a:graphic>
          </wp:inline>
        </w:drawing>
      </w:r>
    </w:p>
    <w:p>
      <w:pPr>
        <w:pStyle w:val="Caption"/>
        <w:rPr>
          <w:rFonts w:ascii="Arial" w:hAnsi="Arial" w:cs="Arial"/>
          <w:sz w:val="24"/>
          <w:szCs w:val="24"/>
        </w:rPr>
      </w:pPr>
      <w:r>
        <w:t>Figure S</w:t>
      </w:r>
      <w:fldSimple w:instr=" SEQ Figure \* ARABIC ">
        <w:r>
          <w:rPr>
            <w:noProof/>
          </w:rPr>
          <w:t>1</w:t>
        </w:r>
      </w:fldSimple>
      <w:r>
        <w:t xml:space="preserve">: Sample sizes in GINIplus/LISA and BAMSE. Flow-chart of sample sizes in the included studies and number of investigated participants at different time points of characteristics assessment. </w:t>
      </w:r>
    </w:p>
    <w:p>
      <w:pPr>
        <w:pStyle w:val="Heading2"/>
        <w:spacing w:line="480" w:lineRule="auto"/>
        <w:rPr>
          <w:rFonts w:ascii="Arial" w:hAnsi="Arial" w:cs="Arial"/>
          <w:sz w:val="24"/>
          <w:szCs w:val="24"/>
        </w:rPr>
      </w:pPr>
    </w:p>
    <w:p>
      <w:pPr>
        <w:pStyle w:val="Heading2"/>
        <w:spacing w:line="480" w:lineRule="auto"/>
        <w:rPr>
          <w:rFonts w:ascii="Arial" w:hAnsi="Arial" w:cs="Arial"/>
          <w:sz w:val="24"/>
          <w:szCs w:val="24"/>
        </w:rPr>
      </w:pPr>
    </w:p>
    <w:p>
      <w:pPr>
        <w:pStyle w:val="Heading2"/>
        <w:spacing w:line="480" w:lineRule="auto"/>
        <w:rPr>
          <w:rFonts w:ascii="Arial" w:hAnsi="Arial" w:cs="Arial"/>
          <w:sz w:val="24"/>
          <w:szCs w:val="24"/>
        </w:rPr>
      </w:pPr>
    </w:p>
    <w:p>
      <w:pPr>
        <w:pStyle w:val="Heading2"/>
        <w:spacing w:line="480" w:lineRule="auto"/>
        <w:rPr>
          <w:rFonts w:ascii="Arial" w:hAnsi="Arial" w:cs="Arial"/>
          <w:sz w:val="24"/>
          <w:szCs w:val="24"/>
        </w:rPr>
      </w:pPr>
    </w:p>
    <w:p>
      <w:pPr>
        <w:pStyle w:val="Heading2"/>
        <w:spacing w:line="480" w:lineRule="auto"/>
        <w:rPr>
          <w:rFonts w:ascii="Arial" w:hAnsi="Arial" w:cs="Arial"/>
          <w:sz w:val="24"/>
          <w:szCs w:val="24"/>
        </w:rPr>
      </w:pPr>
    </w:p>
    <w:p>
      <w:pPr>
        <w:pStyle w:val="Heading2"/>
        <w:spacing w:line="480" w:lineRule="auto"/>
        <w:rPr>
          <w:rFonts w:ascii="Arial" w:hAnsi="Arial" w:cs="Arial"/>
          <w:sz w:val="24"/>
          <w:szCs w:val="24"/>
        </w:rPr>
      </w:pPr>
      <w:r>
        <w:rPr>
          <w:rFonts w:ascii="Arial" w:hAnsi="Arial" w:cs="Arial"/>
          <w:sz w:val="24"/>
          <w:szCs w:val="24"/>
        </w:rPr>
        <w:br w:type="page"/>
      </w:r>
    </w:p>
    <w:p>
      <w:pPr>
        <w:pStyle w:val="Heading2"/>
        <w:spacing w:line="480" w:lineRule="auto"/>
      </w:pPr>
      <w:bookmarkStart w:id="9" w:name="_Toc103583071"/>
      <w:r>
        <w:rPr>
          <w:rFonts w:ascii="Arial" w:hAnsi="Arial" w:cs="Arial"/>
          <w:sz w:val="24"/>
          <w:szCs w:val="24"/>
        </w:rPr>
        <w:lastRenderedPageBreak/>
        <w:t>Figure S2</w:t>
      </w:r>
      <w:bookmarkEnd w:id="9"/>
    </w:p>
    <w:p>
      <w:pPr>
        <w:keepNext/>
        <w:spacing w:line="480" w:lineRule="auto"/>
      </w:pPr>
      <w:r>
        <w:rPr>
          <w:rFonts w:ascii="Arial" w:hAnsi="Arial" w:cs="Arial"/>
          <w:noProof/>
          <w:sz w:val="24"/>
          <w:szCs w:val="24"/>
        </w:rPr>
        <w:drawing>
          <wp:inline distT="0" distB="0" distL="0" distR="0">
            <wp:extent cx="5943600" cy="31476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rev_grey_SUPP.PNG"/>
                    <pic:cNvPicPr/>
                  </pic:nvPicPr>
                  <pic:blipFill rotWithShape="1">
                    <a:blip r:embed="rId9">
                      <a:extLst>
                        <a:ext uri="{28A0092B-C50C-407E-A947-70E740481C1C}">
                          <a14:useLocalDpi xmlns:a14="http://schemas.microsoft.com/office/drawing/2010/main" val="0"/>
                        </a:ext>
                      </a:extLst>
                    </a:blip>
                    <a:srcRect t="5491"/>
                    <a:stretch/>
                  </pic:blipFill>
                  <pic:spPr bwMode="auto">
                    <a:xfrm>
                      <a:off x="0" y="0"/>
                      <a:ext cx="5943600" cy="3147695"/>
                    </a:xfrm>
                    <a:prstGeom prst="rect">
                      <a:avLst/>
                    </a:prstGeom>
                    <a:ln>
                      <a:noFill/>
                    </a:ln>
                    <a:extLst>
                      <a:ext uri="{53640926-AAD7-44D8-BBD7-CCE9431645EC}">
                        <a14:shadowObscured xmlns:a14="http://schemas.microsoft.com/office/drawing/2010/main"/>
                      </a:ext>
                    </a:extLst>
                  </pic:spPr>
                </pic:pic>
              </a:graphicData>
            </a:graphic>
          </wp:inline>
        </w:drawing>
      </w:r>
    </w:p>
    <w:p>
      <w:pPr>
        <w:pStyle w:val="Caption"/>
        <w:rPr>
          <w:rFonts w:ascii="Arial" w:hAnsi="Arial" w:cs="Arial"/>
          <w:sz w:val="24"/>
          <w:szCs w:val="24"/>
        </w:rPr>
      </w:pPr>
      <w:r>
        <w:t>Figure S</w:t>
      </w:r>
      <w:fldSimple w:instr=" SEQ Figure \* ARABIC ">
        <w:r>
          <w:rPr>
            <w:noProof/>
          </w:rPr>
          <w:t>2</w:t>
        </w:r>
      </w:fldSimple>
      <w:r>
        <w:t>: Prevalence of allergic diseases in GINIplus/LISA from birth to 15 years disaggregated by sex.</w:t>
      </w:r>
    </w:p>
    <w:p>
      <w:pPr>
        <w:pStyle w:val="Heading2"/>
        <w:spacing w:line="480" w:lineRule="auto"/>
        <w:rPr>
          <w:rFonts w:ascii="Arial" w:hAnsi="Arial" w:cs="Arial"/>
          <w:sz w:val="24"/>
          <w:szCs w:val="24"/>
        </w:rPr>
      </w:pPr>
      <w:r>
        <w:rPr>
          <w:rFonts w:ascii="Arial" w:hAnsi="Arial" w:cs="Arial"/>
          <w:sz w:val="24"/>
          <w:szCs w:val="24"/>
        </w:rPr>
        <w:br w:type="page"/>
      </w:r>
    </w:p>
    <w:p>
      <w:pPr>
        <w:pStyle w:val="Heading2"/>
        <w:spacing w:line="480" w:lineRule="auto"/>
        <w:rPr>
          <w:rFonts w:ascii="Arial" w:hAnsi="Arial" w:cs="Arial"/>
          <w:sz w:val="24"/>
          <w:szCs w:val="24"/>
        </w:rPr>
      </w:pPr>
      <w:bookmarkStart w:id="10" w:name="_Toc103583072"/>
      <w:r>
        <w:rPr>
          <w:rFonts w:ascii="Arial" w:hAnsi="Arial" w:cs="Arial"/>
          <w:sz w:val="24"/>
          <w:szCs w:val="24"/>
        </w:rPr>
        <w:lastRenderedPageBreak/>
        <w:t>Figure S3</w:t>
      </w:r>
      <w:bookmarkEnd w:id="10"/>
    </w:p>
    <w:p>
      <w:pPr>
        <w:keepNext/>
      </w:pPr>
      <w:r>
        <w:rPr>
          <w:noProof/>
        </w:rPr>
        <w:drawing>
          <wp:inline distT="0" distB="0" distL="0" distR="0">
            <wp:extent cx="5943600" cy="34264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3426460"/>
                    </a:xfrm>
                    <a:prstGeom prst="rect">
                      <a:avLst/>
                    </a:prstGeom>
                  </pic:spPr>
                </pic:pic>
              </a:graphicData>
            </a:graphic>
          </wp:inline>
        </w:drawing>
      </w:r>
    </w:p>
    <w:p>
      <w:pPr>
        <w:pStyle w:val="Caption"/>
      </w:pPr>
      <w:r>
        <w:t>Figure S</w:t>
      </w:r>
      <w:fldSimple w:instr=" SEQ Figure \* ARABIC ">
        <w:r>
          <w:rPr>
            <w:noProof/>
          </w:rPr>
          <w:t>3</w:t>
        </w:r>
      </w:fldSimple>
      <w:r>
        <w:t>: Independent k-means clustering solution in BAMSE. Allergic disease cases were clustered using the k-means algorithm and the best number of clusters (six) was determined using the quality criterion of Davies-Bouldin. The non-allergic control cluster was added afterwards.</w:t>
      </w:r>
    </w:p>
    <w:p>
      <w:pPr>
        <w:pStyle w:val="Heading2"/>
        <w:spacing w:line="480" w:lineRule="auto"/>
      </w:pPr>
      <w:bookmarkStart w:id="11" w:name="_Toc103583073"/>
      <w:r>
        <w:rPr>
          <w:rFonts w:ascii="Arial" w:hAnsi="Arial" w:cs="Arial"/>
          <w:sz w:val="24"/>
          <w:szCs w:val="24"/>
        </w:rPr>
        <w:lastRenderedPageBreak/>
        <w:t>Figure S4a</w:t>
      </w:r>
      <w:bookmarkEnd w:id="11"/>
    </w:p>
    <w:p>
      <w:pPr>
        <w:keepNext/>
      </w:pPr>
      <w:r>
        <w:rPr>
          <w:noProof/>
        </w:rPr>
        <w:drawing>
          <wp:inline distT="0" distB="0" distL="0" distR="0">
            <wp:extent cx="5943600" cy="3481070"/>
            <wp:effectExtent l="0" t="0" r="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3481070"/>
                    </a:xfrm>
                    <a:prstGeom prst="rect">
                      <a:avLst/>
                    </a:prstGeom>
                  </pic:spPr>
                </pic:pic>
              </a:graphicData>
            </a:graphic>
          </wp:inline>
        </w:drawing>
      </w:r>
    </w:p>
    <w:p>
      <w:pPr>
        <w:pStyle w:val="Caption"/>
      </w:pPr>
      <w:r>
        <w:t>Figure S</w:t>
      </w:r>
      <w:fldSimple w:instr=" SEQ Figure \* ARABIC ">
        <w:r>
          <w:rPr>
            <w:noProof/>
          </w:rPr>
          <w:t>4</w:t>
        </w:r>
      </w:fldSimple>
      <w:r>
        <w:rPr>
          <w:noProof/>
        </w:rPr>
        <w:t>a</w:t>
      </w:r>
      <w:r>
        <w:t>: K-means clustering solution for complete observations (N = 3177) in GINIplus/LISA. Complete cases were defined as no missing values in the disease definitions at either follow-up time point. Allergic disease cases were clustered using the k-means algorithm and the best number of clusters (9+1) was determined using the quality criterion of Davies-Bouldin. The non-allergic control cluster was added afterwards.</w:t>
      </w:r>
    </w:p>
    <w:p>
      <w:pPr>
        <w:pStyle w:val="Heading2"/>
        <w:spacing w:line="480" w:lineRule="auto"/>
      </w:pPr>
      <w:bookmarkStart w:id="12" w:name="_Toc103583074"/>
      <w:r>
        <w:rPr>
          <w:rFonts w:ascii="Arial" w:hAnsi="Arial" w:cs="Arial"/>
          <w:sz w:val="24"/>
          <w:szCs w:val="24"/>
        </w:rPr>
        <w:lastRenderedPageBreak/>
        <w:t>Figure S4b</w:t>
      </w:r>
      <w:bookmarkEnd w:id="12"/>
    </w:p>
    <w:p>
      <w:pPr>
        <w:pStyle w:val="Caption"/>
      </w:pPr>
      <w:r>
        <w:rPr>
          <w:noProof/>
        </w:rPr>
        <w:drawing>
          <wp:inline distT="0" distB="0" distL="0" distR="0">
            <wp:extent cx="5943600" cy="345249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3452495"/>
                    </a:xfrm>
                    <a:prstGeom prst="rect">
                      <a:avLst/>
                    </a:prstGeom>
                  </pic:spPr>
                </pic:pic>
              </a:graphicData>
            </a:graphic>
          </wp:inline>
        </w:drawing>
      </w:r>
      <w:r>
        <w:t>Figure S</w:t>
      </w:r>
      <w:fldSimple w:instr=" SEQ Figure \* ARABIC ">
        <w:r>
          <w:rPr>
            <w:noProof/>
          </w:rPr>
          <w:t>4</w:t>
        </w:r>
      </w:fldSimple>
      <w:r>
        <w:rPr>
          <w:noProof/>
        </w:rPr>
        <w:t>b</w:t>
      </w:r>
      <w:r>
        <w:t>: K-means clustering solution for complete observations (N = 3177) in GINIplus/LISA. Complete cases were defined as no missing values in the disease definitions at either follow-up time point. Allergic disease cases were clustered using the k-means algorithm, here the pre-defined clustering solution (7+1) is presented. The non-allergic control cluster was added afterwards.</w:t>
      </w:r>
    </w:p>
    <w:p>
      <w:pPr>
        <w:pStyle w:val="Heading2"/>
        <w:spacing w:line="480" w:lineRule="auto"/>
      </w:pPr>
      <w:bookmarkStart w:id="13" w:name="_Toc103583075"/>
      <w:r>
        <w:rPr>
          <w:rFonts w:ascii="Arial" w:hAnsi="Arial" w:cs="Arial"/>
          <w:sz w:val="24"/>
          <w:szCs w:val="24"/>
        </w:rPr>
        <w:lastRenderedPageBreak/>
        <w:t>Figure S5</w:t>
      </w:r>
      <w:bookmarkEnd w:id="13"/>
    </w:p>
    <w:p>
      <w:pPr>
        <w:keepNext/>
        <w:spacing w:line="480" w:lineRule="auto"/>
      </w:pPr>
      <w:r>
        <w:rPr>
          <w:noProof/>
        </w:rPr>
        <w:drawing>
          <wp:inline distT="0" distB="0" distL="0" distR="0">
            <wp:extent cx="5488555" cy="6650182"/>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490869" cy="6652986"/>
                    </a:xfrm>
                    <a:prstGeom prst="rect">
                      <a:avLst/>
                    </a:prstGeom>
                  </pic:spPr>
                </pic:pic>
              </a:graphicData>
            </a:graphic>
          </wp:inline>
        </w:drawing>
      </w:r>
    </w:p>
    <w:p>
      <w:pPr>
        <w:pStyle w:val="Caption"/>
      </w:pPr>
      <w:r>
        <w:t>Figure S5: Sensitivity analysis using latent class models in GINIplus/LISA (A) and BAMSE (B). Best number of classes determined by Bayesian-information criterion and log-likelihood and the control cluster as well as the allergic disease clusters are defined by the algorithm.</w:t>
      </w:r>
      <w:r>
        <w:br w:type="page"/>
      </w:r>
    </w:p>
    <w:p>
      <w:pPr>
        <w:pStyle w:val="Heading2"/>
        <w:spacing w:line="480" w:lineRule="auto"/>
        <w:rPr>
          <w:rFonts w:ascii="Arial" w:hAnsi="Arial" w:cs="Arial"/>
          <w:sz w:val="24"/>
          <w:szCs w:val="24"/>
        </w:rPr>
      </w:pPr>
      <w:bookmarkStart w:id="14" w:name="_Toc103583076"/>
      <w:r>
        <w:rPr>
          <w:rFonts w:ascii="Arial" w:hAnsi="Arial" w:cs="Arial"/>
          <w:sz w:val="24"/>
          <w:szCs w:val="24"/>
        </w:rPr>
        <w:lastRenderedPageBreak/>
        <w:t>Figure S6a</w:t>
      </w:r>
      <w:bookmarkEnd w:id="14"/>
    </w:p>
    <w:p>
      <w:r>
        <w:rPr>
          <w:noProof/>
        </w:rPr>
        <w:drawing>
          <wp:inline distT="0" distB="0" distL="0" distR="0">
            <wp:extent cx="5943600" cy="3428365"/>
            <wp:effectExtent l="0" t="0" r="0" b="63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3600" cy="3428365"/>
                    </a:xfrm>
                    <a:prstGeom prst="rect">
                      <a:avLst/>
                    </a:prstGeom>
                  </pic:spPr>
                </pic:pic>
              </a:graphicData>
            </a:graphic>
          </wp:inline>
        </w:drawing>
      </w:r>
    </w:p>
    <w:p>
      <w:pPr>
        <w:rPr>
          <w:i/>
          <w:iCs/>
          <w:color w:val="44546A" w:themeColor="text2"/>
          <w:sz w:val="18"/>
          <w:szCs w:val="18"/>
        </w:rPr>
      </w:pPr>
      <w:r>
        <w:rPr>
          <w:i/>
          <w:iCs/>
          <w:color w:val="44546A" w:themeColor="text2"/>
          <w:sz w:val="18"/>
          <w:szCs w:val="18"/>
        </w:rPr>
        <w:t>Figure S6a: K-means clustering solution for imputed observations in GINIplus/LISA. Diagnoses were imputed using bagging tree imputation for observations with a maximum of three missing values per diagnosis. Allergic disease cases were clustered using the k-means algorithm and the best number of clusters (4+1) was determined using the quality criterion of Davies-Bouldin. The non-allergic control cluster was added afterwards.</w:t>
      </w:r>
    </w:p>
    <w:p>
      <w:pPr>
        <w:rPr>
          <w:rFonts w:ascii="Arial" w:eastAsiaTheme="majorEastAsia" w:hAnsi="Arial" w:cs="Arial"/>
          <w:color w:val="2E74B5" w:themeColor="accent1" w:themeShade="BF"/>
          <w:sz w:val="24"/>
          <w:szCs w:val="24"/>
        </w:rPr>
      </w:pPr>
      <w:r>
        <w:rPr>
          <w:rFonts w:ascii="Arial" w:hAnsi="Arial" w:cs="Arial"/>
          <w:sz w:val="24"/>
          <w:szCs w:val="24"/>
        </w:rPr>
        <w:br w:type="page"/>
      </w:r>
    </w:p>
    <w:p>
      <w:pPr>
        <w:pStyle w:val="Heading2"/>
        <w:spacing w:line="480" w:lineRule="auto"/>
        <w:rPr>
          <w:rFonts w:ascii="Arial" w:hAnsi="Arial" w:cs="Arial"/>
          <w:sz w:val="24"/>
          <w:szCs w:val="24"/>
        </w:rPr>
      </w:pPr>
      <w:bookmarkStart w:id="15" w:name="_Toc103583077"/>
      <w:r>
        <w:rPr>
          <w:rFonts w:ascii="Arial" w:hAnsi="Arial" w:cs="Arial"/>
          <w:sz w:val="24"/>
          <w:szCs w:val="24"/>
        </w:rPr>
        <w:lastRenderedPageBreak/>
        <w:t>Figure S6b</w:t>
      </w:r>
      <w:bookmarkEnd w:id="15"/>
    </w:p>
    <w:p>
      <w:r>
        <w:rPr>
          <w:noProof/>
        </w:rPr>
        <w:drawing>
          <wp:inline distT="0" distB="0" distL="0" distR="0">
            <wp:extent cx="5943600" cy="344170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3600" cy="3441700"/>
                    </a:xfrm>
                    <a:prstGeom prst="rect">
                      <a:avLst/>
                    </a:prstGeom>
                  </pic:spPr>
                </pic:pic>
              </a:graphicData>
            </a:graphic>
          </wp:inline>
        </w:drawing>
      </w:r>
    </w:p>
    <w:p>
      <w:pPr>
        <w:pStyle w:val="Caption"/>
        <w:rPr>
          <w:rFonts w:ascii="Arial" w:hAnsi="Arial" w:cs="Arial"/>
          <w:sz w:val="24"/>
          <w:szCs w:val="24"/>
        </w:rPr>
      </w:pPr>
      <w:r>
        <w:rPr>
          <w:i w:val="0"/>
          <w:iCs w:val="0"/>
        </w:rPr>
        <w:t>Figure S6b: K-means clustering solution for imputed observations in GINIplus/LISA. Diagnoses were imputed using bagging tree imputation for observations with a maximum of three missing values per diagnosis. Allergic disease cases were clustered using the k-means algorithm</w:t>
      </w:r>
      <w:r>
        <w:t xml:space="preserve">, here the pre-defined clustering solution (7+1) is presented. </w:t>
      </w:r>
      <w:r>
        <w:rPr>
          <w:i w:val="0"/>
          <w:iCs w:val="0"/>
        </w:rPr>
        <w:t>The non-allergic control cluster was added afterwards.</w:t>
      </w:r>
    </w:p>
    <w:p>
      <w:pPr>
        <w:rPr>
          <w:rFonts w:ascii="Arial" w:eastAsiaTheme="majorEastAsia" w:hAnsi="Arial" w:cs="Arial"/>
          <w:color w:val="2E74B5" w:themeColor="accent1" w:themeShade="BF"/>
          <w:sz w:val="24"/>
          <w:szCs w:val="24"/>
        </w:rPr>
      </w:pPr>
      <w:r>
        <w:rPr>
          <w:rFonts w:ascii="Arial" w:hAnsi="Arial" w:cs="Arial"/>
          <w:sz w:val="24"/>
          <w:szCs w:val="24"/>
        </w:rPr>
        <w:br w:type="page"/>
      </w:r>
    </w:p>
    <w:p>
      <w:pPr>
        <w:pStyle w:val="Heading2"/>
        <w:spacing w:line="480" w:lineRule="auto"/>
        <w:rPr>
          <w:rFonts w:ascii="Arial" w:hAnsi="Arial" w:cs="Arial"/>
          <w:sz w:val="24"/>
          <w:szCs w:val="24"/>
        </w:rPr>
      </w:pPr>
      <w:bookmarkStart w:id="16" w:name="_Toc103583078"/>
      <w:r>
        <w:rPr>
          <w:rFonts w:ascii="Arial" w:hAnsi="Arial" w:cs="Arial"/>
          <w:sz w:val="24"/>
          <w:szCs w:val="24"/>
        </w:rPr>
        <w:lastRenderedPageBreak/>
        <w:t>Figure S7a</w:t>
      </w:r>
      <w:bookmarkEnd w:id="16"/>
    </w:p>
    <w:p>
      <w:r>
        <w:rPr>
          <w:noProof/>
        </w:rPr>
        <w:drawing>
          <wp:inline distT="0" distB="0" distL="0" distR="0">
            <wp:extent cx="5832152" cy="28041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srcRect l="1865" t="14921"/>
                    <a:stretch/>
                  </pic:blipFill>
                  <pic:spPr bwMode="auto">
                    <a:xfrm>
                      <a:off x="0" y="0"/>
                      <a:ext cx="5832753" cy="2804449"/>
                    </a:xfrm>
                    <a:prstGeom prst="rect">
                      <a:avLst/>
                    </a:prstGeom>
                    <a:ln>
                      <a:noFill/>
                    </a:ln>
                    <a:extLst>
                      <a:ext uri="{53640926-AAD7-44D8-BBD7-CCE9431645EC}">
                        <a14:shadowObscured xmlns:a14="http://schemas.microsoft.com/office/drawing/2010/main"/>
                      </a:ext>
                    </a:extLst>
                  </pic:spPr>
                </pic:pic>
              </a:graphicData>
            </a:graphic>
          </wp:inline>
        </w:drawing>
      </w:r>
    </w:p>
    <w:p>
      <w:pPr>
        <w:pStyle w:val="Caption"/>
        <w:rPr>
          <w:rFonts w:ascii="Arial" w:hAnsi="Arial" w:cs="Arial"/>
          <w:sz w:val="24"/>
          <w:szCs w:val="24"/>
        </w:rPr>
      </w:pPr>
      <w:r>
        <w:rPr>
          <w:i w:val="0"/>
          <w:iCs w:val="0"/>
        </w:rPr>
        <w:t>Figure S7a: Missingness per cluster over doctor diagnoses and time points in GINIplus/LISA.</w:t>
      </w:r>
    </w:p>
    <w:p>
      <w:pPr>
        <w:pStyle w:val="Heading2"/>
        <w:spacing w:line="480" w:lineRule="auto"/>
        <w:rPr>
          <w:rFonts w:ascii="Arial" w:hAnsi="Arial" w:cs="Arial"/>
          <w:sz w:val="24"/>
          <w:szCs w:val="24"/>
        </w:rPr>
      </w:pPr>
    </w:p>
    <w:p>
      <w:pPr>
        <w:pStyle w:val="Heading2"/>
        <w:spacing w:line="480" w:lineRule="auto"/>
        <w:rPr>
          <w:rFonts w:ascii="Arial" w:hAnsi="Arial" w:cs="Arial"/>
          <w:sz w:val="24"/>
          <w:szCs w:val="24"/>
        </w:rPr>
      </w:pPr>
      <w:bookmarkStart w:id="17" w:name="_Toc103583079"/>
      <w:r>
        <w:rPr>
          <w:rFonts w:ascii="Arial" w:hAnsi="Arial" w:cs="Arial"/>
          <w:sz w:val="24"/>
          <w:szCs w:val="24"/>
        </w:rPr>
        <w:t>Figure S7b</w:t>
      </w:r>
      <w:bookmarkEnd w:id="17"/>
    </w:p>
    <w:p/>
    <w:p>
      <w:pPr>
        <w:rPr>
          <w:rFonts w:ascii="Arial" w:hAnsi="Arial" w:cs="Arial"/>
          <w:sz w:val="24"/>
          <w:szCs w:val="24"/>
        </w:rPr>
      </w:pPr>
      <w:r>
        <w:rPr>
          <w:noProof/>
        </w:rPr>
        <w:drawing>
          <wp:inline distT="0" distB="0" distL="0" distR="0">
            <wp:extent cx="5943600" cy="3325495"/>
            <wp:effectExtent l="0" t="0" r="0"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43600" cy="3325495"/>
                    </a:xfrm>
                    <a:prstGeom prst="rect">
                      <a:avLst/>
                    </a:prstGeom>
                  </pic:spPr>
                </pic:pic>
              </a:graphicData>
            </a:graphic>
          </wp:inline>
        </w:drawing>
      </w:r>
    </w:p>
    <w:p>
      <w:pPr>
        <w:pStyle w:val="Caption"/>
        <w:rPr>
          <w:rFonts w:ascii="Arial" w:hAnsi="Arial" w:cs="Arial"/>
          <w:sz w:val="24"/>
          <w:szCs w:val="24"/>
        </w:rPr>
      </w:pPr>
      <w:r>
        <w:rPr>
          <w:i w:val="0"/>
          <w:iCs w:val="0"/>
        </w:rPr>
        <w:t>Figure S7b: Missingness per cluster over diagnoses (=symptoms) and time points in BAMSE.</w:t>
      </w:r>
      <w:r>
        <w:rPr>
          <w:rFonts w:ascii="Arial" w:hAnsi="Arial" w:cs="Arial"/>
          <w:sz w:val="24"/>
          <w:szCs w:val="24"/>
        </w:rPr>
        <w:br w:type="page"/>
      </w:r>
    </w:p>
    <w:p>
      <w:pPr>
        <w:pStyle w:val="Heading2"/>
        <w:spacing w:line="480" w:lineRule="auto"/>
        <w:rPr>
          <w:rFonts w:ascii="Arial" w:hAnsi="Arial" w:cs="Arial"/>
          <w:sz w:val="24"/>
          <w:szCs w:val="24"/>
        </w:rPr>
      </w:pPr>
      <w:bookmarkStart w:id="18" w:name="_Toc103583080"/>
      <w:r>
        <w:rPr>
          <w:rFonts w:ascii="Arial" w:hAnsi="Arial" w:cs="Arial"/>
          <w:sz w:val="24"/>
          <w:szCs w:val="24"/>
        </w:rPr>
        <w:lastRenderedPageBreak/>
        <w:t>Figure S8</w:t>
      </w:r>
      <w:bookmarkEnd w:id="18"/>
    </w:p>
    <w:p>
      <w:r>
        <w:rPr>
          <w:noProof/>
        </w:rPr>
        <w:drawing>
          <wp:inline distT="0" distB="0" distL="0" distR="0">
            <wp:extent cx="5943600" cy="33947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943600" cy="3394710"/>
                    </a:xfrm>
                    <a:prstGeom prst="rect">
                      <a:avLst/>
                    </a:prstGeom>
                  </pic:spPr>
                </pic:pic>
              </a:graphicData>
            </a:graphic>
          </wp:inline>
        </w:drawing>
      </w:r>
    </w:p>
    <w:p>
      <w:pPr>
        <w:rPr>
          <w:i/>
          <w:iCs/>
          <w:color w:val="44546A" w:themeColor="text2"/>
          <w:sz w:val="18"/>
          <w:szCs w:val="18"/>
        </w:rPr>
      </w:pPr>
      <w:r>
        <w:rPr>
          <w:i/>
          <w:iCs/>
          <w:color w:val="44546A" w:themeColor="text2"/>
          <w:sz w:val="18"/>
          <w:szCs w:val="18"/>
        </w:rPr>
        <w:t>Figure S8: K-means clustering solution for symptom variables in GINIplus/LISA. Symptoms were defined according to the ISAAC questions, asthma as wheezing, dermatitis as itching skin rash over at least 6 months and rhinitis as runny nose without having a cold. Allergic disease cases were clustered using the k-means algorithm and the best number of clusters (7+1) was determined using the quality criterion of Davies-Bouldin. The non-allergic control cluster was added afterwards.</w:t>
      </w:r>
    </w:p>
    <w:p>
      <w:pPr>
        <w:pStyle w:val="Caption"/>
        <w:rPr>
          <w:rFonts w:ascii="Arial" w:hAnsi="Arial" w:cs="Arial"/>
          <w:sz w:val="24"/>
          <w:szCs w:val="24"/>
        </w:rPr>
      </w:pPr>
      <w:r>
        <w:rPr>
          <w:rFonts w:ascii="Arial" w:hAnsi="Arial" w:cs="Arial"/>
          <w:sz w:val="24"/>
          <w:szCs w:val="24"/>
        </w:rPr>
        <w:br w:type="page"/>
      </w:r>
    </w:p>
    <w:p>
      <w:pPr>
        <w:pStyle w:val="Heading2"/>
        <w:rPr>
          <w:rFonts w:ascii="Arial" w:hAnsi="Arial" w:cs="Arial"/>
          <w:sz w:val="24"/>
          <w:szCs w:val="24"/>
        </w:rPr>
      </w:pPr>
      <w:bookmarkStart w:id="19" w:name="_Toc103583081"/>
      <w:r>
        <w:rPr>
          <w:rFonts w:ascii="Arial" w:hAnsi="Arial" w:cs="Arial"/>
          <w:sz w:val="24"/>
          <w:szCs w:val="24"/>
        </w:rPr>
        <w:lastRenderedPageBreak/>
        <w:t>References</w:t>
      </w:r>
      <w:bookmarkEnd w:id="19"/>
    </w:p>
    <w:p>
      <w:pPr>
        <w:pStyle w:val="Bibliography"/>
        <w:rPr>
          <w:rFonts w:ascii="Calibri" w:hAnsi="Calibri" w:cs="Calibri"/>
          <w:lang w:val="de-DE"/>
        </w:rPr>
      </w:pPr>
      <w:r>
        <w:fldChar w:fldCharType="begin"/>
      </w:r>
      <w:r>
        <w:instrText xml:space="preserve"> ADDIN ZOTERO_BIBL {"uncited":[],"omitted":[],"custom":[]} CSL_BIBLIOGRAPHY </w:instrText>
      </w:r>
      <w:r>
        <w:fldChar w:fldCharType="separate"/>
      </w:r>
      <w:r>
        <w:rPr>
          <w:rFonts w:ascii="Calibri" w:hAnsi="Calibri" w:cs="Calibri"/>
        </w:rPr>
        <w:t xml:space="preserve">1. </w:t>
      </w:r>
      <w:r>
        <w:rPr>
          <w:rFonts w:ascii="Calibri" w:hAnsi="Calibri" w:cs="Calibri"/>
        </w:rPr>
        <w:tab/>
        <w:t xml:space="preserve">McCarthy S, Das S, Kretzschmar W, et al. A reference panel of 64,976 haplotypes for genotype imputation. </w:t>
      </w:r>
      <w:r>
        <w:rPr>
          <w:rFonts w:ascii="Calibri" w:hAnsi="Calibri" w:cs="Calibri"/>
          <w:i/>
          <w:iCs/>
        </w:rPr>
        <w:t>Nat Genet</w:t>
      </w:r>
      <w:r>
        <w:rPr>
          <w:rFonts w:ascii="Calibri" w:hAnsi="Calibri" w:cs="Calibri"/>
        </w:rPr>
        <w:t xml:space="preserve">. </w:t>
      </w:r>
      <w:r>
        <w:rPr>
          <w:rFonts w:ascii="Calibri" w:hAnsi="Calibri" w:cs="Calibri"/>
          <w:lang w:val="de-DE"/>
        </w:rPr>
        <w:t>2016;48(10):1279-1283. doi:10.1038/ng.3643</w:t>
      </w:r>
    </w:p>
    <w:p>
      <w:pPr>
        <w:pStyle w:val="Bibliography"/>
        <w:rPr>
          <w:rFonts w:ascii="Calibri" w:hAnsi="Calibri" w:cs="Calibri"/>
        </w:rPr>
      </w:pPr>
      <w:r>
        <w:rPr>
          <w:rFonts w:ascii="Calibri" w:hAnsi="Calibri" w:cs="Calibri"/>
          <w:lang w:val="de-DE"/>
        </w:rPr>
        <w:t xml:space="preserve">2. </w:t>
      </w:r>
      <w:r>
        <w:rPr>
          <w:rFonts w:ascii="Calibri" w:hAnsi="Calibri" w:cs="Calibri"/>
          <w:lang w:val="de-DE"/>
        </w:rPr>
        <w:tab/>
        <w:t xml:space="preserve">Weidinger S, Illig T, Baurecht H, et al. </w:t>
      </w:r>
      <w:r>
        <w:rPr>
          <w:rFonts w:ascii="Calibri" w:hAnsi="Calibri" w:cs="Calibri"/>
        </w:rPr>
        <w:t xml:space="preserve">Loss-of-function variations within the filaggrin gene predispose for atopic dermatitis with allergic sensitizations. </w:t>
      </w:r>
      <w:r>
        <w:rPr>
          <w:rFonts w:ascii="Calibri" w:hAnsi="Calibri" w:cs="Calibri"/>
          <w:i/>
          <w:iCs/>
        </w:rPr>
        <w:t>J Allergy Clin Immunol</w:t>
      </w:r>
      <w:r>
        <w:rPr>
          <w:rFonts w:ascii="Calibri" w:hAnsi="Calibri" w:cs="Calibri"/>
        </w:rPr>
        <w:t>. 2006;118(1):214-219. doi:10.1016/j.jaci.2006.05.004</w:t>
      </w:r>
    </w:p>
    <w:p>
      <w:pPr>
        <w:pStyle w:val="Bibliography"/>
        <w:rPr>
          <w:rFonts w:ascii="Calibri" w:hAnsi="Calibri" w:cs="Calibri"/>
          <w:lang w:val="de-DE"/>
        </w:rPr>
      </w:pPr>
      <w:r>
        <w:rPr>
          <w:rFonts w:ascii="Calibri" w:hAnsi="Calibri" w:cs="Calibri"/>
        </w:rPr>
        <w:t xml:space="preserve">3. </w:t>
      </w:r>
      <w:r>
        <w:rPr>
          <w:rFonts w:ascii="Calibri" w:hAnsi="Calibri" w:cs="Calibri"/>
        </w:rPr>
        <w:tab/>
        <w:t xml:space="preserve">Ballardini N, Kull I, Söderhäll C, Lilja G, Wickman M, Wahlgren CF. Eczema severity in preadolescent children and its relation to sex, filaggrin mutations, asthma, rhinitis, aggravating factors and topical treatment: a report from the BAMSE birth cohort. </w:t>
      </w:r>
      <w:r>
        <w:rPr>
          <w:rFonts w:ascii="Calibri" w:hAnsi="Calibri" w:cs="Calibri"/>
          <w:i/>
          <w:iCs/>
          <w:lang w:val="de-DE"/>
        </w:rPr>
        <w:t>Br J Dermatol</w:t>
      </w:r>
      <w:r>
        <w:rPr>
          <w:rFonts w:ascii="Calibri" w:hAnsi="Calibri" w:cs="Calibri"/>
          <w:lang w:val="de-DE"/>
        </w:rPr>
        <w:t>. 2013;168(3):588-594. doi:https://doi.org/10.1111/bjd.12196</w:t>
      </w:r>
    </w:p>
    <w:p>
      <w:pPr>
        <w:pStyle w:val="Bibliography"/>
        <w:rPr>
          <w:rFonts w:ascii="Calibri" w:hAnsi="Calibri" w:cs="Calibri"/>
          <w:lang w:val="de-DE"/>
        </w:rPr>
      </w:pPr>
      <w:r>
        <w:rPr>
          <w:rFonts w:ascii="Calibri" w:hAnsi="Calibri" w:cs="Calibri"/>
          <w:lang w:val="de-DE"/>
        </w:rPr>
        <w:t xml:space="preserve">4. </w:t>
      </w:r>
      <w:r>
        <w:rPr>
          <w:rFonts w:ascii="Calibri" w:hAnsi="Calibri" w:cs="Calibri"/>
          <w:lang w:val="de-DE"/>
        </w:rPr>
        <w:tab/>
        <w:t xml:space="preserve">Ferreira MA, Vonk JM, Baurecht H, et al. </w:t>
      </w:r>
      <w:r>
        <w:rPr>
          <w:rFonts w:ascii="Calibri" w:hAnsi="Calibri" w:cs="Calibri"/>
        </w:rPr>
        <w:t xml:space="preserve">Shared genetic origin of asthma, hay fever and eczema elucidates allergic disease biology. </w:t>
      </w:r>
      <w:r>
        <w:rPr>
          <w:rFonts w:ascii="Calibri" w:hAnsi="Calibri" w:cs="Calibri"/>
          <w:i/>
          <w:iCs/>
          <w:lang w:val="de-DE"/>
        </w:rPr>
        <w:t>Nat Genet</w:t>
      </w:r>
      <w:r>
        <w:rPr>
          <w:rFonts w:ascii="Calibri" w:hAnsi="Calibri" w:cs="Calibri"/>
          <w:lang w:val="de-DE"/>
        </w:rPr>
        <w:t>. 2017;49(12):1752-1757. doi:10.1038/ng.3985</w:t>
      </w:r>
    </w:p>
    <w:p>
      <w:pPr>
        <w:pStyle w:val="Bibliography"/>
        <w:rPr>
          <w:rFonts w:ascii="Calibri" w:hAnsi="Calibri" w:cs="Calibri"/>
          <w:lang w:val="de-DE"/>
        </w:rPr>
      </w:pPr>
      <w:r>
        <w:rPr>
          <w:rFonts w:ascii="Calibri" w:hAnsi="Calibri" w:cs="Calibri"/>
          <w:lang w:val="de-DE"/>
        </w:rPr>
        <w:t xml:space="preserve">5. </w:t>
      </w:r>
      <w:r>
        <w:rPr>
          <w:rFonts w:ascii="Calibri" w:hAnsi="Calibri" w:cs="Calibri"/>
          <w:lang w:val="de-DE"/>
        </w:rPr>
        <w:tab/>
        <w:t xml:space="preserve">Ferreira MAR, Vonk JM, Baurecht H, et al. </w:t>
      </w:r>
      <w:r>
        <w:rPr>
          <w:rFonts w:ascii="Calibri" w:hAnsi="Calibri" w:cs="Calibri"/>
        </w:rPr>
        <w:t xml:space="preserve">Eleven loci with new reproducible genetic associations with allergic disease risk. </w:t>
      </w:r>
      <w:r>
        <w:rPr>
          <w:rFonts w:ascii="Calibri" w:hAnsi="Calibri" w:cs="Calibri"/>
          <w:i/>
          <w:iCs/>
          <w:lang w:val="de-DE"/>
        </w:rPr>
        <w:t>J Allergy Clin Immunol</w:t>
      </w:r>
      <w:r>
        <w:rPr>
          <w:rFonts w:ascii="Calibri" w:hAnsi="Calibri" w:cs="Calibri"/>
          <w:lang w:val="de-DE"/>
        </w:rPr>
        <w:t>. 2019;143(2):691-699. doi:10.1016/j.jaci.2018.03.012</w:t>
      </w:r>
    </w:p>
    <w:p>
      <w:pPr>
        <w:pStyle w:val="Bibliography"/>
        <w:rPr>
          <w:rFonts w:ascii="Calibri" w:hAnsi="Calibri" w:cs="Calibri"/>
        </w:rPr>
      </w:pPr>
      <w:r>
        <w:rPr>
          <w:rFonts w:ascii="Calibri" w:hAnsi="Calibri" w:cs="Calibri"/>
          <w:lang w:val="de-DE"/>
        </w:rPr>
        <w:t xml:space="preserve">6. </w:t>
      </w:r>
      <w:r>
        <w:rPr>
          <w:rFonts w:ascii="Calibri" w:hAnsi="Calibri" w:cs="Calibri"/>
          <w:lang w:val="de-DE"/>
        </w:rPr>
        <w:tab/>
        <w:t xml:space="preserve">El-Husseini ZW, Gosens R, Dekker F, Koppelman GH. </w:t>
      </w:r>
      <w:r>
        <w:rPr>
          <w:rFonts w:ascii="Calibri" w:hAnsi="Calibri" w:cs="Calibri"/>
        </w:rPr>
        <w:t xml:space="preserve">The genetics of asthma and the promise of genomics-guided drug target discovery. </w:t>
      </w:r>
      <w:r>
        <w:rPr>
          <w:rFonts w:ascii="Calibri" w:hAnsi="Calibri" w:cs="Calibri"/>
          <w:i/>
          <w:iCs/>
        </w:rPr>
        <w:t>Lancet Respir Med</w:t>
      </w:r>
      <w:r>
        <w:rPr>
          <w:rFonts w:ascii="Calibri" w:hAnsi="Calibri" w:cs="Calibri"/>
        </w:rPr>
        <w:t>. 2020;8(10):1045-1056. doi:10.1016/S2213-2600(20)30363-5</w:t>
      </w:r>
    </w:p>
    <w:p>
      <w:pPr>
        <w:pStyle w:val="Bibliography"/>
        <w:rPr>
          <w:rFonts w:ascii="Calibri" w:hAnsi="Calibri" w:cs="Calibri"/>
          <w:lang w:val="de-DE"/>
        </w:rPr>
      </w:pPr>
      <w:r>
        <w:rPr>
          <w:rFonts w:ascii="Calibri" w:hAnsi="Calibri" w:cs="Calibri"/>
        </w:rPr>
        <w:t xml:space="preserve">7. </w:t>
      </w:r>
      <w:r>
        <w:rPr>
          <w:rFonts w:ascii="Calibri" w:hAnsi="Calibri" w:cs="Calibri"/>
        </w:rPr>
        <w:tab/>
        <w:t xml:space="preserve">Paternoster L, Standl M, Waage J, et al. Multi-ancestry genome-wide association study of 21,000 cases and 95,000 controls identifies new risk loci for atopic dermatitis. </w:t>
      </w:r>
      <w:r>
        <w:rPr>
          <w:rFonts w:ascii="Calibri" w:hAnsi="Calibri" w:cs="Calibri"/>
          <w:i/>
          <w:iCs/>
          <w:lang w:val="de-DE"/>
        </w:rPr>
        <w:t>Nat Genet</w:t>
      </w:r>
      <w:r>
        <w:rPr>
          <w:rFonts w:ascii="Calibri" w:hAnsi="Calibri" w:cs="Calibri"/>
          <w:lang w:val="de-DE"/>
        </w:rPr>
        <w:t>. 2015;47(12):1449-1456. doi:10.1038/ng.3424</w:t>
      </w:r>
    </w:p>
    <w:p>
      <w:pPr>
        <w:pStyle w:val="Bibliography"/>
        <w:rPr>
          <w:rFonts w:ascii="Calibri" w:hAnsi="Calibri" w:cs="Calibri"/>
        </w:rPr>
      </w:pPr>
      <w:r>
        <w:rPr>
          <w:rFonts w:ascii="Calibri" w:hAnsi="Calibri" w:cs="Calibri"/>
          <w:lang w:val="de-DE"/>
        </w:rPr>
        <w:t xml:space="preserve">8. </w:t>
      </w:r>
      <w:r>
        <w:rPr>
          <w:rFonts w:ascii="Calibri" w:hAnsi="Calibri" w:cs="Calibri"/>
          <w:lang w:val="de-DE"/>
        </w:rPr>
        <w:tab/>
        <w:t xml:space="preserve">Waage J, Standl M, Curtin JA, et al. </w:t>
      </w:r>
      <w:r>
        <w:rPr>
          <w:rFonts w:ascii="Calibri" w:hAnsi="Calibri" w:cs="Calibri"/>
        </w:rPr>
        <w:t xml:space="preserve">Genome-wide association and HLA fine-mapping studies identify risk loci and genetic pathways underlying allergic rhinitis. </w:t>
      </w:r>
      <w:r>
        <w:rPr>
          <w:rFonts w:ascii="Calibri" w:hAnsi="Calibri" w:cs="Calibri"/>
          <w:i/>
          <w:iCs/>
        </w:rPr>
        <w:t>Nat Genet</w:t>
      </w:r>
      <w:r>
        <w:rPr>
          <w:rFonts w:ascii="Calibri" w:hAnsi="Calibri" w:cs="Calibri"/>
        </w:rPr>
        <w:t>. 2018;50(8):1072-1080. doi:10.1038/s41588-018-0157-1</w:t>
      </w:r>
    </w:p>
    <w:p>
      <w:pPr>
        <w:pStyle w:val="Bibliography"/>
        <w:rPr>
          <w:rFonts w:ascii="Calibri" w:hAnsi="Calibri" w:cs="Calibri"/>
          <w:lang w:val="de-DE"/>
        </w:rPr>
      </w:pPr>
      <w:r>
        <w:rPr>
          <w:rFonts w:ascii="Calibri" w:hAnsi="Calibri" w:cs="Calibri"/>
        </w:rPr>
        <w:t xml:space="preserve">9. </w:t>
      </w:r>
      <w:r>
        <w:rPr>
          <w:rFonts w:ascii="Calibri" w:hAnsi="Calibri" w:cs="Calibri"/>
        </w:rPr>
        <w:tab/>
        <w:t xml:space="preserve">Granada M, Wilk JB, Tuzova M, et al. A genome-wide association study of plasma total IgE concentrations in the Framingham Heart Study. </w:t>
      </w:r>
      <w:r>
        <w:rPr>
          <w:rFonts w:ascii="Calibri" w:hAnsi="Calibri" w:cs="Calibri"/>
          <w:i/>
          <w:iCs/>
          <w:lang w:val="de-DE"/>
        </w:rPr>
        <w:t>J Allergy Clin Immunol</w:t>
      </w:r>
      <w:r>
        <w:rPr>
          <w:rFonts w:ascii="Calibri" w:hAnsi="Calibri" w:cs="Calibri"/>
          <w:lang w:val="de-DE"/>
        </w:rPr>
        <w:t>. 2012;129(3):840-845.e21. doi:10.1016/j.jaci.2011.09.029</w:t>
      </w:r>
    </w:p>
    <w:p>
      <w:pPr>
        <w:pStyle w:val="Bibliography"/>
        <w:rPr>
          <w:rFonts w:ascii="Calibri" w:hAnsi="Calibri" w:cs="Calibri"/>
        </w:rPr>
      </w:pPr>
      <w:r>
        <w:rPr>
          <w:rFonts w:ascii="Calibri" w:hAnsi="Calibri" w:cs="Calibri"/>
          <w:lang w:val="de-DE"/>
        </w:rPr>
        <w:t xml:space="preserve">10. </w:t>
      </w:r>
      <w:r>
        <w:rPr>
          <w:rFonts w:ascii="Calibri" w:hAnsi="Calibri" w:cs="Calibri"/>
          <w:lang w:val="de-DE"/>
        </w:rPr>
        <w:tab/>
        <w:t xml:space="preserve">Hallberg J, Thunqvist P, Schultz ES, et al. </w:t>
      </w:r>
      <w:r>
        <w:rPr>
          <w:rFonts w:ascii="Calibri" w:hAnsi="Calibri" w:cs="Calibri"/>
        </w:rPr>
        <w:t xml:space="preserve">Asthma phenotypes and lung function up to 16 years of age—the BAMSE cohort. </w:t>
      </w:r>
      <w:r>
        <w:rPr>
          <w:rFonts w:ascii="Calibri" w:hAnsi="Calibri" w:cs="Calibri"/>
          <w:i/>
          <w:iCs/>
        </w:rPr>
        <w:t>Allergy</w:t>
      </w:r>
      <w:r>
        <w:rPr>
          <w:rFonts w:ascii="Calibri" w:hAnsi="Calibri" w:cs="Calibri"/>
        </w:rPr>
        <w:t>. 2015;70(6):667-673. doi:https://doi.org/10.1111/all.12598</w:t>
      </w:r>
    </w:p>
    <w:p>
      <w:pPr>
        <w:pStyle w:val="Bibliography"/>
        <w:rPr>
          <w:rFonts w:ascii="Calibri" w:hAnsi="Calibri" w:cs="Calibri"/>
        </w:rPr>
      </w:pPr>
      <w:r>
        <w:rPr>
          <w:rFonts w:ascii="Calibri" w:hAnsi="Calibri" w:cs="Calibri"/>
        </w:rPr>
        <w:t xml:space="preserve">11. </w:t>
      </w:r>
      <w:r>
        <w:rPr>
          <w:rFonts w:ascii="Calibri" w:hAnsi="Calibri" w:cs="Calibri"/>
        </w:rPr>
        <w:tab/>
        <w:t xml:space="preserve">Kuhn M. Building Predictive Models in R Using the caret Package. </w:t>
      </w:r>
      <w:r>
        <w:rPr>
          <w:rFonts w:ascii="Calibri" w:hAnsi="Calibri" w:cs="Calibri"/>
          <w:i/>
          <w:iCs/>
        </w:rPr>
        <w:t>J Stat Softw</w:t>
      </w:r>
      <w:r>
        <w:rPr>
          <w:rFonts w:ascii="Calibri" w:hAnsi="Calibri" w:cs="Calibri"/>
        </w:rPr>
        <w:t>. 2008;28:1-26. doi:10.18637/jss.v028.i05</w:t>
      </w:r>
    </w:p>
    <w:p>
      <w:pPr>
        <w:pStyle w:val="Bibliography"/>
        <w:rPr>
          <w:rFonts w:ascii="Calibri" w:hAnsi="Calibri" w:cs="Calibri"/>
          <w:lang w:val="de-DE"/>
        </w:rPr>
      </w:pPr>
      <w:r>
        <w:rPr>
          <w:rFonts w:ascii="Calibri" w:hAnsi="Calibri" w:cs="Calibri"/>
        </w:rPr>
        <w:t xml:space="preserve">12. </w:t>
      </w:r>
      <w:r>
        <w:rPr>
          <w:rFonts w:ascii="Calibri" w:hAnsi="Calibri" w:cs="Calibri"/>
        </w:rPr>
        <w:tab/>
        <w:t xml:space="preserve">Paternoster L, Savenije OEM, Heron J, et al. Identification of atopic dermatitis subgroups in children from 2 longitudinal birth cohorts. </w:t>
      </w:r>
      <w:r>
        <w:rPr>
          <w:rFonts w:ascii="Calibri" w:hAnsi="Calibri" w:cs="Calibri"/>
          <w:i/>
          <w:iCs/>
          <w:lang w:val="de-DE"/>
        </w:rPr>
        <w:t>J Allergy Clin Immunol</w:t>
      </w:r>
      <w:r>
        <w:rPr>
          <w:rFonts w:ascii="Calibri" w:hAnsi="Calibri" w:cs="Calibri"/>
          <w:lang w:val="de-DE"/>
        </w:rPr>
        <w:t>. 2018;141(3):964-971. doi:10.1016/j.jaci.2017.09.044</w:t>
      </w:r>
    </w:p>
    <w:p>
      <w:pPr>
        <w:pStyle w:val="Bibliography"/>
        <w:rPr>
          <w:rFonts w:ascii="Calibri" w:hAnsi="Calibri" w:cs="Calibri"/>
          <w:lang w:val="de-DE"/>
        </w:rPr>
      </w:pPr>
      <w:r>
        <w:rPr>
          <w:rFonts w:ascii="Calibri" w:hAnsi="Calibri" w:cs="Calibri"/>
          <w:lang w:val="de-DE"/>
        </w:rPr>
        <w:t xml:space="preserve">13. </w:t>
      </w:r>
      <w:r>
        <w:rPr>
          <w:rFonts w:ascii="Calibri" w:hAnsi="Calibri" w:cs="Calibri"/>
          <w:lang w:val="de-DE"/>
        </w:rPr>
        <w:tab/>
        <w:t xml:space="preserve">Hu C, Duijts L, Erler NS, et al. </w:t>
      </w:r>
      <w:r>
        <w:rPr>
          <w:rFonts w:ascii="Calibri" w:hAnsi="Calibri" w:cs="Calibri"/>
        </w:rPr>
        <w:t xml:space="preserve">Most associations of early-life environmental exposures and genetic risk factors poorly differentiate between eczema phenotypes: the Generation R Study. </w:t>
      </w:r>
      <w:r>
        <w:rPr>
          <w:rFonts w:ascii="Calibri" w:hAnsi="Calibri" w:cs="Calibri"/>
          <w:i/>
          <w:iCs/>
          <w:lang w:val="de-DE"/>
        </w:rPr>
        <w:t>Br J Dermatol</w:t>
      </w:r>
      <w:r>
        <w:rPr>
          <w:rFonts w:ascii="Calibri" w:hAnsi="Calibri" w:cs="Calibri"/>
          <w:lang w:val="de-DE"/>
        </w:rPr>
        <w:t>. 2019;181(6):1190-1197. doi:10.1111/bjd.17879</w:t>
      </w:r>
    </w:p>
    <w:p>
      <w:pPr>
        <w:pStyle w:val="Bibliography"/>
        <w:rPr>
          <w:rFonts w:ascii="Calibri" w:hAnsi="Calibri" w:cs="Calibri"/>
        </w:rPr>
      </w:pPr>
      <w:r>
        <w:rPr>
          <w:rFonts w:ascii="Calibri" w:hAnsi="Calibri" w:cs="Calibri"/>
          <w:lang w:val="de-DE"/>
        </w:rPr>
        <w:lastRenderedPageBreak/>
        <w:t xml:space="preserve">14. </w:t>
      </w:r>
      <w:r>
        <w:rPr>
          <w:rFonts w:ascii="Calibri" w:hAnsi="Calibri" w:cs="Calibri"/>
          <w:lang w:val="de-DE"/>
        </w:rPr>
        <w:tab/>
        <w:t xml:space="preserve">Berg A v, Krämer U, Link E, et al. </w:t>
      </w:r>
      <w:r>
        <w:rPr>
          <w:rFonts w:ascii="Calibri" w:hAnsi="Calibri" w:cs="Calibri"/>
        </w:rPr>
        <w:t xml:space="preserve">Impact of early feeding on childhood eczema: development after nutritional intervention compared with the natural course – the GINIplus study up to the age of 6 years. </w:t>
      </w:r>
      <w:r>
        <w:rPr>
          <w:rFonts w:ascii="Calibri" w:hAnsi="Calibri" w:cs="Calibri"/>
          <w:i/>
          <w:iCs/>
        </w:rPr>
        <w:t>Clin Exp Allergy</w:t>
      </w:r>
      <w:r>
        <w:rPr>
          <w:rFonts w:ascii="Calibri" w:hAnsi="Calibri" w:cs="Calibri"/>
        </w:rPr>
        <w:t>. 2010;40(4):627-636. doi:10.1111/j.1365-2222.2009.03444.x</w:t>
      </w:r>
    </w:p>
    <w:p>
      <w:pPr>
        <w:pStyle w:val="Bibliography"/>
        <w:rPr>
          <w:rFonts w:ascii="Calibri" w:hAnsi="Calibri" w:cs="Calibri"/>
        </w:rPr>
      </w:pPr>
      <w:r>
        <w:rPr>
          <w:rFonts w:ascii="Calibri" w:hAnsi="Calibri" w:cs="Calibri"/>
        </w:rPr>
        <w:t xml:space="preserve">15. </w:t>
      </w:r>
      <w:r>
        <w:rPr>
          <w:rFonts w:ascii="Calibri" w:hAnsi="Calibri" w:cs="Calibri"/>
        </w:rPr>
        <w:tab/>
        <w:t xml:space="preserve">Gappa M, Filipiak‐Pittroff B, Libuda L, et al. Long-term effects of hydrolyzed formulae on atopic diseases in the GINI study. </w:t>
      </w:r>
      <w:r>
        <w:rPr>
          <w:rFonts w:ascii="Calibri" w:hAnsi="Calibri" w:cs="Calibri"/>
          <w:i/>
          <w:iCs/>
        </w:rPr>
        <w:t>Allergy</w:t>
      </w:r>
      <w:r>
        <w:rPr>
          <w:rFonts w:ascii="Calibri" w:hAnsi="Calibri" w:cs="Calibri"/>
        </w:rPr>
        <w:t>. n/a(n/a). doi:https://doi.org/10.1111/all.14709</w:t>
      </w:r>
    </w:p>
    <w:p>
      <w:pPr>
        <w:pStyle w:val="Bibliography"/>
        <w:rPr>
          <w:rFonts w:ascii="Calibri" w:hAnsi="Calibri" w:cs="Calibri"/>
        </w:rPr>
      </w:pPr>
      <w:r>
        <w:rPr>
          <w:rFonts w:ascii="Calibri" w:hAnsi="Calibri" w:cs="Calibri"/>
        </w:rPr>
        <w:t xml:space="preserve">16. </w:t>
      </w:r>
      <w:r>
        <w:rPr>
          <w:rFonts w:ascii="Calibri" w:hAnsi="Calibri" w:cs="Calibri"/>
        </w:rPr>
        <w:tab/>
        <w:t xml:space="preserve">Bager P, Wohlfahrt J, Westergaard T. Caesarean delivery and risk of atopy and allergic disesase: meta-analyses. </w:t>
      </w:r>
      <w:r>
        <w:rPr>
          <w:rFonts w:ascii="Calibri" w:hAnsi="Calibri" w:cs="Calibri"/>
          <w:i/>
          <w:iCs/>
        </w:rPr>
        <w:t>Clin Exp Allergy</w:t>
      </w:r>
      <w:r>
        <w:rPr>
          <w:rFonts w:ascii="Calibri" w:hAnsi="Calibri" w:cs="Calibri"/>
        </w:rPr>
        <w:t>. 2008;38(4):634-642. doi:https://doi.org/10.1111/j.1365-2222.2008.02939.x</w:t>
      </w:r>
    </w:p>
    <w:p>
      <w:pPr>
        <w:pStyle w:val="Bibliography"/>
        <w:rPr>
          <w:rFonts w:ascii="Calibri" w:hAnsi="Calibri" w:cs="Calibri"/>
        </w:rPr>
      </w:pPr>
      <w:r>
        <w:rPr>
          <w:rFonts w:ascii="Calibri" w:hAnsi="Calibri" w:cs="Calibri"/>
        </w:rPr>
        <w:t xml:space="preserve">17. </w:t>
      </w:r>
      <w:r>
        <w:rPr>
          <w:rFonts w:ascii="Calibri" w:hAnsi="Calibri" w:cs="Calibri"/>
        </w:rPr>
        <w:tab/>
        <w:t xml:space="preserve">Nicolaou NC, Simpson A, Lowe LA, Murray CS, Woodcock A, Custovic A. Day-care attendance, position in sibship, and early childhood wheezing: A population-based birth cohort study. </w:t>
      </w:r>
      <w:r>
        <w:rPr>
          <w:rFonts w:ascii="Calibri" w:hAnsi="Calibri" w:cs="Calibri"/>
          <w:i/>
          <w:iCs/>
        </w:rPr>
        <w:t>J Allergy Clin Immunol</w:t>
      </w:r>
      <w:r>
        <w:rPr>
          <w:rFonts w:ascii="Calibri" w:hAnsi="Calibri" w:cs="Calibri"/>
        </w:rPr>
        <w:t>. 2008;122(3):500-506.e5. doi:10.1016/j.jaci.2008.06.033</w:t>
      </w:r>
    </w:p>
    <w:p>
      <w:pPr>
        <w:pStyle w:val="Bibliography"/>
        <w:rPr>
          <w:rFonts w:ascii="Calibri" w:hAnsi="Calibri" w:cs="Calibri"/>
        </w:rPr>
      </w:pPr>
      <w:r>
        <w:rPr>
          <w:rFonts w:ascii="Calibri" w:hAnsi="Calibri" w:cs="Calibri"/>
        </w:rPr>
        <w:t xml:space="preserve">18. </w:t>
      </w:r>
      <w:r>
        <w:rPr>
          <w:rFonts w:ascii="Calibri" w:hAnsi="Calibri" w:cs="Calibri"/>
        </w:rPr>
        <w:tab/>
        <w:t xml:space="preserve">Luzak A, Fuertes E, Flexeder C, et al. Which early life events or current environmental and lifestyle factors influence lung function in adolescents? – results from the GINIplus &amp; LISAplus studies. </w:t>
      </w:r>
      <w:r>
        <w:rPr>
          <w:rFonts w:ascii="Calibri" w:hAnsi="Calibri" w:cs="Calibri"/>
          <w:i/>
          <w:iCs/>
        </w:rPr>
        <w:t>Respir Res</w:t>
      </w:r>
      <w:r>
        <w:rPr>
          <w:rFonts w:ascii="Calibri" w:hAnsi="Calibri" w:cs="Calibri"/>
        </w:rPr>
        <w:t>. 2017;18. doi:10.1186/s12931-017-0619-5</w:t>
      </w:r>
    </w:p>
    <w:p>
      <w:r>
        <w:fldChar w:fldCharType="end"/>
      </w:r>
    </w:p>
    <w:sectPr>
      <w:headerReference w:type="default" r:id="rId19"/>
      <w:pgSz w:w="12240" w:h="15840"/>
      <w:pgMar w:top="1440" w:right="1440" w:bottom="1440" w:left="1440" w:header="720" w:footer="720" w:gutter="0"/>
      <w:lnNumType w:countBy="1" w:restart="continuous"/>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C5FB2F" w16cid:durableId="24C79247"/>
  <w16cid:commentId w16cid:paraId="352051A8" w16cid:durableId="24D9BB85"/>
  <w16cid:commentId w16cid:paraId="3761F73B" w16cid:durableId="24D9BBA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Cambria Math">
    <w:panose1 w:val="02040503050406030204"/>
    <w:charset w:val="0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Header"/>
      <w:tabs>
        <w:tab w:val="clear" w:pos="4680"/>
        <w:tab w:val="clear" w:pos="9360"/>
      </w:tabs>
      <w:jc w:val="right"/>
      <w:rPr>
        <w:color w:val="8496B0" w:themeColor="text2" w:themeTint="99"/>
        <w:sz w:val="24"/>
        <w:szCs w:val="24"/>
      </w:rPr>
    </w:pPr>
    <w:r>
      <w:rPr>
        <w:color w:val="8496B0" w:themeColor="text2" w:themeTint="99"/>
        <w:sz w:val="24"/>
        <w:szCs w:val="24"/>
      </w:rPr>
      <w:t xml:space="preserve"> </w:t>
    </w:r>
    <w:sdt>
      <w:sdtPr>
        <w:rPr>
          <w:color w:val="8496B0" w:themeColor="text2" w:themeTint="99"/>
          <w:sz w:val="24"/>
          <w:szCs w:val="24"/>
        </w:rPr>
        <w:alias w:val="Author"/>
        <w:tag w:val=""/>
        <w:id w:val="-131562813"/>
        <w:placeholder>
          <w:docPart w:val="B970D9BB7F88408BABEEAA279B4675D0"/>
        </w:placeholder>
        <w:dataBinding w:prefixMappings="xmlns:ns0='http://purl.org/dc/elements/1.1/' xmlns:ns1='http://schemas.openxmlformats.org/package/2006/metadata/core-properties' " w:xpath="/ns1:coreProperties[1]/ns0:creator[1]" w:storeItemID="{6C3C8BC8-F283-45AE-878A-BAB7291924A1}"/>
        <w:text/>
      </w:sdtPr>
      <w:sdtContent>
        <w:r>
          <w:rPr>
            <w:color w:val="8496B0" w:themeColor="text2" w:themeTint="99"/>
            <w:sz w:val="24"/>
            <w:szCs w:val="24"/>
          </w:rPr>
          <w:t>Supplement: Kilanowski,</w:t>
        </w:r>
      </w:sdtContent>
    </w:sdt>
    <w:r>
      <w:rPr>
        <w:color w:val="8496B0" w:themeColor="text2" w:themeTint="99"/>
        <w:sz w:val="24"/>
        <w:szCs w:val="24"/>
      </w:rPr>
      <w:t xml:space="preserve"> Page </w:t>
    </w:r>
    <w:r>
      <w:rPr>
        <w:color w:val="8496B0" w:themeColor="text2" w:themeTint="99"/>
        <w:sz w:val="24"/>
        <w:szCs w:val="24"/>
      </w:rPr>
      <w:fldChar w:fldCharType="begin"/>
    </w:r>
    <w:r>
      <w:rPr>
        <w:color w:val="8496B0" w:themeColor="text2" w:themeTint="99"/>
        <w:sz w:val="24"/>
        <w:szCs w:val="24"/>
      </w:rPr>
      <w:instrText xml:space="preserve"> PAGE   \* MERGEFORMAT </w:instrText>
    </w:r>
    <w:r>
      <w:rPr>
        <w:color w:val="8496B0" w:themeColor="text2" w:themeTint="99"/>
        <w:sz w:val="24"/>
        <w:szCs w:val="24"/>
      </w:rPr>
      <w:fldChar w:fldCharType="separate"/>
    </w:r>
    <w:r>
      <w:rPr>
        <w:noProof/>
        <w:color w:val="8496B0" w:themeColor="text2" w:themeTint="99"/>
        <w:sz w:val="24"/>
        <w:szCs w:val="24"/>
      </w:rPr>
      <w:t>22</w:t>
    </w:r>
    <w:r>
      <w:rPr>
        <w:color w:val="8496B0" w:themeColor="text2" w:themeTint="99"/>
        <w:sz w:val="24"/>
        <w:szCs w:val="24"/>
      </w:rPr>
      <w:fldChar w:fldCharType="end"/>
    </w:r>
  </w:p>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3B377C"/>
    <w:multiLevelType w:val="hybridMultilevel"/>
    <w:tmpl w:val="586ED93E"/>
    <w:lvl w:ilvl="0" w:tplc="DB2E06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3534DCB"/>
    <w:multiLevelType w:val="hybridMultilevel"/>
    <w:tmpl w:val="0B565C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A3F4A93"/>
    <w:multiLevelType w:val="hybridMultilevel"/>
    <w:tmpl w:val="30F6C90C"/>
    <w:lvl w:ilvl="0" w:tplc="6520DBCE">
      <w:start w:val="5"/>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6" w:nlCheck="1" w:checkStyle="0"/>
  <w:activeWritingStyle w:appName="MSWord" w:lang="en-US" w:vendorID="64" w:dllVersion="6" w:nlCheck="1" w:checkStyle="1"/>
  <w:activeWritingStyle w:appName="MSWord" w:lang="en-US" w:vendorID="64" w:dllVersion="4096" w:nlCheck="1" w:checkStyle="0"/>
  <w:activeWritingStyle w:appName="MSWord" w:lang="de-DE" w:vendorID="64" w:dllVersion="4096" w:nlCheck="1" w:checkStyle="0"/>
  <w:activeWritingStyle w:appName="MSWord" w:lang="en-US" w:vendorID="64" w:dllVersion="131078" w:nlCheck="1" w:checkStyle="1"/>
  <w:activeWritingStyle w:appName="MSWord" w:lang="de-DE" w:vendorID="64" w:dllVersion="131078" w:nlCheck="1" w:checkStyle="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chartTrackingRefBased/>
  <w15:docId w15:val="{E55FB838-AE88-45A2-8135-713D877A2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Pr>
      <w:rFonts w:asciiTheme="majorHAnsi" w:eastAsiaTheme="majorEastAsia" w:hAnsiTheme="majorHAnsi" w:cstheme="majorBidi"/>
      <w:i/>
      <w:iCs/>
      <w:color w:val="2E74B5" w:themeColor="accent1" w:themeShade="BF"/>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styleId="TOCHeading">
    <w:name w:val="TOC Heading"/>
    <w:basedOn w:val="Heading1"/>
    <w:next w:val="Normal"/>
    <w:uiPriority w:val="39"/>
    <w:unhideWhenUsed/>
    <w:qFormat/>
    <w:pPr>
      <w:outlineLvl w:val="9"/>
    </w:pPr>
  </w:style>
  <w:style w:type="paragraph" w:styleId="TOC1">
    <w:name w:val="toc 1"/>
    <w:basedOn w:val="Normal"/>
    <w:next w:val="Normal"/>
    <w:autoRedefine/>
    <w:uiPriority w:val="39"/>
    <w:unhideWhenUsed/>
    <w:pPr>
      <w:spacing w:after="100"/>
    </w:pPr>
  </w:style>
  <w:style w:type="paragraph" w:styleId="TOC3">
    <w:name w:val="toc 3"/>
    <w:basedOn w:val="Normal"/>
    <w:next w:val="Normal"/>
    <w:autoRedefine/>
    <w:uiPriority w:val="39"/>
    <w:unhideWhenUsed/>
    <w:pPr>
      <w:spacing w:after="100"/>
      <w:ind w:left="440"/>
    </w:pPr>
  </w:style>
  <w:style w:type="character" w:styleId="Hyperlink">
    <w:name w:val="Hyperlink"/>
    <w:basedOn w:val="DefaultParagraphFont"/>
    <w:uiPriority w:val="99"/>
    <w:unhideWhenUsed/>
    <w:rPr>
      <w:color w:val="0563C1" w:themeColor="hyperlink"/>
      <w:u w:val="single"/>
    </w:rPr>
  </w:style>
  <w:style w:type="character" w:styleId="LineNumber">
    <w:name w:val="line number"/>
    <w:basedOn w:val="DefaultParagraphFont"/>
    <w:uiPriority w:val="99"/>
    <w:semiHidden/>
    <w:unhideWhenUsed/>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character" w:styleId="PlaceholderText">
    <w:name w:val="Placeholder Text"/>
    <w:basedOn w:val="DefaultParagraphFont"/>
    <w:uiPriority w:val="99"/>
    <w:semiHidden/>
    <w:rPr>
      <w:color w:val="80808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unhideWhenUsed/>
    <w:pPr>
      <w:spacing w:after="100"/>
      <w:ind w:left="220"/>
    </w:p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ibliography">
    <w:name w:val="Bibliography"/>
    <w:basedOn w:val="Normal"/>
    <w:next w:val="Normal"/>
    <w:uiPriority w:val="37"/>
    <w:unhideWhenUsed/>
    <w:pPr>
      <w:tabs>
        <w:tab w:val="left" w:pos="504"/>
      </w:tabs>
      <w:spacing w:after="240" w:line="240" w:lineRule="auto"/>
      <w:ind w:left="504" w:hanging="504"/>
    </w:pPr>
  </w:style>
  <w:style w:type="paragraph" w:styleId="Caption">
    <w:name w:val="caption"/>
    <w:basedOn w:val="Normal"/>
    <w:next w:val="Normal"/>
    <w:uiPriority w:val="35"/>
    <w:unhideWhenUsed/>
    <w:qFormat/>
    <w:pPr>
      <w:spacing w:after="200" w:line="240" w:lineRule="auto"/>
    </w:pPr>
    <w:rPr>
      <w:i/>
      <w:iCs/>
      <w:color w:val="44546A" w:themeColor="text2"/>
      <w:sz w:val="18"/>
      <w:szCs w:val="18"/>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556443">
      <w:bodyDiv w:val="1"/>
      <w:marLeft w:val="0"/>
      <w:marRight w:val="0"/>
      <w:marTop w:val="0"/>
      <w:marBottom w:val="0"/>
      <w:divBdr>
        <w:top w:val="none" w:sz="0" w:space="0" w:color="auto"/>
        <w:left w:val="none" w:sz="0" w:space="0" w:color="auto"/>
        <w:bottom w:val="none" w:sz="0" w:space="0" w:color="auto"/>
        <w:right w:val="none" w:sz="0" w:space="0" w:color="auto"/>
      </w:divBdr>
    </w:div>
    <w:div w:id="935749282">
      <w:bodyDiv w:val="1"/>
      <w:marLeft w:val="0"/>
      <w:marRight w:val="0"/>
      <w:marTop w:val="0"/>
      <w:marBottom w:val="0"/>
      <w:divBdr>
        <w:top w:val="none" w:sz="0" w:space="0" w:color="auto"/>
        <w:left w:val="none" w:sz="0" w:space="0" w:color="auto"/>
        <w:bottom w:val="none" w:sz="0" w:space="0" w:color="auto"/>
        <w:right w:val="none" w:sz="0" w:space="0" w:color="auto"/>
      </w:divBdr>
    </w:div>
    <w:div w:id="1951351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970D9BB7F88408BABEEAA279B4675D0"/>
        <w:category>
          <w:name w:val="General"/>
          <w:gallery w:val="placeholder"/>
        </w:category>
        <w:types>
          <w:type w:val="bbPlcHdr"/>
        </w:types>
        <w:behaviors>
          <w:behavior w:val="content"/>
        </w:behaviors>
        <w:guid w:val="{279AF41C-B41C-43D8-998C-159BE1F7C0FE}"/>
      </w:docPartPr>
      <w:docPartBody>
        <w:p>
          <w:r>
            <w:rPr>
              <w:rStyle w:val="PlaceholderTex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Cambria Math">
    <w:panose1 w:val="02040503050406030204"/>
    <w:charset w:val="01"/>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AAD4C5-407A-40A9-95EF-50E0008B8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1</Pages>
  <Words>17325</Words>
  <Characters>98756</Characters>
  <Application>Microsoft Office Word</Application>
  <DocSecurity>0</DocSecurity>
  <Lines>822</Lines>
  <Paragraphs>231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Helmholtz Zentrum München</Company>
  <LinksUpToDate>false</LinksUpToDate>
  <CharactersWithSpaces>115850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Supplement: Kilanowski,</dc:creator>
  <cp:keywords/>
  <dc:description/>
  <cp:lastModifiedBy>Kilanowski, Anna</cp:lastModifiedBy>
  <cp:revision>26</cp:revision>
  <dcterms:created xsi:type="dcterms:W3CDTF">2022-02-09T07:00:00Z</dcterms:created>
  <dcterms:modified xsi:type="dcterms:W3CDTF">2022-05-27T07:21:00Z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zotero-version="6.0.3"&gt;&lt;session id="5ILwUE7a"/&gt;&lt;style id="http://www.zotero.org/styles/american-medical-association" hasBibliography="1" bibliographyStyleHasBeenSet="1"/&gt;&lt;prefs&gt;&lt;pref name="fieldType" value="Field"/&gt;&lt;pref name="autom</vt:lpwstr>
  </property>
  <property fmtid="{D5CDD505-2E9C-101B-9397-08002B2CF9AE}" pid="3" name="ZOTERO_PREF_2">
    <vt:lpwstr>aticJournalAbbreviations" value="true"/&gt;&lt;/prefs&gt;&lt;/data&gt;</vt:lpwstr>
  </property>
</Properties>
</file>