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406C1" w14:textId="77777777" w:rsidR="005C7BDD" w:rsidRDefault="005C7BDD" w:rsidP="005C7BDD">
      <w:pPr>
        <w:autoSpaceDE w:val="0"/>
        <w:autoSpaceDN w:val="0"/>
        <w:adjustRightInd w:val="0"/>
        <w:jc w:val="both"/>
        <w:rPr>
          <w:rFonts w:ascii="Calibri" w:hAnsi="Calibri" w:cs="Calibri"/>
          <w:b/>
          <w:bCs/>
          <w:color w:val="000000"/>
          <w:sz w:val="20"/>
          <w:szCs w:val="20"/>
        </w:rPr>
      </w:pPr>
      <w:r w:rsidRPr="008B31C9">
        <w:rPr>
          <w:rFonts w:ascii="Calibri" w:hAnsi="Calibri" w:cs="Calibri"/>
          <w:b/>
          <w:bCs/>
          <w:noProof/>
          <w:color w:val="000000"/>
          <w:sz w:val="20"/>
          <w:szCs w:val="20"/>
        </w:rPr>
        <w:drawing>
          <wp:inline distT="0" distB="0" distL="0" distR="0" wp14:anchorId="3D85DE41" wp14:editId="53AC35BC">
            <wp:extent cx="2885108" cy="4021666"/>
            <wp:effectExtent l="0" t="0" r="0" b="4445"/>
            <wp:docPr id="8" name="Picture 8" descr="Q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r code&#10;&#10;Description automatically generated with medium confidence"/>
                    <pic:cNvPicPr/>
                  </pic:nvPicPr>
                  <pic:blipFill>
                    <a:blip r:embed="rId4"/>
                    <a:stretch>
                      <a:fillRect/>
                    </a:stretch>
                  </pic:blipFill>
                  <pic:spPr>
                    <a:xfrm>
                      <a:off x="0" y="0"/>
                      <a:ext cx="2894094" cy="4034192"/>
                    </a:xfrm>
                    <a:prstGeom prst="rect">
                      <a:avLst/>
                    </a:prstGeom>
                  </pic:spPr>
                </pic:pic>
              </a:graphicData>
            </a:graphic>
          </wp:inline>
        </w:drawing>
      </w:r>
    </w:p>
    <w:p w14:paraId="1E33EB43" w14:textId="77777777" w:rsidR="005C7BDD" w:rsidRDefault="005C7BDD" w:rsidP="005C7BDD">
      <w:pPr>
        <w:autoSpaceDE w:val="0"/>
        <w:autoSpaceDN w:val="0"/>
        <w:adjustRightInd w:val="0"/>
        <w:jc w:val="both"/>
        <w:rPr>
          <w:rFonts w:ascii="Calibri" w:hAnsi="Calibri" w:cs="Calibri"/>
          <w:b/>
          <w:bCs/>
          <w:color w:val="000000"/>
          <w:sz w:val="20"/>
          <w:szCs w:val="20"/>
        </w:rPr>
      </w:pPr>
    </w:p>
    <w:p w14:paraId="48D53850" w14:textId="77777777" w:rsidR="005C7BDD" w:rsidRDefault="005C7BDD" w:rsidP="005C7BDD">
      <w:pPr>
        <w:autoSpaceDE w:val="0"/>
        <w:autoSpaceDN w:val="0"/>
        <w:adjustRightInd w:val="0"/>
        <w:jc w:val="both"/>
        <w:rPr>
          <w:rFonts w:ascii="Calibri" w:hAnsi="Calibri" w:cs="Calibri"/>
          <w:b/>
          <w:bCs/>
          <w:color w:val="000000"/>
          <w:sz w:val="20"/>
          <w:szCs w:val="20"/>
        </w:rPr>
      </w:pPr>
      <w:r>
        <w:rPr>
          <w:rFonts w:ascii="Calibri" w:hAnsi="Calibri" w:cs="Calibri"/>
          <w:b/>
          <w:bCs/>
          <w:color w:val="000000"/>
          <w:sz w:val="20"/>
          <w:szCs w:val="20"/>
        </w:rPr>
        <w:t>Figure 1 Supplemental</w:t>
      </w:r>
    </w:p>
    <w:p w14:paraId="36DE4023"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(A) Average daily food intake of WT and GDF15 KO after 22 weeks on </w:t>
      </w:r>
      <w:proofErr w:type="gramStart"/>
      <w:r>
        <w:rPr>
          <w:rFonts w:ascii="Calibri" w:hAnsi="Calibri" w:cs="Calibri"/>
          <w:color w:val="000000"/>
          <w:sz w:val="20"/>
          <w:szCs w:val="20"/>
        </w:rPr>
        <w:t>a</w:t>
      </w:r>
      <w:proofErr w:type="gramEnd"/>
      <w:r>
        <w:rPr>
          <w:rFonts w:ascii="Calibri" w:hAnsi="Calibri" w:cs="Calibri"/>
          <w:color w:val="000000"/>
          <w:sz w:val="20"/>
          <w:szCs w:val="20"/>
        </w:rPr>
        <w:t xml:space="preserve"> HFD, measured over a period of 2 weeks.</w:t>
      </w:r>
    </w:p>
    <w:p w14:paraId="074F47D9"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(B) </w:t>
      </w:r>
      <w:r w:rsidRPr="001A10AF">
        <w:rPr>
          <w:rFonts w:ascii="Calibri" w:hAnsi="Calibri" w:cs="Calibri"/>
          <w:color w:val="000000"/>
          <w:sz w:val="20"/>
          <w:szCs w:val="20"/>
        </w:rPr>
        <w:t>Energy</w:t>
      </w:r>
      <w:r>
        <w:rPr>
          <w:rFonts w:ascii="Calibri" w:hAnsi="Calibri" w:cs="Calibri"/>
          <w:color w:val="000000"/>
          <w:sz w:val="20"/>
          <w:szCs w:val="20"/>
        </w:rPr>
        <w:t xml:space="preserve"> expenditure against body weight of mice. P values calculated using ANCOVA with average EE over 48 hours as the dependent variable, average body weight over 48 hours as a covariate and genotype as a fixed factor.</w:t>
      </w:r>
    </w:p>
    <w:p w14:paraId="07840E1A" w14:textId="77777777" w:rsidR="005C7BDD" w:rsidRPr="001A10AF"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(C) </w:t>
      </w:r>
      <w:r w:rsidRPr="001A10AF">
        <w:rPr>
          <w:rFonts w:ascii="Calibri" w:hAnsi="Calibri" w:cs="Calibri"/>
          <w:color w:val="000000"/>
          <w:sz w:val="20"/>
          <w:szCs w:val="20"/>
        </w:rPr>
        <w:t>Representative images of haematoxylin/</w:t>
      </w:r>
      <w:proofErr w:type="gramStart"/>
      <w:r w:rsidRPr="001A10AF">
        <w:rPr>
          <w:rFonts w:ascii="Calibri" w:hAnsi="Calibri" w:cs="Calibri"/>
          <w:color w:val="000000"/>
          <w:sz w:val="20"/>
          <w:szCs w:val="20"/>
        </w:rPr>
        <w:t>eosin stained</w:t>
      </w:r>
      <w:proofErr w:type="gramEnd"/>
      <w:r w:rsidRPr="001A10AF">
        <w:rPr>
          <w:rFonts w:ascii="Calibri" w:hAnsi="Calibri" w:cs="Calibri"/>
          <w:color w:val="000000"/>
          <w:sz w:val="20"/>
          <w:szCs w:val="20"/>
        </w:rPr>
        <w:t xml:space="preserve"> liver sections from WT and GDF15KO mice after 25 weeks HFD feeding.</w:t>
      </w:r>
    </w:p>
    <w:p w14:paraId="701DACBF" w14:textId="0D240D97" w:rsidR="00C12AC6" w:rsidRDefault="005C7BDD"/>
    <w:p w14:paraId="3B2A101B" w14:textId="57B8A2C4" w:rsidR="005C7BDD" w:rsidRDefault="005C7BDD"/>
    <w:p w14:paraId="4B807DC3" w14:textId="77777777" w:rsidR="005C7BDD" w:rsidRDefault="005C7BDD" w:rsidP="005C7BDD">
      <w:pPr>
        <w:rPr>
          <w:rFonts w:ascii="Calibri" w:hAnsi="Calibri" w:cs="Calibri"/>
          <w:color w:val="191919"/>
          <w:sz w:val="20"/>
          <w:szCs w:val="20"/>
        </w:rPr>
      </w:pPr>
      <w:r w:rsidRPr="008B31C9">
        <w:rPr>
          <w:rFonts w:ascii="Calibri" w:hAnsi="Calibri" w:cs="Calibri"/>
          <w:noProof/>
          <w:color w:val="191919"/>
          <w:sz w:val="20"/>
          <w:szCs w:val="20"/>
        </w:rPr>
        <w:drawing>
          <wp:inline distT="0" distB="0" distL="0" distR="0" wp14:anchorId="4F447E88" wp14:editId="11B71567">
            <wp:extent cx="2678937" cy="1363134"/>
            <wp:effectExtent l="0" t="0" r="0" b="0"/>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5"/>
                    <a:stretch>
                      <a:fillRect/>
                    </a:stretch>
                  </pic:blipFill>
                  <pic:spPr>
                    <a:xfrm>
                      <a:off x="0" y="0"/>
                      <a:ext cx="2700070" cy="1373887"/>
                    </a:xfrm>
                    <a:prstGeom prst="rect">
                      <a:avLst/>
                    </a:prstGeom>
                  </pic:spPr>
                </pic:pic>
              </a:graphicData>
            </a:graphic>
          </wp:inline>
        </w:drawing>
      </w:r>
    </w:p>
    <w:p w14:paraId="1B6584BF" w14:textId="77777777" w:rsidR="005C7BDD" w:rsidRDefault="005C7BDD" w:rsidP="005C7BDD">
      <w:pPr>
        <w:rPr>
          <w:rFonts w:ascii="Calibri" w:hAnsi="Calibri" w:cs="Calibri"/>
          <w:color w:val="191919"/>
          <w:sz w:val="20"/>
          <w:szCs w:val="20"/>
        </w:rPr>
      </w:pPr>
    </w:p>
    <w:p w14:paraId="20A2643D" w14:textId="77777777" w:rsidR="005C7BDD" w:rsidRDefault="005C7BDD" w:rsidP="005C7BDD">
      <w:pPr>
        <w:autoSpaceDE w:val="0"/>
        <w:autoSpaceDN w:val="0"/>
        <w:adjustRightInd w:val="0"/>
        <w:spacing w:line="20" w:lineRule="atLeast"/>
        <w:jc w:val="both"/>
        <w:rPr>
          <w:rFonts w:ascii="Calibri" w:hAnsi="Calibri" w:cs="Calibri"/>
          <w:b/>
          <w:bCs/>
          <w:color w:val="000000"/>
          <w:sz w:val="20"/>
          <w:szCs w:val="20"/>
        </w:rPr>
      </w:pPr>
      <w:r>
        <w:rPr>
          <w:rFonts w:ascii="Calibri" w:hAnsi="Calibri" w:cs="Calibri"/>
          <w:b/>
          <w:bCs/>
          <w:color w:val="000000"/>
          <w:sz w:val="20"/>
          <w:szCs w:val="20"/>
        </w:rPr>
        <w:t>Figure 3 Supplemental</w:t>
      </w:r>
    </w:p>
    <w:p w14:paraId="10EC2B44"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GDF15 mRNA expression and GDF15 secretion from WT and LysM-GDF15</w:t>
      </w:r>
      <w:r>
        <w:rPr>
          <w:rFonts w:ascii="Calibri" w:hAnsi="Calibri" w:cs="Calibri"/>
          <w:color w:val="000000"/>
          <w:sz w:val="13"/>
          <w:szCs w:val="13"/>
          <w:vertAlign w:val="superscript"/>
        </w:rPr>
        <w:t>KO</w:t>
      </w:r>
      <w:r>
        <w:rPr>
          <w:rFonts w:ascii="Calibri" w:hAnsi="Calibri" w:cs="Calibri"/>
          <w:color w:val="000000"/>
          <w:sz w:val="20"/>
          <w:szCs w:val="20"/>
        </w:rPr>
        <w:t xml:space="preserve"> bone-marrow derived macrophages (BMDM).</w:t>
      </w:r>
    </w:p>
    <w:p w14:paraId="61491391" w14:textId="7F117324" w:rsidR="005C7BDD" w:rsidRDefault="005C7BDD"/>
    <w:p w14:paraId="5B7B3066" w14:textId="1FFCB0DE" w:rsidR="005C7BDD" w:rsidRDefault="005C7BDD"/>
    <w:p w14:paraId="4B7767F1" w14:textId="77777777" w:rsidR="005C7BDD" w:rsidRDefault="005C7BDD" w:rsidP="005C7BDD">
      <w:pPr>
        <w:autoSpaceDE w:val="0"/>
        <w:autoSpaceDN w:val="0"/>
        <w:adjustRightInd w:val="0"/>
        <w:jc w:val="both"/>
        <w:rPr>
          <w:rFonts w:ascii="Calibri" w:hAnsi="Calibri" w:cs="Calibri"/>
          <w:b/>
          <w:bCs/>
          <w:color w:val="000000"/>
          <w:sz w:val="20"/>
          <w:szCs w:val="20"/>
        </w:rPr>
      </w:pPr>
      <w:r w:rsidRPr="00964E43">
        <w:rPr>
          <w:rFonts w:ascii="Calibri" w:hAnsi="Calibri" w:cs="Calibri"/>
          <w:b/>
          <w:bCs/>
          <w:noProof/>
          <w:color w:val="000000"/>
          <w:sz w:val="20"/>
          <w:szCs w:val="20"/>
        </w:rPr>
        <w:lastRenderedPageBreak/>
        <w:drawing>
          <wp:inline distT="0" distB="0" distL="0" distR="0" wp14:anchorId="5300D62C" wp14:editId="6225415B">
            <wp:extent cx="3756172" cy="2946400"/>
            <wp:effectExtent l="0" t="0" r="0" b="0"/>
            <wp:docPr id="10" name="Picture 10"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ark&#10;&#10;Description automatically generated"/>
                    <pic:cNvPicPr/>
                  </pic:nvPicPr>
                  <pic:blipFill>
                    <a:blip r:embed="rId6"/>
                    <a:stretch>
                      <a:fillRect/>
                    </a:stretch>
                  </pic:blipFill>
                  <pic:spPr>
                    <a:xfrm>
                      <a:off x="0" y="0"/>
                      <a:ext cx="3761517" cy="2950593"/>
                    </a:xfrm>
                    <a:prstGeom prst="rect">
                      <a:avLst/>
                    </a:prstGeom>
                  </pic:spPr>
                </pic:pic>
              </a:graphicData>
            </a:graphic>
          </wp:inline>
        </w:drawing>
      </w:r>
    </w:p>
    <w:p w14:paraId="3EDB532E" w14:textId="77777777" w:rsidR="005C7BDD" w:rsidRPr="000042C3" w:rsidRDefault="005C7BDD" w:rsidP="005C7BDD">
      <w:pPr>
        <w:rPr>
          <w:sz w:val="20"/>
          <w:szCs w:val="20"/>
        </w:rPr>
      </w:pPr>
    </w:p>
    <w:p w14:paraId="7F12E240" w14:textId="77777777" w:rsidR="005C7BDD" w:rsidRDefault="005C7BDD" w:rsidP="005C7BDD">
      <w:pPr>
        <w:autoSpaceDE w:val="0"/>
        <w:autoSpaceDN w:val="0"/>
        <w:adjustRightInd w:val="0"/>
        <w:spacing w:line="20" w:lineRule="atLeast"/>
        <w:jc w:val="both"/>
        <w:rPr>
          <w:rFonts w:ascii="Calibri" w:hAnsi="Calibri" w:cs="Calibri"/>
          <w:b/>
          <w:bCs/>
          <w:color w:val="000000"/>
          <w:sz w:val="20"/>
          <w:szCs w:val="20"/>
        </w:rPr>
      </w:pPr>
      <w:r>
        <w:rPr>
          <w:rFonts w:ascii="Calibri" w:hAnsi="Calibri" w:cs="Calibri"/>
          <w:b/>
          <w:bCs/>
          <w:color w:val="000000"/>
          <w:sz w:val="20"/>
          <w:szCs w:val="20"/>
        </w:rPr>
        <w:t>Figure 4 Supplemental</w:t>
      </w:r>
    </w:p>
    <w:p w14:paraId="127EA997" w14:textId="77777777" w:rsidR="005C7BDD" w:rsidRPr="00CE77B4"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(A) </w:t>
      </w:r>
      <w:r w:rsidRPr="00CE77B4">
        <w:rPr>
          <w:rFonts w:ascii="Calibri" w:hAnsi="Calibri" w:cs="Calibri"/>
          <w:color w:val="000000"/>
          <w:sz w:val="20"/>
          <w:szCs w:val="20"/>
        </w:rPr>
        <w:t xml:space="preserve">GDF15, EMR1 and Plin1 mRNA expression from </w:t>
      </w:r>
      <w:proofErr w:type="gramStart"/>
      <w:r w:rsidRPr="00CE77B4">
        <w:rPr>
          <w:rFonts w:ascii="Calibri" w:hAnsi="Calibri" w:cs="Calibri"/>
          <w:color w:val="000000"/>
          <w:sz w:val="20"/>
          <w:szCs w:val="20"/>
        </w:rPr>
        <w:t>24 week old</w:t>
      </w:r>
      <w:proofErr w:type="gramEnd"/>
      <w:r w:rsidRPr="00CE77B4">
        <w:rPr>
          <w:rFonts w:ascii="Calibri" w:hAnsi="Calibri" w:cs="Calibri"/>
          <w:color w:val="000000"/>
          <w:sz w:val="20"/>
          <w:szCs w:val="20"/>
        </w:rPr>
        <w:t xml:space="preserve"> high fat diet (HFD) fed wild type (WT) and BMT-GDF15</w:t>
      </w:r>
      <w:r w:rsidRPr="00CE77B4">
        <w:rPr>
          <w:rFonts w:ascii="Calibri" w:hAnsi="Calibri" w:cs="Calibri"/>
          <w:color w:val="000000"/>
          <w:sz w:val="13"/>
          <w:szCs w:val="13"/>
          <w:vertAlign w:val="superscript"/>
        </w:rPr>
        <w:t>KO</w:t>
      </w:r>
      <w:r w:rsidRPr="00CE77B4">
        <w:rPr>
          <w:rFonts w:ascii="Calibri" w:hAnsi="Calibri" w:cs="Calibri"/>
          <w:color w:val="000000"/>
          <w:sz w:val="20"/>
          <w:szCs w:val="20"/>
        </w:rPr>
        <w:t xml:space="preserve"> mouse epididymal adipose tissue fractionated into adipocytes and CD11b positive (+) stromal vascular fraction (SVF) (n=4).</w:t>
      </w:r>
    </w:p>
    <w:p w14:paraId="203CAE8B" w14:textId="77777777" w:rsidR="005C7BDD" w:rsidRPr="00CE77B4"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(B) </w:t>
      </w:r>
      <w:r w:rsidRPr="00CE77B4">
        <w:rPr>
          <w:rFonts w:ascii="Calibri" w:hAnsi="Calibri" w:cs="Calibri"/>
          <w:color w:val="000000"/>
          <w:sz w:val="20"/>
          <w:szCs w:val="20"/>
        </w:rPr>
        <w:t>Human serum GDF15 levels show limited association with GDF15 gene expression levels in adipose tissue. Each point represents data from an individual. GDF15 serum levels were adjusted for age and BMI; plotted GDF15 gene expression residuals were adjusted for age, BMI and RNA-</w:t>
      </w:r>
      <w:proofErr w:type="spellStart"/>
      <w:r w:rsidRPr="00CE77B4">
        <w:rPr>
          <w:rFonts w:ascii="Calibri" w:hAnsi="Calibri" w:cs="Calibri"/>
          <w:color w:val="000000"/>
          <w:sz w:val="20"/>
          <w:szCs w:val="20"/>
        </w:rPr>
        <w:t>Seq</w:t>
      </w:r>
      <w:proofErr w:type="spellEnd"/>
      <w:r w:rsidRPr="00CE77B4">
        <w:rPr>
          <w:rFonts w:ascii="Calibri" w:hAnsi="Calibri" w:cs="Calibri"/>
          <w:color w:val="000000"/>
          <w:sz w:val="20"/>
          <w:szCs w:val="20"/>
        </w:rPr>
        <w:t xml:space="preserve"> technical covariates</w:t>
      </w:r>
    </w:p>
    <w:p w14:paraId="3C19F922" w14:textId="7CEBBBDC" w:rsidR="005C7BDD" w:rsidRDefault="005C7BDD"/>
    <w:p w14:paraId="712103B7" w14:textId="77777777" w:rsidR="005C7BDD" w:rsidRDefault="005C7BDD" w:rsidP="005C7BDD">
      <w:pPr>
        <w:rPr>
          <w:rFonts w:ascii="Calibri" w:hAnsi="Calibri" w:cs="Calibri"/>
          <w:color w:val="191919"/>
          <w:sz w:val="20"/>
          <w:szCs w:val="20"/>
        </w:rPr>
      </w:pPr>
      <w:r w:rsidRPr="00964E43">
        <w:rPr>
          <w:rFonts w:ascii="Calibri" w:hAnsi="Calibri" w:cs="Calibri"/>
          <w:noProof/>
          <w:color w:val="191919"/>
          <w:sz w:val="20"/>
          <w:szCs w:val="20"/>
        </w:rPr>
        <w:lastRenderedPageBreak/>
        <w:drawing>
          <wp:inline distT="0" distB="0" distL="0" distR="0" wp14:anchorId="2D2C2042" wp14:editId="10DE434B">
            <wp:extent cx="3153628" cy="6417733"/>
            <wp:effectExtent l="0" t="0" r="0" b="0"/>
            <wp:docPr id="11" name="Picture 1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low confidence"/>
                    <pic:cNvPicPr/>
                  </pic:nvPicPr>
                  <pic:blipFill>
                    <a:blip r:embed="rId7"/>
                    <a:stretch>
                      <a:fillRect/>
                    </a:stretch>
                  </pic:blipFill>
                  <pic:spPr>
                    <a:xfrm>
                      <a:off x="0" y="0"/>
                      <a:ext cx="3167694" cy="6446358"/>
                    </a:xfrm>
                    <a:prstGeom prst="rect">
                      <a:avLst/>
                    </a:prstGeom>
                  </pic:spPr>
                </pic:pic>
              </a:graphicData>
            </a:graphic>
          </wp:inline>
        </w:drawing>
      </w:r>
    </w:p>
    <w:p w14:paraId="1A986903" w14:textId="77777777" w:rsidR="005C7BDD" w:rsidRDefault="005C7BDD" w:rsidP="005C7BDD">
      <w:pPr>
        <w:rPr>
          <w:rFonts w:ascii="Calibri" w:hAnsi="Calibri" w:cs="Calibri"/>
          <w:color w:val="191919"/>
          <w:sz w:val="20"/>
          <w:szCs w:val="20"/>
        </w:rPr>
      </w:pPr>
    </w:p>
    <w:p w14:paraId="6401505C" w14:textId="77777777" w:rsidR="005C7BDD" w:rsidRDefault="005C7BDD" w:rsidP="005C7BDD">
      <w:pPr>
        <w:autoSpaceDE w:val="0"/>
        <w:autoSpaceDN w:val="0"/>
        <w:adjustRightInd w:val="0"/>
        <w:spacing w:line="20" w:lineRule="atLeast"/>
        <w:jc w:val="both"/>
        <w:rPr>
          <w:rFonts w:ascii="Calibri" w:hAnsi="Calibri" w:cs="Calibri"/>
          <w:b/>
          <w:bCs/>
          <w:color w:val="000000"/>
          <w:sz w:val="20"/>
          <w:szCs w:val="20"/>
        </w:rPr>
      </w:pPr>
      <w:r>
        <w:rPr>
          <w:rFonts w:ascii="Calibri" w:hAnsi="Calibri" w:cs="Calibri"/>
          <w:b/>
          <w:bCs/>
          <w:color w:val="000000"/>
          <w:sz w:val="20"/>
          <w:szCs w:val="20"/>
        </w:rPr>
        <w:t>Figure 5 Supplemental</w:t>
      </w:r>
    </w:p>
    <w:p w14:paraId="2174C313"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(A) Average daily food intake of WT and Alb-GDF15</w:t>
      </w:r>
      <w:r>
        <w:rPr>
          <w:rFonts w:ascii="Calibri" w:hAnsi="Calibri" w:cs="Calibri"/>
          <w:color w:val="000000"/>
          <w:sz w:val="20"/>
          <w:szCs w:val="20"/>
          <w:vertAlign w:val="superscript"/>
        </w:rPr>
        <w:t>KO</w:t>
      </w:r>
      <w:r>
        <w:rPr>
          <w:rFonts w:ascii="Calibri" w:hAnsi="Calibri" w:cs="Calibri"/>
          <w:color w:val="000000"/>
          <w:sz w:val="20"/>
          <w:szCs w:val="20"/>
        </w:rPr>
        <w:t xml:space="preserve"> on a HFD measured over a period of 2 weeks.</w:t>
      </w:r>
    </w:p>
    <w:p w14:paraId="176C67BA"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(B) </w:t>
      </w:r>
      <w:r w:rsidRPr="001A10AF">
        <w:rPr>
          <w:rFonts w:ascii="Calibri" w:hAnsi="Calibri" w:cs="Calibri"/>
          <w:color w:val="000000"/>
          <w:sz w:val="20"/>
          <w:szCs w:val="20"/>
        </w:rPr>
        <w:t>Energy</w:t>
      </w:r>
      <w:r>
        <w:rPr>
          <w:rFonts w:ascii="Calibri" w:hAnsi="Calibri" w:cs="Calibri"/>
          <w:color w:val="000000"/>
          <w:sz w:val="20"/>
          <w:szCs w:val="20"/>
        </w:rPr>
        <w:t xml:space="preserve"> expenditure against body weight of mice. P values calculated using ANCOVA with average EE over 48 hours as the dependent variable, average body weight over 48 hours as a covariate and genotype as a fixed factor.</w:t>
      </w:r>
    </w:p>
    <w:p w14:paraId="34D40A69" w14:textId="77777777" w:rsidR="005C7BDD" w:rsidRDefault="005C7BDD" w:rsidP="005C7BDD">
      <w:pPr>
        <w:rPr>
          <w:rFonts w:ascii="Calibri" w:hAnsi="Calibri" w:cs="Calibri"/>
          <w:color w:val="000000"/>
          <w:sz w:val="20"/>
          <w:szCs w:val="20"/>
        </w:rPr>
      </w:pPr>
      <w:r>
        <w:rPr>
          <w:rFonts w:ascii="Calibri" w:hAnsi="Calibri" w:cs="Calibri"/>
          <w:color w:val="000000"/>
          <w:sz w:val="20"/>
          <w:szCs w:val="20"/>
        </w:rPr>
        <w:t>(C) Representative images of haematoxylin/</w:t>
      </w:r>
      <w:proofErr w:type="gramStart"/>
      <w:r>
        <w:rPr>
          <w:rFonts w:ascii="Calibri" w:hAnsi="Calibri" w:cs="Calibri"/>
          <w:color w:val="000000"/>
          <w:sz w:val="20"/>
          <w:szCs w:val="20"/>
        </w:rPr>
        <w:t>eosin stained</w:t>
      </w:r>
      <w:proofErr w:type="gramEnd"/>
      <w:r>
        <w:rPr>
          <w:rFonts w:ascii="Calibri" w:hAnsi="Calibri" w:cs="Calibri"/>
          <w:color w:val="000000"/>
          <w:sz w:val="20"/>
          <w:szCs w:val="20"/>
        </w:rPr>
        <w:t xml:space="preserve"> liver sections from WT and Alb-GDF15</w:t>
      </w:r>
      <w:r>
        <w:rPr>
          <w:rFonts w:ascii="Calibri" w:hAnsi="Calibri" w:cs="Calibri"/>
          <w:color w:val="000000"/>
          <w:sz w:val="20"/>
          <w:szCs w:val="20"/>
          <w:vertAlign w:val="superscript"/>
        </w:rPr>
        <w:t>KO</w:t>
      </w:r>
      <w:r>
        <w:rPr>
          <w:rFonts w:ascii="Calibri" w:hAnsi="Calibri" w:cs="Calibri"/>
          <w:color w:val="000000"/>
          <w:sz w:val="20"/>
          <w:szCs w:val="20"/>
        </w:rPr>
        <w:t xml:space="preserve"> mice after 24 weeks of HFD feeding</w:t>
      </w:r>
    </w:p>
    <w:p w14:paraId="45A02EB1"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(D) Hepatic mRNA expression of genes involved in lipid metabolism (n=13,11).</w:t>
      </w:r>
    </w:p>
    <w:p w14:paraId="7A92E9D1" w14:textId="2C0F9F2B" w:rsidR="005C7BDD" w:rsidRDefault="005C7BDD"/>
    <w:p w14:paraId="0C51BFED" w14:textId="77777777" w:rsidR="005C7BDD" w:rsidRDefault="005C7BDD" w:rsidP="005C7BDD">
      <w:r w:rsidRPr="00964E43">
        <w:rPr>
          <w:rFonts w:ascii="Calibri" w:hAnsi="Calibri" w:cs="Calibri"/>
          <w:b/>
          <w:bCs/>
          <w:noProof/>
          <w:color w:val="000000"/>
          <w:sz w:val="20"/>
          <w:szCs w:val="20"/>
        </w:rPr>
        <w:lastRenderedPageBreak/>
        <w:drawing>
          <wp:inline distT="0" distB="0" distL="0" distR="0" wp14:anchorId="23F48D83" wp14:editId="77E59FE5">
            <wp:extent cx="5943600" cy="7466400"/>
            <wp:effectExtent l="0" t="0" r="0" b="1270"/>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with medium confidence"/>
                    <pic:cNvPicPr/>
                  </pic:nvPicPr>
                  <pic:blipFill>
                    <a:blip r:embed="rId8"/>
                    <a:stretch>
                      <a:fillRect/>
                    </a:stretch>
                  </pic:blipFill>
                  <pic:spPr>
                    <a:xfrm>
                      <a:off x="0" y="0"/>
                      <a:ext cx="5960097" cy="7487123"/>
                    </a:xfrm>
                    <a:prstGeom prst="rect">
                      <a:avLst/>
                    </a:prstGeom>
                  </pic:spPr>
                </pic:pic>
              </a:graphicData>
            </a:graphic>
          </wp:inline>
        </w:drawing>
      </w:r>
    </w:p>
    <w:p w14:paraId="373CA8A9" w14:textId="77777777" w:rsidR="005C7BDD" w:rsidRDefault="005C7BDD" w:rsidP="005C7BDD">
      <w:pPr>
        <w:autoSpaceDE w:val="0"/>
        <w:autoSpaceDN w:val="0"/>
        <w:adjustRightInd w:val="0"/>
        <w:jc w:val="both"/>
        <w:rPr>
          <w:rFonts w:ascii="Calibri" w:hAnsi="Calibri" w:cs="Calibri"/>
          <w:b/>
          <w:bCs/>
          <w:color w:val="000000"/>
          <w:sz w:val="20"/>
          <w:szCs w:val="20"/>
        </w:rPr>
      </w:pPr>
    </w:p>
    <w:p w14:paraId="2D1F32C3" w14:textId="77777777" w:rsidR="005C7BDD" w:rsidRPr="0075486B" w:rsidRDefault="005C7BDD" w:rsidP="005C7BDD">
      <w:pPr>
        <w:autoSpaceDE w:val="0"/>
        <w:autoSpaceDN w:val="0"/>
        <w:adjustRightInd w:val="0"/>
        <w:jc w:val="both"/>
        <w:rPr>
          <w:rFonts w:ascii="Calibri" w:hAnsi="Calibri" w:cs="Calibri"/>
          <w:b/>
          <w:bCs/>
          <w:color w:val="000000"/>
          <w:sz w:val="20"/>
          <w:szCs w:val="20"/>
        </w:rPr>
      </w:pPr>
      <w:r>
        <w:rPr>
          <w:rFonts w:ascii="Calibri" w:hAnsi="Calibri" w:cs="Calibri"/>
          <w:b/>
          <w:bCs/>
          <w:color w:val="000000"/>
          <w:sz w:val="20"/>
          <w:szCs w:val="20"/>
        </w:rPr>
        <w:t>Figure 6 Supplemental</w:t>
      </w:r>
    </w:p>
    <w:p w14:paraId="20EB34BD"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(A) Average daily food intake of WT, FGF21 KO, GDF15 KO and </w:t>
      </w:r>
      <w:proofErr w:type="spellStart"/>
      <w:r>
        <w:rPr>
          <w:rFonts w:ascii="Calibri" w:hAnsi="Calibri" w:cs="Calibri"/>
          <w:color w:val="000000"/>
          <w:sz w:val="20"/>
          <w:szCs w:val="20"/>
        </w:rPr>
        <w:t>dKO</w:t>
      </w:r>
      <w:proofErr w:type="spellEnd"/>
      <w:r>
        <w:rPr>
          <w:rFonts w:ascii="Calibri" w:hAnsi="Calibri" w:cs="Calibri"/>
          <w:color w:val="000000"/>
          <w:sz w:val="20"/>
          <w:szCs w:val="20"/>
        </w:rPr>
        <w:t xml:space="preserve"> after 22 weeks on a HFD measured over a period of 2 weeks </w:t>
      </w:r>
    </w:p>
    <w:p w14:paraId="7A52FE97"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(B) </w:t>
      </w:r>
      <w:r w:rsidRPr="001A10AF">
        <w:rPr>
          <w:rFonts w:ascii="Calibri" w:hAnsi="Calibri" w:cs="Calibri"/>
          <w:color w:val="000000"/>
          <w:sz w:val="20"/>
          <w:szCs w:val="20"/>
        </w:rPr>
        <w:t>Energy</w:t>
      </w:r>
      <w:r>
        <w:rPr>
          <w:rFonts w:ascii="Calibri" w:hAnsi="Calibri" w:cs="Calibri"/>
          <w:color w:val="000000"/>
          <w:sz w:val="20"/>
          <w:szCs w:val="20"/>
        </w:rPr>
        <w:t xml:space="preserve"> expenditure against body weight of mice. P values calculated using ANCOVA with average EE over 48 hours as the dependent variable, average body weight over 48 hours as a covariate and genotype as a fixed factor.</w:t>
      </w:r>
    </w:p>
    <w:p w14:paraId="5CFDCF14" w14:textId="77777777" w:rsidR="005C7BDD" w:rsidRDefault="005C7BDD" w:rsidP="005C7BDD">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(C) Representative images of haematoxylin/</w:t>
      </w:r>
      <w:proofErr w:type="gramStart"/>
      <w:r>
        <w:rPr>
          <w:rFonts w:ascii="Calibri" w:hAnsi="Calibri" w:cs="Calibri"/>
          <w:color w:val="000000"/>
          <w:sz w:val="20"/>
          <w:szCs w:val="20"/>
        </w:rPr>
        <w:t>eosin stained</w:t>
      </w:r>
      <w:proofErr w:type="gramEnd"/>
      <w:r>
        <w:rPr>
          <w:rFonts w:ascii="Calibri" w:hAnsi="Calibri" w:cs="Calibri"/>
          <w:color w:val="000000"/>
          <w:sz w:val="20"/>
          <w:szCs w:val="20"/>
        </w:rPr>
        <w:t xml:space="preserve"> liver sections from WT, FGF21 KO, GDF15 KO and </w:t>
      </w:r>
      <w:proofErr w:type="spellStart"/>
      <w:r>
        <w:rPr>
          <w:rFonts w:ascii="Calibri" w:hAnsi="Calibri" w:cs="Calibri"/>
          <w:color w:val="000000"/>
          <w:sz w:val="20"/>
          <w:szCs w:val="20"/>
        </w:rPr>
        <w:t>dKO</w:t>
      </w:r>
      <w:proofErr w:type="spellEnd"/>
      <w:r>
        <w:rPr>
          <w:rFonts w:ascii="Calibri" w:hAnsi="Calibri" w:cs="Calibri"/>
          <w:color w:val="000000"/>
          <w:sz w:val="20"/>
          <w:szCs w:val="20"/>
        </w:rPr>
        <w:t xml:space="preserve"> mice after 25 weeks HFD feeding.</w:t>
      </w:r>
    </w:p>
    <w:p w14:paraId="0FFE2595" w14:textId="77777777" w:rsidR="005C7BDD" w:rsidRDefault="005C7BDD" w:rsidP="005C7BDD">
      <w:r>
        <w:rPr>
          <w:rFonts w:ascii="Calibri" w:hAnsi="Calibri" w:cs="Calibri"/>
          <w:color w:val="000000"/>
          <w:sz w:val="20"/>
          <w:szCs w:val="20"/>
        </w:rPr>
        <w:lastRenderedPageBreak/>
        <w:t>(D) Plasma cholesterol, alanine transaminase (ALT), aspartate transaminase (AST) and leptin from random fed mice, after 24 weeks of HFD-feeding (n=8).</w:t>
      </w:r>
    </w:p>
    <w:p w14:paraId="6E59F67B" w14:textId="77777777" w:rsidR="005C7BDD" w:rsidRDefault="005C7BDD"/>
    <w:sectPr w:rsidR="005C7BDD" w:rsidSect="00A7761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BDD"/>
    <w:rsid w:val="00015C68"/>
    <w:rsid w:val="000D61B6"/>
    <w:rsid w:val="003B633E"/>
    <w:rsid w:val="004610C5"/>
    <w:rsid w:val="00543E29"/>
    <w:rsid w:val="005C7BDD"/>
    <w:rsid w:val="00A77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A6D636"/>
  <w15:chartTrackingRefBased/>
  <w15:docId w15:val="{635736E8-3722-E143-A46F-F0A7FBBE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BD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Satish Patel</dc:creator>
  <cp:keywords/>
  <dc:description/>
  <cp:lastModifiedBy>Satish Patel</cp:lastModifiedBy>
  <cp:revision>1</cp:revision>
  <dcterms:created xsi:type="dcterms:W3CDTF">2022-08-06T08:23:00Z</dcterms:created>
  <dcterms:modified xsi:type="dcterms:W3CDTF">2022-08-06T08:27:00Z</dcterms:modified>
</cp:coreProperties>
</file>