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CD67F" w14:textId="77777777" w:rsidR="004D3F6C" w:rsidRPr="00F96002" w:rsidRDefault="00000000">
      <w:pPr>
        <w:pStyle w:val="berschrift1"/>
        <w:rPr>
          <w:lang w:val="en-US"/>
        </w:rPr>
      </w:pPr>
      <w:bookmarkStart w:id="0" w:name="_680xeabpctnw" w:colFirst="0" w:colLast="0"/>
      <w:bookmarkEnd w:id="0"/>
      <w:r w:rsidRPr="00F96002">
        <w:rPr>
          <w:lang w:val="en-US"/>
        </w:rPr>
        <w:t>SUPPLEMENTARY NOTES</w:t>
      </w:r>
    </w:p>
    <w:p w14:paraId="17CCD680" w14:textId="77777777" w:rsidR="004D3F6C" w:rsidRPr="00F96002" w:rsidRDefault="00000000">
      <w:pPr>
        <w:spacing w:before="0" w:after="0"/>
        <w:rPr>
          <w:lang w:val="en-US"/>
        </w:rPr>
      </w:pPr>
      <w:r w:rsidRPr="00F96002">
        <w:rPr>
          <w:b/>
          <w:lang w:val="en-US"/>
        </w:rPr>
        <w:t xml:space="preserve">The constitutional gain-of-function variant </w:t>
      </w:r>
      <w:proofErr w:type="gramStart"/>
      <w:r w:rsidRPr="00F96002">
        <w:rPr>
          <w:b/>
          <w:lang w:val="en-US"/>
        </w:rPr>
        <w:t>p.Glu</w:t>
      </w:r>
      <w:proofErr w:type="gramEnd"/>
      <w:r w:rsidRPr="00F96002">
        <w:rPr>
          <w:b/>
          <w:lang w:val="en-US"/>
        </w:rPr>
        <w:t xml:space="preserve">1099Lys in </w:t>
      </w:r>
      <w:r w:rsidRPr="00F96002">
        <w:rPr>
          <w:b/>
          <w:i/>
          <w:lang w:val="en-US"/>
        </w:rPr>
        <w:t>NSD2</w:t>
      </w:r>
      <w:r w:rsidRPr="00F96002">
        <w:rPr>
          <w:b/>
          <w:lang w:val="en-US"/>
        </w:rPr>
        <w:t xml:space="preserve"> is associated with a novel syndrome</w:t>
      </w:r>
    </w:p>
    <w:p w14:paraId="17CCD681" w14:textId="77777777" w:rsidR="004D3F6C" w:rsidRPr="00F96002" w:rsidRDefault="004D3F6C">
      <w:pPr>
        <w:spacing w:before="0" w:after="0"/>
        <w:rPr>
          <w:b/>
          <w:lang w:val="en-US"/>
        </w:rPr>
      </w:pPr>
    </w:p>
    <w:p w14:paraId="17CCD682" w14:textId="77777777" w:rsidR="004D3F6C" w:rsidRPr="00F96002" w:rsidRDefault="00000000">
      <w:pPr>
        <w:spacing w:before="0" w:after="0"/>
        <w:rPr>
          <w:lang w:val="en-US"/>
        </w:rPr>
      </w:pPr>
      <w:r w:rsidRPr="00F96002">
        <w:rPr>
          <w:lang w:val="en-US"/>
        </w:rPr>
        <w:t xml:space="preserve">Bernt Popp </w:t>
      </w:r>
      <w:r w:rsidRPr="00F96002">
        <w:rPr>
          <w:vertAlign w:val="superscript"/>
          <w:lang w:val="en-US"/>
        </w:rPr>
        <w:t>1,</w:t>
      </w:r>
      <w:proofErr w:type="gramStart"/>
      <w:r w:rsidRPr="00F96002">
        <w:rPr>
          <w:vertAlign w:val="superscript"/>
          <w:lang w:val="en-US"/>
        </w:rPr>
        <w:t>2,</w:t>
      </w:r>
      <w:r w:rsidRPr="00F96002">
        <w:rPr>
          <w:lang w:val="en-US"/>
        </w:rPr>
        <w:t>*</w:t>
      </w:r>
      <w:proofErr w:type="gramEnd"/>
      <w:r w:rsidRPr="00F96002">
        <w:rPr>
          <w:vertAlign w:val="superscript"/>
          <w:lang w:val="en-US"/>
        </w:rPr>
        <w:t>,#</w:t>
      </w:r>
      <w:r w:rsidRPr="00F96002">
        <w:rPr>
          <w:lang w:val="en-US"/>
        </w:rPr>
        <w:t xml:space="preserve">, Melanie Brugger </w:t>
      </w:r>
      <w:r w:rsidRPr="00F96002">
        <w:rPr>
          <w:vertAlign w:val="superscript"/>
          <w:lang w:val="en-US"/>
        </w:rPr>
        <w:t>3,</w:t>
      </w:r>
      <w:r w:rsidRPr="00F96002">
        <w:rPr>
          <w:lang w:val="en-US"/>
        </w:rPr>
        <w:t xml:space="preserve">*, </w:t>
      </w:r>
      <w:proofErr w:type="spellStart"/>
      <w:r w:rsidRPr="00F96002">
        <w:rPr>
          <w:lang w:val="en-US"/>
        </w:rPr>
        <w:t>Sibylle</w:t>
      </w:r>
      <w:proofErr w:type="spellEnd"/>
      <w:r w:rsidRPr="00F96002">
        <w:rPr>
          <w:lang w:val="en-US"/>
        </w:rPr>
        <w:t xml:space="preserve"> </w:t>
      </w:r>
      <w:proofErr w:type="spellStart"/>
      <w:r w:rsidRPr="00F96002">
        <w:rPr>
          <w:lang w:val="en-US"/>
        </w:rPr>
        <w:t>Poschmann</w:t>
      </w:r>
      <w:proofErr w:type="spellEnd"/>
      <w:r w:rsidRPr="00F96002">
        <w:rPr>
          <w:lang w:val="en-US"/>
        </w:rPr>
        <w:t xml:space="preserve"> </w:t>
      </w:r>
      <w:r w:rsidRPr="00F96002">
        <w:rPr>
          <w:vertAlign w:val="superscript"/>
          <w:lang w:val="en-US"/>
        </w:rPr>
        <w:t>4</w:t>
      </w:r>
      <w:r w:rsidRPr="00F96002">
        <w:rPr>
          <w:lang w:val="en-US"/>
        </w:rPr>
        <w:t xml:space="preserve">, Tobias </w:t>
      </w:r>
      <w:proofErr w:type="spellStart"/>
      <w:r w:rsidRPr="00F96002">
        <w:rPr>
          <w:lang w:val="en-US"/>
        </w:rPr>
        <w:t>Bartolomaeus</w:t>
      </w:r>
      <w:proofErr w:type="spellEnd"/>
      <w:r w:rsidRPr="00F96002">
        <w:rPr>
          <w:lang w:val="en-US"/>
        </w:rPr>
        <w:t xml:space="preserve"> </w:t>
      </w:r>
      <w:r w:rsidRPr="00F96002">
        <w:rPr>
          <w:vertAlign w:val="superscript"/>
          <w:lang w:val="en-US"/>
        </w:rPr>
        <w:t>1</w:t>
      </w:r>
      <w:r w:rsidRPr="00F96002">
        <w:rPr>
          <w:lang w:val="en-US"/>
        </w:rPr>
        <w:t xml:space="preserve">, Maximilian Radtke </w:t>
      </w:r>
      <w:r w:rsidRPr="00F96002">
        <w:rPr>
          <w:vertAlign w:val="superscript"/>
          <w:lang w:val="en-US"/>
        </w:rPr>
        <w:t>1</w:t>
      </w:r>
      <w:r w:rsidRPr="00F96002">
        <w:rPr>
          <w:lang w:val="en-US"/>
        </w:rPr>
        <w:t xml:space="preserve">, Julia </w:t>
      </w:r>
      <w:proofErr w:type="spellStart"/>
      <w:r w:rsidRPr="00F96002">
        <w:rPr>
          <w:lang w:val="en-US"/>
        </w:rPr>
        <w:t>Hentschel</w:t>
      </w:r>
      <w:proofErr w:type="spellEnd"/>
      <w:r w:rsidRPr="00F96002">
        <w:rPr>
          <w:lang w:val="en-US"/>
        </w:rPr>
        <w:t xml:space="preserve"> </w:t>
      </w:r>
      <w:r w:rsidRPr="00F96002">
        <w:rPr>
          <w:vertAlign w:val="superscript"/>
          <w:lang w:val="en-US"/>
        </w:rPr>
        <w:t>1</w:t>
      </w:r>
      <w:r w:rsidRPr="00F96002">
        <w:rPr>
          <w:lang w:val="en-US"/>
        </w:rPr>
        <w:t xml:space="preserve">, Nataliya Di Donato </w:t>
      </w:r>
      <w:r w:rsidRPr="00F96002">
        <w:rPr>
          <w:vertAlign w:val="superscript"/>
          <w:lang w:val="en-US"/>
        </w:rPr>
        <w:t>5</w:t>
      </w:r>
      <w:r w:rsidRPr="00F96002">
        <w:rPr>
          <w:lang w:val="en-US"/>
        </w:rPr>
        <w:t xml:space="preserve">, Andreas Rump </w:t>
      </w:r>
      <w:r w:rsidRPr="00F96002">
        <w:rPr>
          <w:vertAlign w:val="superscript"/>
          <w:lang w:val="en-US"/>
        </w:rPr>
        <w:t>5</w:t>
      </w:r>
      <w:r w:rsidRPr="00F96002">
        <w:rPr>
          <w:lang w:val="en-US"/>
        </w:rPr>
        <w:t xml:space="preserve">, Janina </w:t>
      </w:r>
      <w:proofErr w:type="spellStart"/>
      <w:r w:rsidRPr="00F96002">
        <w:rPr>
          <w:lang w:val="en-US"/>
        </w:rPr>
        <w:t>Gburek-Augustat</w:t>
      </w:r>
      <w:proofErr w:type="spellEnd"/>
      <w:r w:rsidRPr="00F96002">
        <w:rPr>
          <w:lang w:val="en-US"/>
        </w:rPr>
        <w:t xml:space="preserve"> </w:t>
      </w:r>
      <w:r w:rsidRPr="00F96002">
        <w:rPr>
          <w:vertAlign w:val="superscript"/>
          <w:lang w:val="en-US"/>
        </w:rPr>
        <w:t>6</w:t>
      </w:r>
      <w:r w:rsidRPr="00F96002">
        <w:rPr>
          <w:lang w:val="en-US"/>
        </w:rPr>
        <w:t xml:space="preserve">, Elisabeth Graf </w:t>
      </w:r>
      <w:r w:rsidRPr="00F96002">
        <w:rPr>
          <w:vertAlign w:val="superscript"/>
          <w:lang w:val="en-US"/>
        </w:rPr>
        <w:t>3</w:t>
      </w:r>
      <w:r w:rsidRPr="00F96002">
        <w:rPr>
          <w:lang w:val="en-US"/>
        </w:rPr>
        <w:t xml:space="preserve">, Matias Wagner </w:t>
      </w:r>
      <w:r w:rsidRPr="00F96002">
        <w:rPr>
          <w:vertAlign w:val="superscript"/>
          <w:lang w:val="en-US"/>
        </w:rPr>
        <w:t>3,7,8</w:t>
      </w:r>
      <w:r w:rsidRPr="00F96002">
        <w:rPr>
          <w:lang w:val="en-US"/>
        </w:rPr>
        <w:t xml:space="preserve">, Ina Sorge </w:t>
      </w:r>
      <w:r w:rsidRPr="00F96002">
        <w:rPr>
          <w:vertAlign w:val="superscript"/>
          <w:lang w:val="en-US"/>
        </w:rPr>
        <w:t>9</w:t>
      </w:r>
      <w:r w:rsidRPr="00F96002">
        <w:rPr>
          <w:lang w:val="en-US"/>
        </w:rPr>
        <w:t xml:space="preserve">, Johannes Lemke </w:t>
      </w:r>
      <w:r w:rsidRPr="00F96002">
        <w:rPr>
          <w:vertAlign w:val="superscript"/>
          <w:lang w:val="en-US"/>
        </w:rPr>
        <w:t>1</w:t>
      </w:r>
      <w:r w:rsidRPr="00F96002">
        <w:rPr>
          <w:lang w:val="en-US"/>
        </w:rPr>
        <w:t xml:space="preserve">, Thomas </w:t>
      </w:r>
      <w:proofErr w:type="spellStart"/>
      <w:r w:rsidRPr="00F96002">
        <w:rPr>
          <w:lang w:val="en-US"/>
        </w:rPr>
        <w:t>Meitinger</w:t>
      </w:r>
      <w:proofErr w:type="spellEnd"/>
      <w:r w:rsidRPr="00F96002">
        <w:rPr>
          <w:lang w:val="en-US"/>
        </w:rPr>
        <w:t xml:space="preserve"> </w:t>
      </w:r>
      <w:r w:rsidRPr="00F96002">
        <w:rPr>
          <w:vertAlign w:val="superscript"/>
          <w:lang w:val="en-US"/>
        </w:rPr>
        <w:t>3</w:t>
      </w:r>
      <w:r w:rsidRPr="00F96002">
        <w:rPr>
          <w:lang w:val="en-US"/>
        </w:rPr>
        <w:t xml:space="preserve">, Rami Abou Jamra </w:t>
      </w:r>
      <w:r w:rsidRPr="00F96002">
        <w:rPr>
          <w:vertAlign w:val="superscript"/>
          <w:lang w:val="en-US"/>
        </w:rPr>
        <w:t>1</w:t>
      </w:r>
      <w:r w:rsidRPr="00F96002">
        <w:rPr>
          <w:lang w:val="en-US"/>
        </w:rPr>
        <w:t xml:space="preserve">, Vincent </w:t>
      </w:r>
      <w:proofErr w:type="spellStart"/>
      <w:r w:rsidRPr="00F96002">
        <w:rPr>
          <w:lang w:val="en-US"/>
        </w:rPr>
        <w:t>Strehlow</w:t>
      </w:r>
      <w:proofErr w:type="spellEnd"/>
      <w:r w:rsidRPr="00F96002">
        <w:rPr>
          <w:lang w:val="en-US"/>
        </w:rPr>
        <w:t xml:space="preserve"> </w:t>
      </w:r>
      <w:r w:rsidRPr="00F96002">
        <w:rPr>
          <w:vertAlign w:val="superscript"/>
          <w:lang w:val="en-US"/>
        </w:rPr>
        <w:t>1,</w:t>
      </w:r>
      <w:r w:rsidRPr="00F96002">
        <w:rPr>
          <w:lang w:val="en-US"/>
        </w:rPr>
        <w:t xml:space="preserve">*, Theresa Brunet </w:t>
      </w:r>
      <w:r w:rsidRPr="00F96002">
        <w:rPr>
          <w:vertAlign w:val="superscript"/>
          <w:lang w:val="en-US"/>
        </w:rPr>
        <w:t>3,7,</w:t>
      </w:r>
      <w:r w:rsidRPr="00F96002">
        <w:rPr>
          <w:lang w:val="en-US"/>
        </w:rPr>
        <w:t>*</w:t>
      </w:r>
      <w:r w:rsidRPr="00F96002">
        <w:rPr>
          <w:vertAlign w:val="superscript"/>
          <w:lang w:val="en-US"/>
        </w:rPr>
        <w:t>,#</w:t>
      </w:r>
    </w:p>
    <w:p w14:paraId="17CCD683" w14:textId="77777777" w:rsidR="004D3F6C" w:rsidRPr="00F96002" w:rsidRDefault="004D3F6C">
      <w:pPr>
        <w:spacing w:before="0" w:after="0"/>
        <w:rPr>
          <w:sz w:val="24"/>
          <w:szCs w:val="24"/>
          <w:lang w:val="en-US"/>
        </w:rPr>
      </w:pPr>
    </w:p>
    <w:p w14:paraId="17CCD684" w14:textId="77777777" w:rsidR="004D3F6C" w:rsidRPr="00F96002" w:rsidRDefault="00000000">
      <w:pPr>
        <w:spacing w:before="0" w:after="0"/>
        <w:rPr>
          <w:sz w:val="20"/>
          <w:szCs w:val="20"/>
          <w:lang w:val="en-US"/>
        </w:rPr>
      </w:pPr>
      <w:r w:rsidRPr="00F96002">
        <w:rPr>
          <w:sz w:val="20"/>
          <w:szCs w:val="20"/>
          <w:vertAlign w:val="superscript"/>
          <w:lang w:val="en-US"/>
        </w:rPr>
        <w:t xml:space="preserve">1 </w:t>
      </w:r>
      <w:r w:rsidRPr="00F96002">
        <w:rPr>
          <w:sz w:val="20"/>
          <w:szCs w:val="20"/>
          <w:lang w:val="en-US"/>
        </w:rPr>
        <w:t>Institute of Human Genetics, University of Leipzig Medical Center, Leipzig, Germany</w:t>
      </w:r>
    </w:p>
    <w:p w14:paraId="17CCD685" w14:textId="77777777" w:rsidR="004D3F6C" w:rsidRPr="00F96002" w:rsidRDefault="00000000">
      <w:pPr>
        <w:spacing w:before="0" w:after="0"/>
        <w:rPr>
          <w:sz w:val="20"/>
          <w:szCs w:val="20"/>
          <w:lang w:val="en-US"/>
        </w:rPr>
      </w:pPr>
      <w:r w:rsidRPr="00F96002">
        <w:rPr>
          <w:sz w:val="20"/>
          <w:szCs w:val="20"/>
          <w:vertAlign w:val="superscript"/>
          <w:lang w:val="en-US"/>
        </w:rPr>
        <w:t xml:space="preserve">2 </w:t>
      </w:r>
      <w:r w:rsidRPr="00F96002">
        <w:rPr>
          <w:sz w:val="20"/>
          <w:szCs w:val="20"/>
          <w:lang w:val="en-US"/>
        </w:rPr>
        <w:t xml:space="preserve">Berlin Institute of Health at </w:t>
      </w:r>
      <w:proofErr w:type="spellStart"/>
      <w:r w:rsidRPr="00F96002">
        <w:rPr>
          <w:sz w:val="20"/>
          <w:szCs w:val="20"/>
          <w:lang w:val="en-US"/>
        </w:rPr>
        <w:t>Charité</w:t>
      </w:r>
      <w:proofErr w:type="spellEnd"/>
      <w:r w:rsidRPr="00F96002">
        <w:rPr>
          <w:sz w:val="20"/>
          <w:szCs w:val="20"/>
          <w:lang w:val="en-US"/>
        </w:rPr>
        <w:t xml:space="preserve"> - </w:t>
      </w:r>
      <w:proofErr w:type="spellStart"/>
      <w:r w:rsidRPr="00F96002">
        <w:rPr>
          <w:sz w:val="20"/>
          <w:szCs w:val="20"/>
          <w:lang w:val="en-US"/>
        </w:rPr>
        <w:t>Universitätsmedizin</w:t>
      </w:r>
      <w:proofErr w:type="spellEnd"/>
      <w:r w:rsidRPr="00F96002">
        <w:rPr>
          <w:sz w:val="20"/>
          <w:szCs w:val="20"/>
          <w:lang w:val="en-US"/>
        </w:rPr>
        <w:t xml:space="preserve"> Berlin, Center of Functional Genomics, </w:t>
      </w:r>
      <w:proofErr w:type="spellStart"/>
      <w:r w:rsidRPr="00F96002">
        <w:rPr>
          <w:sz w:val="20"/>
          <w:szCs w:val="20"/>
          <w:lang w:val="en-US"/>
        </w:rPr>
        <w:t>Hessische</w:t>
      </w:r>
      <w:proofErr w:type="spellEnd"/>
      <w:r w:rsidRPr="00F96002">
        <w:rPr>
          <w:sz w:val="20"/>
          <w:szCs w:val="20"/>
          <w:lang w:val="en-US"/>
        </w:rPr>
        <w:t xml:space="preserve"> </w:t>
      </w:r>
      <w:proofErr w:type="spellStart"/>
      <w:r w:rsidRPr="00F96002">
        <w:rPr>
          <w:sz w:val="20"/>
          <w:szCs w:val="20"/>
          <w:lang w:val="en-US"/>
        </w:rPr>
        <w:t>Straße</w:t>
      </w:r>
      <w:proofErr w:type="spellEnd"/>
      <w:r w:rsidRPr="00F96002">
        <w:rPr>
          <w:sz w:val="20"/>
          <w:szCs w:val="20"/>
          <w:lang w:val="en-US"/>
        </w:rPr>
        <w:t xml:space="preserve"> 4A, 10115 Berlin, Germany</w:t>
      </w:r>
    </w:p>
    <w:p w14:paraId="17CCD686" w14:textId="77777777" w:rsidR="004D3F6C" w:rsidRPr="00F96002" w:rsidRDefault="00000000">
      <w:pPr>
        <w:spacing w:before="0" w:after="0"/>
        <w:rPr>
          <w:sz w:val="20"/>
          <w:szCs w:val="20"/>
          <w:lang w:val="en-US"/>
        </w:rPr>
      </w:pPr>
      <w:r w:rsidRPr="00F96002">
        <w:rPr>
          <w:sz w:val="20"/>
          <w:szCs w:val="20"/>
          <w:vertAlign w:val="superscript"/>
          <w:lang w:val="en-US"/>
        </w:rPr>
        <w:t xml:space="preserve">3 </w:t>
      </w:r>
      <w:r w:rsidRPr="00F96002">
        <w:rPr>
          <w:sz w:val="20"/>
          <w:szCs w:val="20"/>
          <w:lang w:val="en-US"/>
        </w:rPr>
        <w:t xml:space="preserve">Institute of Human Genetics, </w:t>
      </w:r>
      <w:proofErr w:type="spellStart"/>
      <w:r w:rsidRPr="00F96002">
        <w:rPr>
          <w:sz w:val="20"/>
          <w:szCs w:val="20"/>
          <w:lang w:val="en-US"/>
        </w:rPr>
        <w:t>Klinikum</w:t>
      </w:r>
      <w:proofErr w:type="spellEnd"/>
      <w:r w:rsidRPr="00F96002">
        <w:rPr>
          <w:sz w:val="20"/>
          <w:szCs w:val="20"/>
          <w:lang w:val="en-US"/>
        </w:rPr>
        <w:t xml:space="preserve"> </w:t>
      </w:r>
      <w:proofErr w:type="spellStart"/>
      <w:r w:rsidRPr="00F96002">
        <w:rPr>
          <w:sz w:val="20"/>
          <w:szCs w:val="20"/>
          <w:lang w:val="en-US"/>
        </w:rPr>
        <w:t>rechts</w:t>
      </w:r>
      <w:proofErr w:type="spellEnd"/>
      <w:r w:rsidRPr="00F96002">
        <w:rPr>
          <w:sz w:val="20"/>
          <w:szCs w:val="20"/>
          <w:lang w:val="en-US"/>
        </w:rPr>
        <w:t xml:space="preserve"> der </w:t>
      </w:r>
      <w:proofErr w:type="spellStart"/>
      <w:r w:rsidRPr="00F96002">
        <w:rPr>
          <w:sz w:val="20"/>
          <w:szCs w:val="20"/>
          <w:lang w:val="en-US"/>
        </w:rPr>
        <w:t>Isar</w:t>
      </w:r>
      <w:proofErr w:type="spellEnd"/>
      <w:r w:rsidRPr="00F96002">
        <w:rPr>
          <w:sz w:val="20"/>
          <w:szCs w:val="20"/>
          <w:lang w:val="en-US"/>
        </w:rPr>
        <w:t>, School of Medicine, Technical University of Munich, Munich, Germany</w:t>
      </w:r>
    </w:p>
    <w:p w14:paraId="17CCD687" w14:textId="77777777" w:rsidR="004D3F6C" w:rsidRPr="00F96002" w:rsidRDefault="00000000">
      <w:pPr>
        <w:spacing w:before="0" w:after="0"/>
        <w:rPr>
          <w:sz w:val="20"/>
          <w:szCs w:val="20"/>
          <w:lang w:val="en-US"/>
        </w:rPr>
      </w:pPr>
      <w:r w:rsidRPr="00F96002">
        <w:rPr>
          <w:sz w:val="20"/>
          <w:szCs w:val="20"/>
          <w:vertAlign w:val="superscript"/>
          <w:lang w:val="en-US"/>
        </w:rPr>
        <w:t xml:space="preserve">4 </w:t>
      </w:r>
      <w:r w:rsidRPr="00F96002">
        <w:rPr>
          <w:sz w:val="20"/>
          <w:szCs w:val="20"/>
          <w:lang w:val="en-US"/>
        </w:rPr>
        <w:t xml:space="preserve">Division of </w:t>
      </w:r>
      <w:proofErr w:type="spellStart"/>
      <w:r w:rsidRPr="00F96002">
        <w:rPr>
          <w:sz w:val="20"/>
          <w:szCs w:val="20"/>
          <w:lang w:val="en-US"/>
        </w:rPr>
        <w:t>Neuropediatrics</w:t>
      </w:r>
      <w:proofErr w:type="spellEnd"/>
      <w:r w:rsidRPr="00F96002">
        <w:rPr>
          <w:sz w:val="20"/>
          <w:szCs w:val="20"/>
          <w:lang w:val="en-US"/>
        </w:rPr>
        <w:t xml:space="preserve">, Clinic for Children and Adolescents </w:t>
      </w:r>
      <w:proofErr w:type="spellStart"/>
      <w:r w:rsidRPr="00F96002">
        <w:rPr>
          <w:sz w:val="20"/>
          <w:szCs w:val="20"/>
          <w:lang w:val="en-US"/>
        </w:rPr>
        <w:t>Dritter</w:t>
      </w:r>
      <w:proofErr w:type="spellEnd"/>
      <w:r w:rsidRPr="00F96002">
        <w:rPr>
          <w:sz w:val="20"/>
          <w:szCs w:val="20"/>
          <w:lang w:val="en-US"/>
        </w:rPr>
        <w:t xml:space="preserve"> Orden, Munich, Germany</w:t>
      </w:r>
    </w:p>
    <w:p w14:paraId="17CCD688" w14:textId="77777777" w:rsidR="004D3F6C" w:rsidRPr="00F96002" w:rsidRDefault="00000000">
      <w:pPr>
        <w:spacing w:before="0" w:after="0"/>
        <w:rPr>
          <w:sz w:val="20"/>
          <w:szCs w:val="20"/>
          <w:lang w:val="en-US"/>
        </w:rPr>
      </w:pPr>
      <w:r w:rsidRPr="00F96002">
        <w:rPr>
          <w:sz w:val="20"/>
          <w:szCs w:val="20"/>
          <w:vertAlign w:val="superscript"/>
          <w:lang w:val="en-US"/>
        </w:rPr>
        <w:t xml:space="preserve">5 </w:t>
      </w:r>
      <w:r w:rsidRPr="00F96002">
        <w:rPr>
          <w:sz w:val="20"/>
          <w:szCs w:val="20"/>
          <w:lang w:val="en-US"/>
        </w:rPr>
        <w:t>Institute for Clinical Genetics, University Hospital, TU Dresden, Dresden, Germany</w:t>
      </w:r>
    </w:p>
    <w:p w14:paraId="17CCD689" w14:textId="77777777" w:rsidR="004D3F6C" w:rsidRPr="00F96002" w:rsidRDefault="00000000">
      <w:pPr>
        <w:spacing w:before="0" w:after="0"/>
        <w:rPr>
          <w:sz w:val="20"/>
          <w:szCs w:val="20"/>
          <w:lang w:val="en-US"/>
        </w:rPr>
      </w:pPr>
      <w:r w:rsidRPr="00F96002">
        <w:rPr>
          <w:sz w:val="20"/>
          <w:szCs w:val="20"/>
          <w:vertAlign w:val="superscript"/>
          <w:lang w:val="en-US"/>
        </w:rPr>
        <w:t>6</w:t>
      </w:r>
      <w:r w:rsidRPr="00F96002">
        <w:rPr>
          <w:sz w:val="20"/>
          <w:szCs w:val="20"/>
          <w:lang w:val="en-US"/>
        </w:rPr>
        <w:t xml:space="preserve"> </w:t>
      </w:r>
      <w:r w:rsidRPr="00F96002">
        <w:rPr>
          <w:sz w:val="20"/>
          <w:szCs w:val="20"/>
          <w:highlight w:val="white"/>
          <w:lang w:val="en-US"/>
        </w:rPr>
        <w:t xml:space="preserve">Division of </w:t>
      </w:r>
      <w:proofErr w:type="spellStart"/>
      <w:r w:rsidRPr="00F96002">
        <w:rPr>
          <w:sz w:val="20"/>
          <w:szCs w:val="20"/>
          <w:highlight w:val="white"/>
          <w:lang w:val="en-US"/>
        </w:rPr>
        <w:t>Neuropaediatrics</w:t>
      </w:r>
      <w:proofErr w:type="spellEnd"/>
      <w:r w:rsidRPr="00F96002">
        <w:rPr>
          <w:sz w:val="20"/>
          <w:szCs w:val="20"/>
          <w:highlight w:val="white"/>
          <w:lang w:val="en-US"/>
        </w:rPr>
        <w:t>, Hospital for Children and Adolescents</w:t>
      </w:r>
      <w:r w:rsidRPr="00F96002">
        <w:rPr>
          <w:sz w:val="20"/>
          <w:szCs w:val="20"/>
          <w:lang w:val="en-US"/>
        </w:rPr>
        <w:t>, University of Leipzig Medical Center, Leipzig, Germany</w:t>
      </w:r>
    </w:p>
    <w:p w14:paraId="17CCD68A" w14:textId="77777777" w:rsidR="004D3F6C" w:rsidRPr="00F96002" w:rsidRDefault="00000000">
      <w:pPr>
        <w:spacing w:before="0" w:after="0"/>
        <w:rPr>
          <w:sz w:val="20"/>
          <w:szCs w:val="20"/>
          <w:lang w:val="en-US"/>
        </w:rPr>
      </w:pPr>
      <w:r w:rsidRPr="00F96002">
        <w:rPr>
          <w:sz w:val="20"/>
          <w:szCs w:val="20"/>
          <w:vertAlign w:val="superscript"/>
          <w:lang w:val="en-US"/>
        </w:rPr>
        <w:t>7</w:t>
      </w:r>
      <w:r w:rsidRPr="00F96002">
        <w:rPr>
          <w:sz w:val="20"/>
          <w:szCs w:val="20"/>
          <w:lang w:val="en-US"/>
        </w:rPr>
        <w:t xml:space="preserve"> Institute of </w:t>
      </w:r>
      <w:proofErr w:type="spellStart"/>
      <w:r w:rsidRPr="00F96002">
        <w:rPr>
          <w:sz w:val="20"/>
          <w:szCs w:val="20"/>
          <w:lang w:val="en-US"/>
        </w:rPr>
        <w:t>Neurogenomics</w:t>
      </w:r>
      <w:proofErr w:type="spellEnd"/>
      <w:r w:rsidRPr="00F96002">
        <w:rPr>
          <w:sz w:val="20"/>
          <w:szCs w:val="20"/>
          <w:lang w:val="en-US"/>
        </w:rPr>
        <w:t xml:space="preserve">, Helmholtz </w:t>
      </w:r>
      <w:proofErr w:type="spellStart"/>
      <w:r w:rsidRPr="00F96002">
        <w:rPr>
          <w:sz w:val="20"/>
          <w:szCs w:val="20"/>
          <w:lang w:val="en-US"/>
        </w:rPr>
        <w:t>Zentrum</w:t>
      </w:r>
      <w:proofErr w:type="spellEnd"/>
      <w:r w:rsidRPr="00F96002">
        <w:rPr>
          <w:sz w:val="20"/>
          <w:szCs w:val="20"/>
          <w:lang w:val="en-US"/>
        </w:rPr>
        <w:t xml:space="preserve"> München, </w:t>
      </w:r>
      <w:proofErr w:type="spellStart"/>
      <w:r w:rsidRPr="00F96002">
        <w:rPr>
          <w:sz w:val="20"/>
          <w:szCs w:val="20"/>
          <w:lang w:val="en-US"/>
        </w:rPr>
        <w:t>Neuherberg</w:t>
      </w:r>
      <w:proofErr w:type="spellEnd"/>
      <w:r w:rsidRPr="00F96002">
        <w:rPr>
          <w:sz w:val="20"/>
          <w:szCs w:val="20"/>
          <w:lang w:val="en-US"/>
        </w:rPr>
        <w:t>, Germany.</w:t>
      </w:r>
    </w:p>
    <w:p w14:paraId="17CCD68B" w14:textId="77777777" w:rsidR="004D3F6C" w:rsidRPr="00F96002" w:rsidRDefault="00000000">
      <w:pPr>
        <w:spacing w:before="0" w:after="0"/>
        <w:rPr>
          <w:sz w:val="20"/>
          <w:szCs w:val="20"/>
          <w:lang w:val="en-US"/>
        </w:rPr>
      </w:pPr>
      <w:r w:rsidRPr="00F96002">
        <w:rPr>
          <w:sz w:val="20"/>
          <w:szCs w:val="20"/>
          <w:vertAlign w:val="superscript"/>
          <w:lang w:val="en-US"/>
        </w:rPr>
        <w:t>8</w:t>
      </w:r>
      <w:r w:rsidRPr="00F96002">
        <w:rPr>
          <w:sz w:val="20"/>
          <w:szCs w:val="20"/>
          <w:lang w:val="en-US"/>
        </w:rPr>
        <w:t xml:space="preserve"> Division of Pediatric Neurology, Developmental Medicine and Social Pediatrics, Department of Pediatrics, Dr. von </w:t>
      </w:r>
      <w:proofErr w:type="spellStart"/>
      <w:r w:rsidRPr="00F96002">
        <w:rPr>
          <w:sz w:val="20"/>
          <w:szCs w:val="20"/>
          <w:lang w:val="en-US"/>
        </w:rPr>
        <w:t>Hauner</w:t>
      </w:r>
      <w:proofErr w:type="spellEnd"/>
      <w:r w:rsidRPr="00F96002">
        <w:rPr>
          <w:sz w:val="20"/>
          <w:szCs w:val="20"/>
          <w:lang w:val="en-US"/>
        </w:rPr>
        <w:t xml:space="preserve"> Children's Hospital, Munich University Hospital (Ludwig </w:t>
      </w:r>
      <w:proofErr w:type="spellStart"/>
      <w:r w:rsidRPr="00F96002">
        <w:rPr>
          <w:sz w:val="20"/>
          <w:szCs w:val="20"/>
          <w:lang w:val="en-US"/>
        </w:rPr>
        <w:t>Maximilians</w:t>
      </w:r>
      <w:proofErr w:type="spellEnd"/>
      <w:r w:rsidRPr="00F96002">
        <w:rPr>
          <w:sz w:val="20"/>
          <w:szCs w:val="20"/>
          <w:lang w:val="en-US"/>
        </w:rPr>
        <w:t xml:space="preserve"> University), Munich, Germany</w:t>
      </w:r>
    </w:p>
    <w:p w14:paraId="17CCD68C" w14:textId="77777777" w:rsidR="004D3F6C" w:rsidRPr="00F96002" w:rsidRDefault="00000000">
      <w:pPr>
        <w:spacing w:before="0" w:after="0"/>
        <w:rPr>
          <w:sz w:val="20"/>
          <w:szCs w:val="20"/>
          <w:lang w:val="en-US"/>
        </w:rPr>
      </w:pPr>
      <w:r w:rsidRPr="00F96002">
        <w:rPr>
          <w:sz w:val="20"/>
          <w:szCs w:val="20"/>
          <w:vertAlign w:val="superscript"/>
          <w:lang w:val="en-US"/>
        </w:rPr>
        <w:t>9</w:t>
      </w:r>
      <w:r w:rsidRPr="00F96002">
        <w:rPr>
          <w:sz w:val="20"/>
          <w:szCs w:val="20"/>
          <w:lang w:val="en-US"/>
        </w:rPr>
        <w:t xml:space="preserve"> Department of Pediatric Radiology, University of Leipzig Hospitals and Clinics, Leipzig, Germany.</w:t>
      </w:r>
    </w:p>
    <w:p w14:paraId="17CCD68D" w14:textId="77777777" w:rsidR="004D3F6C" w:rsidRPr="00F96002" w:rsidRDefault="004D3F6C">
      <w:pPr>
        <w:spacing w:before="0" w:after="0"/>
        <w:rPr>
          <w:sz w:val="20"/>
          <w:szCs w:val="20"/>
          <w:lang w:val="en-US"/>
        </w:rPr>
      </w:pPr>
    </w:p>
    <w:p w14:paraId="17CCD68E" w14:textId="77777777" w:rsidR="004D3F6C" w:rsidRPr="00F96002" w:rsidRDefault="00000000">
      <w:pPr>
        <w:spacing w:before="0" w:after="0"/>
        <w:rPr>
          <w:sz w:val="20"/>
          <w:szCs w:val="20"/>
          <w:lang w:val="en-US"/>
        </w:rPr>
      </w:pPr>
      <w:r w:rsidRPr="00F96002">
        <w:rPr>
          <w:sz w:val="20"/>
          <w:szCs w:val="20"/>
          <w:lang w:val="en-US"/>
        </w:rPr>
        <w:t>* These authors contributed equally to this work</w:t>
      </w:r>
    </w:p>
    <w:p w14:paraId="17CCD68F" w14:textId="77777777" w:rsidR="004D3F6C" w:rsidRPr="00F96002" w:rsidRDefault="00000000">
      <w:pPr>
        <w:spacing w:before="0" w:after="0"/>
        <w:rPr>
          <w:lang w:val="en-US"/>
        </w:rPr>
      </w:pPr>
      <w:r w:rsidRPr="00F96002">
        <w:rPr>
          <w:sz w:val="24"/>
          <w:szCs w:val="24"/>
          <w:vertAlign w:val="superscript"/>
          <w:lang w:val="en-US"/>
        </w:rPr>
        <w:t>#</w:t>
      </w:r>
      <w:r w:rsidRPr="00F96002">
        <w:rPr>
          <w:sz w:val="20"/>
          <w:szCs w:val="20"/>
          <w:lang w:val="en-US"/>
        </w:rPr>
        <w:t xml:space="preserve"> Corresponding author</w:t>
      </w:r>
    </w:p>
    <w:p w14:paraId="17CCD690" w14:textId="77777777" w:rsidR="004D3F6C" w:rsidRPr="00F96002" w:rsidRDefault="004D3F6C">
      <w:pPr>
        <w:spacing w:after="0"/>
        <w:rPr>
          <w:lang w:val="en-US"/>
        </w:rPr>
      </w:pPr>
    </w:p>
    <w:p w14:paraId="17CCD691" w14:textId="77777777" w:rsidR="004D3F6C" w:rsidRPr="00F96002" w:rsidRDefault="00000000">
      <w:pPr>
        <w:spacing w:before="0" w:after="0" w:line="276" w:lineRule="auto"/>
        <w:jc w:val="left"/>
        <w:rPr>
          <w:b/>
          <w:lang w:val="en-US"/>
        </w:rPr>
      </w:pPr>
      <w:r w:rsidRPr="00F96002">
        <w:rPr>
          <w:b/>
          <w:lang w:val="en-US"/>
        </w:rPr>
        <w:t>CORRESPONDING AUTHOR:</w:t>
      </w:r>
    </w:p>
    <w:p w14:paraId="17CCD692" w14:textId="77777777" w:rsidR="004D3F6C" w:rsidRPr="00F96002" w:rsidRDefault="00000000">
      <w:pPr>
        <w:spacing w:before="0" w:after="0" w:line="276" w:lineRule="auto"/>
        <w:jc w:val="left"/>
        <w:rPr>
          <w:lang w:val="en-US"/>
        </w:rPr>
      </w:pPr>
      <w:r w:rsidRPr="00F96002">
        <w:rPr>
          <w:lang w:val="en-US"/>
        </w:rPr>
        <w:t>Dr. med. Bernt Popp</w:t>
      </w:r>
    </w:p>
    <w:p w14:paraId="17CCD693" w14:textId="77777777" w:rsidR="004D3F6C" w:rsidRPr="00F96002" w:rsidRDefault="00000000">
      <w:pPr>
        <w:spacing w:before="0" w:after="0" w:line="276" w:lineRule="auto"/>
        <w:jc w:val="left"/>
        <w:rPr>
          <w:lang w:val="en-US"/>
        </w:rPr>
      </w:pPr>
      <w:r w:rsidRPr="00F96002">
        <w:rPr>
          <w:lang w:val="en-US"/>
        </w:rPr>
        <w:t>Institute of Human Genetics</w:t>
      </w:r>
    </w:p>
    <w:p w14:paraId="17CCD694" w14:textId="77777777" w:rsidR="004D3F6C" w:rsidRPr="00F96002" w:rsidRDefault="00000000">
      <w:pPr>
        <w:spacing w:before="0" w:after="0" w:line="276" w:lineRule="auto"/>
        <w:jc w:val="left"/>
        <w:rPr>
          <w:lang w:val="en-US"/>
        </w:rPr>
      </w:pPr>
      <w:r w:rsidRPr="00F96002">
        <w:rPr>
          <w:lang w:val="en-US"/>
        </w:rPr>
        <w:t>University of Leipzig Medical Center</w:t>
      </w:r>
    </w:p>
    <w:p w14:paraId="17CCD695" w14:textId="77777777" w:rsidR="004D3F6C" w:rsidRPr="00F96002" w:rsidRDefault="00000000">
      <w:pPr>
        <w:spacing w:before="0" w:after="0" w:line="276" w:lineRule="auto"/>
        <w:jc w:val="left"/>
        <w:rPr>
          <w:lang w:val="en-US"/>
        </w:rPr>
      </w:pPr>
      <w:r w:rsidRPr="00F96002">
        <w:rPr>
          <w:lang w:val="en-US"/>
        </w:rPr>
        <w:t>Leipzig</w:t>
      </w:r>
    </w:p>
    <w:p w14:paraId="17CCD696" w14:textId="77777777" w:rsidR="004D3F6C" w:rsidRPr="00F96002" w:rsidRDefault="00000000">
      <w:pPr>
        <w:spacing w:before="0" w:after="0" w:line="276" w:lineRule="auto"/>
        <w:jc w:val="left"/>
        <w:rPr>
          <w:lang w:val="en-US"/>
        </w:rPr>
      </w:pPr>
      <w:r w:rsidRPr="00F96002">
        <w:rPr>
          <w:lang w:val="en-US"/>
        </w:rPr>
        <w:t>Germany</w:t>
      </w:r>
    </w:p>
    <w:p w14:paraId="17CCD697" w14:textId="77777777" w:rsidR="004D3F6C" w:rsidRPr="00F96002" w:rsidRDefault="00000000">
      <w:pPr>
        <w:spacing w:before="0" w:after="0" w:line="276" w:lineRule="auto"/>
        <w:jc w:val="left"/>
        <w:rPr>
          <w:lang w:val="en-US"/>
        </w:rPr>
      </w:pPr>
      <w:r w:rsidRPr="00F96002">
        <w:rPr>
          <w:lang w:val="en-US"/>
        </w:rPr>
        <w:t>Tel: +49 341 97 23840</w:t>
      </w:r>
    </w:p>
    <w:p w14:paraId="17CCD698" w14:textId="77777777" w:rsidR="004D3F6C" w:rsidRPr="00F96002" w:rsidRDefault="00000000">
      <w:pPr>
        <w:spacing w:before="0" w:after="0" w:line="276" w:lineRule="auto"/>
        <w:jc w:val="left"/>
        <w:rPr>
          <w:lang w:val="en-US"/>
        </w:rPr>
      </w:pPr>
      <w:r w:rsidRPr="00F96002">
        <w:rPr>
          <w:lang w:val="en-US"/>
        </w:rPr>
        <w:t>Fax: +49 341 97 23819</w:t>
      </w:r>
    </w:p>
    <w:p w14:paraId="17CCD699" w14:textId="77777777" w:rsidR="004D3F6C" w:rsidRPr="00F96002" w:rsidRDefault="00000000">
      <w:pPr>
        <w:spacing w:before="0" w:after="0" w:line="276" w:lineRule="auto"/>
        <w:jc w:val="left"/>
        <w:rPr>
          <w:lang w:val="en-US"/>
        </w:rPr>
      </w:pPr>
      <w:r w:rsidRPr="00F96002">
        <w:rPr>
          <w:lang w:val="en-US"/>
        </w:rPr>
        <w:t>Email: Bernt.Popp@medizin.uni-leipzig.de</w:t>
      </w:r>
      <w:r w:rsidRPr="00F96002">
        <w:rPr>
          <w:lang w:val="en-US"/>
        </w:rPr>
        <w:br w:type="page"/>
      </w:r>
    </w:p>
    <w:p w14:paraId="17CCD69A" w14:textId="77777777" w:rsidR="004D3F6C" w:rsidRPr="00F96002" w:rsidRDefault="00000000">
      <w:pPr>
        <w:pStyle w:val="berschrift1"/>
        <w:rPr>
          <w:sz w:val="22"/>
          <w:szCs w:val="22"/>
          <w:lang w:val="en-US"/>
        </w:rPr>
      </w:pPr>
      <w:bookmarkStart w:id="1" w:name="_m738swgw60l9" w:colFirst="0" w:colLast="0"/>
      <w:bookmarkEnd w:id="1"/>
      <w:r w:rsidRPr="00F96002">
        <w:rPr>
          <w:sz w:val="22"/>
          <w:szCs w:val="22"/>
          <w:lang w:val="en-US"/>
        </w:rPr>
        <w:lastRenderedPageBreak/>
        <w:t>SUPPLEMENTARY METHODS</w:t>
      </w:r>
    </w:p>
    <w:p w14:paraId="17CCD69B" w14:textId="77777777" w:rsidR="004D3F6C" w:rsidRPr="00F96002" w:rsidRDefault="00000000">
      <w:pPr>
        <w:pStyle w:val="berschrift2"/>
        <w:rPr>
          <w:sz w:val="22"/>
          <w:szCs w:val="22"/>
          <w:lang w:val="en-US"/>
        </w:rPr>
      </w:pPr>
      <w:r w:rsidRPr="00F96002">
        <w:rPr>
          <w:sz w:val="22"/>
          <w:szCs w:val="22"/>
          <w:lang w:val="en-US"/>
        </w:rPr>
        <w:t xml:space="preserve">DNA Extraction from blood, buccal </w:t>
      </w:r>
      <w:proofErr w:type="gramStart"/>
      <w:r w:rsidRPr="00F96002">
        <w:rPr>
          <w:sz w:val="22"/>
          <w:szCs w:val="22"/>
          <w:lang w:val="en-US"/>
        </w:rPr>
        <w:t>swabs</w:t>
      </w:r>
      <w:proofErr w:type="gramEnd"/>
      <w:r w:rsidRPr="00F96002">
        <w:rPr>
          <w:sz w:val="22"/>
          <w:szCs w:val="22"/>
          <w:lang w:val="en-US"/>
        </w:rPr>
        <w:t xml:space="preserve"> and fingernails</w:t>
      </w:r>
    </w:p>
    <w:p w14:paraId="17CCD69C" w14:textId="77777777" w:rsidR="004D3F6C" w:rsidRPr="00F96002" w:rsidRDefault="00000000">
      <w:pPr>
        <w:pStyle w:val="berschrift2"/>
        <w:rPr>
          <w:sz w:val="22"/>
          <w:szCs w:val="22"/>
          <w:u w:val="none"/>
          <w:lang w:val="en-US"/>
        </w:rPr>
      </w:pPr>
      <w:r w:rsidRPr="00F96002">
        <w:rPr>
          <w:sz w:val="22"/>
          <w:szCs w:val="22"/>
          <w:u w:val="none"/>
          <w:lang w:val="en-US"/>
        </w:rPr>
        <w:t xml:space="preserve">DNA from EDTA blood was extracted using a </w:t>
      </w:r>
      <w:proofErr w:type="spellStart"/>
      <w:r w:rsidRPr="00F96002">
        <w:rPr>
          <w:sz w:val="22"/>
          <w:szCs w:val="22"/>
          <w:u w:val="none"/>
          <w:lang w:val="en-US"/>
        </w:rPr>
        <w:t>chemagic</w:t>
      </w:r>
      <w:proofErr w:type="spellEnd"/>
      <w:r w:rsidRPr="00F96002">
        <w:rPr>
          <w:sz w:val="22"/>
          <w:szCs w:val="22"/>
          <w:u w:val="none"/>
          <w:lang w:val="en-US"/>
        </w:rPr>
        <w:t>™ 360 instrument (PerkinElmer, Waltham, Massachusetts, USA) according to the manufacturer’s recommendations. DNA from buccal swabs (</w:t>
      </w:r>
      <w:proofErr w:type="spellStart"/>
      <w:r w:rsidRPr="00F96002">
        <w:rPr>
          <w:sz w:val="22"/>
          <w:szCs w:val="22"/>
          <w:u w:val="none"/>
          <w:lang w:val="en-US"/>
        </w:rPr>
        <w:t>ORACollect</w:t>
      </w:r>
      <w:proofErr w:type="spellEnd"/>
      <w:r w:rsidRPr="00F96002">
        <w:rPr>
          <w:sz w:val="22"/>
          <w:szCs w:val="22"/>
          <w:u w:val="none"/>
          <w:lang w:val="en-US"/>
        </w:rPr>
        <w:t xml:space="preserve"> DNA OCR-100, DNA </w:t>
      </w:r>
      <w:proofErr w:type="spellStart"/>
      <w:r w:rsidRPr="00F96002">
        <w:rPr>
          <w:sz w:val="22"/>
          <w:szCs w:val="22"/>
          <w:u w:val="none"/>
          <w:lang w:val="en-US"/>
        </w:rPr>
        <w:t>Genotek</w:t>
      </w:r>
      <w:proofErr w:type="spellEnd"/>
      <w:r w:rsidRPr="00F96002">
        <w:rPr>
          <w:sz w:val="22"/>
          <w:szCs w:val="22"/>
          <w:u w:val="none"/>
          <w:lang w:val="en-US"/>
        </w:rPr>
        <w:t xml:space="preserve">) was extracted using the </w:t>
      </w:r>
      <w:proofErr w:type="spellStart"/>
      <w:r w:rsidRPr="00F96002">
        <w:rPr>
          <w:sz w:val="22"/>
          <w:szCs w:val="22"/>
          <w:u w:val="none"/>
          <w:lang w:val="en-US"/>
        </w:rPr>
        <w:t>prepIT</w:t>
      </w:r>
      <w:proofErr w:type="spellEnd"/>
      <w:r w:rsidRPr="00F96002">
        <w:rPr>
          <w:sz w:val="22"/>
          <w:szCs w:val="22"/>
          <w:u w:val="none"/>
          <w:lang w:val="en-US"/>
        </w:rPr>
        <w:t xml:space="preserve"> L2P reagent kit (DNA </w:t>
      </w:r>
      <w:proofErr w:type="spellStart"/>
      <w:r w:rsidRPr="00F96002">
        <w:rPr>
          <w:sz w:val="22"/>
          <w:szCs w:val="22"/>
          <w:u w:val="none"/>
          <w:lang w:val="en-US"/>
        </w:rPr>
        <w:t>Genotek</w:t>
      </w:r>
      <w:proofErr w:type="spellEnd"/>
      <w:r w:rsidRPr="00F96002">
        <w:rPr>
          <w:sz w:val="22"/>
          <w:szCs w:val="22"/>
          <w:u w:val="none"/>
          <w:lang w:val="en-US"/>
        </w:rPr>
        <w:t>).</w:t>
      </w:r>
    </w:p>
    <w:p w14:paraId="17CCD69D" w14:textId="77777777" w:rsidR="004D3F6C" w:rsidRPr="00F96002" w:rsidRDefault="00000000">
      <w:pPr>
        <w:pStyle w:val="berschrift2"/>
        <w:rPr>
          <w:sz w:val="22"/>
          <w:szCs w:val="22"/>
          <w:lang w:val="en-US"/>
        </w:rPr>
      </w:pPr>
      <w:bookmarkStart w:id="2" w:name="_k39y3xqseeps" w:colFirst="0" w:colLast="0"/>
      <w:bookmarkEnd w:id="2"/>
      <w:r w:rsidRPr="00F96002">
        <w:rPr>
          <w:sz w:val="22"/>
          <w:szCs w:val="22"/>
          <w:lang w:val="en-US"/>
        </w:rPr>
        <w:t>Sanger Sequencing</w:t>
      </w:r>
    </w:p>
    <w:p w14:paraId="17CCD69E" w14:textId="77777777" w:rsidR="004D3F6C" w:rsidRPr="00F96002" w:rsidRDefault="00000000">
      <w:pPr>
        <w:pStyle w:val="berschrift2"/>
        <w:rPr>
          <w:sz w:val="22"/>
          <w:szCs w:val="22"/>
          <w:u w:val="none"/>
          <w:lang w:val="en-US"/>
        </w:rPr>
      </w:pPr>
      <w:bookmarkStart w:id="3" w:name="_gnzticfuq5le" w:colFirst="0" w:colLast="0"/>
      <w:bookmarkEnd w:id="3"/>
      <w:r w:rsidRPr="00F96002">
        <w:rPr>
          <w:sz w:val="22"/>
          <w:szCs w:val="22"/>
          <w:u w:val="none"/>
          <w:lang w:val="en-US"/>
        </w:rPr>
        <w:t xml:space="preserve">Polymerase chain reaction was performed according to standard procedures. DNA fragments were Sanger-sequenced using a </w:t>
      </w:r>
      <w:proofErr w:type="spellStart"/>
      <w:r w:rsidRPr="00F96002">
        <w:rPr>
          <w:sz w:val="22"/>
          <w:szCs w:val="22"/>
          <w:u w:val="none"/>
          <w:lang w:val="en-US"/>
        </w:rPr>
        <w:t>SeqStudio</w:t>
      </w:r>
      <w:proofErr w:type="spellEnd"/>
      <w:r w:rsidRPr="00F96002">
        <w:rPr>
          <w:sz w:val="22"/>
          <w:szCs w:val="22"/>
          <w:u w:val="none"/>
          <w:lang w:val="en-US"/>
        </w:rPr>
        <w:t xml:space="preserve"> Genetic Analyzer (</w:t>
      </w:r>
      <w:proofErr w:type="spellStart"/>
      <w:r w:rsidRPr="00F96002">
        <w:rPr>
          <w:sz w:val="22"/>
          <w:szCs w:val="22"/>
          <w:u w:val="none"/>
          <w:lang w:val="en-US"/>
        </w:rPr>
        <w:t>ThermoFisher</w:t>
      </w:r>
      <w:proofErr w:type="spellEnd"/>
      <w:r w:rsidRPr="00F96002">
        <w:rPr>
          <w:sz w:val="22"/>
          <w:szCs w:val="22"/>
          <w:u w:val="none"/>
          <w:lang w:val="en-US"/>
        </w:rPr>
        <w:t xml:space="preserve"> Scientific) according to the manufacturer’s recommendations. </w:t>
      </w:r>
    </w:p>
    <w:p w14:paraId="17CCD69F" w14:textId="77777777" w:rsidR="004D3F6C" w:rsidRPr="00F96002" w:rsidRDefault="00000000">
      <w:pPr>
        <w:pStyle w:val="berschrift2"/>
        <w:rPr>
          <w:sz w:val="22"/>
          <w:szCs w:val="22"/>
          <w:lang w:val="en-US"/>
        </w:rPr>
      </w:pPr>
      <w:bookmarkStart w:id="4" w:name="_y6h1b81v7nfj" w:colFirst="0" w:colLast="0"/>
      <w:bookmarkEnd w:id="4"/>
      <w:r w:rsidRPr="00F96002">
        <w:rPr>
          <w:sz w:val="22"/>
          <w:szCs w:val="22"/>
          <w:lang w:val="en-US"/>
        </w:rPr>
        <w:t>Exome Sequencing (ES)</w:t>
      </w:r>
    </w:p>
    <w:p w14:paraId="17CCD6A0" w14:textId="77777777" w:rsidR="004D3F6C" w:rsidRPr="00F96002" w:rsidRDefault="00000000">
      <w:pPr>
        <w:rPr>
          <w:lang w:val="en-US"/>
        </w:rPr>
      </w:pPr>
      <w:r w:rsidRPr="00F96002">
        <w:rPr>
          <w:lang w:val="en-US"/>
        </w:rPr>
        <w:t>Genomic DNA was extracted using standard methods from peripheral blood samples of Ind_1 and his parents. Trio exome sequencing and analysis was performed as described previously.</w:t>
      </w:r>
      <w:r w:rsidRPr="00F96002">
        <w:rPr>
          <w:vertAlign w:val="superscript"/>
          <w:lang w:val="en-US"/>
        </w:rPr>
        <w:t>1,2</w:t>
      </w:r>
      <w:r w:rsidRPr="00F96002">
        <w:rPr>
          <w:lang w:val="en-US"/>
        </w:rPr>
        <w:t xml:space="preserve"> In brief, enrichment for exome sequencing of Ind_1 and both his parents </w:t>
      </w:r>
      <w:proofErr w:type="gramStart"/>
      <w:r w:rsidRPr="00F96002">
        <w:rPr>
          <w:lang w:val="en-US"/>
        </w:rPr>
        <w:t>was</w:t>
      </w:r>
      <w:proofErr w:type="gramEnd"/>
      <w:r w:rsidRPr="00F96002">
        <w:rPr>
          <w:lang w:val="en-US"/>
        </w:rPr>
        <w:t xml:space="preserve"> done using the BGI Exome capture 59M kit (BGI, Shenzhen, China) and sequenced with 100bp paired end reads on a BGISEQ-500 system (BGI, Shenzhen, China). The resulting sequencing data was processed using the cloud based “</w:t>
      </w:r>
      <w:proofErr w:type="spellStart"/>
      <w:r w:rsidRPr="00F96002">
        <w:rPr>
          <w:lang w:val="en-US"/>
        </w:rPr>
        <w:t>varfeed</w:t>
      </w:r>
      <w:proofErr w:type="spellEnd"/>
      <w:r w:rsidRPr="00F96002">
        <w:rPr>
          <w:lang w:val="en-US"/>
        </w:rPr>
        <w:t>” pipeline (Limbus Medical Technologies GmbH, Rostock, Germany). The “</w:t>
      </w:r>
      <w:proofErr w:type="spellStart"/>
      <w:r w:rsidRPr="00F96002">
        <w:rPr>
          <w:lang w:val="en-US"/>
        </w:rPr>
        <w:t>varvis</w:t>
      </w:r>
      <w:proofErr w:type="spellEnd"/>
      <w:r w:rsidRPr="00F96002">
        <w:rPr>
          <w:lang w:val="en-US"/>
        </w:rPr>
        <w:t>” webtool (Limbus Medical Technologies GmbH, Rostock, Germany) was used to filter the resulting variant files.</w:t>
      </w:r>
    </w:p>
    <w:p w14:paraId="17CCD6A1" w14:textId="11FD699F" w:rsidR="004D3F6C" w:rsidRPr="00F96002" w:rsidRDefault="00000000">
      <w:pPr>
        <w:rPr>
          <w:lang w:val="en-US"/>
        </w:rPr>
      </w:pPr>
      <w:r w:rsidRPr="00F96002">
        <w:rPr>
          <w:lang w:val="en-US"/>
        </w:rPr>
        <w:t xml:space="preserve">ES in Ind_2 was performed using genomic DNA which was extracted from leukocytes or whole blood using a </w:t>
      </w:r>
      <w:proofErr w:type="spellStart"/>
      <w:r w:rsidRPr="00F96002">
        <w:rPr>
          <w:lang w:val="en-US"/>
        </w:rPr>
        <w:t>chemagic</w:t>
      </w:r>
      <w:proofErr w:type="spellEnd"/>
      <w:r w:rsidRPr="00F96002">
        <w:rPr>
          <w:lang w:val="en-US"/>
        </w:rPr>
        <w:t xml:space="preserve"> 360 Instrument (PerkinElmer). </w:t>
      </w:r>
      <w:proofErr w:type="spellStart"/>
      <w:r w:rsidRPr="00F96002">
        <w:rPr>
          <w:lang w:val="en-US"/>
        </w:rPr>
        <w:t>SureSelect</w:t>
      </w:r>
      <w:proofErr w:type="spellEnd"/>
      <w:r w:rsidRPr="00F96002">
        <w:rPr>
          <w:lang w:val="en-US"/>
        </w:rPr>
        <w:t xml:space="preserve"> Human All Exon 60Mb V6 Kit (Agilent) was used for exome enrichment. Libraries were sequenced on an Illumina NovaSeq6000 system (Illumina, San Diego, California, USA) and reads were aligned to the UCSC human reference assembly (hg19) with BWA v.0.7.5a. On average, more than 98% of targeted regions were covered at least 20x. Single-nucleotide variants (SNVs) and small insertions and deletions were detected using both </w:t>
      </w:r>
      <w:proofErr w:type="spellStart"/>
      <w:r w:rsidRPr="00F96002">
        <w:rPr>
          <w:lang w:val="en-US"/>
        </w:rPr>
        <w:t>SAMtools</w:t>
      </w:r>
      <w:proofErr w:type="spellEnd"/>
      <w:r w:rsidRPr="00F96002">
        <w:rPr>
          <w:lang w:val="en-US"/>
        </w:rPr>
        <w:t xml:space="preserve"> v.0.1.19 and GATK 4.1. Copy number variations (CNVs) were detected using </w:t>
      </w:r>
      <w:proofErr w:type="spellStart"/>
      <w:r w:rsidRPr="00F96002">
        <w:rPr>
          <w:lang w:val="en-US"/>
        </w:rPr>
        <w:t>ExomeDepth</w:t>
      </w:r>
      <w:proofErr w:type="spellEnd"/>
      <w:r w:rsidRPr="00F96002">
        <w:rPr>
          <w:lang w:val="en-US"/>
        </w:rPr>
        <w:t xml:space="preserve"> and </w:t>
      </w:r>
      <w:proofErr w:type="spellStart"/>
      <w:r w:rsidRPr="00F96002">
        <w:rPr>
          <w:lang w:val="en-US"/>
        </w:rPr>
        <w:t>Pindel</w:t>
      </w:r>
      <w:proofErr w:type="spellEnd"/>
      <w:r w:rsidRPr="00F96002">
        <w:rPr>
          <w:lang w:val="en-US"/>
        </w:rPr>
        <w:t>. Variant prioritization was performed based on</w:t>
      </w:r>
      <w:r w:rsidR="00F96002">
        <w:rPr>
          <w:lang w:val="en-US"/>
        </w:rPr>
        <w:t xml:space="preserve"> </w:t>
      </w:r>
      <w:r w:rsidRPr="00F96002">
        <w:rPr>
          <w:lang w:val="en-US"/>
        </w:rPr>
        <w:t>autosomal recessive (minor allele frequency (MAF) &lt; 0.1%) and autosomal dominant (MAF &lt; 0.01%) inheritance.</w:t>
      </w:r>
    </w:p>
    <w:p w14:paraId="17CCD6A2" w14:textId="77777777" w:rsidR="004D3F6C" w:rsidRPr="00F96002" w:rsidRDefault="00000000">
      <w:pPr>
        <w:spacing w:before="0" w:after="0"/>
        <w:rPr>
          <w:lang w:val="en-US"/>
        </w:rPr>
      </w:pPr>
      <w:r w:rsidRPr="00F96002">
        <w:rPr>
          <w:lang w:val="en-US"/>
        </w:rPr>
        <w:lastRenderedPageBreak/>
        <w:t xml:space="preserve">Trio ES detected a heterozygous </w:t>
      </w:r>
      <w:r w:rsidRPr="00F96002">
        <w:rPr>
          <w:i/>
          <w:lang w:val="en-US"/>
        </w:rPr>
        <w:t xml:space="preserve">de novo </w:t>
      </w:r>
      <w:r w:rsidRPr="00F96002">
        <w:rPr>
          <w:lang w:val="en-US"/>
        </w:rPr>
        <w:t xml:space="preserve">missense variant in </w:t>
      </w:r>
      <w:r w:rsidRPr="00F96002">
        <w:rPr>
          <w:i/>
          <w:lang w:val="en-US"/>
        </w:rPr>
        <w:t xml:space="preserve">NSD2 </w:t>
      </w:r>
      <w:r w:rsidRPr="00F96002">
        <w:rPr>
          <w:lang w:val="en-US"/>
        </w:rPr>
        <w:t>(NM_001042424.</w:t>
      </w:r>
      <w:proofErr w:type="gramStart"/>
      <w:r w:rsidRPr="00F96002">
        <w:rPr>
          <w:lang w:val="en-US"/>
        </w:rPr>
        <w:t>3:c.</w:t>
      </w:r>
      <w:proofErr w:type="gramEnd"/>
      <w:r w:rsidRPr="00F96002">
        <w:rPr>
          <w:lang w:val="en-US"/>
        </w:rPr>
        <w:t xml:space="preserve">3295G&gt;A, p.Glu1099Lys; chr4[hg19]:g.1962801G&gt;A) in both individuals. No further candidate variants were prioritized. </w:t>
      </w:r>
    </w:p>
    <w:p w14:paraId="17CCD6A3" w14:textId="77777777" w:rsidR="004D3F6C" w:rsidRPr="00F96002" w:rsidRDefault="00000000">
      <w:pPr>
        <w:pStyle w:val="berschrift2"/>
        <w:spacing w:after="120"/>
        <w:rPr>
          <w:sz w:val="22"/>
          <w:szCs w:val="22"/>
          <w:lang w:val="en-US"/>
        </w:rPr>
      </w:pPr>
      <w:bookmarkStart w:id="5" w:name="_421xmq9yanor" w:colFirst="0" w:colLast="0"/>
      <w:bookmarkEnd w:id="5"/>
      <w:r w:rsidRPr="00F96002">
        <w:rPr>
          <w:sz w:val="22"/>
          <w:szCs w:val="22"/>
          <w:lang w:val="en-US"/>
        </w:rPr>
        <w:t>Clinical data collection and comparison</w:t>
      </w:r>
    </w:p>
    <w:p w14:paraId="17CCD6A4" w14:textId="77777777" w:rsidR="004D3F6C" w:rsidRPr="00F96002" w:rsidRDefault="00000000">
      <w:pPr>
        <w:spacing w:before="0" w:after="0"/>
        <w:rPr>
          <w:lang w:val="en-US"/>
        </w:rPr>
      </w:pPr>
      <w:r w:rsidRPr="00F96002">
        <w:rPr>
          <w:lang w:val="en-US"/>
        </w:rPr>
        <w:t xml:space="preserve">The clinical terms in our Excel (Microsoft, Redmond, Washington, United States) based questionnaire were based on the phenotypes observed in Ind_1 and Ind_2 and a review of previous descriptions of 26 individuals with RAUST due to (likely) pathogenic and presumed </w:t>
      </w:r>
      <w:proofErr w:type="spellStart"/>
      <w:r w:rsidRPr="00F96002">
        <w:rPr>
          <w:lang w:val="en-US"/>
        </w:rPr>
        <w:t>LoF</w:t>
      </w:r>
      <w:proofErr w:type="spellEnd"/>
      <w:r w:rsidRPr="00F96002">
        <w:rPr>
          <w:lang w:val="en-US"/>
        </w:rPr>
        <w:t xml:space="preserve"> variants from six publications in which case specific phenotype data was reported </w:t>
      </w:r>
      <w:r w:rsidRPr="00F96002">
        <w:rPr>
          <w:vertAlign w:val="superscript"/>
          <w:lang w:val="en-US"/>
        </w:rPr>
        <w:t>3–8</w:t>
      </w:r>
      <w:r w:rsidRPr="00F96002">
        <w:rPr>
          <w:lang w:val="en-US"/>
        </w:rPr>
        <w:t xml:space="preserve"> which were standardized using the Human Phenotype Ontology (HPO) </w:t>
      </w:r>
      <w:r w:rsidRPr="00F96002">
        <w:rPr>
          <w:vertAlign w:val="superscript"/>
          <w:lang w:val="en-US"/>
        </w:rPr>
        <w:t>9</w:t>
      </w:r>
      <w:r w:rsidRPr="00F96002">
        <w:rPr>
          <w:lang w:val="en-US"/>
        </w:rPr>
        <w:t xml:space="preserve">. Clinical descriptions of patients with single nucleotide variants or indels in </w:t>
      </w:r>
      <w:r w:rsidRPr="00F96002">
        <w:rPr>
          <w:i/>
          <w:lang w:val="en-US"/>
        </w:rPr>
        <w:t>NSD2</w:t>
      </w:r>
      <w:r w:rsidRPr="00F96002">
        <w:rPr>
          <w:lang w:val="en-US"/>
        </w:rPr>
        <w:t xml:space="preserve"> associated with RAUST were extracted from the reports or supplements of the primary literature source, individually </w:t>
      </w:r>
      <w:proofErr w:type="gramStart"/>
      <w:r w:rsidRPr="00F96002">
        <w:rPr>
          <w:lang w:val="en-US"/>
        </w:rPr>
        <w:t>reviewed</w:t>
      </w:r>
      <w:proofErr w:type="gramEnd"/>
      <w:r w:rsidRPr="00F96002">
        <w:rPr>
          <w:lang w:val="en-US"/>
        </w:rPr>
        <w:t xml:space="preserve"> and updated based on the published textual clinical descriptions or images. Physical growth measurements were compared using World Health Organization (WHO) child growth standards using the </w:t>
      </w:r>
      <w:proofErr w:type="spellStart"/>
      <w:r w:rsidRPr="00F96002">
        <w:rPr>
          <w:lang w:val="en-US"/>
        </w:rPr>
        <w:t>pedz</w:t>
      </w:r>
      <w:proofErr w:type="spellEnd"/>
      <w:r w:rsidRPr="00F96002">
        <w:rPr>
          <w:lang w:val="en-US"/>
        </w:rPr>
        <w:t xml:space="preserve"> calculator (https://www.pedz.de/).</w:t>
      </w:r>
    </w:p>
    <w:p w14:paraId="17CCD6A5" w14:textId="77777777" w:rsidR="004D3F6C" w:rsidRPr="00F96002" w:rsidRDefault="00000000">
      <w:pPr>
        <w:pStyle w:val="berschrift2"/>
        <w:spacing w:after="120"/>
        <w:rPr>
          <w:sz w:val="22"/>
          <w:szCs w:val="22"/>
          <w:lang w:val="en-US"/>
        </w:rPr>
      </w:pPr>
      <w:bookmarkStart w:id="6" w:name="_njcjqc11ya58" w:colFirst="0" w:colLast="0"/>
      <w:bookmarkEnd w:id="6"/>
      <w:r w:rsidRPr="00F96002">
        <w:rPr>
          <w:sz w:val="22"/>
          <w:szCs w:val="22"/>
          <w:lang w:val="en-US"/>
        </w:rPr>
        <w:t>Variant spectrum and 3D structure analysis</w:t>
      </w:r>
    </w:p>
    <w:p w14:paraId="17CCD6A6" w14:textId="77777777" w:rsidR="004D3F6C" w:rsidRPr="00F96002" w:rsidRDefault="00000000">
      <w:pPr>
        <w:spacing w:before="0" w:after="0"/>
        <w:rPr>
          <w:lang w:val="en-US"/>
        </w:rPr>
      </w:pPr>
      <w:r w:rsidRPr="00F96002">
        <w:rPr>
          <w:lang w:val="en-US"/>
        </w:rPr>
        <w:t xml:space="preserve">The </w:t>
      </w:r>
      <w:r w:rsidRPr="00F96002">
        <w:rPr>
          <w:i/>
          <w:lang w:val="en-US"/>
        </w:rPr>
        <w:t xml:space="preserve">NSD2 </w:t>
      </w:r>
      <w:r w:rsidRPr="00F96002">
        <w:rPr>
          <w:lang w:val="en-US"/>
        </w:rPr>
        <w:t xml:space="preserve">germline variants were harmonized to a common reference with VariantValidator </w:t>
      </w:r>
      <w:r w:rsidRPr="00F96002">
        <w:rPr>
          <w:vertAlign w:val="superscript"/>
          <w:lang w:val="en-US"/>
        </w:rPr>
        <w:t>10</w:t>
      </w:r>
      <w:r w:rsidRPr="00F96002">
        <w:rPr>
          <w:lang w:val="en-US"/>
        </w:rPr>
        <w:t xml:space="preserve"> (NM_001042424.2 transcript, hg19 reference).</w:t>
      </w:r>
    </w:p>
    <w:p w14:paraId="17CCD6A7" w14:textId="77777777" w:rsidR="004D3F6C" w:rsidRPr="00F96002" w:rsidRDefault="00000000">
      <w:pPr>
        <w:spacing w:before="0" w:after="0"/>
        <w:rPr>
          <w:b/>
          <w:lang w:val="en-US"/>
        </w:rPr>
      </w:pPr>
      <w:r w:rsidRPr="00F96002">
        <w:rPr>
          <w:lang w:val="en-US"/>
        </w:rPr>
        <w:t xml:space="preserve">The distribution of NDD associated </w:t>
      </w:r>
      <w:r w:rsidRPr="00F96002">
        <w:rPr>
          <w:i/>
          <w:lang w:val="en-US"/>
        </w:rPr>
        <w:t xml:space="preserve">NSD2 </w:t>
      </w:r>
      <w:r w:rsidRPr="00F96002">
        <w:rPr>
          <w:lang w:val="en-US"/>
        </w:rPr>
        <w:t xml:space="preserve">variants in the linear protein representation was compared to variants reported in the COSMIC cancer </w:t>
      </w:r>
      <w:r w:rsidRPr="00F96002">
        <w:rPr>
          <w:vertAlign w:val="superscript"/>
          <w:lang w:val="en-US"/>
        </w:rPr>
        <w:t>11</w:t>
      </w:r>
      <w:r w:rsidRPr="00F96002">
        <w:rPr>
          <w:lang w:val="en-US"/>
        </w:rPr>
        <w:t xml:space="preserve"> database (file “V95_38_MUTANT.csv” downloaded on 2021-01-30) and in the public gnomAD </w:t>
      </w:r>
      <w:r w:rsidRPr="00F96002">
        <w:rPr>
          <w:vertAlign w:val="superscript"/>
          <w:lang w:val="en-US"/>
        </w:rPr>
        <w:t>12</w:t>
      </w:r>
      <w:r w:rsidRPr="00F96002">
        <w:rPr>
          <w:lang w:val="en-US"/>
        </w:rPr>
        <w:t xml:space="preserve"> population </w:t>
      </w:r>
      <w:proofErr w:type="gramStart"/>
      <w:r w:rsidRPr="00F96002">
        <w:rPr>
          <w:lang w:val="en-US"/>
        </w:rPr>
        <w:t>database</w:t>
      </w:r>
      <w:proofErr w:type="gramEnd"/>
      <w:r w:rsidRPr="00F96002">
        <w:rPr>
          <w:lang w:val="en-US"/>
        </w:rPr>
        <w:t xml:space="preserve">. Annotation, plotting and analysis of and protein regions constrained for missense variation was performed as described previously </w:t>
      </w:r>
      <w:r w:rsidRPr="00F96002">
        <w:rPr>
          <w:vertAlign w:val="superscript"/>
          <w:lang w:val="en-US"/>
        </w:rPr>
        <w:t>13,14</w:t>
      </w:r>
      <w:r w:rsidRPr="00F96002">
        <w:rPr>
          <w:lang w:val="en-US"/>
        </w:rPr>
        <w:t xml:space="preserve"> with updated versions of all annotations.</w:t>
      </w:r>
    </w:p>
    <w:p w14:paraId="17CCD6A8" w14:textId="77777777" w:rsidR="004D3F6C" w:rsidRPr="00F96002" w:rsidRDefault="00000000">
      <w:pPr>
        <w:spacing w:before="0" w:after="0"/>
        <w:rPr>
          <w:lang w:val="en-US"/>
        </w:rPr>
      </w:pPr>
      <w:r w:rsidRPr="00F96002">
        <w:rPr>
          <w:lang w:val="en-US"/>
        </w:rPr>
        <w:t xml:space="preserve">For analysis of the missense variant distribution in the tertiary protein structure, we used the published Protein data bank (PDB) format structure 7CRO </w:t>
      </w:r>
      <w:r w:rsidRPr="00F96002">
        <w:rPr>
          <w:vertAlign w:val="superscript"/>
          <w:lang w:val="en-US"/>
        </w:rPr>
        <w:t>15</w:t>
      </w:r>
      <w:r w:rsidRPr="00F96002">
        <w:rPr>
          <w:lang w:val="en-US"/>
        </w:rPr>
        <w:t xml:space="preserve"> of the SET and AWS domain of NSD2 together with the </w:t>
      </w:r>
      <w:proofErr w:type="spellStart"/>
      <w:r w:rsidRPr="00F96002">
        <w:rPr>
          <w:lang w:val="en-US"/>
        </w:rPr>
        <w:t>AlphaFold</w:t>
      </w:r>
      <w:proofErr w:type="spellEnd"/>
      <w:r w:rsidRPr="00F96002">
        <w:rPr>
          <w:lang w:val="en-US"/>
        </w:rPr>
        <w:t xml:space="preserve"> </w:t>
      </w:r>
      <w:r w:rsidRPr="00F96002">
        <w:rPr>
          <w:vertAlign w:val="superscript"/>
          <w:lang w:val="en-US"/>
        </w:rPr>
        <w:t>16</w:t>
      </w:r>
      <w:r w:rsidRPr="00F96002">
        <w:rPr>
          <w:lang w:val="en-US"/>
        </w:rPr>
        <w:t xml:space="preserve"> homology model of human NSD2 downloaded from the EMBL website (https://alphafold.ebi.ac.uk/) with a pipeline based on the software </w:t>
      </w:r>
      <w:proofErr w:type="spellStart"/>
      <w:r w:rsidRPr="00F96002">
        <w:rPr>
          <w:lang w:val="en-US"/>
        </w:rPr>
        <w:t>PyMOL</w:t>
      </w:r>
      <w:proofErr w:type="spellEnd"/>
      <w:r w:rsidRPr="00F96002">
        <w:rPr>
          <w:lang w:val="en-US"/>
        </w:rPr>
        <w:t xml:space="preserve"> version 2.5.0 (Open-Source) as described before </w:t>
      </w:r>
      <w:r w:rsidRPr="00F96002">
        <w:rPr>
          <w:vertAlign w:val="superscript"/>
          <w:lang w:val="en-US"/>
        </w:rPr>
        <w:t>13</w:t>
      </w:r>
      <w:r w:rsidRPr="00F96002">
        <w:rPr>
          <w:lang w:val="en-US"/>
        </w:rPr>
        <w:t>.</w:t>
      </w:r>
    </w:p>
    <w:p w14:paraId="17CCD6A9" w14:textId="77777777" w:rsidR="004D3F6C" w:rsidRPr="00F96002" w:rsidRDefault="00000000">
      <w:pPr>
        <w:pStyle w:val="berschrift2"/>
        <w:spacing w:after="120"/>
        <w:rPr>
          <w:sz w:val="22"/>
          <w:szCs w:val="22"/>
          <w:lang w:val="en-US"/>
        </w:rPr>
      </w:pPr>
      <w:bookmarkStart w:id="7" w:name="_9u1ucvx6qqcw" w:colFirst="0" w:colLast="0"/>
      <w:bookmarkEnd w:id="7"/>
      <w:r w:rsidRPr="00F96002">
        <w:rPr>
          <w:sz w:val="22"/>
          <w:szCs w:val="22"/>
          <w:lang w:val="en-US"/>
        </w:rPr>
        <w:t>Analysis of omics data from cancer cell lines</w:t>
      </w:r>
    </w:p>
    <w:p w14:paraId="17CCD6AA" w14:textId="77777777" w:rsidR="004D3F6C" w:rsidRPr="00F96002" w:rsidRDefault="00000000">
      <w:pPr>
        <w:spacing w:before="0" w:after="0"/>
        <w:rPr>
          <w:lang w:val="en-US"/>
        </w:rPr>
      </w:pPr>
      <w:r w:rsidRPr="00F96002">
        <w:rPr>
          <w:lang w:val="en-US"/>
        </w:rPr>
        <w:t xml:space="preserve">We queried the Cancer Cell Line Encyclopedia (CCLE) </w:t>
      </w:r>
      <w:r w:rsidRPr="00F96002">
        <w:rPr>
          <w:vertAlign w:val="superscript"/>
          <w:lang w:val="en-US"/>
        </w:rPr>
        <w:t>17,18</w:t>
      </w:r>
      <w:r w:rsidRPr="00F96002">
        <w:rPr>
          <w:lang w:val="en-US"/>
        </w:rPr>
        <w:t xml:space="preserve"> data using the “</w:t>
      </w:r>
      <w:proofErr w:type="spellStart"/>
      <w:r w:rsidRPr="00F96002">
        <w:rPr>
          <w:lang w:val="en-US"/>
        </w:rPr>
        <w:t>depmap</w:t>
      </w:r>
      <w:proofErr w:type="spellEnd"/>
      <w:r w:rsidRPr="00F96002">
        <w:rPr>
          <w:lang w:val="en-US"/>
        </w:rPr>
        <w:t xml:space="preserve">” (Cancer </w:t>
      </w:r>
      <w:r w:rsidRPr="00F96002">
        <w:rPr>
          <w:b/>
          <w:lang w:val="en-US"/>
        </w:rPr>
        <w:t>Dep</w:t>
      </w:r>
      <w:r w:rsidRPr="00F96002">
        <w:rPr>
          <w:lang w:val="en-US"/>
        </w:rPr>
        <w:t xml:space="preserve">endency </w:t>
      </w:r>
      <w:r w:rsidRPr="00F96002">
        <w:rPr>
          <w:b/>
          <w:lang w:val="en-US"/>
        </w:rPr>
        <w:t>Map</w:t>
      </w:r>
      <w:r w:rsidRPr="00F96002">
        <w:rPr>
          <w:lang w:val="en-US"/>
        </w:rPr>
        <w:t xml:space="preserve">; https://depmap.org/portal/) </w:t>
      </w:r>
      <w:r w:rsidRPr="00F96002">
        <w:rPr>
          <w:vertAlign w:val="superscript"/>
          <w:lang w:val="en-US"/>
        </w:rPr>
        <w:t>19</w:t>
      </w:r>
      <w:r w:rsidRPr="00F96002">
        <w:rPr>
          <w:lang w:val="en-US"/>
        </w:rPr>
        <w:t xml:space="preserve"> and “</w:t>
      </w:r>
      <w:proofErr w:type="spellStart"/>
      <w:r w:rsidRPr="00F96002">
        <w:rPr>
          <w:lang w:val="en-US"/>
        </w:rPr>
        <w:t>ExperimentHub</w:t>
      </w:r>
      <w:proofErr w:type="spellEnd"/>
      <w:r w:rsidRPr="00F96002">
        <w:rPr>
          <w:lang w:val="en-US"/>
        </w:rPr>
        <w:t xml:space="preserve">” packages in R version 4.1.0 from within RStudio version 1.4.1717. We used the metadata dataset "EH7294" together with the mutation calls ("EH7293") and copy number calls ("EH7291") to identify cell lines with NSD2 </w:t>
      </w:r>
      <w:proofErr w:type="spellStart"/>
      <w:r w:rsidRPr="00F96002">
        <w:rPr>
          <w:lang w:val="en-US"/>
        </w:rPr>
        <w:t>GoF</w:t>
      </w:r>
      <w:proofErr w:type="spellEnd"/>
      <w:r w:rsidRPr="00F96002">
        <w:rPr>
          <w:lang w:val="en-US"/>
        </w:rPr>
        <w:t>/</w:t>
      </w:r>
      <w:proofErr w:type="spellStart"/>
      <w:r w:rsidRPr="00F96002">
        <w:rPr>
          <w:lang w:val="en-US"/>
        </w:rPr>
        <w:t>LoF</w:t>
      </w:r>
      <w:proofErr w:type="spellEnd"/>
      <w:r w:rsidRPr="00F96002">
        <w:rPr>
          <w:lang w:val="en-US"/>
        </w:rPr>
        <w:t xml:space="preserve"> or copy-number variants (CNVs) affecting the </w:t>
      </w:r>
      <w:r w:rsidRPr="00F96002">
        <w:rPr>
          <w:i/>
          <w:lang w:val="en-US"/>
        </w:rPr>
        <w:t xml:space="preserve">NSD2 </w:t>
      </w:r>
      <w:r w:rsidRPr="00F96002">
        <w:rPr>
          <w:lang w:val="en-US"/>
        </w:rPr>
        <w:t xml:space="preserve">region. Cell lines with the </w:t>
      </w:r>
      <w:r w:rsidRPr="00F96002">
        <w:rPr>
          <w:lang w:val="en-US"/>
        </w:rPr>
        <w:lastRenderedPageBreak/>
        <w:t xml:space="preserve">known NSD2 </w:t>
      </w:r>
      <w:proofErr w:type="spellStart"/>
      <w:r w:rsidRPr="00F96002">
        <w:rPr>
          <w:lang w:val="en-US"/>
        </w:rPr>
        <w:t>GoF</w:t>
      </w:r>
      <w:proofErr w:type="spellEnd"/>
      <w:r w:rsidRPr="00F96002">
        <w:rPr>
          <w:lang w:val="en-US"/>
        </w:rPr>
        <w:t xml:space="preserve"> variants E1099K and T1150A were filtered using these annotation terms and classified into the </w:t>
      </w:r>
      <w:proofErr w:type="spellStart"/>
      <w:r w:rsidRPr="00F96002">
        <w:rPr>
          <w:lang w:val="en-US"/>
        </w:rPr>
        <w:t>GoF</w:t>
      </w:r>
      <w:proofErr w:type="spellEnd"/>
      <w:r w:rsidRPr="00F96002">
        <w:rPr>
          <w:lang w:val="en-US"/>
        </w:rPr>
        <w:t xml:space="preserve"> category while all nonsense or frameshifting variants were classified into the </w:t>
      </w:r>
      <w:proofErr w:type="spellStart"/>
      <w:r w:rsidRPr="00F96002">
        <w:rPr>
          <w:lang w:val="en-US"/>
        </w:rPr>
        <w:t>LoF</w:t>
      </w:r>
      <w:proofErr w:type="spellEnd"/>
      <w:r w:rsidRPr="00F96002">
        <w:rPr>
          <w:lang w:val="en-US"/>
        </w:rPr>
        <w:t xml:space="preserve"> category. Lines with a variant in </w:t>
      </w:r>
      <w:r w:rsidRPr="00F96002">
        <w:rPr>
          <w:i/>
          <w:lang w:val="en-US"/>
        </w:rPr>
        <w:t>NSD2</w:t>
      </w:r>
      <w:r w:rsidRPr="00F96002">
        <w:rPr>
          <w:lang w:val="en-US"/>
        </w:rPr>
        <w:t xml:space="preserve"> not falling into these categories were classified as “other” and subsequently excluded from downstream analyses. The copy number data set was divided into five classes based on the log2 values ("duplication": log2 &gt;= log2(3/2+1) ~ 1.32; "duplication purity 50%": log2 &gt;= log2(5/4+1) ~ 1.17; "deletion purity 50%": log2 &gt;= log2(3/4+1) ~ 0.81; "deletion": log2 &gt;= log2(1/2+1) ~ 0.59; “neutral”). Cell lines with possible copy number changes at lower purity estimates were excluded from analysis.</w:t>
      </w:r>
    </w:p>
    <w:p w14:paraId="17CCD6AB" w14:textId="77777777" w:rsidR="004D3F6C" w:rsidRPr="00F96002" w:rsidRDefault="00000000">
      <w:pPr>
        <w:spacing w:before="0" w:after="0"/>
        <w:rPr>
          <w:lang w:val="en-US"/>
        </w:rPr>
      </w:pPr>
      <w:r w:rsidRPr="00F96002">
        <w:rPr>
          <w:lang w:val="en-US"/>
        </w:rPr>
        <w:t xml:space="preserve">To investigate chromatin modifications, we downloaded the “CCLE_GlobalChromatinProfiling_20181130” dataset directly from the </w:t>
      </w:r>
      <w:proofErr w:type="spellStart"/>
      <w:r w:rsidRPr="00F96002">
        <w:rPr>
          <w:lang w:val="en-US"/>
        </w:rPr>
        <w:t>depmap</w:t>
      </w:r>
      <w:proofErr w:type="spellEnd"/>
      <w:r w:rsidRPr="00F96002">
        <w:rPr>
          <w:lang w:val="en-US"/>
        </w:rPr>
        <w:t xml:space="preserve"> </w:t>
      </w:r>
      <w:r w:rsidRPr="00F96002">
        <w:rPr>
          <w:vertAlign w:val="superscript"/>
          <w:lang w:val="en-US"/>
        </w:rPr>
        <w:t>19</w:t>
      </w:r>
      <w:r w:rsidRPr="00F96002">
        <w:rPr>
          <w:lang w:val="en-US"/>
        </w:rPr>
        <w:t xml:space="preserve"> portal. The Z-score values of the chromatin marks at K27 and K36 were visualized as boxplots and group wise p-values were calculated using the “Wilcox rank sum test” as implemented in R.</w:t>
      </w:r>
    </w:p>
    <w:p w14:paraId="17CCD6AC" w14:textId="77777777" w:rsidR="004D3F6C" w:rsidRPr="00F96002" w:rsidRDefault="00000000">
      <w:pPr>
        <w:spacing w:before="0" w:after="0"/>
        <w:rPr>
          <w:lang w:val="en-US"/>
        </w:rPr>
      </w:pPr>
      <w:r w:rsidRPr="00F96002">
        <w:rPr>
          <w:lang w:val="en-US"/>
        </w:rPr>
        <w:t xml:space="preserve">To investigate differential methylation and differential expression, we next uploaded the lists of nine cell lines classified as </w:t>
      </w:r>
      <w:proofErr w:type="spellStart"/>
      <w:r w:rsidRPr="00F96002">
        <w:rPr>
          <w:lang w:val="en-US"/>
        </w:rPr>
        <w:t>GoF</w:t>
      </w:r>
      <w:proofErr w:type="spellEnd"/>
      <w:r w:rsidRPr="00F96002">
        <w:rPr>
          <w:lang w:val="en-US"/>
        </w:rPr>
        <w:t xml:space="preserve"> and 1192 lines classified as having no </w:t>
      </w:r>
      <w:r w:rsidRPr="00F96002">
        <w:rPr>
          <w:i/>
          <w:lang w:val="en-US"/>
        </w:rPr>
        <w:t>NSD2</w:t>
      </w:r>
      <w:r w:rsidRPr="00F96002">
        <w:rPr>
          <w:lang w:val="en-US"/>
        </w:rPr>
        <w:t xml:space="preserve"> mutation and being copy number neutral (Supplementary File S02) to the </w:t>
      </w:r>
      <w:proofErr w:type="spellStart"/>
      <w:r w:rsidRPr="00F96002">
        <w:rPr>
          <w:lang w:val="en-US"/>
        </w:rPr>
        <w:t>depmap</w:t>
      </w:r>
      <w:proofErr w:type="spellEnd"/>
      <w:r w:rsidRPr="00F96002">
        <w:rPr>
          <w:lang w:val="en-US"/>
        </w:rPr>
        <w:t xml:space="preserve"> portal in the “Data Explorer” tool using the “Custom Analyses” tab. We used the “Two class comparison” option to calculate the difference between two groups (</w:t>
      </w:r>
      <w:proofErr w:type="spellStart"/>
      <w:r w:rsidRPr="00F96002">
        <w:rPr>
          <w:lang w:val="en-US"/>
        </w:rPr>
        <w:t>GoF</w:t>
      </w:r>
      <w:proofErr w:type="spellEnd"/>
      <w:r w:rsidRPr="00F96002">
        <w:rPr>
          <w:lang w:val="en-US"/>
        </w:rPr>
        <w:t xml:space="preserve"> vs. neutral, excluding all cell lines with CNVs or any small </w:t>
      </w:r>
      <w:r w:rsidRPr="00F96002">
        <w:rPr>
          <w:i/>
          <w:lang w:val="en-US"/>
        </w:rPr>
        <w:t xml:space="preserve">NSD2 </w:t>
      </w:r>
      <w:r w:rsidRPr="00F96002">
        <w:rPr>
          <w:lang w:val="en-US"/>
        </w:rPr>
        <w:t xml:space="preserve">variants) regarding both the methylation (“Methylation (1kb </w:t>
      </w:r>
      <w:proofErr w:type="spellStart"/>
      <w:r w:rsidRPr="00F96002">
        <w:rPr>
          <w:lang w:val="en-US"/>
        </w:rPr>
        <w:t>upsteam</w:t>
      </w:r>
      <w:proofErr w:type="spellEnd"/>
      <w:r w:rsidRPr="00F96002">
        <w:rPr>
          <w:lang w:val="en-US"/>
        </w:rPr>
        <w:t xml:space="preserve"> TSS)”) and the expression (“Expression 21Q4 Public”) datasets. Differentially methylated/ expressed gene lists were downloaded from </w:t>
      </w:r>
      <w:proofErr w:type="spellStart"/>
      <w:r w:rsidRPr="00F96002">
        <w:rPr>
          <w:lang w:val="en-US"/>
        </w:rPr>
        <w:t>depmap</w:t>
      </w:r>
      <w:proofErr w:type="spellEnd"/>
      <w:r w:rsidRPr="00F96002">
        <w:rPr>
          <w:lang w:val="en-US"/>
        </w:rPr>
        <w:t xml:space="preserve"> portal. Effect sizes, grouped by strength, were plotted and -log10 scaled p-values were visualized as scatter plots using ggplot2 in R. </w:t>
      </w:r>
    </w:p>
    <w:p w14:paraId="17CCD6AD" w14:textId="77777777" w:rsidR="004D3F6C" w:rsidRPr="00F96002" w:rsidRDefault="00000000">
      <w:pPr>
        <w:spacing w:before="0" w:after="0"/>
        <w:rPr>
          <w:u w:val="single"/>
          <w:lang w:val="en-US"/>
        </w:rPr>
      </w:pPr>
      <w:r w:rsidRPr="00F96002">
        <w:rPr>
          <w:lang w:val="en-US"/>
        </w:rPr>
        <w:t xml:space="preserve">We filtered the list of differentially expressed genes to select 887 genes with a very high effect size (&gt; 1.2 or &lt; -1.2). This list was then uploaded to the </w:t>
      </w:r>
      <w:proofErr w:type="spellStart"/>
      <w:r w:rsidRPr="00F96002">
        <w:rPr>
          <w:lang w:val="en-US"/>
        </w:rPr>
        <w:t>humanbase</w:t>
      </w:r>
      <w:proofErr w:type="spellEnd"/>
      <w:r w:rsidRPr="00F96002">
        <w:rPr>
          <w:lang w:val="en-US"/>
        </w:rPr>
        <w:t xml:space="preserve"> </w:t>
      </w:r>
      <w:r w:rsidRPr="00F96002">
        <w:rPr>
          <w:vertAlign w:val="superscript"/>
          <w:lang w:val="en-US"/>
        </w:rPr>
        <w:t>20</w:t>
      </w:r>
      <w:r w:rsidRPr="00F96002">
        <w:rPr>
          <w:lang w:val="en-US"/>
        </w:rPr>
        <w:t xml:space="preserve"> web tool (https://hb.flatironinstitute.org/) to predict functionally enriched gene modules with the “global” network setting.</w:t>
      </w:r>
      <w:r w:rsidRPr="00F96002">
        <w:rPr>
          <w:lang w:val="en-US"/>
        </w:rPr>
        <w:br w:type="page"/>
      </w:r>
    </w:p>
    <w:p w14:paraId="17CCD6AE" w14:textId="77777777" w:rsidR="004D3F6C" w:rsidRPr="00F96002" w:rsidRDefault="00000000">
      <w:pPr>
        <w:pStyle w:val="berschrift1"/>
        <w:rPr>
          <w:sz w:val="22"/>
          <w:szCs w:val="22"/>
          <w:lang w:val="en-US"/>
        </w:rPr>
      </w:pPr>
      <w:bookmarkStart w:id="8" w:name="_p1q83cxvtqmg" w:colFirst="0" w:colLast="0"/>
      <w:bookmarkEnd w:id="8"/>
      <w:r w:rsidRPr="00F96002">
        <w:rPr>
          <w:sz w:val="22"/>
          <w:szCs w:val="22"/>
          <w:lang w:val="en-US"/>
        </w:rPr>
        <w:lastRenderedPageBreak/>
        <w:t>SUPPLEMENTARY RESULTS</w:t>
      </w:r>
    </w:p>
    <w:p w14:paraId="17CCD6AF" w14:textId="77777777" w:rsidR="004D3F6C" w:rsidRPr="00F96002" w:rsidRDefault="00000000">
      <w:pPr>
        <w:pStyle w:val="berschrift2"/>
        <w:spacing w:after="120"/>
        <w:rPr>
          <w:sz w:val="22"/>
          <w:szCs w:val="22"/>
          <w:lang w:val="en-US"/>
        </w:rPr>
      </w:pPr>
      <w:bookmarkStart w:id="9" w:name="_jwvruybin81e" w:colFirst="0" w:colLast="0"/>
      <w:bookmarkEnd w:id="9"/>
      <w:r w:rsidRPr="00F96002">
        <w:rPr>
          <w:sz w:val="22"/>
          <w:szCs w:val="22"/>
          <w:lang w:val="en-US"/>
        </w:rPr>
        <w:t>Case of Individual 1</w:t>
      </w:r>
    </w:p>
    <w:p w14:paraId="17CCD6B0" w14:textId="77777777" w:rsidR="004D3F6C" w:rsidRPr="00F96002" w:rsidRDefault="00000000">
      <w:pPr>
        <w:spacing w:before="0" w:after="0"/>
        <w:rPr>
          <w:lang w:val="en-US"/>
        </w:rPr>
      </w:pPr>
      <w:r w:rsidRPr="00F96002">
        <w:rPr>
          <w:lang w:val="en-US"/>
        </w:rPr>
        <w:t xml:space="preserve">The boy Ind_1 (main Fig. 1A) was the first child of healthy, non-consanguineous parents. The family history was uneventful for genetic disorders, intellectual disability, or seizures. Pregnancy was complicated by </w:t>
      </w:r>
      <w:proofErr w:type="spellStart"/>
      <w:r w:rsidRPr="00F96002">
        <w:rPr>
          <w:lang w:val="en-US"/>
        </w:rPr>
        <w:t>polyhydramnion</w:t>
      </w:r>
      <w:proofErr w:type="spellEnd"/>
      <w:r w:rsidRPr="00F96002">
        <w:rPr>
          <w:lang w:val="en-US"/>
        </w:rPr>
        <w:t xml:space="preserve"> and a prominent nuchal fold in first trimester ultrasound (US) screening. A horseshoe kidney was suspected in follow-up US examinations. Subsequent amniocentesis followed by conventional karyotyping and panel sequencing for Noonan syndrome were unremarkable. Due to premature rupture of the amniotic sac, pathological cardiotocography (CTG) and green discolored amniotic fluid, vacuum delivery was performed at 37+5 weeks gestational age. At birth his weight was 2,880 g (-0.85 SD), his length was 48.0 cm (-1.22 SD), his occipital frontal circumference (OFC) 34.0 cm (-0.54 SD). Apgar scores were 8/9/</w:t>
      </w:r>
      <w:proofErr w:type="gramStart"/>
      <w:r w:rsidRPr="00F96002">
        <w:rPr>
          <w:lang w:val="en-US"/>
        </w:rPr>
        <w:t>9</w:t>
      </w:r>
      <w:proofErr w:type="gramEnd"/>
      <w:r w:rsidRPr="00F96002">
        <w:rPr>
          <w:lang w:val="en-US"/>
        </w:rPr>
        <w:t xml:space="preserve"> and the umbilical cord pH was 7.09. Due to </w:t>
      </w:r>
      <w:proofErr w:type="spellStart"/>
      <w:r w:rsidRPr="00F96002">
        <w:rPr>
          <w:lang w:val="en-US"/>
        </w:rPr>
        <w:t>dyspnoea</w:t>
      </w:r>
      <w:proofErr w:type="spellEnd"/>
      <w:r w:rsidRPr="00F96002">
        <w:rPr>
          <w:lang w:val="en-US"/>
        </w:rPr>
        <w:t xml:space="preserve"> and decreased oxygen saturation he required intensive care with continuous positive airway pressure (CPAP) ventilation. His respiratory situation improved only slowly with continuous need for respiratory support. He required long-term total parenteral nutrition followed by duodenal tube feeding. Because of early cholestasis with conjugated hyperbilirubinemia, liver biopsy was performed, and histologic analysis of the liver tissue showed hepatocellular and canalicular cholestasis but normal intrahepatic bile ducts with no evidence of storage disease, viral inclusions, granulomata, or steatosis. On his 21st day of life he developed sepsis and had to be intubated again for mechanical ventilation. Overall, he required intensive care until his 3rd month of life.</w:t>
      </w:r>
    </w:p>
    <w:p w14:paraId="17CCD6B1" w14:textId="77777777" w:rsidR="004D3F6C" w:rsidRPr="00F96002" w:rsidRDefault="00000000">
      <w:pPr>
        <w:spacing w:before="0" w:after="0"/>
        <w:rPr>
          <w:lang w:val="en-US"/>
        </w:rPr>
      </w:pPr>
      <w:r w:rsidRPr="00F96002">
        <w:rPr>
          <w:lang w:val="en-US"/>
        </w:rPr>
        <w:t xml:space="preserve">Postnatally, multiple organ anomalies were identified, including persistent ductus arteriosus with aneurysm, splenomegaly with splenic cyst, cryptorchidism, bilateral dysplastic and enlarged kidneys with </w:t>
      </w:r>
      <w:proofErr w:type="spellStart"/>
      <w:r w:rsidRPr="00F96002">
        <w:rPr>
          <w:lang w:val="en-US"/>
        </w:rPr>
        <w:t>nephrocalcinosis</w:t>
      </w:r>
      <w:proofErr w:type="spellEnd"/>
      <w:r w:rsidRPr="00F96002">
        <w:rPr>
          <w:lang w:val="en-US"/>
        </w:rPr>
        <w:t>, duplex kidney on the right side, bilateral vesicoureteral reflux and hypertrophic pyloric stenosis which required pyloromyotomy at age of 2 months. He had preretinal hemorrhage of the left eye and astigmatism/ myopia were corrected using glasses. Hearing was normal. He had no seizures and electroencephalogram (EEG) was normal. Laboratory tests for etiological clarification of the suspected syndromic disease including metabolic testing were unremarkable.</w:t>
      </w:r>
    </w:p>
    <w:p w14:paraId="17CCD6B2" w14:textId="77777777" w:rsidR="004D3F6C" w:rsidRPr="00F96002" w:rsidRDefault="00000000">
      <w:pPr>
        <w:spacing w:before="0" w:after="0"/>
        <w:rPr>
          <w:highlight w:val="yellow"/>
          <w:lang w:val="en-US"/>
        </w:rPr>
      </w:pPr>
      <w:r w:rsidRPr="00F96002">
        <w:rPr>
          <w:lang w:val="en-US"/>
        </w:rPr>
        <w:t xml:space="preserve">He showed delayed developmental milestones with coordinated crawling at the age of 1.5 years, free sitting at the age of 2 years, first walking steps while holding at the age of 2.5 years, free walking at the age of 3.5 years and first words at the age of about 3 years. Formal IQ testing at the age of 6 years and 6 months using the </w:t>
      </w:r>
      <w:proofErr w:type="spellStart"/>
      <w:r w:rsidRPr="00F96002">
        <w:rPr>
          <w:lang w:val="en-US"/>
        </w:rPr>
        <w:t>Snijders-Oomen</w:t>
      </w:r>
      <w:proofErr w:type="spellEnd"/>
      <w:r w:rsidRPr="00F96002">
        <w:rPr>
          <w:lang w:val="en-US"/>
        </w:rPr>
        <w:t xml:space="preserve"> non-verbale test (SON-R 2½-7) confirmed mild to moderate intellectual disability with an overall IQ of 50 and estimated developmental age of about 2.5 years.</w:t>
      </w:r>
    </w:p>
    <w:p w14:paraId="17CCD6B3" w14:textId="77777777" w:rsidR="004D3F6C" w:rsidRPr="00F96002" w:rsidRDefault="00000000">
      <w:pPr>
        <w:spacing w:before="0" w:after="0"/>
        <w:rPr>
          <w:lang w:val="en-US"/>
        </w:rPr>
      </w:pPr>
      <w:r w:rsidRPr="00F96002">
        <w:rPr>
          <w:lang w:val="en-US"/>
        </w:rPr>
        <w:lastRenderedPageBreak/>
        <w:t xml:space="preserve">The boy was last reviewed at age 8 years 3 months. His height was 128.0 cm (-0.62 SD), his weight was 33.4 kg (1.01 SD; BMI 20,4), and his head circumference was 57.6 cm (3.47 SD). He presented with mild to moderate intellectual disability, could speak approximately five words and mainly communicated via gestures. Medical interventions regarding the malformations of the internal organs have not been necessary since the first year of life. In particular, the laboratory parameters of renal and hepatic function were within the normal range. He had coarse facial features with square facial shape and bitemporal narrowing, rather sparse and thin lateral eyebrows, low anterior hairline, multiple eyelid creases, periorbital fullness, narrow palpebral fissures, hypertelorism and convergent strabismus, a wide nasal bridge and a bulbous tip of the nose, a long philtrum, a wide mouth, a thin upper lip with exaggerated cupid's bow, retrognathia and a short neck (Fig. 1A-D). His chest was broad with widely spaced nipples, and the posterior thorax was broad with widely spaced scapulae and a flat vertebral column. The umbilicus is prominent after surgery for umbilical hernia. He showed a fixed elbow flexion and limited supination of the forearms. The hands had relatively broad palms, with brachydactyly and small nails and bridged palmar crease on the right side and a single palmar crease on the left side (Fig. 1E-H). Similarly, the feet were short and broad, with bilateral pes valgus and hypoplastic nails (Fig. 1I-J). He had genu </w:t>
      </w:r>
      <w:proofErr w:type="spellStart"/>
      <w:r w:rsidRPr="00F96002">
        <w:rPr>
          <w:lang w:val="en-US"/>
        </w:rPr>
        <w:t>valgum</w:t>
      </w:r>
      <w:proofErr w:type="spellEnd"/>
      <w:r w:rsidRPr="00F96002">
        <w:rPr>
          <w:lang w:val="en-US"/>
        </w:rPr>
        <w:t xml:space="preserve"> and a broad-based insecure gait (Fig. 1K). Examination of the external genitalia showed a </w:t>
      </w:r>
      <w:proofErr w:type="spellStart"/>
      <w:r w:rsidRPr="00F96002">
        <w:rPr>
          <w:lang w:val="en-US"/>
        </w:rPr>
        <w:t>micropenis</w:t>
      </w:r>
      <w:proofErr w:type="spellEnd"/>
      <w:r w:rsidRPr="00F96002">
        <w:rPr>
          <w:lang w:val="en-US"/>
        </w:rPr>
        <w:t>.</w:t>
      </w:r>
    </w:p>
    <w:p w14:paraId="17CCD6B4" w14:textId="75662D42" w:rsidR="004D3F6C" w:rsidRPr="00F96002" w:rsidRDefault="00000000">
      <w:pPr>
        <w:spacing w:before="0" w:after="0"/>
        <w:rPr>
          <w:lang w:val="en-US"/>
        </w:rPr>
      </w:pPr>
      <w:r w:rsidRPr="00F96002">
        <w:rPr>
          <w:lang w:val="en-US"/>
        </w:rPr>
        <w:t>A recent cranial MRI of Ind_1 at age 9 years and 2 months showed hyperostosis of the calvaria and a deformation of both eyeballs (compare Fig. S5).</w:t>
      </w:r>
      <w:r w:rsidR="00F96002">
        <w:rPr>
          <w:lang w:val="en-US"/>
        </w:rPr>
        <w:t xml:space="preserve"> </w:t>
      </w:r>
      <w:r w:rsidRPr="00F96002">
        <w:rPr>
          <w:lang w:val="en-US"/>
        </w:rPr>
        <w:t xml:space="preserve">Also, a recent immunological blood analysis showed a reduced B-cell count with unremarkable further differentiation, while the T-cell differentiation showed </w:t>
      </w:r>
      <w:proofErr w:type="gramStart"/>
      <w:r w:rsidRPr="00F96002">
        <w:rPr>
          <w:lang w:val="en-US"/>
        </w:rPr>
        <w:t>age appropriate</w:t>
      </w:r>
      <w:proofErr w:type="gramEnd"/>
      <w:r w:rsidRPr="00F96002">
        <w:rPr>
          <w:lang w:val="en-US"/>
        </w:rPr>
        <w:t xml:space="preserve"> naive T-cells but the CD8+ memory cells were reduced.</w:t>
      </w:r>
    </w:p>
    <w:p w14:paraId="17CCD6B5" w14:textId="77777777" w:rsidR="004D3F6C" w:rsidRPr="00F96002" w:rsidRDefault="00000000">
      <w:pPr>
        <w:pStyle w:val="berschrift2"/>
        <w:spacing w:after="120"/>
        <w:rPr>
          <w:sz w:val="22"/>
          <w:szCs w:val="22"/>
          <w:lang w:val="en-US"/>
        </w:rPr>
      </w:pPr>
      <w:bookmarkStart w:id="10" w:name="_5yyw2aq2w028" w:colFirst="0" w:colLast="0"/>
      <w:bookmarkEnd w:id="10"/>
      <w:r w:rsidRPr="00F96002">
        <w:rPr>
          <w:sz w:val="22"/>
          <w:szCs w:val="22"/>
          <w:lang w:val="en-US"/>
        </w:rPr>
        <w:t>Case of Individual 2</w:t>
      </w:r>
    </w:p>
    <w:p w14:paraId="17CCD6B6" w14:textId="0AC4F285" w:rsidR="004D3F6C" w:rsidRPr="00F96002" w:rsidRDefault="00000000">
      <w:pPr>
        <w:spacing w:before="0" w:after="0"/>
        <w:rPr>
          <w:lang w:val="en-US"/>
        </w:rPr>
      </w:pPr>
      <w:r w:rsidRPr="00F96002">
        <w:rPr>
          <w:lang w:val="en-US"/>
        </w:rPr>
        <w:t xml:space="preserve">The boy Ind_2 was the fourth child of non-consanguineous parents, who had three older and one younger healthy </w:t>
      </w:r>
      <w:proofErr w:type="gramStart"/>
      <w:r w:rsidRPr="00F96002">
        <w:rPr>
          <w:lang w:val="en-US"/>
        </w:rPr>
        <w:t>children</w:t>
      </w:r>
      <w:proofErr w:type="gramEnd"/>
      <w:r w:rsidRPr="00F96002">
        <w:rPr>
          <w:lang w:val="en-US"/>
        </w:rPr>
        <w:t>. Their family history was unremarkable for developmental disorders. Prenatal US revealed hepatomegaly, large echo-rich kidneys, right ventricular hypertrophy, unilateral clubfoot, macroglossia, single umbilical cord artery and polyhydramnios. Amniocentesis followed by prenatal karyotyping showed an unremarkable male karyotype (</w:t>
      </w:r>
      <w:proofErr w:type="gramStart"/>
      <w:r w:rsidRPr="00F96002">
        <w:rPr>
          <w:lang w:val="en-US"/>
        </w:rPr>
        <w:t>46,XY</w:t>
      </w:r>
      <w:proofErr w:type="gramEnd"/>
      <w:r w:rsidRPr="00F96002">
        <w:rPr>
          <w:lang w:val="en-US"/>
        </w:rPr>
        <w:t xml:space="preserve">). High-throughput sequencing based panel testing for macrosomia and testing for Beckwith-Wiedemann Syndrome were negative. He was born preterm (33+4 gestational weeks, birth weight 2,740 g (1.9 SD), length 45.5 cm (0.47 SD), OFC 33.0 cm (1.13 SD)) via cesarean section due to missing fetal movements and pathological CTG. Apgar scores were 4/7/9, umbilical cord pH was 6.89. Acidosis resolved during the first 24 hours after </w:t>
      </w:r>
      <w:r w:rsidRPr="00F96002">
        <w:rPr>
          <w:lang w:val="en-US"/>
        </w:rPr>
        <w:lastRenderedPageBreak/>
        <w:t xml:space="preserve">birth. Respiratory insufficiency required intubation on the first day of life. Intracerebral hemorrhage of the right nucleus </w:t>
      </w:r>
      <w:proofErr w:type="spellStart"/>
      <w:r w:rsidRPr="00F96002">
        <w:rPr>
          <w:lang w:val="en-US"/>
        </w:rPr>
        <w:t>caudatus</w:t>
      </w:r>
      <w:proofErr w:type="spellEnd"/>
      <w:r w:rsidRPr="00F96002">
        <w:rPr>
          <w:lang w:val="en-US"/>
        </w:rPr>
        <w:t xml:space="preserve">, grade 2 intraventricular hemorrhage, small cortical </w:t>
      </w:r>
      <w:r w:rsidR="003C22CF" w:rsidRPr="00F96002">
        <w:rPr>
          <w:lang w:val="en-US"/>
        </w:rPr>
        <w:t>hemorrhages,</w:t>
      </w:r>
      <w:r w:rsidRPr="00F96002">
        <w:rPr>
          <w:lang w:val="en-US"/>
        </w:rPr>
        <w:t xml:space="preserve"> and signs of hypoxia of the occipital cortex were identified by MRI on day 9. Multiple congenital malformations were confirmed after birth including a congenital heart defect (hypoplastic aortic arch, ventricular septal defect), hepatomegaly, nephromegaly with small renal cysts, unilateral clubfoot (left foot), inguinal hernia (right side) and cryptorchidism. X-ray of the pelvis showed enlarged proximal femur metaphysis and prominent incisura </w:t>
      </w:r>
      <w:proofErr w:type="spellStart"/>
      <w:r w:rsidRPr="00F96002">
        <w:rPr>
          <w:lang w:val="en-US"/>
        </w:rPr>
        <w:t>ischiadica</w:t>
      </w:r>
      <w:proofErr w:type="spellEnd"/>
      <w:r w:rsidRPr="00F96002">
        <w:rPr>
          <w:lang w:val="en-US"/>
        </w:rPr>
        <w:t xml:space="preserve"> indicating skeletal dysplasia (Fig. 1L). A ventricular septal defect leading to increased right ventricular load was corrected via patch at the age of 5 weeks. Surgical repair of the hypoplastic aortic arch was performed. The club foot was treated by casting. Laboratory investigations revealed mild hyperammonemia (up to 150 µmol/l). Liver MRI (Fig. 1M-N) identified a patent ductus venosus, which was treated by endovascular coiling. Repetitive episodes of respiratory distress treated by CPAP and oxygen therapy required hospitalization for the first 4.5 months of his life. Recurrent pyelonephritis with fever due to grade 2 vesicoureteral reflux were diagnosed and antibiotic prophylaxis was given. </w:t>
      </w:r>
      <w:proofErr w:type="spellStart"/>
      <w:r w:rsidRPr="00F96002">
        <w:rPr>
          <w:lang w:val="en-US"/>
        </w:rPr>
        <w:t>Nephrocalcinosis</w:t>
      </w:r>
      <w:proofErr w:type="spellEnd"/>
      <w:r w:rsidRPr="00F96002">
        <w:rPr>
          <w:lang w:val="en-US"/>
        </w:rPr>
        <w:t xml:space="preserve"> was identified by ultrasound but resolved spontaneously. Reduced counts of CD4+ T-cells and B-cells as well as increased numbers of NK-cells were identified; immunoglobulin levels (IgG and IgM) were borderline reduced. Severe recurrent infections were not present. Early on, deficits in head control and lifting the head and upper body while in prone prop position as well as muscular hypotonia were observed. Additionally, feeding difficulties and failure to thrive were prominent features in the first months of life. After the gastric tube was removed at the age of 6 months, he was able to eat soft foods and the BMI gradually normalized.</w:t>
      </w:r>
    </w:p>
    <w:p w14:paraId="17CCD6B7" w14:textId="4FD33A94" w:rsidR="004D3F6C" w:rsidRPr="00F96002" w:rsidRDefault="00000000">
      <w:pPr>
        <w:spacing w:before="0" w:after="0"/>
        <w:rPr>
          <w:lang w:val="en-US"/>
        </w:rPr>
      </w:pPr>
      <w:r w:rsidRPr="00F96002">
        <w:rPr>
          <w:lang w:val="en-US"/>
        </w:rPr>
        <w:t xml:space="preserve">At the last investigation at age 3 years and 0 months the individual had short stature and microcephaly (measurements: weight 12.0 kg (-1.46 SD; BMI 17,4), height 83.0 cm (-3.43 SD), OFC 46,5 cm (-3.32 SD)). Growth hormone stimulation test was abnormal. Hearing was noted to be impaired (failed BERA at the age of 6 months), most likely due to Eustachian tube dysfunction. Ophthalmologic assessment revealed myopia and astigmatism but was otherwise normal. Additionally, the individual presented with an eczema of unknown etiology of upper arms and legs as well as the face which did not resolve to treatment with steroids. Neurologic assessment revealed global developmental delay and a mild muscular hypotonia, but no signs of a movement disorder. He showed no clinical signs of seizures and EEG was normal. Motor development was markedly delayed with turning at age of 12 months, crawling at the age of 24 months, sitting at the age of 18 </w:t>
      </w:r>
      <w:proofErr w:type="gramStart"/>
      <w:r w:rsidRPr="00F96002">
        <w:rPr>
          <w:lang w:val="en-US"/>
        </w:rPr>
        <w:t>months</w:t>
      </w:r>
      <w:proofErr w:type="gramEnd"/>
      <w:r w:rsidRPr="00F96002">
        <w:rPr>
          <w:lang w:val="en-US"/>
        </w:rPr>
        <w:t xml:space="preserve"> and pulling to stand at the age of 37 months. Cognitive and speech development was also delayed; at 37 months the subject babbled repetitive syllables but was not able to speak any words. Evaluation for dysmorphic facial features identified multiple distinct features, including thick hair, </w:t>
      </w:r>
      <w:proofErr w:type="spellStart"/>
      <w:r w:rsidRPr="00F96002">
        <w:rPr>
          <w:lang w:val="en-US"/>
        </w:rPr>
        <w:t>synophrys</w:t>
      </w:r>
      <w:proofErr w:type="spellEnd"/>
      <w:r w:rsidRPr="00F96002">
        <w:rPr>
          <w:lang w:val="en-US"/>
        </w:rPr>
        <w:t xml:space="preserve">, long palpebral </w:t>
      </w:r>
      <w:r w:rsidRPr="00F96002">
        <w:rPr>
          <w:lang w:val="en-US"/>
        </w:rPr>
        <w:lastRenderedPageBreak/>
        <w:t xml:space="preserve">fissures with infraorbital crease, coarse facial features, depressed nasal bridge, anteverted nares, long philtrum, thin upper lip, microdontia, macroglossia, deep-set, and posteriorly rotated ears. Additionally, </w:t>
      </w:r>
      <w:r w:rsidR="003C22CF" w:rsidRPr="00F96002">
        <w:rPr>
          <w:lang w:val="en-US"/>
        </w:rPr>
        <w:t>coarse,</w:t>
      </w:r>
      <w:r w:rsidRPr="00F96002">
        <w:rPr>
          <w:lang w:val="en-US"/>
        </w:rPr>
        <w:t xml:space="preserve"> and large hands with short fingers and a single transverse palmar crease as well as hypoplastic nails were present, while the feet were short and broad with hypoplastic nails. He had unilateral </w:t>
      </w:r>
      <w:proofErr w:type="spellStart"/>
      <w:r w:rsidRPr="00F96002">
        <w:rPr>
          <w:lang w:val="en-US"/>
        </w:rPr>
        <w:t>maldescensus</w:t>
      </w:r>
      <w:proofErr w:type="spellEnd"/>
      <w:r w:rsidRPr="00F96002">
        <w:rPr>
          <w:lang w:val="en-US"/>
        </w:rPr>
        <w:t xml:space="preserve"> testis.</w:t>
      </w:r>
    </w:p>
    <w:p w14:paraId="17CCD6B8" w14:textId="77777777" w:rsidR="004D3F6C" w:rsidRPr="00F96002" w:rsidRDefault="004D3F6C">
      <w:pPr>
        <w:spacing w:before="0" w:after="0"/>
        <w:rPr>
          <w:lang w:val="en-US"/>
        </w:rPr>
      </w:pPr>
    </w:p>
    <w:p w14:paraId="17CCD6B9" w14:textId="77777777" w:rsidR="004D3F6C" w:rsidRPr="00F96002" w:rsidRDefault="00000000">
      <w:pPr>
        <w:pStyle w:val="berschrift2"/>
        <w:spacing w:after="120"/>
        <w:rPr>
          <w:sz w:val="22"/>
          <w:szCs w:val="22"/>
          <w:lang w:val="en-US"/>
        </w:rPr>
      </w:pPr>
      <w:bookmarkStart w:id="11" w:name="_oa3i2za5y9uo" w:colFirst="0" w:colLast="0"/>
      <w:bookmarkEnd w:id="11"/>
      <w:r w:rsidRPr="00F96002">
        <w:rPr>
          <w:sz w:val="22"/>
          <w:szCs w:val="22"/>
          <w:lang w:val="en-US"/>
        </w:rPr>
        <w:t xml:space="preserve">Altered H3K36 modification and DNA methylation changes in NSD2 </w:t>
      </w:r>
      <w:proofErr w:type="spellStart"/>
      <w:r w:rsidRPr="00F96002">
        <w:rPr>
          <w:sz w:val="22"/>
          <w:szCs w:val="22"/>
          <w:lang w:val="en-US"/>
        </w:rPr>
        <w:t>GoF</w:t>
      </w:r>
      <w:proofErr w:type="spellEnd"/>
      <w:r w:rsidRPr="00F96002">
        <w:rPr>
          <w:sz w:val="22"/>
          <w:szCs w:val="22"/>
          <w:lang w:val="en-US"/>
        </w:rPr>
        <w:t xml:space="preserve"> cell lines</w:t>
      </w:r>
    </w:p>
    <w:p w14:paraId="17CCD6BA" w14:textId="643F4457" w:rsidR="004D3F6C" w:rsidRPr="00F96002" w:rsidRDefault="00000000">
      <w:pPr>
        <w:spacing w:before="0" w:after="0"/>
        <w:rPr>
          <w:lang w:val="en-US"/>
        </w:rPr>
      </w:pPr>
      <w:r w:rsidRPr="00F96002">
        <w:rPr>
          <w:lang w:val="en-US"/>
        </w:rPr>
        <w:t xml:space="preserve">Our CCLE </w:t>
      </w:r>
      <w:r w:rsidRPr="00F96002">
        <w:rPr>
          <w:vertAlign w:val="superscript"/>
          <w:lang w:val="en-US"/>
        </w:rPr>
        <w:t>17</w:t>
      </w:r>
      <w:r w:rsidRPr="00F96002">
        <w:rPr>
          <w:lang w:val="en-US"/>
        </w:rPr>
        <w:t xml:space="preserve"> analysis of global chromatin modification showed that cell lines with </w:t>
      </w:r>
      <w:proofErr w:type="spellStart"/>
      <w:r w:rsidRPr="00F96002">
        <w:rPr>
          <w:lang w:val="en-US"/>
        </w:rPr>
        <w:t>GoF</w:t>
      </w:r>
      <w:proofErr w:type="spellEnd"/>
      <w:r w:rsidRPr="00F96002">
        <w:rPr>
          <w:lang w:val="en-US"/>
        </w:rPr>
        <w:t xml:space="preserve"> variants in </w:t>
      </w:r>
      <w:r w:rsidRPr="00F96002">
        <w:rPr>
          <w:i/>
          <w:lang w:val="en-US"/>
        </w:rPr>
        <w:t>NSD2</w:t>
      </w:r>
      <w:r w:rsidRPr="00F96002">
        <w:rPr>
          <w:lang w:val="en-US"/>
        </w:rPr>
        <w:t xml:space="preserve"> had a significantly higher mono- (me1) and </w:t>
      </w:r>
      <w:proofErr w:type="spellStart"/>
      <w:r w:rsidRPr="00F96002">
        <w:rPr>
          <w:lang w:val="en-US"/>
        </w:rPr>
        <w:t>dimethylation</w:t>
      </w:r>
      <w:proofErr w:type="spellEnd"/>
      <w:r w:rsidRPr="00F96002">
        <w:rPr>
          <w:lang w:val="en-US"/>
        </w:rPr>
        <w:t xml:space="preserve"> (me2) level at H3 lysine 36 (K36) with mirroring significant reduction of unmethylated (me0) K36 (Fig. S4A). Cell lines with a genomic duplication affecting the </w:t>
      </w:r>
      <w:r w:rsidRPr="00F96002">
        <w:rPr>
          <w:i/>
          <w:lang w:val="en-US"/>
        </w:rPr>
        <w:t>NSD2</w:t>
      </w:r>
      <w:r w:rsidRPr="00F96002">
        <w:rPr>
          <w:lang w:val="en-US"/>
        </w:rPr>
        <w:t xml:space="preserve"> gene region, </w:t>
      </w:r>
      <w:r w:rsidR="003C22CF" w:rsidRPr="00F96002">
        <w:rPr>
          <w:lang w:val="en-US"/>
        </w:rPr>
        <w:t>similarly,</w:t>
      </w:r>
      <w:r w:rsidRPr="00F96002">
        <w:rPr>
          <w:lang w:val="en-US"/>
        </w:rPr>
        <w:t xml:space="preserve"> showed increased ratios of K36me1 and K36me2 with a reduction of K36me0, with a lesser effect (Fig. S4B). </w:t>
      </w:r>
    </w:p>
    <w:p w14:paraId="17CCD6BB" w14:textId="77777777" w:rsidR="004D3F6C" w:rsidRPr="00F96002" w:rsidRDefault="00000000">
      <w:pPr>
        <w:spacing w:before="0" w:after="0"/>
        <w:rPr>
          <w:lang w:val="en-US"/>
        </w:rPr>
      </w:pPr>
      <w:r w:rsidRPr="00F96002">
        <w:rPr>
          <w:lang w:val="en-US"/>
        </w:rPr>
        <w:t xml:space="preserve">Differential DNA methylation analysis leveraging the CCLE omics dataset identified a large fraction of promoter regions as being differentially methylated. Most loci had a small effect size (as calculated and reported in the </w:t>
      </w:r>
      <w:proofErr w:type="spellStart"/>
      <w:r w:rsidRPr="00F96002">
        <w:rPr>
          <w:lang w:val="en-US"/>
        </w:rPr>
        <w:t>depmap</w:t>
      </w:r>
      <w:proofErr w:type="spellEnd"/>
      <w:r w:rsidRPr="00F96002">
        <w:rPr>
          <w:lang w:val="en-US"/>
        </w:rPr>
        <w:t xml:space="preserve"> tool) between the </w:t>
      </w:r>
      <w:proofErr w:type="spellStart"/>
      <w:r w:rsidRPr="00F96002">
        <w:rPr>
          <w:lang w:val="en-US"/>
        </w:rPr>
        <w:t>GoF</w:t>
      </w:r>
      <w:proofErr w:type="spellEnd"/>
      <w:r w:rsidRPr="00F96002">
        <w:rPr>
          <w:lang w:val="en-US"/>
        </w:rPr>
        <w:t xml:space="preserve"> and </w:t>
      </w:r>
      <w:r w:rsidRPr="00F96002">
        <w:rPr>
          <w:i/>
          <w:lang w:val="en-US"/>
        </w:rPr>
        <w:t>NSD2</w:t>
      </w:r>
      <w:r w:rsidRPr="00F96002">
        <w:rPr>
          <w:lang w:val="en-US"/>
        </w:rPr>
        <w:t xml:space="preserve"> variant neutral groups, and most loci were hypermethylated (n = 5,165) while only a few showed DNA hypomethylation (n = 117). When comparing large effect sizes (defined as &gt; 0.5 or &lt; -0.5) only 12 loci were hypermethylated compared to 28 hypomethylated (Fig. S4C). Of the promoter loci showing a high hypermethylation effect, the </w:t>
      </w:r>
      <w:r w:rsidRPr="00F96002">
        <w:rPr>
          <w:i/>
          <w:lang w:val="en-US"/>
        </w:rPr>
        <w:t>TTC12</w:t>
      </w:r>
      <w:r w:rsidRPr="00F96002">
        <w:rPr>
          <w:lang w:val="en-US"/>
        </w:rPr>
        <w:t xml:space="preserve"> (“Ciliary dyskinesia, primary, 45”, OMIM #618801) and the </w:t>
      </w:r>
      <w:r w:rsidRPr="00F96002">
        <w:rPr>
          <w:i/>
          <w:lang w:val="en-US"/>
        </w:rPr>
        <w:t>NR2F2</w:t>
      </w:r>
      <w:r w:rsidRPr="00F96002">
        <w:rPr>
          <w:lang w:val="en-US"/>
        </w:rPr>
        <w:t xml:space="preserve"> (“</w:t>
      </w:r>
      <w:proofErr w:type="gramStart"/>
      <w:r w:rsidRPr="00F96002">
        <w:rPr>
          <w:lang w:val="en-US"/>
        </w:rPr>
        <w:t>46,XX</w:t>
      </w:r>
      <w:proofErr w:type="gramEnd"/>
      <w:r w:rsidRPr="00F96002">
        <w:rPr>
          <w:lang w:val="en-US"/>
        </w:rPr>
        <w:t xml:space="preserve"> sex reversal 5”, OMIM #618901; “Congenital heart defects, multiple types, 4”, OMIM #615779) are associated with human disease in the OMIM database. The </w:t>
      </w:r>
      <w:r w:rsidRPr="00F96002">
        <w:rPr>
          <w:i/>
          <w:lang w:val="en-US"/>
        </w:rPr>
        <w:t>NR2F2</w:t>
      </w:r>
      <w:r w:rsidRPr="00F96002">
        <w:rPr>
          <w:lang w:val="en-US"/>
        </w:rPr>
        <w:t xml:space="preserve">-disorders are associated with congenital heart defects and abnormalities of the genitalia. The genes </w:t>
      </w:r>
      <w:r w:rsidRPr="00F96002">
        <w:rPr>
          <w:i/>
          <w:lang w:val="en-US"/>
        </w:rPr>
        <w:t>KPNA7</w:t>
      </w:r>
      <w:r w:rsidRPr="00F96002">
        <w:rPr>
          <w:lang w:val="en-US"/>
        </w:rPr>
        <w:t xml:space="preserve"> and </w:t>
      </w:r>
      <w:r w:rsidRPr="00F96002">
        <w:rPr>
          <w:i/>
          <w:lang w:val="en-US"/>
        </w:rPr>
        <w:t>CDC42BPB</w:t>
      </w:r>
      <w:r w:rsidRPr="00F96002">
        <w:rPr>
          <w:lang w:val="en-US"/>
        </w:rPr>
        <w:t xml:space="preserve"> have the two most highly hypermethylated promoters when considering NDD-associations curated in the </w:t>
      </w:r>
      <w:proofErr w:type="spellStart"/>
      <w:r w:rsidRPr="00F96002">
        <w:rPr>
          <w:lang w:val="en-US"/>
        </w:rPr>
        <w:t>SysID</w:t>
      </w:r>
      <w:proofErr w:type="spellEnd"/>
      <w:r w:rsidRPr="00F96002">
        <w:rPr>
          <w:lang w:val="en-US"/>
        </w:rPr>
        <w:t xml:space="preserve"> </w:t>
      </w:r>
      <w:r w:rsidRPr="00F96002">
        <w:rPr>
          <w:vertAlign w:val="superscript"/>
          <w:lang w:val="en-US"/>
        </w:rPr>
        <w:t>21</w:t>
      </w:r>
      <w:r w:rsidRPr="00F96002">
        <w:rPr>
          <w:lang w:val="en-US"/>
        </w:rPr>
        <w:t xml:space="preserve"> database (compare File S2 sheet “</w:t>
      </w:r>
      <w:proofErr w:type="spellStart"/>
      <w:r w:rsidRPr="00F96002">
        <w:rPr>
          <w:lang w:val="en-US"/>
        </w:rPr>
        <w:t>GoFvsNeutral_Methylation</w:t>
      </w:r>
      <w:proofErr w:type="spellEnd"/>
      <w:r w:rsidRPr="00F96002">
        <w:rPr>
          <w:lang w:val="en-US"/>
        </w:rPr>
        <w:t>”).</w:t>
      </w:r>
    </w:p>
    <w:p w14:paraId="17CCD6BC" w14:textId="77777777" w:rsidR="004D3F6C" w:rsidRPr="00F96002" w:rsidRDefault="00000000">
      <w:pPr>
        <w:pStyle w:val="berschrift2"/>
        <w:spacing w:after="120"/>
        <w:rPr>
          <w:sz w:val="22"/>
          <w:szCs w:val="22"/>
          <w:lang w:val="en-US"/>
        </w:rPr>
      </w:pPr>
      <w:bookmarkStart w:id="12" w:name="_mo6o9yndz316" w:colFirst="0" w:colLast="0"/>
      <w:bookmarkEnd w:id="12"/>
      <w:r w:rsidRPr="00F96002">
        <w:rPr>
          <w:sz w:val="22"/>
          <w:szCs w:val="22"/>
          <w:lang w:val="en-US"/>
        </w:rPr>
        <w:t xml:space="preserve">Dysregulated pathways in NSD2 </w:t>
      </w:r>
      <w:proofErr w:type="spellStart"/>
      <w:r w:rsidRPr="00F96002">
        <w:rPr>
          <w:sz w:val="22"/>
          <w:szCs w:val="22"/>
          <w:lang w:val="en-US"/>
        </w:rPr>
        <w:t>GoF</w:t>
      </w:r>
      <w:proofErr w:type="spellEnd"/>
      <w:r w:rsidRPr="00F96002">
        <w:rPr>
          <w:sz w:val="22"/>
          <w:szCs w:val="22"/>
          <w:lang w:val="en-US"/>
        </w:rPr>
        <w:t xml:space="preserve"> cell lines</w:t>
      </w:r>
    </w:p>
    <w:p w14:paraId="17CCD6BD" w14:textId="7678CFA5" w:rsidR="004D3F6C" w:rsidRPr="00F96002" w:rsidRDefault="00000000">
      <w:pPr>
        <w:spacing w:before="0" w:after="0"/>
        <w:rPr>
          <w:lang w:val="en-US"/>
        </w:rPr>
      </w:pPr>
      <w:r w:rsidRPr="00F96002">
        <w:rPr>
          <w:lang w:val="en-US"/>
        </w:rPr>
        <w:t xml:space="preserve">Differential RNA expression analysis using the sets of NSD2 </w:t>
      </w:r>
      <w:proofErr w:type="spellStart"/>
      <w:r w:rsidRPr="00F96002">
        <w:rPr>
          <w:lang w:val="en-US"/>
        </w:rPr>
        <w:t>GoF</w:t>
      </w:r>
      <w:proofErr w:type="spellEnd"/>
      <w:r w:rsidRPr="00F96002">
        <w:rPr>
          <w:lang w:val="en-US"/>
        </w:rPr>
        <w:t xml:space="preserve"> and neutral cell lines resulted in a large set of dysregulated genes (n = 2,284 with q-value &lt; 0.05; Fig. S4D). Considering only genes with a very large effect size (n = 887; defined as &gt; 1.2 or &lt; -1.2), 311 showed overexpression and 576 showed</w:t>
      </w:r>
      <w:r w:rsidR="00F96002">
        <w:rPr>
          <w:lang w:val="en-US"/>
        </w:rPr>
        <w:t xml:space="preserve"> </w:t>
      </w:r>
      <w:r w:rsidRPr="00F96002">
        <w:rPr>
          <w:lang w:val="en-US"/>
        </w:rPr>
        <w:t xml:space="preserve">reduced expression. The OMIM disease genes </w:t>
      </w:r>
      <w:r w:rsidRPr="00F96002">
        <w:rPr>
          <w:i/>
          <w:lang w:val="en-US"/>
        </w:rPr>
        <w:t xml:space="preserve">TTC12 </w:t>
      </w:r>
      <w:r w:rsidRPr="00F96002">
        <w:rPr>
          <w:lang w:val="en-US"/>
        </w:rPr>
        <w:t xml:space="preserve">and </w:t>
      </w:r>
      <w:r w:rsidRPr="00F96002">
        <w:rPr>
          <w:i/>
          <w:lang w:val="en-US"/>
        </w:rPr>
        <w:t>NR2F2</w:t>
      </w:r>
      <w:r w:rsidRPr="00F96002">
        <w:rPr>
          <w:lang w:val="en-US"/>
        </w:rPr>
        <w:t xml:space="preserve"> identified to have a hypermethylated promoter region were also in the downregulated gene set with very high effect size. Similarly, </w:t>
      </w:r>
      <w:r w:rsidRPr="00F96002">
        <w:rPr>
          <w:i/>
          <w:lang w:val="en-US"/>
        </w:rPr>
        <w:t>CDC42BPB</w:t>
      </w:r>
      <w:r w:rsidRPr="00F96002">
        <w:rPr>
          <w:lang w:val="en-US"/>
        </w:rPr>
        <w:t xml:space="preserve">, identified in the </w:t>
      </w:r>
      <w:proofErr w:type="spellStart"/>
      <w:r w:rsidRPr="00F96002">
        <w:rPr>
          <w:lang w:val="en-US"/>
        </w:rPr>
        <w:t>SysID</w:t>
      </w:r>
      <w:proofErr w:type="spellEnd"/>
      <w:r w:rsidRPr="00F96002">
        <w:rPr>
          <w:lang w:val="en-US"/>
        </w:rPr>
        <w:t xml:space="preserve"> overlap analysis and recently associated with NDD </w:t>
      </w:r>
      <w:r w:rsidRPr="00F96002">
        <w:rPr>
          <w:vertAlign w:val="superscript"/>
          <w:lang w:val="en-US"/>
        </w:rPr>
        <w:t>22</w:t>
      </w:r>
      <w:r w:rsidRPr="00F96002">
        <w:rPr>
          <w:lang w:val="en-US"/>
        </w:rPr>
        <w:t xml:space="preserve">, was in the group of genes with very high effect size. Less than expected (n = 54; p-value ~ 0.035; </w:t>
      </w:r>
      <w:r w:rsidR="003C22CF" w:rsidRPr="00F96002">
        <w:rPr>
          <w:lang w:val="en-US"/>
        </w:rPr>
        <w:t>two-sided</w:t>
      </w:r>
      <w:r w:rsidRPr="00F96002">
        <w:rPr>
          <w:lang w:val="en-US"/>
        </w:rPr>
        <w:t xml:space="preserve"> Binomial test) </w:t>
      </w:r>
      <w:r w:rsidRPr="00F96002">
        <w:rPr>
          <w:lang w:val="en-US"/>
        </w:rPr>
        <w:lastRenderedPageBreak/>
        <w:t xml:space="preserve">NDD genes from </w:t>
      </w:r>
      <w:proofErr w:type="spellStart"/>
      <w:r w:rsidRPr="00F96002">
        <w:rPr>
          <w:lang w:val="en-US"/>
        </w:rPr>
        <w:t>SysID</w:t>
      </w:r>
      <w:proofErr w:type="spellEnd"/>
      <w:r w:rsidRPr="00F96002">
        <w:rPr>
          <w:lang w:val="en-US"/>
        </w:rPr>
        <w:t xml:space="preserve"> (status November 18th</w:t>
      </w:r>
      <w:proofErr w:type="gramStart"/>
      <w:r w:rsidRPr="00F96002">
        <w:rPr>
          <w:lang w:val="en-US"/>
        </w:rPr>
        <w:t xml:space="preserve"> 2021</w:t>
      </w:r>
      <w:proofErr w:type="gramEnd"/>
      <w:r w:rsidRPr="00F96002">
        <w:rPr>
          <w:lang w:val="en-US"/>
        </w:rPr>
        <w:t xml:space="preserve"> with 1534 primary genes; 1523 present in the </w:t>
      </w:r>
      <w:proofErr w:type="spellStart"/>
      <w:r w:rsidRPr="00F96002">
        <w:rPr>
          <w:lang w:val="en-US"/>
        </w:rPr>
        <w:t>depmap</w:t>
      </w:r>
      <w:proofErr w:type="spellEnd"/>
      <w:r w:rsidRPr="00F96002">
        <w:rPr>
          <w:lang w:val="en-US"/>
        </w:rPr>
        <w:t xml:space="preserve"> portal based expression dataset) overlapped with the very high effect expression </w:t>
      </w:r>
      <w:proofErr w:type="spellStart"/>
      <w:r w:rsidRPr="00F96002">
        <w:rPr>
          <w:lang w:val="en-US"/>
        </w:rPr>
        <w:t>geneset</w:t>
      </w:r>
      <w:proofErr w:type="spellEnd"/>
      <w:r w:rsidRPr="00F96002">
        <w:rPr>
          <w:lang w:val="en-US"/>
        </w:rPr>
        <w:t xml:space="preserve"> (compare File S2 sheet “</w:t>
      </w:r>
      <w:proofErr w:type="spellStart"/>
      <w:r w:rsidRPr="00F96002">
        <w:rPr>
          <w:lang w:val="en-US"/>
        </w:rPr>
        <w:t>GoFvsNeutral_Expression</w:t>
      </w:r>
      <w:proofErr w:type="spellEnd"/>
      <w:r w:rsidRPr="00F96002">
        <w:rPr>
          <w:lang w:val="en-US"/>
        </w:rPr>
        <w:t>”).</w:t>
      </w:r>
    </w:p>
    <w:p w14:paraId="17CCD6BE" w14:textId="77777777" w:rsidR="004D3F6C" w:rsidRPr="00F96002" w:rsidRDefault="00000000">
      <w:pPr>
        <w:spacing w:before="0" w:after="0"/>
        <w:rPr>
          <w:lang w:val="en-US"/>
        </w:rPr>
      </w:pPr>
      <w:r w:rsidRPr="00F96002">
        <w:rPr>
          <w:lang w:val="en-US"/>
        </w:rPr>
        <w:t xml:space="preserve">Finally, we sought to functionally cluster the 887 genes with a very high effect on expression to explore dysregulated cellular mechanisms. The </w:t>
      </w:r>
      <w:proofErr w:type="spellStart"/>
      <w:r w:rsidRPr="00F96002">
        <w:rPr>
          <w:lang w:val="en-US"/>
        </w:rPr>
        <w:t>humanbase</w:t>
      </w:r>
      <w:proofErr w:type="spellEnd"/>
      <w:r w:rsidRPr="00F96002">
        <w:rPr>
          <w:lang w:val="en-US"/>
        </w:rPr>
        <w:t xml:space="preserve"> analysis identified eight functionally enriched modules, with four of them (M1-4) containing most of the genes (Fig. S4E). The M1 module comprised 179 genes and was significantly enriched for blood cell activation terms (</w:t>
      </w:r>
      <w:proofErr w:type="gramStart"/>
      <w:r w:rsidRPr="00F96002">
        <w:rPr>
          <w:lang w:val="en-US"/>
        </w:rPr>
        <w:t>e.g.</w:t>
      </w:r>
      <w:proofErr w:type="gramEnd"/>
      <w:r w:rsidRPr="00F96002">
        <w:rPr>
          <w:lang w:val="en-US"/>
        </w:rPr>
        <w:t xml:space="preserve"> top two terms: “lymphocyte activation”, GO:0046649; “leukocyte activation”, GO:0045321). The M2 module contained 66 genes enriched for tyrosine kinase pathway (</w:t>
      </w:r>
      <w:proofErr w:type="gramStart"/>
      <w:r w:rsidRPr="00F96002">
        <w:rPr>
          <w:lang w:val="en-US"/>
        </w:rPr>
        <w:t>e.g.</w:t>
      </w:r>
      <w:proofErr w:type="gramEnd"/>
      <w:r w:rsidRPr="00F96002">
        <w:rPr>
          <w:lang w:val="en-US"/>
        </w:rPr>
        <w:t xml:space="preserve"> term number two “regulation of peptidyl-tyrosine phosphorylation”, GO:0050730) and kidney development (e.g. term number four “positive regulation of metanephros development”, GO:0072216). Module M3 contained 186 genes with an enrichment cell adhesion (top term “cell-substrate adhesion”, GO:0031589) and growth terms (</w:t>
      </w:r>
      <w:proofErr w:type="gramStart"/>
      <w:r w:rsidRPr="00F96002">
        <w:rPr>
          <w:lang w:val="en-US"/>
        </w:rPr>
        <w:t>e.g.</w:t>
      </w:r>
      <w:proofErr w:type="gramEnd"/>
      <w:r w:rsidRPr="00F96002">
        <w:rPr>
          <w:lang w:val="en-US"/>
        </w:rPr>
        <w:t xml:space="preserve"> term four “hippo signaling”, GO:0035329). Module M4 contained 194 genes enriched for cellular growth (top term “integrin-mediated signaling pathway”, GO:0007229) and embryonic development (</w:t>
      </w:r>
      <w:proofErr w:type="gramStart"/>
      <w:r w:rsidRPr="00F96002">
        <w:rPr>
          <w:lang w:val="en-US"/>
        </w:rPr>
        <w:t>e.g.</w:t>
      </w:r>
      <w:proofErr w:type="gramEnd"/>
      <w:r w:rsidRPr="00F96002">
        <w:rPr>
          <w:lang w:val="en-US"/>
        </w:rPr>
        <w:t xml:space="preserve"> term four “gastrulation”, GO:0007369). Overall, the dysregulated modules are in line with the known function of NSD2 </w:t>
      </w:r>
      <w:proofErr w:type="spellStart"/>
      <w:r w:rsidRPr="00F96002">
        <w:rPr>
          <w:lang w:val="en-US"/>
        </w:rPr>
        <w:t>GoF</w:t>
      </w:r>
      <w:proofErr w:type="spellEnd"/>
      <w:r w:rsidRPr="00F96002">
        <w:rPr>
          <w:lang w:val="en-US"/>
        </w:rPr>
        <w:t xml:space="preserve"> in leukemia and the organ overgrowth phenotype in the two individuals described here.</w:t>
      </w:r>
      <w:r w:rsidRPr="00F96002">
        <w:rPr>
          <w:lang w:val="en-US"/>
        </w:rPr>
        <w:br w:type="page"/>
      </w:r>
    </w:p>
    <w:p w14:paraId="17CCD6BF" w14:textId="77777777" w:rsidR="004D3F6C" w:rsidRPr="00F96002" w:rsidRDefault="00000000">
      <w:pPr>
        <w:pStyle w:val="berschrift1"/>
        <w:rPr>
          <w:sz w:val="22"/>
          <w:szCs w:val="22"/>
          <w:lang w:val="en-US"/>
        </w:rPr>
      </w:pPr>
      <w:bookmarkStart w:id="13" w:name="_wlld90ypq5kk" w:colFirst="0" w:colLast="0"/>
      <w:bookmarkEnd w:id="13"/>
      <w:r w:rsidRPr="00F96002">
        <w:rPr>
          <w:sz w:val="22"/>
          <w:szCs w:val="22"/>
          <w:lang w:val="en-US"/>
        </w:rPr>
        <w:lastRenderedPageBreak/>
        <w:t>SUPPLEMENTARY FIGURES</w:t>
      </w:r>
    </w:p>
    <w:p w14:paraId="17CCD6C0" w14:textId="77777777" w:rsidR="004D3F6C" w:rsidRPr="00F96002" w:rsidRDefault="00000000">
      <w:pPr>
        <w:pStyle w:val="berschrift2"/>
        <w:rPr>
          <w:sz w:val="22"/>
          <w:szCs w:val="22"/>
          <w:lang w:val="en-US"/>
        </w:rPr>
      </w:pPr>
      <w:bookmarkStart w:id="14" w:name="_4h475qinra56" w:colFirst="0" w:colLast="0"/>
      <w:bookmarkEnd w:id="14"/>
      <w:r w:rsidRPr="00F96002">
        <w:rPr>
          <w:noProof/>
          <w:sz w:val="22"/>
          <w:szCs w:val="22"/>
          <w:lang w:val="en-US"/>
        </w:rPr>
        <w:drawing>
          <wp:inline distT="114300" distB="114300" distL="114300" distR="114300" wp14:anchorId="17CCD7FC" wp14:editId="17CCD7FD">
            <wp:extent cx="5472392" cy="59360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5472392" cy="5936000"/>
                    </a:xfrm>
                    <a:prstGeom prst="rect">
                      <a:avLst/>
                    </a:prstGeom>
                    <a:ln/>
                  </pic:spPr>
                </pic:pic>
              </a:graphicData>
            </a:graphic>
          </wp:inline>
        </w:drawing>
      </w:r>
    </w:p>
    <w:p w14:paraId="17CCD6C1" w14:textId="77777777" w:rsidR="004D3F6C" w:rsidRPr="00F96002" w:rsidRDefault="00000000">
      <w:pPr>
        <w:pStyle w:val="berschrift2"/>
        <w:rPr>
          <w:b/>
          <w:sz w:val="22"/>
          <w:szCs w:val="22"/>
          <w:lang w:val="en-US"/>
        </w:rPr>
      </w:pPr>
      <w:bookmarkStart w:id="15" w:name="_kytwmb7a9aqs" w:colFirst="0" w:colLast="0"/>
      <w:bookmarkEnd w:id="15"/>
      <w:r w:rsidRPr="00F96002">
        <w:rPr>
          <w:b/>
          <w:sz w:val="22"/>
          <w:szCs w:val="22"/>
          <w:lang w:val="en-US"/>
        </w:rPr>
        <w:t>Figure S1</w:t>
      </w:r>
      <w:r w:rsidRPr="00F96002">
        <w:rPr>
          <w:sz w:val="22"/>
          <w:szCs w:val="22"/>
          <w:lang w:val="en-US"/>
        </w:rPr>
        <w:t xml:space="preserve"> | Sanger sequencing of the missense variant c.3295G&gt;A, </w:t>
      </w:r>
      <w:proofErr w:type="gramStart"/>
      <w:r w:rsidRPr="00F96002">
        <w:rPr>
          <w:sz w:val="22"/>
          <w:szCs w:val="22"/>
          <w:lang w:val="en-US"/>
        </w:rPr>
        <w:t>p.Glu</w:t>
      </w:r>
      <w:proofErr w:type="gramEnd"/>
      <w:r w:rsidRPr="00F96002">
        <w:rPr>
          <w:sz w:val="22"/>
          <w:szCs w:val="22"/>
          <w:lang w:val="en-US"/>
        </w:rPr>
        <w:t xml:space="preserve">1099Lys in </w:t>
      </w:r>
      <w:r w:rsidRPr="00F96002">
        <w:rPr>
          <w:i/>
          <w:sz w:val="22"/>
          <w:szCs w:val="22"/>
          <w:lang w:val="en-US"/>
        </w:rPr>
        <w:t>NSD2</w:t>
      </w:r>
      <w:r w:rsidRPr="00F96002">
        <w:rPr>
          <w:sz w:val="22"/>
          <w:szCs w:val="22"/>
          <w:lang w:val="en-US"/>
        </w:rPr>
        <w:t xml:space="preserve"> DNA from DNA from additional tissues.</w:t>
      </w:r>
    </w:p>
    <w:p w14:paraId="17CCD6C2" w14:textId="17C6CA8D" w:rsidR="004D3F6C" w:rsidRPr="00F96002" w:rsidRDefault="00000000">
      <w:pPr>
        <w:rPr>
          <w:lang w:val="en-US"/>
        </w:rPr>
      </w:pPr>
      <w:r w:rsidRPr="00F96002">
        <w:rPr>
          <w:lang w:val="en-US"/>
        </w:rPr>
        <w:t xml:space="preserve">The missense variant in </w:t>
      </w:r>
      <w:r w:rsidRPr="00F96002">
        <w:rPr>
          <w:i/>
          <w:lang w:val="en-US"/>
        </w:rPr>
        <w:t xml:space="preserve">NSD2 </w:t>
      </w:r>
      <w:r w:rsidRPr="00F96002">
        <w:rPr>
          <w:lang w:val="en-US"/>
        </w:rPr>
        <w:t xml:space="preserve">found in exome sequencing was confirmed in peripheral blood, buccal </w:t>
      </w:r>
      <w:r w:rsidR="003C22CF" w:rsidRPr="00F96002">
        <w:rPr>
          <w:lang w:val="en-US"/>
        </w:rPr>
        <w:t>swab,</w:t>
      </w:r>
      <w:r w:rsidRPr="00F96002">
        <w:rPr>
          <w:lang w:val="en-US"/>
        </w:rPr>
        <w:t xml:space="preserve"> and fingernails in individual 1 </w:t>
      </w:r>
      <w:r w:rsidRPr="00F96002">
        <w:rPr>
          <w:b/>
          <w:lang w:val="en-US"/>
        </w:rPr>
        <w:t>(A)</w:t>
      </w:r>
      <w:r w:rsidRPr="00F96002">
        <w:rPr>
          <w:lang w:val="en-US"/>
        </w:rPr>
        <w:t xml:space="preserve"> and in peripheral blood and buccal swab in individual 2 </w:t>
      </w:r>
      <w:r w:rsidRPr="00F96002">
        <w:rPr>
          <w:b/>
          <w:lang w:val="en-US"/>
        </w:rPr>
        <w:t>(B)</w:t>
      </w:r>
      <w:r w:rsidRPr="00F96002">
        <w:rPr>
          <w:lang w:val="en-US"/>
        </w:rPr>
        <w:t>, thus indicating germline origin.</w:t>
      </w:r>
      <w:r w:rsidRPr="00F96002">
        <w:rPr>
          <w:lang w:val="en-US"/>
        </w:rPr>
        <w:br w:type="page"/>
      </w:r>
    </w:p>
    <w:p w14:paraId="17CCD6C3" w14:textId="77777777" w:rsidR="004D3F6C" w:rsidRPr="00F96002" w:rsidRDefault="00000000">
      <w:pPr>
        <w:pStyle w:val="berschrift2"/>
        <w:rPr>
          <w:sz w:val="22"/>
          <w:szCs w:val="22"/>
          <w:lang w:val="en-US"/>
        </w:rPr>
      </w:pPr>
      <w:bookmarkStart w:id="16" w:name="_8c535rxgk0es" w:colFirst="0" w:colLast="0"/>
      <w:bookmarkEnd w:id="16"/>
      <w:r w:rsidRPr="00F96002">
        <w:rPr>
          <w:noProof/>
          <w:sz w:val="22"/>
          <w:szCs w:val="22"/>
          <w:lang w:val="en-US"/>
        </w:rPr>
        <w:lastRenderedPageBreak/>
        <w:drawing>
          <wp:inline distT="114300" distB="114300" distL="114300" distR="114300" wp14:anchorId="17CCD7FE" wp14:editId="17CCD7FF">
            <wp:extent cx="4742368" cy="5491163"/>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4742368" cy="5491163"/>
                    </a:xfrm>
                    <a:prstGeom prst="rect">
                      <a:avLst/>
                    </a:prstGeom>
                    <a:ln/>
                  </pic:spPr>
                </pic:pic>
              </a:graphicData>
            </a:graphic>
          </wp:inline>
        </w:drawing>
      </w:r>
    </w:p>
    <w:p w14:paraId="17CCD6C4" w14:textId="77777777" w:rsidR="004D3F6C" w:rsidRPr="00F96002" w:rsidRDefault="00000000">
      <w:pPr>
        <w:pStyle w:val="berschrift2"/>
        <w:rPr>
          <w:sz w:val="22"/>
          <w:szCs w:val="22"/>
          <w:lang w:val="en-US"/>
        </w:rPr>
      </w:pPr>
      <w:bookmarkStart w:id="17" w:name="_te0mlweeet60" w:colFirst="0" w:colLast="0"/>
      <w:bookmarkEnd w:id="17"/>
      <w:r w:rsidRPr="00F96002">
        <w:rPr>
          <w:b/>
          <w:sz w:val="22"/>
          <w:szCs w:val="22"/>
          <w:lang w:val="en-US"/>
        </w:rPr>
        <w:t>Figure S2</w:t>
      </w:r>
      <w:r w:rsidRPr="00F96002">
        <w:rPr>
          <w:sz w:val="22"/>
          <w:szCs w:val="22"/>
          <w:lang w:val="en-US"/>
        </w:rPr>
        <w:t xml:space="preserve"> | Somatic NSD2 variant c.3295G&gt;A, </w:t>
      </w:r>
      <w:proofErr w:type="gramStart"/>
      <w:r w:rsidRPr="00F96002">
        <w:rPr>
          <w:sz w:val="22"/>
          <w:szCs w:val="22"/>
          <w:lang w:val="en-US"/>
        </w:rPr>
        <w:t>p.Glu</w:t>
      </w:r>
      <w:proofErr w:type="gramEnd"/>
      <w:r w:rsidRPr="00F96002">
        <w:rPr>
          <w:sz w:val="22"/>
          <w:szCs w:val="22"/>
          <w:lang w:val="en-US"/>
        </w:rPr>
        <w:t>1099Lys in an elderly person</w:t>
      </w:r>
    </w:p>
    <w:p w14:paraId="17CCD6C5" w14:textId="77777777" w:rsidR="004D3F6C" w:rsidRPr="00F96002" w:rsidRDefault="00000000">
      <w:pPr>
        <w:rPr>
          <w:lang w:val="en-US"/>
        </w:rPr>
      </w:pPr>
      <w:r w:rsidRPr="00F96002">
        <w:rPr>
          <w:b/>
          <w:lang w:val="en-US"/>
        </w:rPr>
        <w:t>(A)</w:t>
      </w:r>
      <w:r w:rsidRPr="00F96002">
        <w:rPr>
          <w:lang w:val="en-US"/>
        </w:rPr>
        <w:t xml:space="preserve"> Screenshot of the “Age Distribution” from gnomAD browser (https://gnomad.broadinstitute.org/variant/4-1962801-G-A?dataset=gnomad_r2_1) taken on 2021-01-30 showing that one of 4,136 individuals in the 75-80 years age range carries the c.3295G&gt;A, </w:t>
      </w:r>
      <w:proofErr w:type="gramStart"/>
      <w:r w:rsidRPr="00F96002">
        <w:rPr>
          <w:lang w:val="en-US"/>
        </w:rPr>
        <w:t>p.Glu</w:t>
      </w:r>
      <w:proofErr w:type="gramEnd"/>
      <w:r w:rsidRPr="00F96002">
        <w:rPr>
          <w:lang w:val="en-US"/>
        </w:rPr>
        <w:t xml:space="preserve">1099Lys </w:t>
      </w:r>
      <w:r w:rsidRPr="00F96002">
        <w:rPr>
          <w:i/>
          <w:lang w:val="en-US"/>
        </w:rPr>
        <w:t xml:space="preserve">NSD2 </w:t>
      </w:r>
      <w:r w:rsidRPr="00F96002">
        <w:rPr>
          <w:lang w:val="en-US"/>
        </w:rPr>
        <w:t xml:space="preserve">variant. </w:t>
      </w:r>
      <w:r w:rsidRPr="00F96002">
        <w:rPr>
          <w:b/>
          <w:lang w:val="en-US"/>
        </w:rPr>
        <w:t xml:space="preserve">(B) </w:t>
      </w:r>
      <w:r w:rsidRPr="00F96002">
        <w:rPr>
          <w:lang w:val="en-US"/>
        </w:rPr>
        <w:t>Screenshot of the interactive IGV.js visualization of the read data of this individual indicates somatic status of the variant because of the skewed variant allele fraction with 32/96 (36%). Somatic driver mutations deriving from a unique hematopoietic cell lineage are regularly encountered in genomic databases of healthy populations such as gnomAD and pose a pitfall when misinterpreted as germline variant.</w:t>
      </w:r>
      <w:r w:rsidRPr="00F96002">
        <w:rPr>
          <w:vertAlign w:val="superscript"/>
          <w:lang w:val="en-US"/>
        </w:rPr>
        <w:t>23</w:t>
      </w:r>
      <w:r w:rsidRPr="00F96002">
        <w:rPr>
          <w:lang w:val="en-US"/>
        </w:rPr>
        <w:t xml:space="preserve"> It is known </w:t>
      </w:r>
      <w:r w:rsidRPr="00F96002">
        <w:rPr>
          <w:vertAlign w:val="superscript"/>
          <w:lang w:val="en-US"/>
        </w:rPr>
        <w:t>24</w:t>
      </w:r>
      <w:r w:rsidRPr="00F96002">
        <w:rPr>
          <w:lang w:val="en-US"/>
        </w:rPr>
        <w:t xml:space="preserve"> that genes involved in clonal hematopoiesis, hematologic malignancy and other types of cancer are also overrepresented in curated NDD databases. On a variant level, there is a significant overlap between somatic driver mutations in (hematologic) malignancies and </w:t>
      </w:r>
      <w:r w:rsidRPr="00F96002">
        <w:rPr>
          <w:lang w:val="en-US"/>
        </w:rPr>
        <w:lastRenderedPageBreak/>
        <w:t xml:space="preserve">(de novo) germline variants causing NDD. Both de novo missense variants identified in large NDD cohorts and somatic driver variants in cancer </w:t>
      </w:r>
      <w:r w:rsidRPr="00F96002">
        <w:rPr>
          <w:vertAlign w:val="superscript"/>
          <w:lang w:val="en-US"/>
        </w:rPr>
        <w:t>25</w:t>
      </w:r>
      <w:r w:rsidRPr="00F96002">
        <w:rPr>
          <w:lang w:val="en-US"/>
        </w:rPr>
        <w:t xml:space="preserve"> are enriched in constrained genomic regions. These observations seem plausible, because many of the overlapping genes are central to cellular processes and similar mutational mechanisms affect both somatic and germline cells. Diagnostic labs should be aware of this known pitfall and either use whitelists of somatic variants or allow a low allele count in </w:t>
      </w:r>
      <w:r w:rsidRPr="00F96002">
        <w:rPr>
          <w:i/>
          <w:lang w:val="en-US"/>
        </w:rPr>
        <w:t>de novo</w:t>
      </w:r>
      <w:r w:rsidRPr="00F96002">
        <w:rPr>
          <w:lang w:val="en-US"/>
        </w:rPr>
        <w:t xml:space="preserve"> filters. </w:t>
      </w:r>
      <w:r w:rsidRPr="00F96002">
        <w:rPr>
          <w:vertAlign w:val="superscript"/>
          <w:lang w:val="en-US"/>
        </w:rPr>
        <w:t>26</w:t>
      </w:r>
      <w:r w:rsidRPr="00F96002">
        <w:rPr>
          <w:lang w:val="en-US"/>
        </w:rPr>
        <w:br w:type="page"/>
      </w:r>
    </w:p>
    <w:p w14:paraId="17CCD6C6" w14:textId="77777777" w:rsidR="004D3F6C" w:rsidRPr="00F96002" w:rsidRDefault="00000000">
      <w:pPr>
        <w:pStyle w:val="berschrift2"/>
        <w:spacing w:after="120" w:line="480" w:lineRule="auto"/>
        <w:jc w:val="left"/>
        <w:rPr>
          <w:b/>
          <w:sz w:val="22"/>
          <w:szCs w:val="22"/>
          <w:lang w:val="en-US"/>
        </w:rPr>
      </w:pPr>
      <w:bookmarkStart w:id="18" w:name="_9e4vxmdzut7w" w:colFirst="0" w:colLast="0"/>
      <w:bookmarkEnd w:id="18"/>
      <w:r w:rsidRPr="00F96002">
        <w:rPr>
          <w:b/>
          <w:noProof/>
          <w:sz w:val="22"/>
          <w:szCs w:val="22"/>
          <w:lang w:val="en-US"/>
        </w:rPr>
        <w:lastRenderedPageBreak/>
        <w:drawing>
          <wp:inline distT="114300" distB="114300" distL="114300" distR="114300" wp14:anchorId="17CCD800" wp14:editId="17CCD801">
            <wp:extent cx="5731200" cy="63881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731200" cy="6388100"/>
                    </a:xfrm>
                    <a:prstGeom prst="rect">
                      <a:avLst/>
                    </a:prstGeom>
                    <a:ln/>
                  </pic:spPr>
                </pic:pic>
              </a:graphicData>
            </a:graphic>
          </wp:inline>
        </w:drawing>
      </w:r>
    </w:p>
    <w:p w14:paraId="17CCD6C7" w14:textId="77777777" w:rsidR="004D3F6C" w:rsidRPr="00F96002" w:rsidRDefault="00000000">
      <w:pPr>
        <w:pStyle w:val="berschrift2"/>
        <w:spacing w:after="120" w:line="480" w:lineRule="auto"/>
        <w:jc w:val="left"/>
        <w:rPr>
          <w:sz w:val="22"/>
          <w:szCs w:val="22"/>
          <w:lang w:val="en-US"/>
        </w:rPr>
      </w:pPr>
      <w:bookmarkStart w:id="19" w:name="_neepuobdvjr5" w:colFirst="0" w:colLast="0"/>
      <w:bookmarkEnd w:id="19"/>
      <w:r w:rsidRPr="00F96002">
        <w:rPr>
          <w:b/>
          <w:sz w:val="22"/>
          <w:szCs w:val="22"/>
          <w:lang w:val="en-US"/>
        </w:rPr>
        <w:t>Figure S3</w:t>
      </w:r>
      <w:r w:rsidRPr="00F96002">
        <w:rPr>
          <w:sz w:val="22"/>
          <w:szCs w:val="22"/>
          <w:lang w:val="en-US"/>
        </w:rPr>
        <w:t>. Variant distribution on NSD2</w:t>
      </w:r>
    </w:p>
    <w:p w14:paraId="17CCD6C8" w14:textId="77777777" w:rsidR="004D3F6C" w:rsidRPr="00F96002" w:rsidRDefault="00000000">
      <w:pPr>
        <w:spacing w:before="0" w:after="0" w:line="480" w:lineRule="auto"/>
        <w:rPr>
          <w:b/>
          <w:lang w:val="en-US"/>
        </w:rPr>
      </w:pPr>
      <w:r w:rsidRPr="00F96002">
        <w:rPr>
          <w:b/>
          <w:lang w:val="en-US"/>
        </w:rPr>
        <w:t>(A)</w:t>
      </w:r>
      <w:r w:rsidRPr="00F96002">
        <w:rPr>
          <w:lang w:val="en-US"/>
        </w:rPr>
        <w:t xml:space="preserve"> Upper panel with schematic of the linear NSD2 protein with domains and variant distribution (missense variants in violet, truncating variants in red). Variants above the protein scheme have been described in germline </w:t>
      </w:r>
      <w:r w:rsidRPr="00F96002">
        <w:rPr>
          <w:vertAlign w:val="superscript"/>
          <w:lang w:val="en-US"/>
        </w:rPr>
        <w:t>3–6</w:t>
      </w:r>
      <w:r w:rsidRPr="00F96002">
        <w:rPr>
          <w:lang w:val="en-US"/>
        </w:rPr>
        <w:t xml:space="preserve">, while the ones below are somatic from the COSMIC </w:t>
      </w:r>
      <w:r w:rsidRPr="00F96002">
        <w:rPr>
          <w:vertAlign w:val="superscript"/>
          <w:lang w:val="en-US"/>
        </w:rPr>
        <w:t>11</w:t>
      </w:r>
      <w:r w:rsidRPr="00F96002">
        <w:rPr>
          <w:lang w:val="en-US"/>
        </w:rPr>
        <w:t xml:space="preserve"> database (note the </w:t>
      </w:r>
      <w:proofErr w:type="spellStart"/>
      <w:r w:rsidRPr="00F96002">
        <w:rPr>
          <w:lang w:val="en-US"/>
        </w:rPr>
        <w:t>GoF</w:t>
      </w:r>
      <w:proofErr w:type="spellEnd"/>
      <w:r w:rsidRPr="00F96002">
        <w:rPr>
          <w:lang w:val="en-US"/>
        </w:rPr>
        <w:t xml:space="preserve"> variant occurring 50 times). The position of the </w:t>
      </w:r>
      <w:proofErr w:type="gramStart"/>
      <w:r w:rsidRPr="00F96002">
        <w:rPr>
          <w:lang w:val="en-US"/>
        </w:rPr>
        <w:t>p.Glu</w:t>
      </w:r>
      <w:proofErr w:type="gramEnd"/>
      <w:r w:rsidRPr="00F96002">
        <w:rPr>
          <w:lang w:val="en-US"/>
        </w:rPr>
        <w:t xml:space="preserve">1099Lys </w:t>
      </w:r>
      <w:proofErr w:type="spellStart"/>
      <w:r w:rsidRPr="00F96002">
        <w:rPr>
          <w:lang w:val="en-US"/>
        </w:rPr>
        <w:t>GoF</w:t>
      </w:r>
      <w:proofErr w:type="spellEnd"/>
      <w:r w:rsidRPr="00F96002">
        <w:rPr>
          <w:lang w:val="en-US"/>
        </w:rPr>
        <w:t xml:space="preserve"> variant reported here is indicated by the label and arrow. The size of the </w:t>
      </w:r>
      <w:r w:rsidRPr="00F96002">
        <w:rPr>
          <w:lang w:val="en-US"/>
        </w:rPr>
        <w:lastRenderedPageBreak/>
        <w:t xml:space="preserve">lollipop circle is proportional to the reported frequency in the literature or database. The segment height is proportional to the CADD-score </w:t>
      </w:r>
      <w:r w:rsidRPr="00F96002">
        <w:rPr>
          <w:vertAlign w:val="superscript"/>
          <w:lang w:val="en-US"/>
        </w:rPr>
        <w:t>27</w:t>
      </w:r>
      <w:r w:rsidRPr="00F96002">
        <w:rPr>
          <w:lang w:val="en-US"/>
        </w:rPr>
        <w:t xml:space="preserve">. Domains based on </w:t>
      </w:r>
      <w:proofErr w:type="spellStart"/>
      <w:r w:rsidRPr="00F96002">
        <w:rPr>
          <w:lang w:val="en-US"/>
        </w:rPr>
        <w:t>UniProt</w:t>
      </w:r>
      <w:proofErr w:type="spellEnd"/>
      <w:r w:rsidRPr="00F96002">
        <w:rPr>
          <w:lang w:val="en-US"/>
        </w:rPr>
        <w:t xml:space="preserve"> O96028. Lower panel with the generalized additive model of the CADD PHRED v1.6 values (blue line) for all possible NSD2 missense variants as indicator of conserved protein domains indicates highest constraint in the SET domain (red line represent the recommended CADD score cutoff). </w:t>
      </w:r>
      <w:r w:rsidRPr="00F96002">
        <w:rPr>
          <w:b/>
          <w:lang w:val="en-US"/>
        </w:rPr>
        <w:t>(B)</w:t>
      </w:r>
      <w:r w:rsidRPr="00F96002">
        <w:rPr>
          <w:lang w:val="en-US"/>
        </w:rPr>
        <w:t xml:space="preserve"> Pseudo model (based on 7CRO </w:t>
      </w:r>
      <w:r w:rsidRPr="00F96002">
        <w:rPr>
          <w:vertAlign w:val="superscript"/>
          <w:lang w:val="en-US"/>
        </w:rPr>
        <w:t>15</w:t>
      </w:r>
      <w:r w:rsidRPr="00F96002">
        <w:rPr>
          <w:lang w:val="en-US"/>
        </w:rPr>
        <w:t xml:space="preserve">) of the nucleosome with DNA double helix (light pink), histone octamer (gray) and NSD2 (cyan) bound to H3 (green). The less structured regions of NSD2 (amino acid (AA) positions 1-760 and 1200-1365) are faded. The position of AA affected by missense variants in NSD2 from our study (Glu1099) are presented as violet and from the literature review as green spheres. The AA of the second described </w:t>
      </w:r>
      <w:proofErr w:type="spellStart"/>
      <w:r w:rsidRPr="00F96002">
        <w:rPr>
          <w:lang w:val="en-US"/>
        </w:rPr>
        <w:t>GoF</w:t>
      </w:r>
      <w:proofErr w:type="spellEnd"/>
      <w:r w:rsidRPr="00F96002">
        <w:rPr>
          <w:lang w:val="en-US"/>
        </w:rPr>
        <w:t xml:space="preserve"> missense (Thr1150) variant is also colored in violet. The H3 lysine 36 (K36) is colored in orange. Right panels show zooms of the K36 region (upper right side) and a view from below the model rotated by 90° (lower right side). Overall, the likely </w:t>
      </w:r>
      <w:proofErr w:type="spellStart"/>
      <w:r w:rsidRPr="00F96002">
        <w:rPr>
          <w:lang w:val="en-US"/>
        </w:rPr>
        <w:t>LoF</w:t>
      </w:r>
      <w:proofErr w:type="spellEnd"/>
      <w:r w:rsidRPr="00F96002">
        <w:rPr>
          <w:lang w:val="en-US"/>
        </w:rPr>
        <w:t xml:space="preserve"> missense variants are further away from K36 and more dispersed throughout the NSD2 protein.</w:t>
      </w:r>
    </w:p>
    <w:p w14:paraId="17CCD6C9" w14:textId="77777777" w:rsidR="004D3F6C" w:rsidRPr="00F96002" w:rsidRDefault="00000000">
      <w:pPr>
        <w:rPr>
          <w:lang w:val="en-US"/>
        </w:rPr>
      </w:pPr>
      <w:r w:rsidRPr="00F96002">
        <w:rPr>
          <w:noProof/>
          <w:lang w:val="en-US"/>
        </w:rPr>
        <w:lastRenderedPageBreak/>
        <w:drawing>
          <wp:inline distT="114300" distB="114300" distL="114300" distR="114300" wp14:anchorId="17CCD802" wp14:editId="17CCD803">
            <wp:extent cx="6367463" cy="5269965"/>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6367463" cy="5269965"/>
                    </a:xfrm>
                    <a:prstGeom prst="rect">
                      <a:avLst/>
                    </a:prstGeom>
                    <a:ln/>
                  </pic:spPr>
                </pic:pic>
              </a:graphicData>
            </a:graphic>
          </wp:inline>
        </w:drawing>
      </w:r>
    </w:p>
    <w:p w14:paraId="17CCD6CA" w14:textId="77777777" w:rsidR="004D3F6C" w:rsidRPr="00F96002" w:rsidRDefault="00000000">
      <w:pPr>
        <w:pStyle w:val="berschrift2"/>
        <w:spacing w:after="120" w:line="480" w:lineRule="auto"/>
        <w:rPr>
          <w:sz w:val="22"/>
          <w:szCs w:val="22"/>
          <w:lang w:val="en-US"/>
        </w:rPr>
      </w:pPr>
      <w:bookmarkStart w:id="20" w:name="_4r9nqpjt3uc0" w:colFirst="0" w:colLast="0"/>
      <w:bookmarkEnd w:id="20"/>
      <w:r w:rsidRPr="00F96002">
        <w:rPr>
          <w:b/>
          <w:sz w:val="22"/>
          <w:szCs w:val="22"/>
          <w:lang w:val="en-US"/>
        </w:rPr>
        <w:t>Figure S4</w:t>
      </w:r>
      <w:r w:rsidRPr="00F96002">
        <w:rPr>
          <w:sz w:val="22"/>
          <w:szCs w:val="22"/>
          <w:lang w:val="en-US"/>
        </w:rPr>
        <w:t xml:space="preserve"> | NSD2 and cell line omics analyses</w:t>
      </w:r>
    </w:p>
    <w:p w14:paraId="17CCD6CB" w14:textId="77777777" w:rsidR="004D3F6C" w:rsidRPr="00F96002" w:rsidRDefault="00000000">
      <w:pPr>
        <w:spacing w:before="0" w:after="0" w:line="480" w:lineRule="auto"/>
        <w:rPr>
          <w:lang w:val="en-US"/>
        </w:rPr>
      </w:pPr>
      <w:r w:rsidRPr="00F96002">
        <w:rPr>
          <w:b/>
          <w:lang w:val="en-US"/>
        </w:rPr>
        <w:t>(A)</w:t>
      </w:r>
      <w:r w:rsidRPr="00F96002">
        <w:rPr>
          <w:lang w:val="en-US"/>
        </w:rPr>
        <w:t xml:space="preserve"> Boxplots comparing the z-scores of the global chromatin profiling dataset (CCLE) between cell lines with </w:t>
      </w:r>
      <w:proofErr w:type="spellStart"/>
      <w:r w:rsidRPr="00F96002">
        <w:rPr>
          <w:lang w:val="en-US"/>
        </w:rPr>
        <w:t>GoF</w:t>
      </w:r>
      <w:proofErr w:type="spellEnd"/>
      <w:r w:rsidRPr="00F96002">
        <w:rPr>
          <w:lang w:val="en-US"/>
        </w:rPr>
        <w:t xml:space="preserve"> (red), </w:t>
      </w:r>
      <w:proofErr w:type="spellStart"/>
      <w:r w:rsidRPr="00F96002">
        <w:rPr>
          <w:lang w:val="en-US"/>
        </w:rPr>
        <w:t>LoF</w:t>
      </w:r>
      <w:proofErr w:type="spellEnd"/>
      <w:r w:rsidRPr="00F96002">
        <w:rPr>
          <w:lang w:val="en-US"/>
        </w:rPr>
        <w:t xml:space="preserve"> (green) and no (blue) </w:t>
      </w:r>
      <w:r w:rsidRPr="00F96002">
        <w:rPr>
          <w:i/>
          <w:lang w:val="en-US"/>
        </w:rPr>
        <w:t xml:space="preserve">NSD2 </w:t>
      </w:r>
      <w:r w:rsidRPr="00F96002">
        <w:rPr>
          <w:lang w:val="en-US"/>
        </w:rPr>
        <w:t xml:space="preserve">variant for modification combinations at histone H3 at K27 and K36. Results show a strong hypermethylation effect with increased mono- and </w:t>
      </w:r>
      <w:proofErr w:type="spellStart"/>
      <w:r w:rsidRPr="00F96002">
        <w:rPr>
          <w:lang w:val="en-US"/>
        </w:rPr>
        <w:t>dimethylation</w:t>
      </w:r>
      <w:proofErr w:type="spellEnd"/>
      <w:r w:rsidRPr="00F96002">
        <w:rPr>
          <w:lang w:val="en-US"/>
        </w:rPr>
        <w:t xml:space="preserve"> at K36 and associated reduction of unmethylated (me0) K36 for cell lines with </w:t>
      </w:r>
      <w:proofErr w:type="spellStart"/>
      <w:r w:rsidRPr="00F96002">
        <w:rPr>
          <w:lang w:val="en-US"/>
        </w:rPr>
        <w:t>GoF</w:t>
      </w:r>
      <w:proofErr w:type="spellEnd"/>
      <w:r w:rsidRPr="00F96002">
        <w:rPr>
          <w:lang w:val="en-US"/>
        </w:rPr>
        <w:t xml:space="preserve">. Cell lines with a </w:t>
      </w:r>
      <w:proofErr w:type="spellStart"/>
      <w:r w:rsidRPr="00F96002">
        <w:rPr>
          <w:lang w:val="en-US"/>
        </w:rPr>
        <w:t>LoF</w:t>
      </w:r>
      <w:proofErr w:type="spellEnd"/>
      <w:r w:rsidRPr="00F96002">
        <w:rPr>
          <w:lang w:val="en-US"/>
        </w:rPr>
        <w:t xml:space="preserve"> variant showed a trend towards an opposite effect on histone modification but did not reach statistical significance (comparison bars not shown), which could be explained by the weaker effect of copy number changes (compare duplications) or other genetic effects in the control cell lines (</w:t>
      </w:r>
      <w:proofErr w:type="spellStart"/>
      <w:r w:rsidRPr="00F96002">
        <w:rPr>
          <w:lang w:val="en-US"/>
        </w:rPr>
        <w:t>e.g</w:t>
      </w:r>
      <w:proofErr w:type="spellEnd"/>
      <w:r w:rsidRPr="00F96002">
        <w:rPr>
          <w:lang w:val="en-US"/>
        </w:rPr>
        <w:t xml:space="preserve"> promotor or non-coding variants) causing similar changes in histone modification. </w:t>
      </w:r>
      <w:r w:rsidRPr="00F96002">
        <w:rPr>
          <w:b/>
          <w:lang w:val="en-US"/>
        </w:rPr>
        <w:t>(B)</w:t>
      </w:r>
      <w:r w:rsidRPr="00F96002">
        <w:rPr>
          <w:lang w:val="en-US"/>
        </w:rPr>
        <w:t xml:space="preserve"> Boxplots as in (A) but now </w:t>
      </w:r>
      <w:r w:rsidRPr="00F96002">
        <w:rPr>
          <w:lang w:val="en-US"/>
        </w:rPr>
        <w:lastRenderedPageBreak/>
        <w:t xml:space="preserve">comparing cell lines with genomic duplications (“dup”, red), deletions (“del”, green or copy neutral (blue) state at the NSD2 gene locus. The results for duplications mirror the observations for </w:t>
      </w:r>
      <w:proofErr w:type="spellStart"/>
      <w:r w:rsidRPr="00F96002">
        <w:rPr>
          <w:lang w:val="en-US"/>
        </w:rPr>
        <w:t>GoF</w:t>
      </w:r>
      <w:proofErr w:type="spellEnd"/>
      <w:r w:rsidRPr="00F96002">
        <w:rPr>
          <w:lang w:val="en-US"/>
        </w:rPr>
        <w:t xml:space="preserve"> in (A) but with a weaker effect. (</w:t>
      </w:r>
      <w:proofErr w:type="gramStart"/>
      <w:r w:rsidRPr="00F96002">
        <w:rPr>
          <w:lang w:val="en-US"/>
        </w:rPr>
        <w:t>two</w:t>
      </w:r>
      <w:proofErr w:type="gramEnd"/>
      <w:r w:rsidRPr="00F96002">
        <w:rPr>
          <w:lang w:val="en-US"/>
        </w:rPr>
        <w:t xml:space="preserve"> sided Wilcoxon signed-rank test; NS, not significant; “***”, 0.001; “**”, 0.01, “*”, 0.05). </w:t>
      </w:r>
      <w:r w:rsidRPr="00F96002">
        <w:rPr>
          <w:b/>
          <w:lang w:val="en-US"/>
        </w:rPr>
        <w:t>(C)</w:t>
      </w:r>
      <w:r w:rsidRPr="00F96002">
        <w:rPr>
          <w:lang w:val="en-US"/>
        </w:rPr>
        <w:t xml:space="preserve"> Scatterplot of the differential DNA methylation analysis between cell lines with </w:t>
      </w:r>
      <w:proofErr w:type="spellStart"/>
      <w:r w:rsidRPr="00F96002">
        <w:rPr>
          <w:lang w:val="en-US"/>
        </w:rPr>
        <w:t>GoF</w:t>
      </w:r>
      <w:proofErr w:type="spellEnd"/>
      <w:r w:rsidRPr="00F96002">
        <w:rPr>
          <w:lang w:val="en-US"/>
        </w:rPr>
        <w:t xml:space="preserve"> and no NSD2 variant using the reduced representation bisulfite sequencing (RRBS) dataset of methylation one kilobase upstream of the transcription start site (TSS1kb). Only genetic loci with an effect size &gt; 0.1 or &lt; -0.1 are displayed and effect sizes are color coded. Overall, most differentially methylated DNA loci are hypermethylated (5,165 vs. 117 with hypomethylation). When comparing large effect sizes (&gt; 0.5 or &lt; -0.5) only few loci are hypermethylated (12 vs. 28 hypomethylated). </w:t>
      </w:r>
      <w:r w:rsidRPr="00F96002">
        <w:rPr>
          <w:b/>
          <w:lang w:val="en-US"/>
        </w:rPr>
        <w:t>(D)</w:t>
      </w:r>
      <w:r w:rsidRPr="00F96002">
        <w:rPr>
          <w:lang w:val="en-US"/>
        </w:rPr>
        <w:t xml:space="preserve"> Scatterplot of the differential RNA expression using the same cell line lists as in (C) shows many genes dysregulated with a very large effect size (887) with 311 showing overexpression and 576 with reduced expression. Dysregulated gene loci with disease association are highlighted by a text box (note that </w:t>
      </w:r>
      <w:r w:rsidRPr="00F96002">
        <w:rPr>
          <w:i/>
          <w:lang w:val="en-US"/>
        </w:rPr>
        <w:t>NR2F2</w:t>
      </w:r>
      <w:r w:rsidRPr="00F96002">
        <w:rPr>
          <w:lang w:val="en-US"/>
        </w:rPr>
        <w:t xml:space="preserve"> has different start sites and thus multiple promoter regions marked). Analyses in C and D have been performed using the </w:t>
      </w:r>
      <w:proofErr w:type="spellStart"/>
      <w:r w:rsidRPr="00F96002">
        <w:rPr>
          <w:lang w:val="en-US"/>
        </w:rPr>
        <w:t>depmap</w:t>
      </w:r>
      <w:proofErr w:type="spellEnd"/>
      <w:r w:rsidRPr="00F96002">
        <w:rPr>
          <w:lang w:val="en-US"/>
        </w:rPr>
        <w:t xml:space="preserve"> portal “Data Explorer” tool. </w:t>
      </w:r>
      <w:r w:rsidRPr="00F96002">
        <w:rPr>
          <w:b/>
          <w:lang w:val="en-US"/>
        </w:rPr>
        <w:t>(E)</w:t>
      </w:r>
      <w:r w:rsidRPr="00F96002">
        <w:rPr>
          <w:lang w:val="en-US"/>
        </w:rPr>
        <w:t xml:space="preserve"> Network map of functionally enriched modules in the 887 genes with very high effect sizes from (D). The four largest modules (M1: 179 genes, M2: 66 genes, M3: 186 genes, M4: 194 genes) are highlighted with their top associated terms in the accompanying box. The modules are enriched for white blood cell activation (M1), cell adhesion and growth (M2, M3, M4) and organ development (M2, M3).</w:t>
      </w:r>
    </w:p>
    <w:p w14:paraId="17CCD6CC" w14:textId="77777777" w:rsidR="004D3F6C" w:rsidRPr="00F96002" w:rsidRDefault="00000000">
      <w:pPr>
        <w:spacing w:before="0" w:after="0" w:line="480" w:lineRule="auto"/>
        <w:rPr>
          <w:lang w:val="en-US"/>
        </w:rPr>
      </w:pPr>
      <w:r w:rsidRPr="00F96002">
        <w:rPr>
          <w:lang w:val="en-US"/>
        </w:rPr>
        <w:t xml:space="preserve">In summary of these experiments, we used publicly available omics data from the Cancer Cell Line Encyclopedia (CCLE) </w:t>
      </w:r>
      <w:r w:rsidRPr="00F96002">
        <w:rPr>
          <w:vertAlign w:val="superscript"/>
          <w:lang w:val="en-US"/>
        </w:rPr>
        <w:t>17</w:t>
      </w:r>
      <w:r w:rsidRPr="00F96002">
        <w:rPr>
          <w:lang w:val="en-US"/>
        </w:rPr>
        <w:t xml:space="preserve"> to confirm </w:t>
      </w:r>
      <w:r w:rsidRPr="00F96002">
        <w:rPr>
          <w:vertAlign w:val="superscript"/>
          <w:lang w:val="en-US"/>
        </w:rPr>
        <w:t>28,29</w:t>
      </w:r>
      <w:r w:rsidRPr="00F96002">
        <w:rPr>
          <w:lang w:val="en-US"/>
        </w:rPr>
        <w:t xml:space="preserve"> dysregulated methylation of histone H3 at the lysine residue 36, especially increased </w:t>
      </w:r>
      <w:proofErr w:type="spellStart"/>
      <w:r w:rsidRPr="00F96002">
        <w:rPr>
          <w:lang w:val="en-US"/>
        </w:rPr>
        <w:t>dimethylation</w:t>
      </w:r>
      <w:proofErr w:type="spellEnd"/>
      <w:r w:rsidRPr="00F96002">
        <w:rPr>
          <w:lang w:val="en-US"/>
        </w:rPr>
        <w:t xml:space="preserve"> (H3K36me2) as primary molecular effect of the c.3295G&gt;A, </w:t>
      </w:r>
      <w:proofErr w:type="gramStart"/>
      <w:r w:rsidRPr="00F96002">
        <w:rPr>
          <w:lang w:val="en-US"/>
        </w:rPr>
        <w:t>p.Glu</w:t>
      </w:r>
      <w:proofErr w:type="gramEnd"/>
      <w:r w:rsidRPr="00F96002">
        <w:rPr>
          <w:lang w:val="en-US"/>
        </w:rPr>
        <w:t xml:space="preserve">1099Lys variant. Looking at differential promoter methylation, we identified extensive DNA hypermethylation in </w:t>
      </w:r>
      <w:proofErr w:type="spellStart"/>
      <w:r w:rsidRPr="00F96002">
        <w:rPr>
          <w:lang w:val="en-US"/>
        </w:rPr>
        <w:t>GoF</w:t>
      </w:r>
      <w:proofErr w:type="spellEnd"/>
      <w:r w:rsidRPr="00F96002">
        <w:rPr>
          <w:lang w:val="en-US"/>
        </w:rPr>
        <w:t xml:space="preserve"> cell lines. The DNA-(cytosine-5)-methyltransferase enzymes (DNMTs) recognize H3K36me2 with their PWWP (AAs 'Pro-</w:t>
      </w:r>
      <w:proofErr w:type="spellStart"/>
      <w:r w:rsidRPr="00F96002">
        <w:rPr>
          <w:lang w:val="en-US"/>
        </w:rPr>
        <w:t>Trp</w:t>
      </w:r>
      <w:proofErr w:type="spellEnd"/>
      <w:r w:rsidRPr="00F96002">
        <w:rPr>
          <w:lang w:val="en-US"/>
        </w:rPr>
        <w:t>-</w:t>
      </w:r>
      <w:proofErr w:type="spellStart"/>
      <w:r w:rsidRPr="00F96002">
        <w:rPr>
          <w:lang w:val="en-US"/>
        </w:rPr>
        <w:t>Trp</w:t>
      </w:r>
      <w:proofErr w:type="spellEnd"/>
      <w:r w:rsidRPr="00F96002">
        <w:rPr>
          <w:lang w:val="en-US"/>
        </w:rPr>
        <w:t>-Pro') domain and bind to these regions of open chromatin.</w:t>
      </w:r>
      <w:r w:rsidRPr="00F96002">
        <w:rPr>
          <w:vertAlign w:val="superscript"/>
          <w:lang w:val="en-US"/>
        </w:rPr>
        <w:t>30</w:t>
      </w:r>
      <w:r w:rsidRPr="00F96002">
        <w:rPr>
          <w:lang w:val="en-US"/>
        </w:rPr>
        <w:t xml:space="preserve"> This effect of NSD2 on DNA </w:t>
      </w:r>
      <w:r w:rsidRPr="00F96002">
        <w:rPr>
          <w:lang w:val="en-US"/>
        </w:rPr>
        <w:lastRenderedPageBreak/>
        <w:t>methylation can be used in future studies to generate specific epi-signatures from peripheral blood DNA of primary patient material, which could aid to characterize variants.</w:t>
      </w:r>
    </w:p>
    <w:p w14:paraId="17CCD6CD" w14:textId="694B99A7" w:rsidR="004D3F6C" w:rsidRPr="00F96002" w:rsidRDefault="00000000">
      <w:pPr>
        <w:spacing w:before="0" w:after="0" w:line="480" w:lineRule="auto"/>
        <w:rPr>
          <w:lang w:val="en-US"/>
        </w:rPr>
      </w:pPr>
      <w:r w:rsidRPr="00F96002">
        <w:rPr>
          <w:lang w:val="en-US"/>
        </w:rPr>
        <w:t xml:space="preserve">As DNA methylation is involved in gene expression, we next investigated RNA data from the CCLE, which identified &gt;800 genes differentially expressed with very large effect size between </w:t>
      </w:r>
      <w:proofErr w:type="spellStart"/>
      <w:r w:rsidRPr="00F96002">
        <w:rPr>
          <w:lang w:val="en-US"/>
        </w:rPr>
        <w:t>GoF</w:t>
      </w:r>
      <w:proofErr w:type="spellEnd"/>
      <w:r w:rsidRPr="00F96002">
        <w:rPr>
          <w:lang w:val="en-US"/>
        </w:rPr>
        <w:t xml:space="preserve"> and </w:t>
      </w:r>
      <w:proofErr w:type="spellStart"/>
      <w:r w:rsidRPr="00F96002">
        <w:rPr>
          <w:lang w:val="en-US"/>
        </w:rPr>
        <w:t>LoF</w:t>
      </w:r>
      <w:proofErr w:type="spellEnd"/>
      <w:r w:rsidRPr="00F96002">
        <w:rPr>
          <w:lang w:val="en-US"/>
        </w:rPr>
        <w:t xml:space="preserve"> cell lines. Interestingly, fewer than expected genes currently associated with NDDs in the </w:t>
      </w:r>
      <w:proofErr w:type="spellStart"/>
      <w:r w:rsidRPr="00F96002">
        <w:rPr>
          <w:lang w:val="en-US"/>
        </w:rPr>
        <w:t>SysID</w:t>
      </w:r>
      <w:proofErr w:type="spellEnd"/>
      <w:r w:rsidRPr="00F96002">
        <w:rPr>
          <w:lang w:val="en-US"/>
        </w:rPr>
        <w:t xml:space="preserve"> database overlapped with these dysregulated </w:t>
      </w:r>
      <w:proofErr w:type="spellStart"/>
      <w:r w:rsidRPr="00F96002">
        <w:rPr>
          <w:lang w:val="en-US"/>
        </w:rPr>
        <w:t>genesets</w:t>
      </w:r>
      <w:proofErr w:type="spellEnd"/>
      <w:r w:rsidRPr="00F96002">
        <w:rPr>
          <w:lang w:val="en-US"/>
        </w:rPr>
        <w:t>. This</w:t>
      </w:r>
      <w:r w:rsidR="003D1C42" w:rsidRPr="00F96002">
        <w:rPr>
          <w:lang w:val="en-US"/>
        </w:rPr>
        <w:t xml:space="preserve"> </w:t>
      </w:r>
      <w:r w:rsidRPr="00F96002">
        <w:rPr>
          <w:lang w:val="en-US"/>
        </w:rPr>
        <w:t>observation,</w:t>
      </w:r>
      <w:r w:rsidR="003D1C42" w:rsidRPr="00F96002">
        <w:rPr>
          <w:lang w:val="en-US"/>
        </w:rPr>
        <w:t xml:space="preserve"> however</w:t>
      </w:r>
      <w:r w:rsidRPr="00F96002">
        <w:rPr>
          <w:lang w:val="en-US"/>
        </w:rPr>
        <w:t xml:space="preserve"> is in line with the relatively mild developmental phenotype observed in Ind_1 (postnatal brain hemorrhage and hypoxia complicated by the course of Ind_2), considering the genome wide effect of the </w:t>
      </w:r>
      <w:r w:rsidRPr="00F96002">
        <w:rPr>
          <w:i/>
          <w:lang w:val="en-US"/>
        </w:rPr>
        <w:t>NSD2</w:t>
      </w:r>
      <w:r w:rsidRPr="00F96002">
        <w:rPr>
          <w:lang w:val="en-US"/>
        </w:rPr>
        <w:t xml:space="preserve"> </w:t>
      </w:r>
      <w:proofErr w:type="spellStart"/>
      <w:r w:rsidRPr="00F96002">
        <w:rPr>
          <w:lang w:val="en-US"/>
        </w:rPr>
        <w:t>GoF</w:t>
      </w:r>
      <w:proofErr w:type="spellEnd"/>
      <w:r w:rsidRPr="00F96002">
        <w:rPr>
          <w:lang w:val="en-US"/>
        </w:rPr>
        <w:t xml:space="preserve"> variant c.3295G&gt;A, </w:t>
      </w:r>
      <w:proofErr w:type="gramStart"/>
      <w:r w:rsidRPr="00F96002">
        <w:rPr>
          <w:lang w:val="en-US"/>
        </w:rPr>
        <w:t>p.Glu</w:t>
      </w:r>
      <w:proofErr w:type="gramEnd"/>
      <w:r w:rsidRPr="00F96002">
        <w:rPr>
          <w:lang w:val="en-US"/>
        </w:rPr>
        <w:t xml:space="preserve">1099Lys. Using the </w:t>
      </w:r>
      <w:proofErr w:type="spellStart"/>
      <w:r w:rsidRPr="00F96002">
        <w:rPr>
          <w:lang w:val="en-US"/>
        </w:rPr>
        <w:t>humanbase</w:t>
      </w:r>
      <w:proofErr w:type="spellEnd"/>
      <w:r w:rsidRPr="00F96002">
        <w:rPr>
          <w:lang w:val="en-US"/>
        </w:rPr>
        <w:t xml:space="preserve"> tool </w:t>
      </w:r>
      <w:r w:rsidRPr="00F96002">
        <w:rPr>
          <w:vertAlign w:val="superscript"/>
          <w:lang w:val="en-US"/>
        </w:rPr>
        <w:t>31</w:t>
      </w:r>
      <w:r w:rsidRPr="00F96002">
        <w:rPr>
          <w:lang w:val="en-US"/>
        </w:rPr>
        <w:t xml:space="preserve"> to cluster the dysregulated </w:t>
      </w:r>
      <w:proofErr w:type="spellStart"/>
      <w:r w:rsidRPr="00F96002">
        <w:rPr>
          <w:lang w:val="en-US"/>
        </w:rPr>
        <w:t>geneset</w:t>
      </w:r>
      <w:proofErr w:type="spellEnd"/>
      <w:r w:rsidRPr="00F96002">
        <w:rPr>
          <w:lang w:val="en-US"/>
        </w:rPr>
        <w:t xml:space="preserve">, we identified eight main functional modules with the largest and most significantly enriched four being involved in white blood cell activation, cell growth and organ development (Fig. S4E). These enriched functions overlap well with known cellular functions of NSD2, previous expression and pathway analyzes </w:t>
      </w:r>
      <w:r w:rsidRPr="00F96002">
        <w:rPr>
          <w:vertAlign w:val="superscript"/>
          <w:lang w:val="en-US"/>
        </w:rPr>
        <w:t>32</w:t>
      </w:r>
      <w:r w:rsidRPr="00F96002">
        <w:rPr>
          <w:lang w:val="en-US"/>
        </w:rPr>
        <w:t xml:space="preserve"> and with the phenotype observed in carriers of the c.3295G&gt;A, </w:t>
      </w:r>
      <w:proofErr w:type="gramStart"/>
      <w:r w:rsidRPr="00F96002">
        <w:rPr>
          <w:lang w:val="en-US"/>
        </w:rPr>
        <w:t>p.Glu</w:t>
      </w:r>
      <w:proofErr w:type="gramEnd"/>
      <w:r w:rsidRPr="00F96002">
        <w:rPr>
          <w:lang w:val="en-US"/>
        </w:rPr>
        <w:t xml:space="preserve">1099Lys </w:t>
      </w:r>
      <w:proofErr w:type="spellStart"/>
      <w:r w:rsidRPr="00F96002">
        <w:rPr>
          <w:lang w:val="en-US"/>
        </w:rPr>
        <w:t>GoF</w:t>
      </w:r>
      <w:proofErr w:type="spellEnd"/>
      <w:r w:rsidRPr="00F96002">
        <w:rPr>
          <w:lang w:val="en-US"/>
        </w:rPr>
        <w:t xml:space="preserve"> variant. Other “Mendelian Disorders of the Epigenetic Machinery” entities like </w:t>
      </w:r>
      <w:proofErr w:type="spellStart"/>
      <w:r w:rsidRPr="00F96002">
        <w:rPr>
          <w:lang w:val="en-US"/>
        </w:rPr>
        <w:t>Sotos</w:t>
      </w:r>
      <w:proofErr w:type="spellEnd"/>
      <w:r w:rsidRPr="00F96002">
        <w:rPr>
          <w:lang w:val="en-US"/>
        </w:rPr>
        <w:t xml:space="preserve"> syndrome (OMIM #606681; </w:t>
      </w:r>
      <w:r w:rsidRPr="00F96002">
        <w:rPr>
          <w:i/>
          <w:lang w:val="en-US"/>
        </w:rPr>
        <w:t>NSD1</w:t>
      </w:r>
      <w:r w:rsidRPr="00F96002">
        <w:rPr>
          <w:lang w:val="en-US"/>
        </w:rPr>
        <w:t xml:space="preserve"> gene), </w:t>
      </w:r>
      <w:proofErr w:type="spellStart"/>
      <w:r w:rsidRPr="00F96002">
        <w:rPr>
          <w:lang w:val="en-US"/>
        </w:rPr>
        <w:t>Tatton</w:t>
      </w:r>
      <w:proofErr w:type="spellEnd"/>
      <w:r w:rsidRPr="00F96002">
        <w:rPr>
          <w:lang w:val="en-US"/>
        </w:rPr>
        <w:t xml:space="preserve">-Brown-Rahman syndrome (OMIM #615879; </w:t>
      </w:r>
      <w:r w:rsidRPr="00F96002">
        <w:rPr>
          <w:i/>
          <w:lang w:val="en-US"/>
        </w:rPr>
        <w:t>DNMT3A</w:t>
      </w:r>
      <w:r w:rsidRPr="00F96002">
        <w:rPr>
          <w:lang w:val="en-US"/>
        </w:rPr>
        <w:t xml:space="preserve"> gene), and </w:t>
      </w:r>
      <w:proofErr w:type="spellStart"/>
      <w:r w:rsidRPr="00F96002">
        <w:rPr>
          <w:lang w:val="en-US"/>
        </w:rPr>
        <w:t>Luscan-Lumish</w:t>
      </w:r>
      <w:proofErr w:type="spellEnd"/>
      <w:r w:rsidRPr="00F96002">
        <w:rPr>
          <w:lang w:val="en-US"/>
        </w:rPr>
        <w:t xml:space="preserve"> syndrome (OMIM #616831; </w:t>
      </w:r>
      <w:r w:rsidRPr="00F96002">
        <w:rPr>
          <w:i/>
          <w:lang w:val="en-US"/>
        </w:rPr>
        <w:t>SETD2</w:t>
      </w:r>
      <w:r w:rsidRPr="00F96002">
        <w:rPr>
          <w:lang w:val="en-US"/>
        </w:rPr>
        <w:t xml:space="preserve"> gene) are associated with overgrowth symptoms like macrocephaly and tall stature. Overall, these </w:t>
      </w:r>
      <w:proofErr w:type="spellStart"/>
      <w:r w:rsidRPr="00F96002">
        <w:rPr>
          <w:lang w:val="en-US"/>
        </w:rPr>
        <w:t>omic</w:t>
      </w:r>
      <w:proofErr w:type="spellEnd"/>
      <w:r w:rsidRPr="00F96002">
        <w:rPr>
          <w:lang w:val="en-US"/>
        </w:rPr>
        <w:t xml:space="preserve"> analyses presented here lack so far as only blood cancer cell lines were used. Future functional studies should investigate primary patient cells for methylation and expression, but also, for example, other cell lineages (brain, kidney, liver) through induced pluripotent cell lines and organoids to elucidate organ specific effects.</w:t>
      </w:r>
    </w:p>
    <w:p w14:paraId="17CCD6CE" w14:textId="57BD382C" w:rsidR="004D3F6C" w:rsidRPr="00F96002" w:rsidRDefault="00000000">
      <w:pPr>
        <w:spacing w:before="0" w:after="0" w:line="480" w:lineRule="auto"/>
        <w:rPr>
          <w:lang w:val="en-US"/>
        </w:rPr>
      </w:pPr>
      <w:r w:rsidRPr="00F96002">
        <w:rPr>
          <w:lang w:val="en-US"/>
        </w:rPr>
        <w:t xml:space="preserve">Next to the </w:t>
      </w:r>
      <w:proofErr w:type="gramStart"/>
      <w:r w:rsidRPr="00F96002">
        <w:rPr>
          <w:lang w:val="en-US"/>
        </w:rPr>
        <w:t>p.Glu</w:t>
      </w:r>
      <w:proofErr w:type="gramEnd"/>
      <w:r w:rsidRPr="00F96002">
        <w:rPr>
          <w:lang w:val="en-US"/>
        </w:rPr>
        <w:t xml:space="preserve">1099Lys missense substitution, other </w:t>
      </w:r>
      <w:r w:rsidRPr="00F96002">
        <w:rPr>
          <w:i/>
          <w:lang w:val="en-US"/>
        </w:rPr>
        <w:t>NSD2</w:t>
      </w:r>
      <w:r w:rsidRPr="00F96002">
        <w:rPr>
          <w:lang w:val="en-US"/>
        </w:rPr>
        <w:t xml:space="preserve"> missense variants causing similar </w:t>
      </w:r>
      <w:proofErr w:type="spellStart"/>
      <w:r w:rsidRPr="00F96002">
        <w:rPr>
          <w:lang w:val="en-US"/>
        </w:rPr>
        <w:t>GoF</w:t>
      </w:r>
      <w:proofErr w:type="spellEnd"/>
      <w:r w:rsidRPr="00F96002">
        <w:rPr>
          <w:lang w:val="en-US"/>
        </w:rPr>
        <w:t xml:space="preserve"> effects have either been described in blood malignancies (T1150A; c.3448A&gt;G, p.Thr1150Ala) or investigated in vitro </w:t>
      </w:r>
      <w:r w:rsidRPr="00F96002">
        <w:rPr>
          <w:vertAlign w:val="superscript"/>
          <w:lang w:val="en-US"/>
        </w:rPr>
        <w:t>15,29</w:t>
      </w:r>
      <w:r w:rsidRPr="00F96002">
        <w:rPr>
          <w:lang w:val="en-US"/>
        </w:rPr>
        <w:t xml:space="preserve">. Also, structural variants like the recurrent somatic t(4;14) translocation can result in overexpression and increased activity of NSD2. This is intriguingly confirmed by our observation that genomic duplications in cell lines cause a similar </w:t>
      </w:r>
      <w:r w:rsidRPr="00F96002">
        <w:rPr>
          <w:lang w:val="en-US"/>
        </w:rPr>
        <w:lastRenderedPageBreak/>
        <w:t xml:space="preserve">hypermethylation profile to </w:t>
      </w:r>
      <w:proofErr w:type="spellStart"/>
      <w:r w:rsidRPr="00F96002">
        <w:rPr>
          <w:lang w:val="en-US"/>
        </w:rPr>
        <w:t>GoF</w:t>
      </w:r>
      <w:proofErr w:type="spellEnd"/>
      <w:r w:rsidRPr="00F96002">
        <w:rPr>
          <w:lang w:val="en-US"/>
        </w:rPr>
        <w:t xml:space="preserve"> variants (Fig. S4B), which indicates that NSD2 could be </w:t>
      </w:r>
      <w:proofErr w:type="spellStart"/>
      <w:r w:rsidRPr="00F96002">
        <w:rPr>
          <w:lang w:val="en-US"/>
        </w:rPr>
        <w:t>triplosensitive</w:t>
      </w:r>
      <w:proofErr w:type="spellEnd"/>
      <w:r w:rsidRPr="00F96002">
        <w:rPr>
          <w:lang w:val="en-US"/>
        </w:rPr>
        <w:t xml:space="preserve"> (also confirmed by a recent publication </w:t>
      </w:r>
      <w:r w:rsidRPr="00F96002">
        <w:rPr>
          <w:vertAlign w:val="superscript"/>
          <w:lang w:val="en-US"/>
        </w:rPr>
        <w:t>33</w:t>
      </w:r>
      <w:r w:rsidRPr="00F96002">
        <w:rPr>
          <w:lang w:val="en-US"/>
        </w:rPr>
        <w:t xml:space="preserve"> describing the “cross-disorder dosage sensitivity map of the human genome” with </w:t>
      </w:r>
      <w:proofErr w:type="spellStart"/>
      <w:r w:rsidRPr="00F96002">
        <w:rPr>
          <w:lang w:val="en-US"/>
        </w:rPr>
        <w:t>pHaplo</w:t>
      </w:r>
      <w:proofErr w:type="spellEnd"/>
      <w:r w:rsidRPr="00F96002">
        <w:rPr>
          <w:lang w:val="en-US"/>
        </w:rPr>
        <w:t>=0.99528727797659</w:t>
      </w:r>
      <w:r w:rsidR="00AF47E0">
        <w:rPr>
          <w:lang w:val="en-US"/>
        </w:rPr>
        <w:t xml:space="preserve"> </w:t>
      </w:r>
      <w:r w:rsidRPr="00F96002">
        <w:rPr>
          <w:lang w:val="en-US"/>
        </w:rPr>
        <w:t xml:space="preserve">and </w:t>
      </w:r>
      <w:proofErr w:type="spellStart"/>
      <w:r w:rsidRPr="00F96002">
        <w:rPr>
          <w:lang w:val="en-US"/>
        </w:rPr>
        <w:t>pTriplo</w:t>
      </w:r>
      <w:proofErr w:type="spellEnd"/>
      <w:r w:rsidRPr="00F96002">
        <w:rPr>
          <w:lang w:val="en-US"/>
        </w:rPr>
        <w:t xml:space="preserve">=0.986112792649751 for “WHSC1” as accessed from the supplementary file </w:t>
      </w:r>
      <w:r w:rsidRPr="00F96002">
        <w:rPr>
          <w:vertAlign w:val="superscript"/>
          <w:lang w:val="en-US"/>
        </w:rPr>
        <w:t>34</w:t>
      </w:r>
      <w:r w:rsidR="00F96002" w:rsidRPr="00F96002">
        <w:rPr>
          <w:vertAlign w:val="superscript"/>
          <w:lang w:val="en-US"/>
        </w:rPr>
        <w:t xml:space="preserve"> </w:t>
      </w:r>
      <w:r w:rsidRPr="00F96002">
        <w:rPr>
          <w:lang w:val="en-US"/>
        </w:rPr>
        <w:t xml:space="preserve">downloaded from </w:t>
      </w:r>
      <w:proofErr w:type="spellStart"/>
      <w:r w:rsidRPr="00F96002">
        <w:rPr>
          <w:lang w:val="en-US"/>
        </w:rPr>
        <w:t>Zenodo</w:t>
      </w:r>
      <w:proofErr w:type="spellEnd"/>
      <w:r w:rsidRPr="00F96002">
        <w:rPr>
          <w:lang w:val="en-US"/>
        </w:rPr>
        <w:t xml:space="preserve">) and contribute to the not well defined 4p16.3 microduplications. Descriptions of submicroscopic duplications encompassing </w:t>
      </w:r>
      <w:r w:rsidRPr="00F96002">
        <w:rPr>
          <w:i/>
          <w:lang w:val="en-US"/>
        </w:rPr>
        <w:t>NSD2</w:t>
      </w:r>
      <w:r w:rsidRPr="00F96002">
        <w:rPr>
          <w:lang w:val="en-US"/>
        </w:rPr>
        <w:t xml:space="preserve"> are rare, and the phenotypes are often complicated by the size of the aberration or additional cytogenetic aberrations (</w:t>
      </w:r>
      <w:proofErr w:type="gramStart"/>
      <w:r w:rsidRPr="00F96002">
        <w:rPr>
          <w:lang w:val="en-US"/>
        </w:rPr>
        <w:t>e.g.</w:t>
      </w:r>
      <w:proofErr w:type="gramEnd"/>
      <w:r w:rsidRPr="00F96002">
        <w:rPr>
          <w:lang w:val="en-US"/>
        </w:rPr>
        <w:t xml:space="preserve"> Bi et al. </w:t>
      </w:r>
      <w:r w:rsidRPr="00F96002">
        <w:rPr>
          <w:vertAlign w:val="superscript"/>
          <w:lang w:val="en-US"/>
        </w:rPr>
        <w:t>35</w:t>
      </w:r>
      <w:r w:rsidRPr="00F96002">
        <w:rPr>
          <w:lang w:val="en-US"/>
        </w:rPr>
        <w:t>).</w:t>
      </w:r>
    </w:p>
    <w:p w14:paraId="17CCD6CF" w14:textId="77777777" w:rsidR="004D3F6C" w:rsidRPr="00F96002" w:rsidRDefault="00000000">
      <w:pPr>
        <w:pStyle w:val="berschrift1"/>
        <w:spacing w:before="0" w:after="0" w:line="480" w:lineRule="auto"/>
        <w:rPr>
          <w:sz w:val="22"/>
          <w:szCs w:val="22"/>
          <w:u w:val="single"/>
          <w:lang w:val="en-US"/>
        </w:rPr>
      </w:pPr>
      <w:bookmarkStart w:id="21" w:name="_y2nl2vbj8r71" w:colFirst="0" w:colLast="0"/>
      <w:bookmarkEnd w:id="21"/>
      <w:r w:rsidRPr="00F96002">
        <w:rPr>
          <w:lang w:val="en-US"/>
        </w:rPr>
        <w:br w:type="page"/>
      </w:r>
    </w:p>
    <w:p w14:paraId="17CCD6D0" w14:textId="77777777" w:rsidR="004D3F6C" w:rsidRPr="00F96002" w:rsidRDefault="00000000">
      <w:pPr>
        <w:pStyle w:val="berschrift1"/>
        <w:spacing w:before="0" w:after="0" w:line="480" w:lineRule="auto"/>
        <w:rPr>
          <w:sz w:val="22"/>
          <w:szCs w:val="22"/>
          <w:u w:val="single"/>
          <w:lang w:val="en-US"/>
        </w:rPr>
      </w:pPr>
      <w:bookmarkStart w:id="22" w:name="_n5am32w3o3ry" w:colFirst="0" w:colLast="0"/>
      <w:bookmarkEnd w:id="22"/>
      <w:r w:rsidRPr="00F96002">
        <w:rPr>
          <w:noProof/>
          <w:sz w:val="22"/>
          <w:szCs w:val="22"/>
          <w:u w:val="single"/>
          <w:lang w:val="en-US"/>
        </w:rPr>
        <w:lastRenderedPageBreak/>
        <w:drawing>
          <wp:inline distT="114300" distB="114300" distL="114300" distR="114300" wp14:anchorId="17CCD804" wp14:editId="17CCD805">
            <wp:extent cx="6190168" cy="31670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190168" cy="3167063"/>
                    </a:xfrm>
                    <a:prstGeom prst="rect">
                      <a:avLst/>
                    </a:prstGeom>
                    <a:ln/>
                  </pic:spPr>
                </pic:pic>
              </a:graphicData>
            </a:graphic>
          </wp:inline>
        </w:drawing>
      </w:r>
    </w:p>
    <w:p w14:paraId="17CCD6D1" w14:textId="77777777" w:rsidR="004D3F6C" w:rsidRPr="00F96002" w:rsidRDefault="00000000">
      <w:pPr>
        <w:pStyle w:val="berschrift1"/>
        <w:spacing w:before="0" w:after="0" w:line="480" w:lineRule="auto"/>
        <w:rPr>
          <w:b w:val="0"/>
          <w:sz w:val="22"/>
          <w:szCs w:val="22"/>
          <w:u w:val="single"/>
          <w:lang w:val="en-US"/>
        </w:rPr>
      </w:pPr>
      <w:bookmarkStart w:id="23" w:name="_k8dexp18pllw" w:colFirst="0" w:colLast="0"/>
      <w:bookmarkEnd w:id="23"/>
      <w:r w:rsidRPr="00F96002">
        <w:rPr>
          <w:sz w:val="22"/>
          <w:szCs w:val="22"/>
          <w:u w:val="single"/>
          <w:lang w:val="en-US"/>
        </w:rPr>
        <w:t xml:space="preserve">Figure S5 </w:t>
      </w:r>
      <w:r w:rsidRPr="00F96002">
        <w:rPr>
          <w:b w:val="0"/>
          <w:sz w:val="22"/>
          <w:szCs w:val="22"/>
          <w:u w:val="single"/>
          <w:lang w:val="en-US"/>
        </w:rPr>
        <w:t>| cranial MRI of Ind_1 at age 9 years and 2 months</w:t>
      </w:r>
    </w:p>
    <w:p w14:paraId="17CCD6D2" w14:textId="77777777" w:rsidR="004D3F6C" w:rsidRPr="00F96002" w:rsidRDefault="00000000">
      <w:pPr>
        <w:pStyle w:val="berschrift1"/>
        <w:spacing w:before="0" w:after="0" w:line="480" w:lineRule="auto"/>
        <w:rPr>
          <w:sz w:val="22"/>
          <w:szCs w:val="22"/>
          <w:lang w:val="en-US"/>
        </w:rPr>
      </w:pPr>
      <w:bookmarkStart w:id="24" w:name="_u011s94r8ama" w:colFirst="0" w:colLast="0"/>
      <w:bookmarkEnd w:id="24"/>
      <w:r w:rsidRPr="00F96002">
        <w:rPr>
          <w:sz w:val="22"/>
          <w:szCs w:val="22"/>
          <w:lang w:val="en-US"/>
        </w:rPr>
        <w:t>(A)</w:t>
      </w:r>
      <w:r w:rsidRPr="00F96002">
        <w:rPr>
          <w:b w:val="0"/>
          <w:sz w:val="22"/>
          <w:szCs w:val="22"/>
          <w:lang w:val="en-US"/>
        </w:rPr>
        <w:t xml:space="preserve"> T1 3D transversal shows marked hyperostosis of the calvaria (arrow).</w:t>
      </w:r>
      <w:r w:rsidRPr="00F96002">
        <w:rPr>
          <w:sz w:val="22"/>
          <w:szCs w:val="22"/>
          <w:lang w:val="en-US"/>
        </w:rPr>
        <w:t xml:space="preserve"> (B)</w:t>
      </w:r>
      <w:r w:rsidRPr="00F96002">
        <w:rPr>
          <w:b w:val="0"/>
          <w:sz w:val="22"/>
          <w:szCs w:val="22"/>
          <w:lang w:val="en-US"/>
        </w:rPr>
        <w:t xml:space="preserve"> Transversal MRI T2 weighting shows the deformation of both eyeballs (arrows).</w:t>
      </w:r>
      <w:r w:rsidRPr="00F96002">
        <w:rPr>
          <w:lang w:val="en-US"/>
        </w:rPr>
        <w:br w:type="page"/>
      </w:r>
    </w:p>
    <w:p w14:paraId="17CCD6D3" w14:textId="77777777" w:rsidR="004D3F6C" w:rsidRPr="00F96002" w:rsidRDefault="00000000">
      <w:pPr>
        <w:pStyle w:val="berschrift1"/>
        <w:spacing w:before="0" w:after="0" w:line="480" w:lineRule="auto"/>
        <w:jc w:val="left"/>
        <w:rPr>
          <w:sz w:val="22"/>
          <w:szCs w:val="22"/>
          <w:lang w:val="en-US"/>
        </w:rPr>
      </w:pPr>
      <w:bookmarkStart w:id="25" w:name="_6umlchlpjpif" w:colFirst="0" w:colLast="0"/>
      <w:bookmarkEnd w:id="25"/>
      <w:r w:rsidRPr="00F96002">
        <w:rPr>
          <w:sz w:val="22"/>
          <w:szCs w:val="22"/>
          <w:lang w:val="en-US"/>
        </w:rPr>
        <w:lastRenderedPageBreak/>
        <w:t>SUPPLEMENTARY TABLES</w:t>
      </w:r>
    </w:p>
    <w:p w14:paraId="17CCD6D4" w14:textId="77777777" w:rsidR="004D3F6C" w:rsidRPr="00F96002" w:rsidRDefault="00000000">
      <w:pPr>
        <w:pStyle w:val="berschrift2"/>
        <w:spacing w:after="120" w:line="480" w:lineRule="auto"/>
        <w:jc w:val="left"/>
        <w:rPr>
          <w:lang w:val="en-US"/>
        </w:rPr>
      </w:pPr>
      <w:bookmarkStart w:id="26" w:name="_2cil4f7kvsaq" w:colFirst="0" w:colLast="0"/>
      <w:bookmarkEnd w:id="26"/>
      <w:r w:rsidRPr="00F96002">
        <w:rPr>
          <w:b/>
          <w:sz w:val="22"/>
          <w:szCs w:val="22"/>
          <w:lang w:val="en-US"/>
        </w:rPr>
        <w:t>Table S1</w:t>
      </w:r>
      <w:r w:rsidRPr="00F96002">
        <w:rPr>
          <w:sz w:val="22"/>
          <w:szCs w:val="22"/>
          <w:lang w:val="en-US"/>
        </w:rPr>
        <w:t xml:space="preserve"> | Phenotypic abnormalities of the face</w:t>
      </w:r>
    </w:p>
    <w:tbl>
      <w:tblPr>
        <w:tblStyle w:val="a"/>
        <w:tblW w:w="8125" w:type="dxa"/>
        <w:jc w:val="center"/>
        <w:tblInd w:w="0" w:type="dxa"/>
        <w:tblLayout w:type="fixed"/>
        <w:tblLook w:val="0400" w:firstRow="0" w:lastRow="0" w:firstColumn="0" w:lastColumn="0" w:noHBand="0" w:noVBand="1"/>
      </w:tblPr>
      <w:tblGrid>
        <w:gridCol w:w="3272"/>
        <w:gridCol w:w="1634"/>
        <w:gridCol w:w="1487"/>
        <w:gridCol w:w="1732"/>
      </w:tblGrid>
      <w:tr w:rsidR="004D3F6C" w:rsidRPr="00F96002" w14:paraId="17CCD6D9" w14:textId="77777777">
        <w:trPr>
          <w:cantSplit/>
          <w:tblHeader/>
          <w:jc w:val="center"/>
        </w:trPr>
        <w:tc>
          <w:tcPr>
            <w:tcW w:w="3272" w:type="dxa"/>
            <w:tcBorders>
              <w:top w:val="single" w:sz="16" w:space="0" w:color="666666"/>
              <w:left w:val="single" w:sz="16" w:space="0" w:color="000000"/>
              <w:bottom w:val="single" w:sz="16" w:space="0" w:color="000000"/>
              <w:right w:val="single" w:sz="16" w:space="0" w:color="000000"/>
            </w:tcBorders>
            <w:shd w:val="clear" w:color="auto" w:fill="FFFFFF"/>
            <w:tcMar>
              <w:top w:w="0" w:type="dxa"/>
              <w:left w:w="0" w:type="dxa"/>
              <w:bottom w:w="0" w:type="dxa"/>
              <w:right w:w="0" w:type="dxa"/>
            </w:tcMar>
            <w:vAlign w:val="center"/>
          </w:tcPr>
          <w:p w14:paraId="17CCD6D5"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Phenotype</w:t>
            </w:r>
          </w:p>
        </w:tc>
        <w:tc>
          <w:tcPr>
            <w:tcW w:w="1634" w:type="dxa"/>
            <w:tcBorders>
              <w:top w:val="single" w:sz="16" w:space="0" w:color="666666"/>
              <w:left w:val="single" w:sz="16" w:space="0" w:color="000000"/>
              <w:bottom w:val="single" w:sz="16" w:space="0" w:color="000000"/>
              <w:right w:val="single" w:sz="16" w:space="0" w:color="000000"/>
            </w:tcBorders>
            <w:shd w:val="clear" w:color="auto" w:fill="FFFFFF"/>
            <w:tcMar>
              <w:top w:w="0" w:type="dxa"/>
              <w:left w:w="0" w:type="dxa"/>
              <w:bottom w:w="0" w:type="dxa"/>
              <w:right w:w="0" w:type="dxa"/>
            </w:tcMar>
            <w:vAlign w:val="center"/>
          </w:tcPr>
          <w:p w14:paraId="17CCD6D6"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HPO</w:t>
            </w:r>
          </w:p>
        </w:tc>
        <w:tc>
          <w:tcPr>
            <w:tcW w:w="1487" w:type="dxa"/>
            <w:tcBorders>
              <w:top w:val="single" w:sz="16" w:space="0" w:color="666666"/>
              <w:left w:val="single" w:sz="16" w:space="0" w:color="000000"/>
              <w:bottom w:val="single" w:sz="16" w:space="0" w:color="000000"/>
              <w:right w:val="single" w:sz="16" w:space="0" w:color="000000"/>
            </w:tcBorders>
            <w:shd w:val="clear" w:color="auto" w:fill="FFFFFF"/>
            <w:tcMar>
              <w:top w:w="0" w:type="dxa"/>
              <w:left w:w="0" w:type="dxa"/>
              <w:bottom w:w="0" w:type="dxa"/>
              <w:right w:w="0" w:type="dxa"/>
            </w:tcMar>
            <w:vAlign w:val="center"/>
          </w:tcPr>
          <w:p w14:paraId="17CCD6D7"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proofErr w:type="spellStart"/>
            <w:r w:rsidRPr="00F96002">
              <w:rPr>
                <w:sz w:val="20"/>
                <w:szCs w:val="20"/>
                <w:lang w:val="en-US"/>
              </w:rPr>
              <w:t>GoF</w:t>
            </w:r>
            <w:proofErr w:type="spellEnd"/>
            <w:r w:rsidRPr="00F96002">
              <w:rPr>
                <w:sz w:val="20"/>
                <w:szCs w:val="20"/>
                <w:lang w:val="en-US"/>
              </w:rPr>
              <w:t xml:space="preserve"> cases</w:t>
            </w:r>
          </w:p>
        </w:tc>
        <w:tc>
          <w:tcPr>
            <w:tcW w:w="1732" w:type="dxa"/>
            <w:tcBorders>
              <w:top w:val="single" w:sz="16" w:space="0" w:color="666666"/>
              <w:left w:val="single" w:sz="16" w:space="0" w:color="000000"/>
              <w:bottom w:val="single" w:sz="16" w:space="0" w:color="000000"/>
              <w:right w:val="single" w:sz="16" w:space="0" w:color="000000"/>
            </w:tcBorders>
            <w:shd w:val="clear" w:color="auto" w:fill="FFFFFF"/>
            <w:tcMar>
              <w:top w:w="0" w:type="dxa"/>
              <w:left w:w="0" w:type="dxa"/>
              <w:bottom w:w="0" w:type="dxa"/>
              <w:right w:w="0" w:type="dxa"/>
            </w:tcMar>
            <w:vAlign w:val="center"/>
          </w:tcPr>
          <w:p w14:paraId="17CCD6D8"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proofErr w:type="spellStart"/>
            <w:r w:rsidRPr="00F96002">
              <w:rPr>
                <w:sz w:val="20"/>
                <w:szCs w:val="20"/>
                <w:lang w:val="en-US"/>
              </w:rPr>
              <w:t>LoF</w:t>
            </w:r>
            <w:proofErr w:type="spellEnd"/>
            <w:r w:rsidRPr="00F96002">
              <w:rPr>
                <w:sz w:val="20"/>
                <w:szCs w:val="20"/>
                <w:lang w:val="en-US"/>
              </w:rPr>
              <w:t xml:space="preserve"> cases</w:t>
            </w:r>
          </w:p>
        </w:tc>
      </w:tr>
      <w:tr w:rsidR="004D3F6C" w:rsidRPr="00F96002" w14:paraId="17CCD6DE" w14:textId="77777777">
        <w:trPr>
          <w:cantSplit/>
          <w:jc w:val="center"/>
        </w:trPr>
        <w:tc>
          <w:tcPr>
            <w:tcW w:w="3272" w:type="dxa"/>
            <w:tcBorders>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6DA"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Abnormal facial shape</w:t>
            </w:r>
          </w:p>
        </w:tc>
        <w:tc>
          <w:tcPr>
            <w:tcW w:w="1634" w:type="dxa"/>
            <w:tcBorders>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6DB"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HP:0001999</w:t>
            </w:r>
          </w:p>
        </w:tc>
        <w:tc>
          <w:tcPr>
            <w:tcW w:w="1487" w:type="dxa"/>
            <w:tcBorders>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6DC"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732" w:type="dxa"/>
            <w:tcBorders>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6DD"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(16/16)</w:t>
            </w:r>
          </w:p>
        </w:tc>
      </w:tr>
      <w:tr w:rsidR="004D3F6C" w:rsidRPr="00F96002" w14:paraId="17CCD6E3" w14:textId="77777777">
        <w:trPr>
          <w:cantSplit/>
          <w:jc w:val="center"/>
        </w:trPr>
        <w:tc>
          <w:tcPr>
            <w:tcW w:w="3272" w:type="dxa"/>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6DF"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Coarse facial features</w:t>
            </w:r>
          </w:p>
        </w:tc>
        <w:tc>
          <w:tcPr>
            <w:tcW w:w="1634"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6E0"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HP:0000280</w:t>
            </w:r>
          </w:p>
        </w:tc>
        <w:tc>
          <w:tcPr>
            <w:tcW w:w="1487"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6E1"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732"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6E2"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12% (2/16)</w:t>
            </w:r>
          </w:p>
        </w:tc>
      </w:tr>
      <w:tr w:rsidR="004D3F6C" w:rsidRPr="00F96002" w14:paraId="17CCD6E8" w14:textId="77777777">
        <w:trPr>
          <w:cantSplit/>
          <w:jc w:val="center"/>
        </w:trPr>
        <w:tc>
          <w:tcPr>
            <w:tcW w:w="3272" w:type="dxa"/>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6E4"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Triangular face</w:t>
            </w:r>
          </w:p>
        </w:tc>
        <w:tc>
          <w:tcPr>
            <w:tcW w:w="1634"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6E5"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HP:0000325</w:t>
            </w:r>
          </w:p>
        </w:tc>
        <w:tc>
          <w:tcPr>
            <w:tcW w:w="1487"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6E6"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0% (0/2)</w:t>
            </w:r>
          </w:p>
        </w:tc>
        <w:tc>
          <w:tcPr>
            <w:tcW w:w="1732"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6E7"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81% (13/16)</w:t>
            </w:r>
          </w:p>
        </w:tc>
      </w:tr>
      <w:tr w:rsidR="004D3F6C" w:rsidRPr="00F96002" w14:paraId="17CCD6ED" w14:textId="77777777">
        <w:trPr>
          <w:cantSplit/>
          <w:jc w:val="center"/>
        </w:trPr>
        <w:tc>
          <w:tcPr>
            <w:tcW w:w="3272" w:type="dxa"/>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6E9"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Square face</w:t>
            </w:r>
          </w:p>
        </w:tc>
        <w:tc>
          <w:tcPr>
            <w:tcW w:w="1634"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6EA"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HP:0000321</w:t>
            </w:r>
          </w:p>
        </w:tc>
        <w:tc>
          <w:tcPr>
            <w:tcW w:w="1487"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6EB"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732"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6EC"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0% (0/16)</w:t>
            </w:r>
          </w:p>
        </w:tc>
      </w:tr>
      <w:tr w:rsidR="004D3F6C" w:rsidRPr="00F96002" w14:paraId="17CCD6F2" w14:textId="77777777">
        <w:trPr>
          <w:cantSplit/>
          <w:jc w:val="center"/>
        </w:trPr>
        <w:tc>
          <w:tcPr>
            <w:tcW w:w="3272" w:type="dxa"/>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6EE"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Thick hair</w:t>
            </w:r>
          </w:p>
        </w:tc>
        <w:tc>
          <w:tcPr>
            <w:tcW w:w="1634"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6EF"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HP:0100874</w:t>
            </w:r>
          </w:p>
        </w:tc>
        <w:tc>
          <w:tcPr>
            <w:tcW w:w="1487"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6F0"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732"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6F1"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0% (0/1)</w:t>
            </w:r>
          </w:p>
        </w:tc>
      </w:tr>
      <w:tr w:rsidR="004D3F6C" w:rsidRPr="00F96002" w14:paraId="17CCD6F7" w14:textId="77777777">
        <w:trPr>
          <w:cantSplit/>
          <w:jc w:val="center"/>
        </w:trPr>
        <w:tc>
          <w:tcPr>
            <w:tcW w:w="3272" w:type="dxa"/>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6F3"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High anterior hairline</w:t>
            </w:r>
          </w:p>
        </w:tc>
        <w:tc>
          <w:tcPr>
            <w:tcW w:w="1634"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6F4"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HP:0009890</w:t>
            </w:r>
          </w:p>
        </w:tc>
        <w:tc>
          <w:tcPr>
            <w:tcW w:w="1487"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6F5"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0% (0/2)</w:t>
            </w:r>
          </w:p>
        </w:tc>
        <w:tc>
          <w:tcPr>
            <w:tcW w:w="1732"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6F6"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80% (12/15)</w:t>
            </w:r>
          </w:p>
        </w:tc>
      </w:tr>
      <w:tr w:rsidR="004D3F6C" w:rsidRPr="00F96002" w14:paraId="17CCD6FC" w14:textId="77777777">
        <w:trPr>
          <w:cantSplit/>
          <w:jc w:val="center"/>
        </w:trPr>
        <w:tc>
          <w:tcPr>
            <w:tcW w:w="3272" w:type="dxa"/>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6F8"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Low anterior hairline</w:t>
            </w:r>
          </w:p>
        </w:tc>
        <w:tc>
          <w:tcPr>
            <w:tcW w:w="1634"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6F9"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HP:0000294</w:t>
            </w:r>
          </w:p>
        </w:tc>
        <w:tc>
          <w:tcPr>
            <w:tcW w:w="1487"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6FA"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732"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6FB"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13% (2/15)</w:t>
            </w:r>
          </w:p>
        </w:tc>
      </w:tr>
      <w:tr w:rsidR="004D3F6C" w:rsidRPr="00F96002" w14:paraId="17CCD701" w14:textId="77777777">
        <w:trPr>
          <w:cantSplit/>
          <w:jc w:val="center"/>
        </w:trPr>
        <w:tc>
          <w:tcPr>
            <w:tcW w:w="3272" w:type="dxa"/>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6FD"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Broad forehead</w:t>
            </w:r>
          </w:p>
        </w:tc>
        <w:tc>
          <w:tcPr>
            <w:tcW w:w="1634"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6FE"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HP:0000337</w:t>
            </w:r>
          </w:p>
        </w:tc>
        <w:tc>
          <w:tcPr>
            <w:tcW w:w="1487"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6FF"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0% (0/2)</w:t>
            </w:r>
          </w:p>
        </w:tc>
        <w:tc>
          <w:tcPr>
            <w:tcW w:w="1732"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00"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81% (13/16)</w:t>
            </w:r>
          </w:p>
        </w:tc>
      </w:tr>
      <w:tr w:rsidR="004D3F6C" w:rsidRPr="00F96002" w14:paraId="17CCD706" w14:textId="77777777">
        <w:trPr>
          <w:cantSplit/>
          <w:jc w:val="center"/>
        </w:trPr>
        <w:tc>
          <w:tcPr>
            <w:tcW w:w="3272" w:type="dxa"/>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02"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Laterally sparse eyebrows</w:t>
            </w:r>
          </w:p>
        </w:tc>
        <w:tc>
          <w:tcPr>
            <w:tcW w:w="1634"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03"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HP:0005338</w:t>
            </w:r>
          </w:p>
        </w:tc>
        <w:tc>
          <w:tcPr>
            <w:tcW w:w="1487"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04"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50% (1/2)</w:t>
            </w:r>
          </w:p>
        </w:tc>
        <w:tc>
          <w:tcPr>
            <w:tcW w:w="1732"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05"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53% (8/15)</w:t>
            </w:r>
          </w:p>
        </w:tc>
      </w:tr>
      <w:tr w:rsidR="004D3F6C" w:rsidRPr="00F96002" w14:paraId="17CCD70B" w14:textId="77777777">
        <w:trPr>
          <w:cantSplit/>
          <w:jc w:val="center"/>
        </w:trPr>
        <w:tc>
          <w:tcPr>
            <w:tcW w:w="3272" w:type="dxa"/>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07"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Large palpebral fissures</w:t>
            </w:r>
          </w:p>
        </w:tc>
        <w:tc>
          <w:tcPr>
            <w:tcW w:w="1634"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08"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HP:0001090</w:t>
            </w:r>
          </w:p>
        </w:tc>
        <w:tc>
          <w:tcPr>
            <w:tcW w:w="1487"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09"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50% (1/2)</w:t>
            </w:r>
          </w:p>
        </w:tc>
        <w:tc>
          <w:tcPr>
            <w:tcW w:w="1732"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0A"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67% (10/15)</w:t>
            </w:r>
          </w:p>
        </w:tc>
      </w:tr>
      <w:tr w:rsidR="004D3F6C" w:rsidRPr="00F96002" w14:paraId="17CCD710" w14:textId="77777777">
        <w:trPr>
          <w:cantSplit/>
          <w:jc w:val="center"/>
        </w:trPr>
        <w:tc>
          <w:tcPr>
            <w:tcW w:w="3272" w:type="dxa"/>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0C"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Hypertelorism</w:t>
            </w:r>
          </w:p>
        </w:tc>
        <w:tc>
          <w:tcPr>
            <w:tcW w:w="1634"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0D"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HP:0000316</w:t>
            </w:r>
          </w:p>
        </w:tc>
        <w:tc>
          <w:tcPr>
            <w:tcW w:w="1487"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0E"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50% (1/2)</w:t>
            </w:r>
          </w:p>
        </w:tc>
        <w:tc>
          <w:tcPr>
            <w:tcW w:w="1732"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0F"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37% (7/19)</w:t>
            </w:r>
          </w:p>
        </w:tc>
      </w:tr>
      <w:tr w:rsidR="004D3F6C" w:rsidRPr="00F96002" w14:paraId="17CCD715" w14:textId="77777777">
        <w:trPr>
          <w:cantSplit/>
          <w:jc w:val="center"/>
        </w:trPr>
        <w:tc>
          <w:tcPr>
            <w:tcW w:w="3272" w:type="dxa"/>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11"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Periorbital hyperpigmentation</w:t>
            </w:r>
          </w:p>
        </w:tc>
        <w:tc>
          <w:tcPr>
            <w:tcW w:w="1634"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12"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HP:0001106</w:t>
            </w:r>
          </w:p>
        </w:tc>
        <w:tc>
          <w:tcPr>
            <w:tcW w:w="1487"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13"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0% (0/2)</w:t>
            </w:r>
          </w:p>
        </w:tc>
        <w:tc>
          <w:tcPr>
            <w:tcW w:w="1732"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14"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86% (12/14)</w:t>
            </w:r>
          </w:p>
        </w:tc>
      </w:tr>
      <w:tr w:rsidR="004D3F6C" w:rsidRPr="00F96002" w14:paraId="17CCD71A" w14:textId="77777777">
        <w:trPr>
          <w:cantSplit/>
          <w:jc w:val="center"/>
        </w:trPr>
        <w:tc>
          <w:tcPr>
            <w:tcW w:w="3272" w:type="dxa"/>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16"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Infra-orbital crease</w:t>
            </w:r>
          </w:p>
        </w:tc>
        <w:tc>
          <w:tcPr>
            <w:tcW w:w="1634"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17"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HP:0100876</w:t>
            </w:r>
          </w:p>
        </w:tc>
        <w:tc>
          <w:tcPr>
            <w:tcW w:w="1487"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18"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732"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19"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33% (4/12)</w:t>
            </w:r>
          </w:p>
        </w:tc>
      </w:tr>
      <w:tr w:rsidR="004D3F6C" w:rsidRPr="00F96002" w14:paraId="17CCD71F" w14:textId="77777777">
        <w:trPr>
          <w:cantSplit/>
          <w:jc w:val="center"/>
        </w:trPr>
        <w:tc>
          <w:tcPr>
            <w:tcW w:w="3272" w:type="dxa"/>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1B"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Anteverted nares</w:t>
            </w:r>
          </w:p>
        </w:tc>
        <w:tc>
          <w:tcPr>
            <w:tcW w:w="1634"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1C"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HP:0000463</w:t>
            </w:r>
          </w:p>
        </w:tc>
        <w:tc>
          <w:tcPr>
            <w:tcW w:w="1487"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1D"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732"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1E"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0% (0/15)</w:t>
            </w:r>
          </w:p>
        </w:tc>
      </w:tr>
      <w:tr w:rsidR="004D3F6C" w:rsidRPr="00F96002" w14:paraId="17CCD724" w14:textId="77777777">
        <w:trPr>
          <w:cantSplit/>
          <w:jc w:val="center"/>
        </w:trPr>
        <w:tc>
          <w:tcPr>
            <w:tcW w:w="3272" w:type="dxa"/>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20"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Wide nasal bridge</w:t>
            </w:r>
          </w:p>
        </w:tc>
        <w:tc>
          <w:tcPr>
            <w:tcW w:w="1634"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21"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HP:0000431</w:t>
            </w:r>
          </w:p>
        </w:tc>
        <w:tc>
          <w:tcPr>
            <w:tcW w:w="1487"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22"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732"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23"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39% (7/18)</w:t>
            </w:r>
          </w:p>
        </w:tc>
      </w:tr>
      <w:tr w:rsidR="004D3F6C" w:rsidRPr="00F96002" w14:paraId="17CCD729" w14:textId="77777777">
        <w:trPr>
          <w:cantSplit/>
          <w:jc w:val="center"/>
        </w:trPr>
        <w:tc>
          <w:tcPr>
            <w:tcW w:w="3272" w:type="dxa"/>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25"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Long philtrum</w:t>
            </w:r>
          </w:p>
        </w:tc>
        <w:tc>
          <w:tcPr>
            <w:tcW w:w="1634"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26"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HP:0000343</w:t>
            </w:r>
          </w:p>
        </w:tc>
        <w:tc>
          <w:tcPr>
            <w:tcW w:w="1487"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27"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732"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28"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7% (1/15)</w:t>
            </w:r>
          </w:p>
        </w:tc>
      </w:tr>
      <w:tr w:rsidR="004D3F6C" w:rsidRPr="00F96002" w14:paraId="17CCD72E" w14:textId="77777777">
        <w:trPr>
          <w:cantSplit/>
          <w:jc w:val="center"/>
        </w:trPr>
        <w:tc>
          <w:tcPr>
            <w:tcW w:w="3272" w:type="dxa"/>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2A"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Short philtrum</w:t>
            </w:r>
          </w:p>
        </w:tc>
        <w:tc>
          <w:tcPr>
            <w:tcW w:w="1634"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2B"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HP:0000322</w:t>
            </w:r>
          </w:p>
        </w:tc>
        <w:tc>
          <w:tcPr>
            <w:tcW w:w="1487"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2C"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0% (0/2)</w:t>
            </w:r>
          </w:p>
        </w:tc>
        <w:tc>
          <w:tcPr>
            <w:tcW w:w="1732"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2D"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40% (6/15)</w:t>
            </w:r>
          </w:p>
        </w:tc>
      </w:tr>
      <w:tr w:rsidR="004D3F6C" w:rsidRPr="00F96002" w14:paraId="17CCD733" w14:textId="77777777">
        <w:trPr>
          <w:cantSplit/>
          <w:jc w:val="center"/>
        </w:trPr>
        <w:tc>
          <w:tcPr>
            <w:tcW w:w="3272" w:type="dxa"/>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2F"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Thin upper lip</w:t>
            </w:r>
          </w:p>
        </w:tc>
        <w:tc>
          <w:tcPr>
            <w:tcW w:w="1634"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30"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HP:0000219</w:t>
            </w:r>
          </w:p>
        </w:tc>
        <w:tc>
          <w:tcPr>
            <w:tcW w:w="1487"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31"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732"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32"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35% (6/17)</w:t>
            </w:r>
          </w:p>
        </w:tc>
      </w:tr>
      <w:tr w:rsidR="004D3F6C" w:rsidRPr="00F96002" w14:paraId="17CCD738" w14:textId="77777777">
        <w:trPr>
          <w:cantSplit/>
          <w:jc w:val="center"/>
        </w:trPr>
        <w:tc>
          <w:tcPr>
            <w:tcW w:w="3272" w:type="dxa"/>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34"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Exaggerated cupid's bow</w:t>
            </w:r>
          </w:p>
        </w:tc>
        <w:tc>
          <w:tcPr>
            <w:tcW w:w="1634"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35"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HP:0002263</w:t>
            </w:r>
          </w:p>
        </w:tc>
        <w:tc>
          <w:tcPr>
            <w:tcW w:w="1487"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36"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732"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37"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0% (0/14)</w:t>
            </w:r>
          </w:p>
        </w:tc>
      </w:tr>
      <w:tr w:rsidR="004D3F6C" w:rsidRPr="00F96002" w14:paraId="17CCD73D" w14:textId="77777777">
        <w:trPr>
          <w:cantSplit/>
          <w:jc w:val="center"/>
        </w:trPr>
        <w:tc>
          <w:tcPr>
            <w:tcW w:w="3272" w:type="dxa"/>
            <w:tcBorders>
              <w:top w:val="single" w:sz="8" w:space="0" w:color="B3B3B3"/>
              <w:left w:val="single" w:sz="16" w:space="0" w:color="000000"/>
              <w:bottom w:val="single" w:sz="16" w:space="0" w:color="000000"/>
              <w:right w:val="single" w:sz="16" w:space="0" w:color="000000"/>
            </w:tcBorders>
            <w:shd w:val="clear" w:color="auto" w:fill="FFFFFF"/>
            <w:tcMar>
              <w:top w:w="0" w:type="dxa"/>
              <w:left w:w="0" w:type="dxa"/>
              <w:bottom w:w="0" w:type="dxa"/>
              <w:right w:w="0" w:type="dxa"/>
            </w:tcMar>
            <w:vAlign w:val="center"/>
          </w:tcPr>
          <w:p w14:paraId="17CCD739"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Posteriorly rotated ears</w:t>
            </w:r>
          </w:p>
        </w:tc>
        <w:tc>
          <w:tcPr>
            <w:tcW w:w="1634" w:type="dxa"/>
            <w:tcBorders>
              <w:top w:val="single" w:sz="8" w:space="0" w:color="B3B3B3"/>
              <w:left w:val="single" w:sz="16" w:space="0" w:color="000000"/>
              <w:bottom w:val="single" w:sz="16" w:space="0" w:color="000000"/>
              <w:right w:val="single" w:sz="8" w:space="0" w:color="B3B3B3"/>
            </w:tcBorders>
            <w:shd w:val="clear" w:color="auto" w:fill="FFFFFF"/>
            <w:tcMar>
              <w:top w:w="0" w:type="dxa"/>
              <w:left w:w="0" w:type="dxa"/>
              <w:bottom w:w="0" w:type="dxa"/>
              <w:right w:w="0" w:type="dxa"/>
            </w:tcMar>
            <w:vAlign w:val="center"/>
          </w:tcPr>
          <w:p w14:paraId="17CCD73A"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HP:0000358</w:t>
            </w:r>
          </w:p>
        </w:tc>
        <w:tc>
          <w:tcPr>
            <w:tcW w:w="1487" w:type="dxa"/>
            <w:tcBorders>
              <w:top w:val="single" w:sz="8" w:space="0" w:color="B3B3B3"/>
              <w:left w:val="single" w:sz="8" w:space="0" w:color="B3B3B3"/>
              <w:bottom w:val="single" w:sz="16" w:space="0" w:color="000000"/>
              <w:right w:val="single" w:sz="8" w:space="0" w:color="B3B3B3"/>
            </w:tcBorders>
            <w:shd w:val="clear" w:color="auto" w:fill="FFFFFF"/>
            <w:tcMar>
              <w:top w:w="0" w:type="dxa"/>
              <w:left w:w="0" w:type="dxa"/>
              <w:bottom w:w="0" w:type="dxa"/>
              <w:right w:w="0" w:type="dxa"/>
            </w:tcMar>
            <w:vAlign w:val="center"/>
          </w:tcPr>
          <w:p w14:paraId="17CCD73B"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50% (1/2)</w:t>
            </w:r>
          </w:p>
        </w:tc>
        <w:tc>
          <w:tcPr>
            <w:tcW w:w="1732" w:type="dxa"/>
            <w:tcBorders>
              <w:top w:val="single" w:sz="8" w:space="0" w:color="B3B3B3"/>
              <w:left w:val="single" w:sz="8" w:space="0" w:color="B3B3B3"/>
              <w:bottom w:val="single" w:sz="16" w:space="0" w:color="000000"/>
              <w:right w:val="single" w:sz="8" w:space="0" w:color="B3B3B3"/>
            </w:tcBorders>
            <w:shd w:val="clear" w:color="auto" w:fill="FFFFFF"/>
            <w:tcMar>
              <w:top w:w="0" w:type="dxa"/>
              <w:left w:w="0" w:type="dxa"/>
              <w:bottom w:w="0" w:type="dxa"/>
              <w:right w:w="0" w:type="dxa"/>
            </w:tcMar>
            <w:vAlign w:val="center"/>
          </w:tcPr>
          <w:p w14:paraId="17CCD73C"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80% (4/5)</w:t>
            </w:r>
          </w:p>
        </w:tc>
      </w:tr>
    </w:tbl>
    <w:p w14:paraId="17CCD73E" w14:textId="77777777" w:rsidR="004D3F6C" w:rsidRPr="00F96002" w:rsidRDefault="004D3F6C">
      <w:pPr>
        <w:pStyle w:val="berschrift2"/>
        <w:rPr>
          <w:b/>
          <w:sz w:val="22"/>
          <w:szCs w:val="22"/>
          <w:lang w:val="en-US"/>
        </w:rPr>
      </w:pPr>
      <w:bookmarkStart w:id="27" w:name="_b9p9kus7v50t" w:colFirst="0" w:colLast="0"/>
      <w:bookmarkEnd w:id="27"/>
    </w:p>
    <w:p w14:paraId="17CCD73F" w14:textId="77777777" w:rsidR="004D3F6C" w:rsidRPr="00F96002" w:rsidRDefault="00000000">
      <w:pPr>
        <w:pStyle w:val="berschrift2"/>
        <w:rPr>
          <w:b/>
          <w:sz w:val="22"/>
          <w:szCs w:val="22"/>
          <w:lang w:val="en-US"/>
        </w:rPr>
      </w:pPr>
      <w:bookmarkStart w:id="28" w:name="_yexnlupm2bka" w:colFirst="0" w:colLast="0"/>
      <w:bookmarkEnd w:id="28"/>
      <w:r w:rsidRPr="00F96002">
        <w:rPr>
          <w:lang w:val="en-US"/>
        </w:rPr>
        <w:br w:type="page"/>
      </w:r>
    </w:p>
    <w:p w14:paraId="17CCD740" w14:textId="77777777" w:rsidR="004D3F6C" w:rsidRPr="00F96002" w:rsidRDefault="00000000">
      <w:pPr>
        <w:pStyle w:val="berschrift2"/>
        <w:rPr>
          <w:lang w:val="en-US"/>
        </w:rPr>
      </w:pPr>
      <w:bookmarkStart w:id="29" w:name="_rgexhace7lg1" w:colFirst="0" w:colLast="0"/>
      <w:bookmarkEnd w:id="29"/>
      <w:r w:rsidRPr="00F96002">
        <w:rPr>
          <w:b/>
          <w:sz w:val="22"/>
          <w:szCs w:val="22"/>
          <w:lang w:val="en-US"/>
        </w:rPr>
        <w:lastRenderedPageBreak/>
        <w:t>Table S2</w:t>
      </w:r>
      <w:r w:rsidRPr="00F96002">
        <w:rPr>
          <w:sz w:val="22"/>
          <w:szCs w:val="22"/>
          <w:lang w:val="en-US"/>
        </w:rPr>
        <w:t xml:space="preserve"> | Comparison of other phenotypes between of </w:t>
      </w:r>
      <w:proofErr w:type="spellStart"/>
      <w:r w:rsidRPr="00F96002">
        <w:rPr>
          <w:sz w:val="22"/>
          <w:szCs w:val="22"/>
          <w:lang w:val="en-US"/>
        </w:rPr>
        <w:t>GoF</w:t>
      </w:r>
      <w:proofErr w:type="spellEnd"/>
      <w:r w:rsidRPr="00F96002">
        <w:rPr>
          <w:sz w:val="22"/>
          <w:szCs w:val="22"/>
          <w:lang w:val="en-US"/>
        </w:rPr>
        <w:t xml:space="preserve"> and </w:t>
      </w:r>
      <w:proofErr w:type="spellStart"/>
      <w:r w:rsidRPr="00F96002">
        <w:rPr>
          <w:sz w:val="22"/>
          <w:szCs w:val="22"/>
          <w:lang w:val="en-US"/>
        </w:rPr>
        <w:t>LoF</w:t>
      </w:r>
      <w:proofErr w:type="spellEnd"/>
      <w:r w:rsidRPr="00F96002">
        <w:rPr>
          <w:sz w:val="22"/>
          <w:szCs w:val="22"/>
          <w:lang w:val="en-US"/>
        </w:rPr>
        <w:t xml:space="preserve"> cases</w:t>
      </w:r>
    </w:p>
    <w:tbl>
      <w:tblPr>
        <w:tblStyle w:val="a0"/>
        <w:tblW w:w="10445" w:type="dxa"/>
        <w:jc w:val="center"/>
        <w:tblInd w:w="0" w:type="dxa"/>
        <w:tblLayout w:type="fixed"/>
        <w:tblLook w:val="0400" w:firstRow="0" w:lastRow="0" w:firstColumn="0" w:lastColumn="0" w:noHBand="0" w:noVBand="1"/>
      </w:tblPr>
      <w:tblGrid>
        <w:gridCol w:w="1785"/>
        <w:gridCol w:w="3360"/>
        <w:gridCol w:w="2520"/>
        <w:gridCol w:w="1460"/>
        <w:gridCol w:w="1320"/>
      </w:tblGrid>
      <w:tr w:rsidR="004D3F6C" w:rsidRPr="00F96002" w14:paraId="17CCD746" w14:textId="77777777">
        <w:trPr>
          <w:cantSplit/>
          <w:trHeight w:val="301"/>
          <w:tblHeader/>
          <w:jc w:val="center"/>
        </w:trPr>
        <w:tc>
          <w:tcPr>
            <w:tcW w:w="1785" w:type="dxa"/>
            <w:tcBorders>
              <w:top w:val="single" w:sz="16" w:space="0" w:color="666666"/>
              <w:left w:val="single" w:sz="16" w:space="0" w:color="000000"/>
              <w:bottom w:val="single" w:sz="16" w:space="0" w:color="000000"/>
              <w:right w:val="single" w:sz="16" w:space="0" w:color="000000"/>
            </w:tcBorders>
            <w:shd w:val="clear" w:color="auto" w:fill="FFFFFF"/>
            <w:tcMar>
              <w:top w:w="0" w:type="dxa"/>
              <w:left w:w="0" w:type="dxa"/>
              <w:bottom w:w="0" w:type="dxa"/>
              <w:right w:w="0" w:type="dxa"/>
            </w:tcMar>
            <w:vAlign w:val="center"/>
          </w:tcPr>
          <w:p w14:paraId="17CCD741"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group</w:t>
            </w:r>
          </w:p>
        </w:tc>
        <w:tc>
          <w:tcPr>
            <w:tcW w:w="3360" w:type="dxa"/>
            <w:tcBorders>
              <w:top w:val="single" w:sz="16" w:space="0" w:color="666666"/>
              <w:left w:val="single" w:sz="16" w:space="0" w:color="000000"/>
              <w:bottom w:val="single" w:sz="16" w:space="0" w:color="000000"/>
              <w:right w:val="single" w:sz="16" w:space="0" w:color="000000"/>
            </w:tcBorders>
            <w:shd w:val="clear" w:color="auto" w:fill="FFFFFF"/>
            <w:tcMar>
              <w:top w:w="0" w:type="dxa"/>
              <w:left w:w="0" w:type="dxa"/>
              <w:bottom w:w="0" w:type="dxa"/>
              <w:right w:w="0" w:type="dxa"/>
            </w:tcMar>
            <w:vAlign w:val="center"/>
          </w:tcPr>
          <w:p w14:paraId="17CCD742"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Phenotype</w:t>
            </w:r>
          </w:p>
        </w:tc>
        <w:tc>
          <w:tcPr>
            <w:tcW w:w="2520" w:type="dxa"/>
            <w:tcBorders>
              <w:top w:val="single" w:sz="16" w:space="0" w:color="666666"/>
              <w:left w:val="single" w:sz="16" w:space="0" w:color="000000"/>
              <w:bottom w:val="single" w:sz="16" w:space="0" w:color="000000"/>
              <w:right w:val="single" w:sz="16" w:space="0" w:color="000000"/>
            </w:tcBorders>
            <w:shd w:val="clear" w:color="auto" w:fill="FFFFFF"/>
            <w:tcMar>
              <w:top w:w="0" w:type="dxa"/>
              <w:left w:w="0" w:type="dxa"/>
              <w:bottom w:w="0" w:type="dxa"/>
              <w:right w:w="0" w:type="dxa"/>
            </w:tcMar>
            <w:vAlign w:val="center"/>
          </w:tcPr>
          <w:p w14:paraId="17CCD743"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HPO</w:t>
            </w:r>
          </w:p>
        </w:tc>
        <w:tc>
          <w:tcPr>
            <w:tcW w:w="1460" w:type="dxa"/>
            <w:tcBorders>
              <w:top w:val="single" w:sz="16" w:space="0" w:color="666666"/>
              <w:left w:val="single" w:sz="16" w:space="0" w:color="000000"/>
              <w:bottom w:val="single" w:sz="16" w:space="0" w:color="000000"/>
              <w:right w:val="single" w:sz="16" w:space="0" w:color="000000"/>
            </w:tcBorders>
            <w:shd w:val="clear" w:color="auto" w:fill="FFFFFF"/>
            <w:tcMar>
              <w:top w:w="0" w:type="dxa"/>
              <w:left w:w="0" w:type="dxa"/>
              <w:bottom w:w="0" w:type="dxa"/>
              <w:right w:w="0" w:type="dxa"/>
            </w:tcMar>
            <w:vAlign w:val="center"/>
          </w:tcPr>
          <w:p w14:paraId="17CCD744"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proofErr w:type="spellStart"/>
            <w:r w:rsidRPr="00F96002">
              <w:rPr>
                <w:sz w:val="20"/>
                <w:szCs w:val="20"/>
                <w:lang w:val="en-US"/>
              </w:rPr>
              <w:t>GoF</w:t>
            </w:r>
            <w:proofErr w:type="spellEnd"/>
            <w:r w:rsidRPr="00F96002">
              <w:rPr>
                <w:sz w:val="20"/>
                <w:szCs w:val="20"/>
                <w:lang w:val="en-US"/>
              </w:rPr>
              <w:t xml:space="preserve"> cases</w:t>
            </w:r>
          </w:p>
        </w:tc>
        <w:tc>
          <w:tcPr>
            <w:tcW w:w="1320" w:type="dxa"/>
            <w:tcBorders>
              <w:top w:val="single" w:sz="16" w:space="0" w:color="666666"/>
              <w:left w:val="single" w:sz="16" w:space="0" w:color="000000"/>
              <w:bottom w:val="single" w:sz="16" w:space="0" w:color="000000"/>
              <w:right w:val="single" w:sz="16" w:space="0" w:color="000000"/>
            </w:tcBorders>
            <w:shd w:val="clear" w:color="auto" w:fill="FFFFFF"/>
            <w:tcMar>
              <w:top w:w="0" w:type="dxa"/>
              <w:left w:w="0" w:type="dxa"/>
              <w:bottom w:w="0" w:type="dxa"/>
              <w:right w:w="0" w:type="dxa"/>
            </w:tcMar>
            <w:vAlign w:val="center"/>
          </w:tcPr>
          <w:p w14:paraId="17CCD745"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proofErr w:type="spellStart"/>
            <w:r w:rsidRPr="00F96002">
              <w:rPr>
                <w:sz w:val="20"/>
                <w:szCs w:val="20"/>
                <w:lang w:val="en-US"/>
              </w:rPr>
              <w:t>LoF</w:t>
            </w:r>
            <w:proofErr w:type="spellEnd"/>
            <w:r w:rsidRPr="00F96002">
              <w:rPr>
                <w:sz w:val="20"/>
                <w:szCs w:val="20"/>
                <w:lang w:val="en-US"/>
              </w:rPr>
              <w:t xml:space="preserve"> cases</w:t>
            </w:r>
          </w:p>
        </w:tc>
      </w:tr>
      <w:tr w:rsidR="004D3F6C" w:rsidRPr="00F96002" w14:paraId="17CCD74C" w14:textId="77777777">
        <w:trPr>
          <w:cantSplit/>
          <w:trHeight w:val="334"/>
          <w:jc w:val="center"/>
        </w:trPr>
        <w:tc>
          <w:tcPr>
            <w:tcW w:w="1785" w:type="dxa"/>
            <w:vMerge w:val="restart"/>
            <w:tcBorders>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47"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Phenotypical abnormalities of body</w:t>
            </w:r>
          </w:p>
        </w:tc>
        <w:tc>
          <w:tcPr>
            <w:tcW w:w="3360" w:type="dxa"/>
            <w:tcBorders>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48"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Abnormality of the foot</w:t>
            </w:r>
          </w:p>
        </w:tc>
        <w:tc>
          <w:tcPr>
            <w:tcW w:w="2520" w:type="dxa"/>
            <w:tcBorders>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49"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HP:0001760</w:t>
            </w:r>
          </w:p>
        </w:tc>
        <w:tc>
          <w:tcPr>
            <w:tcW w:w="1460" w:type="dxa"/>
            <w:tcBorders>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4A"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320" w:type="dxa"/>
            <w:tcBorders>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4B"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25% (5/20)</w:t>
            </w:r>
          </w:p>
        </w:tc>
      </w:tr>
      <w:tr w:rsidR="004D3F6C" w:rsidRPr="00F96002" w14:paraId="17CCD752" w14:textId="77777777">
        <w:trPr>
          <w:cantSplit/>
          <w:trHeight w:val="103"/>
          <w:jc w:val="center"/>
        </w:trPr>
        <w:tc>
          <w:tcPr>
            <w:tcW w:w="1785" w:type="dxa"/>
            <w:vMerge/>
            <w:tcBorders>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4D" w14:textId="77777777" w:rsidR="004D3F6C" w:rsidRPr="00F96002" w:rsidRDefault="004D3F6C">
            <w:pPr>
              <w:widowControl w:val="0"/>
              <w:spacing w:before="0" w:after="0" w:line="276" w:lineRule="auto"/>
              <w:jc w:val="left"/>
              <w:rPr>
                <w:rFonts w:ascii="Cambria" w:eastAsia="Cambria" w:hAnsi="Cambria" w:cs="Cambria"/>
                <w:lang w:val="en-US"/>
              </w:rPr>
            </w:pP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4E"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Abnormality of the hand</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4F"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HP:0001155</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50"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51"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25% (5/20)</w:t>
            </w:r>
          </w:p>
        </w:tc>
      </w:tr>
      <w:tr w:rsidR="004D3F6C" w:rsidRPr="00F96002" w14:paraId="17CCD758" w14:textId="77777777">
        <w:trPr>
          <w:cantSplit/>
          <w:trHeight w:val="464"/>
          <w:jc w:val="center"/>
        </w:trPr>
        <w:tc>
          <w:tcPr>
            <w:tcW w:w="1785" w:type="dxa"/>
            <w:vMerge/>
            <w:tcBorders>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53" w14:textId="77777777" w:rsidR="004D3F6C" w:rsidRPr="00F96002" w:rsidRDefault="004D3F6C">
            <w:pPr>
              <w:widowControl w:val="0"/>
              <w:spacing w:before="0" w:after="0" w:line="276" w:lineRule="auto"/>
              <w:jc w:val="left"/>
              <w:rPr>
                <w:rFonts w:ascii="Cambria" w:eastAsia="Cambria" w:hAnsi="Cambria" w:cs="Cambria"/>
                <w:lang w:val="en-US"/>
              </w:rPr>
            </w:pP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54"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Abnormality of skeletal morphology</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55"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HP:0011842</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56"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57"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24% (5/21)</w:t>
            </w:r>
          </w:p>
        </w:tc>
      </w:tr>
      <w:tr w:rsidR="004D3F6C" w:rsidRPr="00F96002" w14:paraId="17CCD75E" w14:textId="77777777">
        <w:trPr>
          <w:cantSplit/>
          <w:trHeight w:val="103"/>
          <w:jc w:val="center"/>
        </w:trPr>
        <w:tc>
          <w:tcPr>
            <w:tcW w:w="1785" w:type="dxa"/>
            <w:vMerge/>
            <w:tcBorders>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59" w14:textId="77777777" w:rsidR="004D3F6C" w:rsidRPr="00F96002" w:rsidRDefault="004D3F6C">
            <w:pPr>
              <w:widowControl w:val="0"/>
              <w:spacing w:before="0" w:after="0" w:line="276" w:lineRule="auto"/>
              <w:jc w:val="left"/>
              <w:rPr>
                <w:rFonts w:ascii="Cambria" w:eastAsia="Cambria" w:hAnsi="Cambria" w:cs="Cambria"/>
                <w:lang w:val="en-US"/>
              </w:rPr>
            </w:pP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5A"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Tapered fingers</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5B"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HP:0001182</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5C"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5D"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6% (1/18)</w:t>
            </w:r>
          </w:p>
        </w:tc>
      </w:tr>
      <w:tr w:rsidR="004D3F6C" w:rsidRPr="00F96002" w14:paraId="17CCD764" w14:textId="77777777">
        <w:trPr>
          <w:cantSplit/>
          <w:trHeight w:val="103"/>
          <w:jc w:val="center"/>
        </w:trPr>
        <w:tc>
          <w:tcPr>
            <w:tcW w:w="1785" w:type="dxa"/>
            <w:vMerge/>
            <w:tcBorders>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5F" w14:textId="77777777" w:rsidR="004D3F6C" w:rsidRPr="00F96002" w:rsidRDefault="004D3F6C">
            <w:pPr>
              <w:widowControl w:val="0"/>
              <w:spacing w:before="0" w:after="0" w:line="276" w:lineRule="auto"/>
              <w:jc w:val="left"/>
              <w:rPr>
                <w:rFonts w:ascii="Cambria" w:eastAsia="Cambria" w:hAnsi="Cambria" w:cs="Cambria"/>
                <w:lang w:val="en-US"/>
              </w:rPr>
            </w:pP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60"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Short neck</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61"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HP:0000470</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62"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63"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0% (0/12)</w:t>
            </w:r>
          </w:p>
        </w:tc>
      </w:tr>
      <w:tr w:rsidR="004D3F6C" w:rsidRPr="00F96002" w14:paraId="17CCD76A" w14:textId="77777777">
        <w:trPr>
          <w:cantSplit/>
          <w:trHeight w:val="103"/>
          <w:jc w:val="center"/>
        </w:trPr>
        <w:tc>
          <w:tcPr>
            <w:tcW w:w="1785" w:type="dxa"/>
            <w:vMerge/>
            <w:tcBorders>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65" w14:textId="77777777" w:rsidR="004D3F6C" w:rsidRPr="00F96002" w:rsidRDefault="004D3F6C">
            <w:pPr>
              <w:widowControl w:val="0"/>
              <w:spacing w:before="0" w:after="0" w:line="276" w:lineRule="auto"/>
              <w:jc w:val="left"/>
              <w:rPr>
                <w:rFonts w:ascii="Cambria" w:eastAsia="Cambria" w:hAnsi="Cambria" w:cs="Cambria"/>
                <w:lang w:val="en-US"/>
              </w:rPr>
            </w:pP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66"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Brachydactyly</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67"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HP:0001156</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68"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69"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proofErr w:type="spellStart"/>
            <w:r w:rsidRPr="00F96002">
              <w:rPr>
                <w:sz w:val="20"/>
                <w:szCs w:val="20"/>
                <w:lang w:val="en-US"/>
              </w:rPr>
              <w:t>NaN</w:t>
            </w:r>
            <w:proofErr w:type="spellEnd"/>
            <w:r w:rsidRPr="00F96002">
              <w:rPr>
                <w:sz w:val="20"/>
                <w:szCs w:val="20"/>
                <w:lang w:val="en-US"/>
              </w:rPr>
              <w:t>% (0/0)</w:t>
            </w:r>
          </w:p>
        </w:tc>
      </w:tr>
      <w:tr w:rsidR="004D3F6C" w:rsidRPr="00F96002" w14:paraId="17CCD770" w14:textId="77777777">
        <w:trPr>
          <w:cantSplit/>
          <w:trHeight w:val="103"/>
          <w:jc w:val="center"/>
        </w:trPr>
        <w:tc>
          <w:tcPr>
            <w:tcW w:w="1785" w:type="dxa"/>
            <w:vMerge/>
            <w:tcBorders>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6B" w14:textId="77777777" w:rsidR="004D3F6C" w:rsidRPr="00F96002" w:rsidRDefault="004D3F6C">
            <w:pPr>
              <w:widowControl w:val="0"/>
              <w:spacing w:before="0" w:after="0" w:line="276" w:lineRule="auto"/>
              <w:jc w:val="left"/>
              <w:rPr>
                <w:rFonts w:ascii="Cambria" w:eastAsia="Cambria" w:hAnsi="Cambria" w:cs="Cambria"/>
                <w:lang w:val="en-US"/>
              </w:rPr>
            </w:pP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6C"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Hypoplastic fingernails and toenails</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6D"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HP:0001804; HP:0001800</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6E"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6F"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proofErr w:type="spellStart"/>
            <w:r w:rsidRPr="00F96002">
              <w:rPr>
                <w:sz w:val="20"/>
                <w:szCs w:val="20"/>
                <w:lang w:val="en-US"/>
              </w:rPr>
              <w:t>NaN</w:t>
            </w:r>
            <w:proofErr w:type="spellEnd"/>
            <w:r w:rsidRPr="00F96002">
              <w:rPr>
                <w:sz w:val="20"/>
                <w:szCs w:val="20"/>
                <w:lang w:val="en-US"/>
              </w:rPr>
              <w:t>% (0/0)</w:t>
            </w:r>
          </w:p>
        </w:tc>
      </w:tr>
      <w:tr w:rsidR="004D3F6C" w:rsidRPr="00F96002" w14:paraId="17CCD776" w14:textId="77777777">
        <w:trPr>
          <w:cantSplit/>
          <w:trHeight w:val="103"/>
          <w:jc w:val="center"/>
        </w:trPr>
        <w:tc>
          <w:tcPr>
            <w:tcW w:w="1785" w:type="dxa"/>
            <w:vMerge/>
            <w:tcBorders>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71" w14:textId="77777777" w:rsidR="004D3F6C" w:rsidRPr="00F96002" w:rsidRDefault="004D3F6C">
            <w:pPr>
              <w:widowControl w:val="0"/>
              <w:spacing w:before="0" w:after="0" w:line="276" w:lineRule="auto"/>
              <w:jc w:val="left"/>
              <w:rPr>
                <w:rFonts w:ascii="Cambria" w:eastAsia="Cambria" w:hAnsi="Cambria" w:cs="Cambria"/>
                <w:lang w:val="en-US"/>
              </w:rPr>
            </w:pP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72"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Large hands</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73"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HP:0001176</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74"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75"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proofErr w:type="spellStart"/>
            <w:r w:rsidRPr="00F96002">
              <w:rPr>
                <w:sz w:val="20"/>
                <w:szCs w:val="20"/>
                <w:lang w:val="en-US"/>
              </w:rPr>
              <w:t>NaN</w:t>
            </w:r>
            <w:proofErr w:type="spellEnd"/>
            <w:r w:rsidRPr="00F96002">
              <w:rPr>
                <w:sz w:val="20"/>
                <w:szCs w:val="20"/>
                <w:lang w:val="en-US"/>
              </w:rPr>
              <w:t>% (0/0)</w:t>
            </w:r>
          </w:p>
        </w:tc>
      </w:tr>
      <w:tr w:rsidR="004D3F6C" w:rsidRPr="00F96002" w14:paraId="17CCD77C" w14:textId="77777777">
        <w:trPr>
          <w:cantSplit/>
          <w:trHeight w:val="103"/>
          <w:jc w:val="center"/>
        </w:trPr>
        <w:tc>
          <w:tcPr>
            <w:tcW w:w="1785" w:type="dxa"/>
            <w:vMerge/>
            <w:tcBorders>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77" w14:textId="77777777" w:rsidR="004D3F6C" w:rsidRPr="00F96002" w:rsidRDefault="004D3F6C">
            <w:pPr>
              <w:widowControl w:val="0"/>
              <w:spacing w:before="0" w:after="0" w:line="276" w:lineRule="auto"/>
              <w:jc w:val="left"/>
              <w:rPr>
                <w:rFonts w:ascii="Cambria" w:eastAsia="Cambria" w:hAnsi="Cambria" w:cs="Cambria"/>
                <w:lang w:val="en-US"/>
              </w:rPr>
            </w:pP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78"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Single transverse palmar crease</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79"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HP:0000954</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7A"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7B"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proofErr w:type="spellStart"/>
            <w:r w:rsidRPr="00F96002">
              <w:rPr>
                <w:sz w:val="20"/>
                <w:szCs w:val="20"/>
                <w:lang w:val="en-US"/>
              </w:rPr>
              <w:t>NaN</w:t>
            </w:r>
            <w:proofErr w:type="spellEnd"/>
            <w:r w:rsidRPr="00F96002">
              <w:rPr>
                <w:sz w:val="20"/>
                <w:szCs w:val="20"/>
                <w:lang w:val="en-US"/>
              </w:rPr>
              <w:t>% (0/0)</w:t>
            </w:r>
          </w:p>
        </w:tc>
      </w:tr>
      <w:tr w:rsidR="004D3F6C" w:rsidRPr="00F96002" w14:paraId="17CCD782" w14:textId="77777777">
        <w:trPr>
          <w:cantSplit/>
          <w:trHeight w:val="103"/>
          <w:jc w:val="center"/>
        </w:trPr>
        <w:tc>
          <w:tcPr>
            <w:tcW w:w="1785" w:type="dxa"/>
            <w:vMerge/>
            <w:tcBorders>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7D" w14:textId="77777777" w:rsidR="004D3F6C" w:rsidRPr="00F96002" w:rsidRDefault="004D3F6C">
            <w:pPr>
              <w:widowControl w:val="0"/>
              <w:spacing w:before="0" w:after="0" w:line="276" w:lineRule="auto"/>
              <w:jc w:val="left"/>
              <w:rPr>
                <w:rFonts w:ascii="Cambria" w:eastAsia="Cambria" w:hAnsi="Cambria" w:cs="Cambria"/>
                <w:lang w:val="en-US"/>
              </w:rPr>
            </w:pP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7E"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Short stature</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7F"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HP:0004322</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80"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50% (1/2)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81"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38% (9/24)</w:t>
            </w:r>
          </w:p>
        </w:tc>
      </w:tr>
      <w:tr w:rsidR="004D3F6C" w:rsidRPr="00F96002" w14:paraId="17CCD788" w14:textId="77777777">
        <w:trPr>
          <w:cantSplit/>
          <w:trHeight w:val="323"/>
          <w:jc w:val="center"/>
        </w:trPr>
        <w:tc>
          <w:tcPr>
            <w:tcW w:w="1785" w:type="dxa"/>
            <w:vMerge w:val="restart"/>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83"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Intellectual and social development</w:t>
            </w: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84"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Global developmental delay; Intellectual disability</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85"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HP:0001263; HP:0001249</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86"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87"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87% (20/23)</w:t>
            </w:r>
          </w:p>
        </w:tc>
      </w:tr>
      <w:tr w:rsidR="004D3F6C" w:rsidRPr="00F96002" w14:paraId="17CCD78E" w14:textId="77777777">
        <w:trPr>
          <w:cantSplit/>
          <w:trHeight w:val="103"/>
          <w:jc w:val="center"/>
        </w:trPr>
        <w:tc>
          <w:tcPr>
            <w:tcW w:w="1785" w:type="dxa"/>
            <w:vMerge/>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89" w14:textId="77777777" w:rsidR="004D3F6C" w:rsidRPr="00F96002" w:rsidRDefault="004D3F6C">
            <w:pPr>
              <w:widowControl w:val="0"/>
              <w:spacing w:before="0" w:after="0" w:line="276" w:lineRule="auto"/>
              <w:jc w:val="left"/>
              <w:rPr>
                <w:rFonts w:ascii="Cambria" w:eastAsia="Cambria" w:hAnsi="Cambria" w:cs="Cambria"/>
                <w:lang w:val="en-US"/>
              </w:rPr>
            </w:pP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8A"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moderate</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8B"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HP:0011343; HP:0002342</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8C"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8D"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0% (0/19)</w:t>
            </w:r>
          </w:p>
        </w:tc>
      </w:tr>
      <w:tr w:rsidR="004D3F6C" w:rsidRPr="00F96002" w14:paraId="17CCD794" w14:textId="77777777">
        <w:trPr>
          <w:cantSplit/>
          <w:trHeight w:val="103"/>
          <w:jc w:val="center"/>
        </w:trPr>
        <w:tc>
          <w:tcPr>
            <w:tcW w:w="1785" w:type="dxa"/>
            <w:vMerge/>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8F" w14:textId="77777777" w:rsidR="004D3F6C" w:rsidRPr="00F96002" w:rsidRDefault="004D3F6C">
            <w:pPr>
              <w:widowControl w:val="0"/>
              <w:spacing w:before="0" w:after="0" w:line="276" w:lineRule="auto"/>
              <w:jc w:val="left"/>
              <w:rPr>
                <w:rFonts w:ascii="Cambria" w:eastAsia="Cambria" w:hAnsi="Cambria" w:cs="Cambria"/>
                <w:lang w:val="en-US"/>
              </w:rPr>
            </w:pP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90"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mild</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91"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HP:0011342; HP:0001256</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92"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0% (0/2)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93"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74% (14/19)</w:t>
            </w:r>
          </w:p>
        </w:tc>
      </w:tr>
      <w:tr w:rsidR="004D3F6C" w:rsidRPr="00F96002" w14:paraId="17CCD79A" w14:textId="77777777">
        <w:trPr>
          <w:cantSplit/>
          <w:trHeight w:val="103"/>
          <w:jc w:val="center"/>
        </w:trPr>
        <w:tc>
          <w:tcPr>
            <w:tcW w:w="1785" w:type="dxa"/>
            <w:vMerge/>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95" w14:textId="77777777" w:rsidR="004D3F6C" w:rsidRPr="00F96002" w:rsidRDefault="004D3F6C">
            <w:pPr>
              <w:widowControl w:val="0"/>
              <w:spacing w:before="0" w:after="0" w:line="276" w:lineRule="auto"/>
              <w:jc w:val="left"/>
              <w:rPr>
                <w:rFonts w:ascii="Cambria" w:eastAsia="Cambria" w:hAnsi="Cambria" w:cs="Cambria"/>
                <w:lang w:val="en-US"/>
              </w:rPr>
            </w:pP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96"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Behavioral abnormalities</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97"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HP:0000708</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98"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0% (0/2)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99"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47% (9/19)</w:t>
            </w:r>
          </w:p>
        </w:tc>
      </w:tr>
      <w:tr w:rsidR="004D3F6C" w:rsidRPr="00F96002" w14:paraId="17CCD7A0" w14:textId="77777777">
        <w:trPr>
          <w:cantSplit/>
          <w:trHeight w:val="103"/>
          <w:jc w:val="center"/>
        </w:trPr>
        <w:tc>
          <w:tcPr>
            <w:tcW w:w="1785" w:type="dxa"/>
            <w:vMerge/>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9B" w14:textId="77777777" w:rsidR="004D3F6C" w:rsidRPr="00F96002" w:rsidRDefault="004D3F6C">
            <w:pPr>
              <w:widowControl w:val="0"/>
              <w:spacing w:before="0" w:after="0" w:line="276" w:lineRule="auto"/>
              <w:jc w:val="left"/>
              <w:rPr>
                <w:rFonts w:ascii="Cambria" w:eastAsia="Cambria" w:hAnsi="Cambria" w:cs="Cambria"/>
                <w:lang w:val="en-US"/>
              </w:rPr>
            </w:pP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9C"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Autistic behavior</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9D"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HP:0000729</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9E"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0% (0/2)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9F"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30% (7/23)</w:t>
            </w:r>
          </w:p>
        </w:tc>
      </w:tr>
      <w:tr w:rsidR="004D3F6C" w:rsidRPr="00F96002" w14:paraId="17CCD7A6" w14:textId="77777777">
        <w:trPr>
          <w:cantSplit/>
          <w:trHeight w:val="334"/>
          <w:jc w:val="center"/>
        </w:trPr>
        <w:tc>
          <w:tcPr>
            <w:tcW w:w="1785" w:type="dxa"/>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A1"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Neurological system</w:t>
            </w: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A2"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Muscular hypotonia</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A3"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HP:0001252</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A4"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A5"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72% (18/25)</w:t>
            </w:r>
          </w:p>
        </w:tc>
      </w:tr>
      <w:tr w:rsidR="004D3F6C" w:rsidRPr="00F96002" w14:paraId="17CCD7AC" w14:textId="77777777">
        <w:trPr>
          <w:cantSplit/>
          <w:trHeight w:val="334"/>
          <w:jc w:val="center"/>
        </w:trPr>
        <w:tc>
          <w:tcPr>
            <w:tcW w:w="1785" w:type="dxa"/>
            <w:vMerge w:val="restart"/>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A7"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Organs</w:t>
            </w: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A8"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Abnormal liver morphology</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A9"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HP:0410042</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AA"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AB"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(1/1)</w:t>
            </w:r>
          </w:p>
        </w:tc>
      </w:tr>
      <w:tr w:rsidR="004D3F6C" w:rsidRPr="00F96002" w14:paraId="17CCD7B2" w14:textId="77777777">
        <w:trPr>
          <w:cantSplit/>
          <w:trHeight w:val="103"/>
          <w:jc w:val="center"/>
        </w:trPr>
        <w:tc>
          <w:tcPr>
            <w:tcW w:w="1785" w:type="dxa"/>
            <w:vMerge/>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AD" w14:textId="77777777" w:rsidR="004D3F6C" w:rsidRPr="00F96002" w:rsidRDefault="004D3F6C">
            <w:pPr>
              <w:widowControl w:val="0"/>
              <w:spacing w:before="0" w:after="0" w:line="276" w:lineRule="auto"/>
              <w:jc w:val="left"/>
              <w:rPr>
                <w:rFonts w:ascii="Cambria" w:eastAsia="Cambria" w:hAnsi="Cambria" w:cs="Cambria"/>
                <w:lang w:val="en-US"/>
              </w:rPr>
            </w:pP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AE"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Abnormality of the eye</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AF"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HP:0000478</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B0"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B1"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40% (8/20)</w:t>
            </w:r>
          </w:p>
        </w:tc>
      </w:tr>
      <w:tr w:rsidR="004D3F6C" w:rsidRPr="00F96002" w14:paraId="17CCD7B8" w14:textId="77777777">
        <w:trPr>
          <w:cantSplit/>
          <w:trHeight w:val="103"/>
          <w:jc w:val="center"/>
        </w:trPr>
        <w:tc>
          <w:tcPr>
            <w:tcW w:w="1785" w:type="dxa"/>
            <w:vMerge/>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B3" w14:textId="77777777" w:rsidR="004D3F6C" w:rsidRPr="00F96002" w:rsidRDefault="004D3F6C">
            <w:pPr>
              <w:widowControl w:val="0"/>
              <w:spacing w:before="0" w:after="0" w:line="276" w:lineRule="auto"/>
              <w:jc w:val="left"/>
              <w:rPr>
                <w:rFonts w:ascii="Cambria" w:eastAsia="Cambria" w:hAnsi="Cambria" w:cs="Cambria"/>
                <w:lang w:val="en-US"/>
              </w:rPr>
            </w:pP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B4"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Abnormality of the genitourinary system</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B5"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HP:0000119</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B6"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B7"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30% (7/23)</w:t>
            </w:r>
          </w:p>
        </w:tc>
      </w:tr>
      <w:tr w:rsidR="004D3F6C" w:rsidRPr="00F96002" w14:paraId="17CCD7BE" w14:textId="77777777">
        <w:trPr>
          <w:cantSplit/>
          <w:trHeight w:val="103"/>
          <w:jc w:val="center"/>
        </w:trPr>
        <w:tc>
          <w:tcPr>
            <w:tcW w:w="1785" w:type="dxa"/>
            <w:vMerge/>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B9" w14:textId="77777777" w:rsidR="004D3F6C" w:rsidRPr="00F96002" w:rsidRDefault="004D3F6C">
            <w:pPr>
              <w:widowControl w:val="0"/>
              <w:spacing w:before="0" w:after="0" w:line="276" w:lineRule="auto"/>
              <w:jc w:val="left"/>
              <w:rPr>
                <w:rFonts w:ascii="Cambria" w:eastAsia="Cambria" w:hAnsi="Cambria" w:cs="Cambria"/>
                <w:lang w:val="en-US"/>
              </w:rPr>
            </w:pP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BA"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Abnormality of the respiratory system</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BB"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HP:0002086</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BC"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BD"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21% (4/19)</w:t>
            </w:r>
          </w:p>
        </w:tc>
      </w:tr>
      <w:tr w:rsidR="004D3F6C" w:rsidRPr="00F96002" w14:paraId="17CCD7C4" w14:textId="77777777">
        <w:trPr>
          <w:cantSplit/>
          <w:trHeight w:val="103"/>
          <w:jc w:val="center"/>
        </w:trPr>
        <w:tc>
          <w:tcPr>
            <w:tcW w:w="1785" w:type="dxa"/>
            <w:vMerge/>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BF" w14:textId="77777777" w:rsidR="004D3F6C" w:rsidRPr="00F96002" w:rsidRDefault="004D3F6C">
            <w:pPr>
              <w:widowControl w:val="0"/>
              <w:spacing w:before="0" w:after="0" w:line="276" w:lineRule="auto"/>
              <w:jc w:val="left"/>
              <w:rPr>
                <w:rFonts w:ascii="Cambria" w:eastAsia="Cambria" w:hAnsi="Cambria" w:cs="Cambria"/>
                <w:lang w:val="en-US"/>
              </w:rPr>
            </w:pP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C0"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Abnormal heart morphology</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C1"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HP:0001627</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C2"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C3"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14% (3/21)</w:t>
            </w:r>
          </w:p>
        </w:tc>
      </w:tr>
      <w:tr w:rsidR="004D3F6C" w:rsidRPr="00F96002" w14:paraId="17CCD7CA" w14:textId="77777777">
        <w:trPr>
          <w:cantSplit/>
          <w:trHeight w:val="103"/>
          <w:jc w:val="center"/>
        </w:trPr>
        <w:tc>
          <w:tcPr>
            <w:tcW w:w="1785" w:type="dxa"/>
            <w:vMerge/>
            <w:tcBorders>
              <w:top w:val="single" w:sz="8" w:space="0" w:color="B3B3B3"/>
              <w:left w:val="single" w:sz="16" w:space="0" w:color="000000"/>
              <w:bottom w:val="single" w:sz="8" w:space="0" w:color="B3B3B3"/>
              <w:right w:val="single" w:sz="16" w:space="0" w:color="000000"/>
            </w:tcBorders>
            <w:shd w:val="clear" w:color="auto" w:fill="FFFFFF"/>
            <w:tcMar>
              <w:top w:w="0" w:type="dxa"/>
              <w:left w:w="0" w:type="dxa"/>
              <w:bottom w:w="0" w:type="dxa"/>
              <w:right w:w="0" w:type="dxa"/>
            </w:tcMar>
            <w:vAlign w:val="center"/>
          </w:tcPr>
          <w:p w14:paraId="17CCD7C5" w14:textId="77777777" w:rsidR="004D3F6C" w:rsidRPr="00F96002" w:rsidRDefault="004D3F6C">
            <w:pPr>
              <w:widowControl w:val="0"/>
              <w:spacing w:before="0" w:after="0" w:line="276" w:lineRule="auto"/>
              <w:jc w:val="left"/>
              <w:rPr>
                <w:rFonts w:ascii="Cambria" w:eastAsia="Cambria" w:hAnsi="Cambria" w:cs="Cambria"/>
                <w:lang w:val="en-US"/>
              </w:rPr>
            </w:pPr>
          </w:p>
        </w:tc>
        <w:tc>
          <w:tcPr>
            <w:tcW w:w="3360" w:type="dxa"/>
            <w:tcBorders>
              <w:top w:val="single" w:sz="8" w:space="0" w:color="B3B3B3"/>
              <w:left w:val="single" w:sz="16" w:space="0" w:color="000000"/>
              <w:bottom w:val="single" w:sz="8" w:space="0" w:color="B3B3B3"/>
              <w:right w:val="single" w:sz="8" w:space="0" w:color="B3B3B3"/>
            </w:tcBorders>
            <w:shd w:val="clear" w:color="auto" w:fill="FFFFFF"/>
            <w:tcMar>
              <w:top w:w="0" w:type="dxa"/>
              <w:left w:w="0" w:type="dxa"/>
              <w:bottom w:w="0" w:type="dxa"/>
              <w:right w:w="0" w:type="dxa"/>
            </w:tcMar>
            <w:vAlign w:val="center"/>
          </w:tcPr>
          <w:p w14:paraId="17CCD7C6"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Functional abnormality of the gastrointestinal tract</w:t>
            </w:r>
          </w:p>
        </w:tc>
        <w:tc>
          <w:tcPr>
            <w:tcW w:w="25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C7"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HP:0011024</w:t>
            </w:r>
          </w:p>
        </w:tc>
        <w:tc>
          <w:tcPr>
            <w:tcW w:w="146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C8"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50% (1/2)</w:t>
            </w:r>
          </w:p>
        </w:tc>
        <w:tc>
          <w:tcPr>
            <w:tcW w:w="1320" w:type="dxa"/>
            <w:tcBorders>
              <w:top w:val="single" w:sz="8" w:space="0" w:color="B3B3B3"/>
              <w:left w:val="single" w:sz="8" w:space="0" w:color="B3B3B3"/>
              <w:bottom w:val="single" w:sz="8" w:space="0" w:color="B3B3B3"/>
              <w:right w:val="single" w:sz="8" w:space="0" w:color="B3B3B3"/>
            </w:tcBorders>
            <w:shd w:val="clear" w:color="auto" w:fill="FFFFFF"/>
            <w:tcMar>
              <w:top w:w="0" w:type="dxa"/>
              <w:left w:w="0" w:type="dxa"/>
              <w:bottom w:w="0" w:type="dxa"/>
              <w:right w:w="0" w:type="dxa"/>
            </w:tcMar>
            <w:vAlign w:val="center"/>
          </w:tcPr>
          <w:p w14:paraId="17CCD7C9"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44% (11/25)</w:t>
            </w:r>
          </w:p>
        </w:tc>
      </w:tr>
      <w:tr w:rsidR="004D3F6C" w:rsidRPr="00F96002" w14:paraId="17CCD7D0" w14:textId="77777777">
        <w:trPr>
          <w:cantSplit/>
          <w:trHeight w:val="474"/>
          <w:jc w:val="center"/>
        </w:trPr>
        <w:tc>
          <w:tcPr>
            <w:tcW w:w="1785" w:type="dxa"/>
            <w:tcBorders>
              <w:top w:val="single" w:sz="8" w:space="0" w:color="B3B3B3"/>
              <w:left w:val="single" w:sz="16" w:space="0" w:color="000000"/>
              <w:bottom w:val="single" w:sz="16" w:space="0" w:color="000000"/>
              <w:right w:val="single" w:sz="16" w:space="0" w:color="000000"/>
            </w:tcBorders>
            <w:shd w:val="clear" w:color="auto" w:fill="FFFFFF"/>
            <w:tcMar>
              <w:top w:w="0" w:type="dxa"/>
              <w:left w:w="0" w:type="dxa"/>
              <w:bottom w:w="0" w:type="dxa"/>
              <w:right w:w="0" w:type="dxa"/>
            </w:tcMar>
            <w:vAlign w:val="center"/>
          </w:tcPr>
          <w:p w14:paraId="17CCD7CB"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Miscellaneous</w:t>
            </w:r>
          </w:p>
        </w:tc>
        <w:tc>
          <w:tcPr>
            <w:tcW w:w="3360" w:type="dxa"/>
            <w:tcBorders>
              <w:top w:val="single" w:sz="8" w:space="0" w:color="B3B3B3"/>
              <w:left w:val="single" w:sz="16" w:space="0" w:color="000000"/>
              <w:bottom w:val="single" w:sz="16" w:space="0" w:color="000000"/>
              <w:right w:val="single" w:sz="8" w:space="0" w:color="B3B3B3"/>
            </w:tcBorders>
            <w:shd w:val="clear" w:color="auto" w:fill="FFFFFF"/>
            <w:tcMar>
              <w:top w:w="0" w:type="dxa"/>
              <w:left w:w="0" w:type="dxa"/>
              <w:bottom w:w="0" w:type="dxa"/>
              <w:right w:w="0" w:type="dxa"/>
            </w:tcMar>
            <w:vAlign w:val="center"/>
          </w:tcPr>
          <w:p w14:paraId="17CCD7CC"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Feeding difficulties/failure to thrive</w:t>
            </w:r>
          </w:p>
        </w:tc>
        <w:tc>
          <w:tcPr>
            <w:tcW w:w="2520" w:type="dxa"/>
            <w:tcBorders>
              <w:top w:val="single" w:sz="8" w:space="0" w:color="B3B3B3"/>
              <w:left w:val="single" w:sz="8" w:space="0" w:color="B3B3B3"/>
              <w:bottom w:val="single" w:sz="16" w:space="0" w:color="000000"/>
              <w:right w:val="single" w:sz="8" w:space="0" w:color="B3B3B3"/>
            </w:tcBorders>
            <w:shd w:val="clear" w:color="auto" w:fill="FFFFFF"/>
            <w:tcMar>
              <w:top w:w="0" w:type="dxa"/>
              <w:left w:w="0" w:type="dxa"/>
              <w:bottom w:w="0" w:type="dxa"/>
              <w:right w:w="0" w:type="dxa"/>
            </w:tcMar>
            <w:vAlign w:val="center"/>
          </w:tcPr>
          <w:p w14:paraId="17CCD7CD"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HP:0011968; HP:0001508</w:t>
            </w:r>
          </w:p>
        </w:tc>
        <w:tc>
          <w:tcPr>
            <w:tcW w:w="1460" w:type="dxa"/>
            <w:tcBorders>
              <w:top w:val="single" w:sz="8" w:space="0" w:color="B3B3B3"/>
              <w:left w:val="single" w:sz="8" w:space="0" w:color="B3B3B3"/>
              <w:bottom w:val="single" w:sz="16" w:space="0" w:color="000000"/>
              <w:right w:val="single" w:sz="8" w:space="0" w:color="B3B3B3"/>
            </w:tcBorders>
            <w:shd w:val="clear" w:color="auto" w:fill="FFFFFF"/>
            <w:tcMar>
              <w:top w:w="0" w:type="dxa"/>
              <w:left w:w="0" w:type="dxa"/>
              <w:bottom w:w="0" w:type="dxa"/>
              <w:right w:w="0" w:type="dxa"/>
            </w:tcMar>
            <w:vAlign w:val="center"/>
          </w:tcPr>
          <w:p w14:paraId="17CCD7CE"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(2/2)</w:t>
            </w:r>
          </w:p>
        </w:tc>
        <w:tc>
          <w:tcPr>
            <w:tcW w:w="1320" w:type="dxa"/>
            <w:tcBorders>
              <w:top w:val="single" w:sz="8" w:space="0" w:color="B3B3B3"/>
              <w:left w:val="single" w:sz="8" w:space="0" w:color="B3B3B3"/>
              <w:bottom w:val="single" w:sz="16" w:space="0" w:color="000000"/>
              <w:right w:val="single" w:sz="8" w:space="0" w:color="B3B3B3"/>
            </w:tcBorders>
            <w:shd w:val="clear" w:color="auto" w:fill="FFFFFF"/>
            <w:tcMar>
              <w:top w:w="0" w:type="dxa"/>
              <w:left w:w="0" w:type="dxa"/>
              <w:bottom w:w="0" w:type="dxa"/>
              <w:right w:w="0" w:type="dxa"/>
            </w:tcMar>
            <w:vAlign w:val="center"/>
          </w:tcPr>
          <w:p w14:paraId="17CCD7CF" w14:textId="77777777" w:rsidR="004D3F6C" w:rsidRPr="00F96002" w:rsidRDefault="00000000">
            <w:pPr>
              <w:spacing w:before="100" w:after="100" w:line="240" w:lineRule="auto"/>
              <w:ind w:left="100" w:right="100"/>
              <w:jc w:val="left"/>
              <w:rPr>
                <w:rFonts w:ascii="Cambria" w:eastAsia="Cambria" w:hAnsi="Cambria" w:cs="Cambria"/>
                <w:sz w:val="20"/>
                <w:szCs w:val="20"/>
                <w:lang w:val="en-US"/>
              </w:rPr>
            </w:pPr>
            <w:r w:rsidRPr="00F96002">
              <w:rPr>
                <w:sz w:val="20"/>
                <w:szCs w:val="20"/>
                <w:lang w:val="en-US"/>
              </w:rPr>
              <w:t>100% (17/17)</w:t>
            </w:r>
          </w:p>
        </w:tc>
      </w:tr>
    </w:tbl>
    <w:p w14:paraId="17CCD7D1" w14:textId="77777777" w:rsidR="004D3F6C" w:rsidRPr="00F96002" w:rsidRDefault="00000000">
      <w:pPr>
        <w:pStyle w:val="berschrift1"/>
        <w:rPr>
          <w:sz w:val="22"/>
          <w:szCs w:val="22"/>
          <w:lang w:val="en-US"/>
        </w:rPr>
      </w:pPr>
      <w:bookmarkStart w:id="30" w:name="_yb04ixorjupn" w:colFirst="0" w:colLast="0"/>
      <w:bookmarkEnd w:id="30"/>
      <w:r w:rsidRPr="00F96002">
        <w:rPr>
          <w:sz w:val="22"/>
          <w:szCs w:val="22"/>
          <w:lang w:val="en-US"/>
        </w:rPr>
        <w:lastRenderedPageBreak/>
        <w:t>SUPPLEMENTARY DATA FILES</w:t>
      </w:r>
    </w:p>
    <w:p w14:paraId="17CCD7D2" w14:textId="77777777" w:rsidR="004D3F6C" w:rsidRPr="00F96002" w:rsidRDefault="00000000">
      <w:pPr>
        <w:rPr>
          <w:lang w:val="en-US"/>
        </w:rPr>
      </w:pPr>
      <w:r w:rsidRPr="00F96002">
        <w:rPr>
          <w:lang w:val="en-US"/>
        </w:rPr>
        <w:t xml:space="preserve">These data files used for analyses and tables/ figures are available for download from </w:t>
      </w:r>
      <w:proofErr w:type="spellStart"/>
      <w:r w:rsidRPr="00F96002">
        <w:rPr>
          <w:lang w:val="en-US"/>
        </w:rPr>
        <w:t>Zenodo</w:t>
      </w:r>
      <w:proofErr w:type="spellEnd"/>
      <w:r w:rsidRPr="00F96002">
        <w:rPr>
          <w:lang w:val="en-US"/>
        </w:rPr>
        <w:t>:</w:t>
      </w:r>
    </w:p>
    <w:p w14:paraId="17CCD7D3" w14:textId="77777777" w:rsidR="004D3F6C" w:rsidRPr="00F96002" w:rsidRDefault="00000000">
      <w:pPr>
        <w:pStyle w:val="berschrift2"/>
        <w:spacing w:after="120" w:line="480" w:lineRule="auto"/>
        <w:jc w:val="left"/>
        <w:rPr>
          <w:sz w:val="22"/>
          <w:szCs w:val="22"/>
          <w:u w:val="none"/>
          <w:lang w:val="en-US"/>
        </w:rPr>
      </w:pPr>
      <w:bookmarkStart w:id="31" w:name="_hry1ym1hcyd3" w:colFirst="0" w:colLast="0"/>
      <w:bookmarkEnd w:id="31"/>
      <w:r w:rsidRPr="00F96002">
        <w:rPr>
          <w:b/>
          <w:sz w:val="22"/>
          <w:szCs w:val="22"/>
          <w:lang w:val="en-US"/>
        </w:rPr>
        <w:t>File S2</w:t>
      </w:r>
      <w:r w:rsidRPr="00F96002">
        <w:rPr>
          <w:sz w:val="22"/>
          <w:szCs w:val="22"/>
          <w:lang w:val="en-US"/>
        </w:rPr>
        <w:t xml:space="preserve"> | Clinical information of individuals described here and reviewed individuals together with all variant data</w:t>
      </w:r>
      <w:r w:rsidRPr="00F96002">
        <w:rPr>
          <w:sz w:val="22"/>
          <w:szCs w:val="22"/>
          <w:u w:val="none"/>
          <w:lang w:val="en-US"/>
        </w:rPr>
        <w:t>.</w:t>
      </w:r>
      <w:r w:rsidRPr="00F96002">
        <w:rPr>
          <w:sz w:val="22"/>
          <w:szCs w:val="22"/>
          <w:vertAlign w:val="superscript"/>
          <w:lang w:val="en-US"/>
        </w:rPr>
        <w:t>36</w:t>
      </w:r>
    </w:p>
    <w:p w14:paraId="17CCD7D4" w14:textId="77777777" w:rsidR="004D3F6C" w:rsidRPr="00F96002" w:rsidRDefault="00000000">
      <w:pPr>
        <w:pStyle w:val="berschrift2"/>
        <w:spacing w:after="120" w:line="480" w:lineRule="auto"/>
        <w:jc w:val="left"/>
        <w:rPr>
          <w:b/>
          <w:sz w:val="22"/>
          <w:szCs w:val="22"/>
          <w:u w:val="none"/>
          <w:lang w:val="en-US"/>
        </w:rPr>
      </w:pPr>
      <w:bookmarkStart w:id="32" w:name="_xyufvxepyilu" w:colFirst="0" w:colLast="0"/>
      <w:bookmarkEnd w:id="32"/>
      <w:r w:rsidRPr="00F96002">
        <w:rPr>
          <w:b/>
          <w:sz w:val="22"/>
          <w:szCs w:val="22"/>
          <w:lang w:val="en-US"/>
        </w:rPr>
        <w:t>File S3</w:t>
      </w:r>
      <w:r w:rsidRPr="00F96002">
        <w:rPr>
          <w:sz w:val="22"/>
          <w:szCs w:val="22"/>
          <w:lang w:val="en-US"/>
        </w:rPr>
        <w:t xml:space="preserve"> | Cell line analyses data</w:t>
      </w:r>
      <w:r w:rsidRPr="00F96002">
        <w:rPr>
          <w:sz w:val="22"/>
          <w:szCs w:val="22"/>
          <w:u w:val="none"/>
          <w:lang w:val="en-US"/>
        </w:rPr>
        <w:t>.</w:t>
      </w:r>
      <w:r w:rsidRPr="00F96002">
        <w:rPr>
          <w:sz w:val="22"/>
          <w:szCs w:val="22"/>
          <w:vertAlign w:val="superscript"/>
          <w:lang w:val="en-US"/>
        </w:rPr>
        <w:t>36</w:t>
      </w:r>
    </w:p>
    <w:p w14:paraId="17CCD7D5" w14:textId="77777777" w:rsidR="004D3F6C" w:rsidRPr="00F96002" w:rsidRDefault="00000000">
      <w:pPr>
        <w:pStyle w:val="berschrift2"/>
        <w:spacing w:after="120" w:line="480" w:lineRule="auto"/>
        <w:jc w:val="left"/>
        <w:rPr>
          <w:u w:val="none"/>
          <w:lang w:val="en-US"/>
        </w:rPr>
      </w:pPr>
      <w:bookmarkStart w:id="33" w:name="_13zo0dvwq4xo" w:colFirst="0" w:colLast="0"/>
      <w:bookmarkEnd w:id="33"/>
      <w:r w:rsidRPr="00F96002">
        <w:rPr>
          <w:b/>
          <w:sz w:val="22"/>
          <w:szCs w:val="22"/>
          <w:lang w:val="en-US"/>
        </w:rPr>
        <w:t>File S4</w:t>
      </w:r>
      <w:r w:rsidRPr="00F96002">
        <w:rPr>
          <w:sz w:val="22"/>
          <w:szCs w:val="22"/>
          <w:lang w:val="en-US"/>
        </w:rPr>
        <w:t xml:space="preserve"> | </w:t>
      </w:r>
      <w:proofErr w:type="spellStart"/>
      <w:r w:rsidRPr="00F96002">
        <w:rPr>
          <w:sz w:val="22"/>
          <w:szCs w:val="22"/>
          <w:lang w:val="en-US"/>
        </w:rPr>
        <w:t>humanbase</w:t>
      </w:r>
      <w:proofErr w:type="spellEnd"/>
      <w:r w:rsidRPr="00F96002">
        <w:rPr>
          <w:sz w:val="22"/>
          <w:szCs w:val="22"/>
          <w:lang w:val="en-US"/>
        </w:rPr>
        <w:t xml:space="preserve"> functional modules data</w:t>
      </w:r>
      <w:r w:rsidRPr="00F96002">
        <w:rPr>
          <w:sz w:val="22"/>
          <w:szCs w:val="22"/>
          <w:u w:val="none"/>
          <w:lang w:val="en-US"/>
        </w:rPr>
        <w:t>.</w:t>
      </w:r>
      <w:r w:rsidRPr="00F96002">
        <w:rPr>
          <w:sz w:val="22"/>
          <w:szCs w:val="22"/>
          <w:vertAlign w:val="superscript"/>
          <w:lang w:val="en-US"/>
        </w:rPr>
        <w:t>36</w:t>
      </w:r>
    </w:p>
    <w:p w14:paraId="17CCD7D6" w14:textId="77777777" w:rsidR="004D3F6C" w:rsidRPr="00F96002" w:rsidRDefault="00000000">
      <w:pPr>
        <w:rPr>
          <w:u w:val="single"/>
          <w:lang w:val="en-US"/>
        </w:rPr>
      </w:pPr>
      <w:r w:rsidRPr="00F96002">
        <w:rPr>
          <w:lang w:val="en-US"/>
        </w:rPr>
        <w:br w:type="page"/>
      </w:r>
    </w:p>
    <w:p w14:paraId="17CCD7D7" w14:textId="77777777" w:rsidR="004D3F6C" w:rsidRPr="00F96002" w:rsidRDefault="00000000">
      <w:pPr>
        <w:pStyle w:val="berschrift1"/>
        <w:rPr>
          <w:sz w:val="22"/>
          <w:szCs w:val="22"/>
          <w:lang w:val="en-US"/>
        </w:rPr>
      </w:pPr>
      <w:bookmarkStart w:id="34" w:name="_6x7jl3i7zz8g" w:colFirst="0" w:colLast="0"/>
      <w:bookmarkEnd w:id="34"/>
      <w:r w:rsidRPr="00F96002">
        <w:rPr>
          <w:sz w:val="22"/>
          <w:szCs w:val="22"/>
          <w:lang w:val="en-US"/>
        </w:rPr>
        <w:lastRenderedPageBreak/>
        <w:t>REFERENCES</w:t>
      </w:r>
    </w:p>
    <w:p w14:paraId="17CCD7D8"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1.</w:t>
      </w:r>
      <w:r w:rsidRPr="00F96002">
        <w:rPr>
          <w:lang w:val="en-US"/>
        </w:rPr>
        <w:tab/>
      </w:r>
      <w:proofErr w:type="spellStart"/>
      <w:r w:rsidRPr="00F96002">
        <w:rPr>
          <w:lang w:val="en-US"/>
        </w:rPr>
        <w:t>Zacher</w:t>
      </w:r>
      <w:proofErr w:type="spellEnd"/>
      <w:r w:rsidRPr="00F96002">
        <w:rPr>
          <w:lang w:val="en-US"/>
        </w:rPr>
        <w:t xml:space="preserve">, P. </w:t>
      </w:r>
      <w:r w:rsidRPr="00F96002">
        <w:rPr>
          <w:i/>
          <w:lang w:val="en-US"/>
        </w:rPr>
        <w:t>et al.</w:t>
      </w:r>
      <w:r w:rsidRPr="00F96002">
        <w:rPr>
          <w:lang w:val="en-US"/>
        </w:rPr>
        <w:t xml:space="preserve"> The genetic landscape of intellectual disability and epilepsy in adults and the elderly: a systematic genetic work-up of 150 individuals. </w:t>
      </w:r>
      <w:r w:rsidRPr="00F96002">
        <w:rPr>
          <w:i/>
          <w:lang w:val="en-US"/>
        </w:rPr>
        <w:t xml:space="preserve">Genet. Med. Off. J. Am. Coll. Med. Genet. </w:t>
      </w:r>
      <w:r w:rsidRPr="00F96002">
        <w:rPr>
          <w:b/>
          <w:lang w:val="en-US"/>
        </w:rPr>
        <w:t>23</w:t>
      </w:r>
      <w:r w:rsidRPr="00F96002">
        <w:rPr>
          <w:lang w:val="en-US"/>
        </w:rPr>
        <w:t>, 1492–1497 (2021).</w:t>
      </w:r>
    </w:p>
    <w:p w14:paraId="17CCD7D9"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2.</w:t>
      </w:r>
      <w:r w:rsidRPr="00F96002">
        <w:rPr>
          <w:lang w:val="en-US"/>
        </w:rPr>
        <w:tab/>
      </w:r>
      <w:proofErr w:type="spellStart"/>
      <w:r w:rsidRPr="00F96002">
        <w:rPr>
          <w:lang w:val="en-US"/>
        </w:rPr>
        <w:t>Neuser</w:t>
      </w:r>
      <w:proofErr w:type="spellEnd"/>
      <w:r w:rsidRPr="00F96002">
        <w:rPr>
          <w:lang w:val="en-US"/>
        </w:rPr>
        <w:t xml:space="preserve">, S. </w:t>
      </w:r>
      <w:r w:rsidRPr="00F96002">
        <w:rPr>
          <w:i/>
          <w:lang w:val="en-US"/>
        </w:rPr>
        <w:t>et al.</w:t>
      </w:r>
      <w:r w:rsidRPr="00F96002">
        <w:rPr>
          <w:lang w:val="en-US"/>
        </w:rPr>
        <w:t xml:space="preserve"> Prenatal phenotype of PNKP-related primary microcephaly associated with variants affecting both the FHA and phosphatase domain. </w:t>
      </w:r>
      <w:r w:rsidRPr="00F96002">
        <w:rPr>
          <w:i/>
          <w:lang w:val="en-US"/>
        </w:rPr>
        <w:t xml:space="preserve">Eur. J. Hum. Genet. </w:t>
      </w:r>
      <w:r w:rsidRPr="00F96002">
        <w:rPr>
          <w:b/>
          <w:lang w:val="en-US"/>
        </w:rPr>
        <w:t>30</w:t>
      </w:r>
      <w:r w:rsidRPr="00F96002">
        <w:rPr>
          <w:lang w:val="en-US"/>
        </w:rPr>
        <w:t>, 101–110 (2022).</w:t>
      </w:r>
    </w:p>
    <w:p w14:paraId="17CCD7DA"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3.</w:t>
      </w:r>
      <w:r w:rsidRPr="00F96002">
        <w:rPr>
          <w:lang w:val="en-US"/>
        </w:rPr>
        <w:tab/>
        <w:t xml:space="preserve">Barrie, E. S. </w:t>
      </w:r>
      <w:r w:rsidRPr="00F96002">
        <w:rPr>
          <w:i/>
          <w:lang w:val="en-US"/>
        </w:rPr>
        <w:t>et al.</w:t>
      </w:r>
      <w:r w:rsidRPr="00F96002">
        <w:rPr>
          <w:lang w:val="en-US"/>
        </w:rPr>
        <w:t xml:space="preserve"> De novo loss-of-function variants in NSD2 (WHSC1) associate with a subset of Wolf-Hirschhorn syndrome. </w:t>
      </w:r>
      <w:r w:rsidRPr="00F96002">
        <w:rPr>
          <w:i/>
          <w:lang w:val="en-US"/>
        </w:rPr>
        <w:t xml:space="preserve">Cold Spring </w:t>
      </w:r>
      <w:proofErr w:type="spellStart"/>
      <w:r w:rsidRPr="00F96002">
        <w:rPr>
          <w:i/>
          <w:lang w:val="en-US"/>
        </w:rPr>
        <w:t>Harb</w:t>
      </w:r>
      <w:proofErr w:type="spellEnd"/>
      <w:r w:rsidRPr="00F96002">
        <w:rPr>
          <w:i/>
          <w:lang w:val="en-US"/>
        </w:rPr>
        <w:t xml:space="preserve">. Mol. Case Stud. </w:t>
      </w:r>
      <w:r w:rsidRPr="00F96002">
        <w:rPr>
          <w:b/>
          <w:lang w:val="en-US"/>
        </w:rPr>
        <w:t>5</w:t>
      </w:r>
      <w:r w:rsidRPr="00F96002">
        <w:rPr>
          <w:lang w:val="en-US"/>
        </w:rPr>
        <w:t>, a004044 (2019).</w:t>
      </w:r>
    </w:p>
    <w:p w14:paraId="17CCD7DB"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4.</w:t>
      </w:r>
      <w:r w:rsidRPr="00F96002">
        <w:rPr>
          <w:lang w:val="en-US"/>
        </w:rPr>
        <w:tab/>
        <w:t xml:space="preserve">Lozier, E. R. </w:t>
      </w:r>
      <w:r w:rsidRPr="00F96002">
        <w:rPr>
          <w:i/>
          <w:lang w:val="en-US"/>
        </w:rPr>
        <w:t>et al.</w:t>
      </w:r>
      <w:r w:rsidRPr="00F96002">
        <w:rPr>
          <w:lang w:val="en-US"/>
        </w:rPr>
        <w:t xml:space="preserve"> De novo nonsense mutation in WHSC1 (NSD2) in patient with intellectual disability and dysmorphic features. </w:t>
      </w:r>
      <w:r w:rsidRPr="00F96002">
        <w:rPr>
          <w:i/>
          <w:lang w:val="en-US"/>
        </w:rPr>
        <w:t xml:space="preserve">J. Hum. Genet. </w:t>
      </w:r>
      <w:r w:rsidRPr="00F96002">
        <w:rPr>
          <w:b/>
          <w:lang w:val="en-US"/>
        </w:rPr>
        <w:t>63</w:t>
      </w:r>
      <w:r w:rsidRPr="00F96002">
        <w:rPr>
          <w:lang w:val="en-US"/>
        </w:rPr>
        <w:t>, 919–922 (2018).</w:t>
      </w:r>
    </w:p>
    <w:p w14:paraId="17CCD7DC"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5.</w:t>
      </w:r>
      <w:r w:rsidRPr="00F96002">
        <w:rPr>
          <w:lang w:val="en-US"/>
        </w:rPr>
        <w:tab/>
      </w:r>
      <w:proofErr w:type="spellStart"/>
      <w:r w:rsidRPr="00F96002">
        <w:rPr>
          <w:lang w:val="en-US"/>
        </w:rPr>
        <w:t>Boczek</w:t>
      </w:r>
      <w:proofErr w:type="spellEnd"/>
      <w:r w:rsidRPr="00F96002">
        <w:rPr>
          <w:lang w:val="en-US"/>
        </w:rPr>
        <w:t xml:space="preserve">, N. J. </w:t>
      </w:r>
      <w:r w:rsidRPr="00F96002">
        <w:rPr>
          <w:i/>
          <w:lang w:val="en-US"/>
        </w:rPr>
        <w:t>et al.</w:t>
      </w:r>
      <w:r w:rsidRPr="00F96002">
        <w:rPr>
          <w:lang w:val="en-US"/>
        </w:rPr>
        <w:t xml:space="preserve"> Developmental delay and failure to thrive associated with a loss-of-function variant in WHSC1 (NSD2). </w:t>
      </w:r>
      <w:r w:rsidRPr="00F96002">
        <w:rPr>
          <w:i/>
          <w:lang w:val="en-US"/>
        </w:rPr>
        <w:t xml:space="preserve">Am. J. Med. Genet. A. </w:t>
      </w:r>
      <w:r w:rsidRPr="00F96002">
        <w:rPr>
          <w:b/>
          <w:lang w:val="en-US"/>
        </w:rPr>
        <w:t>176</w:t>
      </w:r>
      <w:r w:rsidRPr="00F96002">
        <w:rPr>
          <w:lang w:val="en-US"/>
        </w:rPr>
        <w:t>, 2798–2802 (2018).</w:t>
      </w:r>
    </w:p>
    <w:p w14:paraId="17CCD7DD"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6.</w:t>
      </w:r>
      <w:r w:rsidRPr="00F96002">
        <w:rPr>
          <w:lang w:val="en-US"/>
        </w:rPr>
        <w:tab/>
      </w:r>
      <w:proofErr w:type="spellStart"/>
      <w:r w:rsidRPr="00F96002">
        <w:rPr>
          <w:lang w:val="en-US"/>
        </w:rPr>
        <w:t>Zanoni</w:t>
      </w:r>
      <w:proofErr w:type="spellEnd"/>
      <w:r w:rsidRPr="00F96002">
        <w:rPr>
          <w:lang w:val="en-US"/>
        </w:rPr>
        <w:t xml:space="preserve">, P. </w:t>
      </w:r>
      <w:r w:rsidRPr="00F96002">
        <w:rPr>
          <w:i/>
          <w:lang w:val="en-US"/>
        </w:rPr>
        <w:t>et al.</w:t>
      </w:r>
      <w:r w:rsidRPr="00F96002">
        <w:rPr>
          <w:lang w:val="en-US"/>
        </w:rPr>
        <w:t xml:space="preserve"> Loss-of-function and missense variants in NSD2 cause decreased methylation activity and are associated with a distinct developmental phenotype. </w:t>
      </w:r>
      <w:r w:rsidRPr="00F96002">
        <w:rPr>
          <w:i/>
          <w:lang w:val="en-US"/>
        </w:rPr>
        <w:t xml:space="preserve">Genet. Med. </w:t>
      </w:r>
      <w:r w:rsidRPr="00F96002">
        <w:rPr>
          <w:b/>
          <w:lang w:val="en-US"/>
        </w:rPr>
        <w:t>23</w:t>
      </w:r>
      <w:r w:rsidRPr="00F96002">
        <w:rPr>
          <w:lang w:val="en-US"/>
        </w:rPr>
        <w:t>, 1474–1483 (2021).</w:t>
      </w:r>
    </w:p>
    <w:p w14:paraId="17CCD7DE"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7.</w:t>
      </w:r>
      <w:r w:rsidRPr="00F96002">
        <w:rPr>
          <w:lang w:val="en-US"/>
        </w:rPr>
        <w:tab/>
      </w:r>
      <w:proofErr w:type="spellStart"/>
      <w:r w:rsidRPr="00F96002">
        <w:rPr>
          <w:lang w:val="en-US"/>
        </w:rPr>
        <w:t>Derar</w:t>
      </w:r>
      <w:proofErr w:type="spellEnd"/>
      <w:r w:rsidRPr="00F96002">
        <w:rPr>
          <w:lang w:val="en-US"/>
        </w:rPr>
        <w:t xml:space="preserve">, N. </w:t>
      </w:r>
      <w:r w:rsidRPr="00F96002">
        <w:rPr>
          <w:i/>
          <w:lang w:val="en-US"/>
        </w:rPr>
        <w:t>et al.</w:t>
      </w:r>
      <w:r w:rsidRPr="00F96002">
        <w:rPr>
          <w:lang w:val="en-US"/>
        </w:rPr>
        <w:t xml:space="preserve"> De novo truncating variants in WHSC1 recapitulate the Wolf-Hirschhorn (4p16.3 microdeletion) syndrome phenotype. </w:t>
      </w:r>
      <w:r w:rsidRPr="00F96002">
        <w:rPr>
          <w:i/>
          <w:lang w:val="en-US"/>
        </w:rPr>
        <w:t xml:space="preserve">Genet. Med. Off. J. Am. Coll. Med. Genet. </w:t>
      </w:r>
      <w:r w:rsidRPr="00F96002">
        <w:rPr>
          <w:b/>
          <w:lang w:val="en-US"/>
        </w:rPr>
        <w:t>21</w:t>
      </w:r>
      <w:r w:rsidRPr="00F96002">
        <w:rPr>
          <w:lang w:val="en-US"/>
        </w:rPr>
        <w:t>, 185–188 (2019).</w:t>
      </w:r>
    </w:p>
    <w:p w14:paraId="17CCD7DF"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8.</w:t>
      </w:r>
      <w:r w:rsidRPr="00F96002">
        <w:rPr>
          <w:lang w:val="en-US"/>
        </w:rPr>
        <w:tab/>
        <w:t xml:space="preserve">Jiang, Y. </w:t>
      </w:r>
      <w:r w:rsidRPr="00F96002">
        <w:rPr>
          <w:i/>
          <w:lang w:val="en-US"/>
        </w:rPr>
        <w:t>et al.</w:t>
      </w:r>
      <w:r w:rsidRPr="00F96002">
        <w:rPr>
          <w:lang w:val="en-US"/>
        </w:rPr>
        <w:t xml:space="preserve"> De novo truncating variant in NSD2gene leading to atypical Wolf-Hirschhorn syndrome phenotype. </w:t>
      </w:r>
      <w:r w:rsidRPr="00F96002">
        <w:rPr>
          <w:i/>
          <w:lang w:val="en-US"/>
        </w:rPr>
        <w:t xml:space="preserve">BMC Med. Genet. </w:t>
      </w:r>
      <w:r w:rsidRPr="00F96002">
        <w:rPr>
          <w:b/>
          <w:lang w:val="en-US"/>
        </w:rPr>
        <w:t>20</w:t>
      </w:r>
      <w:r w:rsidRPr="00F96002">
        <w:rPr>
          <w:lang w:val="en-US"/>
        </w:rPr>
        <w:t>, 134 (2019).</w:t>
      </w:r>
    </w:p>
    <w:p w14:paraId="17CCD7E0"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9.</w:t>
      </w:r>
      <w:r w:rsidRPr="00F96002">
        <w:rPr>
          <w:lang w:val="en-US"/>
        </w:rPr>
        <w:tab/>
        <w:t xml:space="preserve">Köhler, S. </w:t>
      </w:r>
      <w:r w:rsidRPr="00F96002">
        <w:rPr>
          <w:i/>
          <w:lang w:val="en-US"/>
        </w:rPr>
        <w:t>et al.</w:t>
      </w:r>
      <w:r w:rsidRPr="00F96002">
        <w:rPr>
          <w:lang w:val="en-US"/>
        </w:rPr>
        <w:t xml:space="preserve"> The Human Phenotype Ontology in 2021. </w:t>
      </w:r>
      <w:r w:rsidRPr="00F96002">
        <w:rPr>
          <w:i/>
          <w:lang w:val="en-US"/>
        </w:rPr>
        <w:t xml:space="preserve">Nucleic Acids Res. </w:t>
      </w:r>
      <w:r w:rsidRPr="00F96002">
        <w:rPr>
          <w:b/>
          <w:lang w:val="en-US"/>
        </w:rPr>
        <w:t>49</w:t>
      </w:r>
      <w:r w:rsidRPr="00F96002">
        <w:rPr>
          <w:lang w:val="en-US"/>
        </w:rPr>
        <w:t>, D1207–D1217 (2021).</w:t>
      </w:r>
    </w:p>
    <w:p w14:paraId="17CCD7E1"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10.</w:t>
      </w:r>
      <w:r w:rsidRPr="00F96002">
        <w:rPr>
          <w:lang w:val="en-US"/>
        </w:rPr>
        <w:tab/>
        <w:t xml:space="preserve">Freeman, P. J., Hart, R. K., </w:t>
      </w:r>
      <w:proofErr w:type="spellStart"/>
      <w:r w:rsidRPr="00F96002">
        <w:rPr>
          <w:lang w:val="en-US"/>
        </w:rPr>
        <w:t>Gretton</w:t>
      </w:r>
      <w:proofErr w:type="spellEnd"/>
      <w:r w:rsidRPr="00F96002">
        <w:rPr>
          <w:lang w:val="en-US"/>
        </w:rPr>
        <w:t xml:space="preserve">, L. J., Brookes, A. J. &amp; Dalgleish, R. VariantValidator: Accurate validation, mapping, and formatting of sequence variation descriptions. </w:t>
      </w:r>
      <w:r w:rsidRPr="00F96002">
        <w:rPr>
          <w:i/>
          <w:lang w:val="en-US"/>
        </w:rPr>
        <w:t xml:space="preserve">Hum. </w:t>
      </w:r>
      <w:proofErr w:type="spellStart"/>
      <w:r w:rsidRPr="00F96002">
        <w:rPr>
          <w:i/>
          <w:lang w:val="en-US"/>
        </w:rPr>
        <w:t>Mutat</w:t>
      </w:r>
      <w:proofErr w:type="spellEnd"/>
      <w:r w:rsidRPr="00F96002">
        <w:rPr>
          <w:i/>
          <w:lang w:val="en-US"/>
        </w:rPr>
        <w:t xml:space="preserve">. </w:t>
      </w:r>
      <w:r w:rsidRPr="00F96002">
        <w:rPr>
          <w:b/>
          <w:lang w:val="en-US"/>
        </w:rPr>
        <w:t>39</w:t>
      </w:r>
      <w:r w:rsidRPr="00F96002">
        <w:rPr>
          <w:lang w:val="en-US"/>
        </w:rPr>
        <w:t>, 61–68 (2018).</w:t>
      </w:r>
    </w:p>
    <w:p w14:paraId="17CCD7E2"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lastRenderedPageBreak/>
        <w:t>11.</w:t>
      </w:r>
      <w:r w:rsidRPr="00F96002">
        <w:rPr>
          <w:lang w:val="en-US"/>
        </w:rPr>
        <w:tab/>
        <w:t xml:space="preserve">Tate, J. G. </w:t>
      </w:r>
      <w:r w:rsidRPr="00F96002">
        <w:rPr>
          <w:i/>
          <w:lang w:val="en-US"/>
        </w:rPr>
        <w:t>et al.</w:t>
      </w:r>
      <w:r w:rsidRPr="00F96002">
        <w:rPr>
          <w:lang w:val="en-US"/>
        </w:rPr>
        <w:t xml:space="preserve"> COSMIC: the Catalogue </w:t>
      </w:r>
      <w:proofErr w:type="gramStart"/>
      <w:r w:rsidRPr="00F96002">
        <w:rPr>
          <w:lang w:val="en-US"/>
        </w:rPr>
        <w:t>Of</w:t>
      </w:r>
      <w:proofErr w:type="gramEnd"/>
      <w:r w:rsidRPr="00F96002">
        <w:rPr>
          <w:lang w:val="en-US"/>
        </w:rPr>
        <w:t xml:space="preserve"> Somatic Mutations In Cancer. </w:t>
      </w:r>
      <w:r w:rsidRPr="00F96002">
        <w:rPr>
          <w:i/>
          <w:lang w:val="en-US"/>
        </w:rPr>
        <w:t xml:space="preserve">Nucleic Acids Res. </w:t>
      </w:r>
      <w:r w:rsidRPr="00F96002">
        <w:rPr>
          <w:b/>
          <w:lang w:val="en-US"/>
        </w:rPr>
        <w:t>47</w:t>
      </w:r>
      <w:r w:rsidRPr="00F96002">
        <w:rPr>
          <w:lang w:val="en-US"/>
        </w:rPr>
        <w:t>, D941–D947 (2019).</w:t>
      </w:r>
    </w:p>
    <w:p w14:paraId="17CCD7E3"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12.</w:t>
      </w:r>
      <w:r w:rsidRPr="00F96002">
        <w:rPr>
          <w:lang w:val="en-US"/>
        </w:rPr>
        <w:tab/>
      </w:r>
      <w:proofErr w:type="spellStart"/>
      <w:r w:rsidRPr="00F96002">
        <w:rPr>
          <w:lang w:val="en-US"/>
        </w:rPr>
        <w:t>Karczewski</w:t>
      </w:r>
      <w:proofErr w:type="spellEnd"/>
      <w:r w:rsidRPr="00F96002">
        <w:rPr>
          <w:lang w:val="en-US"/>
        </w:rPr>
        <w:t xml:space="preserve">, K. J. </w:t>
      </w:r>
      <w:r w:rsidRPr="00F96002">
        <w:rPr>
          <w:i/>
          <w:lang w:val="en-US"/>
        </w:rPr>
        <w:t>et al. The mutational constraint spectrum quantified from variation in 141,456 humans</w:t>
      </w:r>
      <w:r w:rsidRPr="00F96002">
        <w:rPr>
          <w:lang w:val="en-US"/>
        </w:rPr>
        <w:t>. http://biorxiv.org/lookup/doi/10.1101/531210 (2019) doi:10.1101/531210.</w:t>
      </w:r>
    </w:p>
    <w:p w14:paraId="17CCD7E4"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13.</w:t>
      </w:r>
      <w:r w:rsidRPr="00F96002">
        <w:rPr>
          <w:lang w:val="en-US"/>
        </w:rPr>
        <w:tab/>
        <w:t xml:space="preserve">Hebebrand, M. </w:t>
      </w:r>
      <w:r w:rsidRPr="00F96002">
        <w:rPr>
          <w:i/>
          <w:lang w:val="en-US"/>
        </w:rPr>
        <w:t>et al.</w:t>
      </w:r>
      <w:r w:rsidRPr="00F96002">
        <w:rPr>
          <w:lang w:val="en-US"/>
        </w:rPr>
        <w:t xml:space="preserve"> The mutational and phenotypic spectrum of TUBA1A-associated </w:t>
      </w:r>
      <w:proofErr w:type="spellStart"/>
      <w:r w:rsidRPr="00F96002">
        <w:rPr>
          <w:lang w:val="en-US"/>
        </w:rPr>
        <w:t>tubulinopathy</w:t>
      </w:r>
      <w:proofErr w:type="spellEnd"/>
      <w:r w:rsidRPr="00F96002">
        <w:rPr>
          <w:lang w:val="en-US"/>
        </w:rPr>
        <w:t xml:space="preserve">. </w:t>
      </w:r>
      <w:proofErr w:type="spellStart"/>
      <w:r w:rsidRPr="00F96002">
        <w:rPr>
          <w:i/>
          <w:lang w:val="en-US"/>
        </w:rPr>
        <w:t>Orphanet</w:t>
      </w:r>
      <w:proofErr w:type="spellEnd"/>
      <w:r w:rsidRPr="00F96002">
        <w:rPr>
          <w:i/>
          <w:lang w:val="en-US"/>
        </w:rPr>
        <w:t xml:space="preserve"> J. Rare Dis. </w:t>
      </w:r>
      <w:r w:rsidRPr="00F96002">
        <w:rPr>
          <w:b/>
          <w:lang w:val="en-US"/>
        </w:rPr>
        <w:t>14</w:t>
      </w:r>
      <w:r w:rsidRPr="00F96002">
        <w:rPr>
          <w:lang w:val="en-US"/>
        </w:rPr>
        <w:t>, 38 (2019).</w:t>
      </w:r>
    </w:p>
    <w:p w14:paraId="17CCD7E5"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14.</w:t>
      </w:r>
      <w:r w:rsidRPr="00F96002">
        <w:rPr>
          <w:lang w:val="en-US"/>
        </w:rPr>
        <w:tab/>
        <w:t xml:space="preserve">Popp, B. </w:t>
      </w:r>
      <w:r w:rsidRPr="00F96002">
        <w:rPr>
          <w:i/>
          <w:lang w:val="en-US"/>
        </w:rPr>
        <w:t>et al.</w:t>
      </w:r>
      <w:r w:rsidRPr="00F96002">
        <w:rPr>
          <w:lang w:val="en-US"/>
        </w:rPr>
        <w:t xml:space="preserve"> Targeted sequencing of FH-deficient uterine leiomyomas reveals biallelic inactivating somatic fumarase variants and allows characterization of missense variants. </w:t>
      </w:r>
      <w:r w:rsidRPr="00F96002">
        <w:rPr>
          <w:i/>
          <w:lang w:val="en-US"/>
        </w:rPr>
        <w:t xml:space="preserve">Mod. </w:t>
      </w:r>
      <w:proofErr w:type="spellStart"/>
      <w:r w:rsidRPr="00F96002">
        <w:rPr>
          <w:i/>
          <w:lang w:val="en-US"/>
        </w:rPr>
        <w:t>Pathol</w:t>
      </w:r>
      <w:proofErr w:type="spellEnd"/>
      <w:r w:rsidRPr="00F96002">
        <w:rPr>
          <w:i/>
          <w:lang w:val="en-US"/>
        </w:rPr>
        <w:t xml:space="preserve">. </w:t>
      </w:r>
      <w:r w:rsidRPr="00F96002">
        <w:rPr>
          <w:b/>
          <w:lang w:val="en-US"/>
        </w:rPr>
        <w:t>33</w:t>
      </w:r>
      <w:r w:rsidRPr="00F96002">
        <w:rPr>
          <w:lang w:val="en-US"/>
        </w:rPr>
        <w:t>, 2341–2353 (2020).</w:t>
      </w:r>
    </w:p>
    <w:p w14:paraId="17CCD7E6"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15.</w:t>
      </w:r>
      <w:r w:rsidRPr="00F96002">
        <w:rPr>
          <w:lang w:val="en-US"/>
        </w:rPr>
        <w:tab/>
        <w:t xml:space="preserve">Li, W. </w:t>
      </w:r>
      <w:r w:rsidRPr="00F96002">
        <w:rPr>
          <w:i/>
          <w:lang w:val="en-US"/>
        </w:rPr>
        <w:t>et al.</w:t>
      </w:r>
      <w:r w:rsidRPr="00F96002">
        <w:rPr>
          <w:lang w:val="en-US"/>
        </w:rPr>
        <w:t xml:space="preserve"> Molecular basis of </w:t>
      </w:r>
      <w:proofErr w:type="spellStart"/>
      <w:r w:rsidRPr="00F96002">
        <w:rPr>
          <w:lang w:val="en-US"/>
        </w:rPr>
        <w:t>nucleosomal</w:t>
      </w:r>
      <w:proofErr w:type="spellEnd"/>
      <w:r w:rsidRPr="00F96002">
        <w:rPr>
          <w:lang w:val="en-US"/>
        </w:rPr>
        <w:t xml:space="preserve"> H3K36 methylation by NSD methyltransferases. </w:t>
      </w:r>
      <w:r w:rsidRPr="00F96002">
        <w:rPr>
          <w:i/>
          <w:lang w:val="en-US"/>
        </w:rPr>
        <w:t xml:space="preserve">Nature </w:t>
      </w:r>
      <w:r w:rsidRPr="00F96002">
        <w:rPr>
          <w:b/>
          <w:lang w:val="en-US"/>
        </w:rPr>
        <w:t>590</w:t>
      </w:r>
      <w:r w:rsidRPr="00F96002">
        <w:rPr>
          <w:lang w:val="en-US"/>
        </w:rPr>
        <w:t>, 498–503 (2021).</w:t>
      </w:r>
    </w:p>
    <w:p w14:paraId="17CCD7E7"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16.</w:t>
      </w:r>
      <w:r w:rsidRPr="00F96002">
        <w:rPr>
          <w:lang w:val="en-US"/>
        </w:rPr>
        <w:tab/>
        <w:t xml:space="preserve">Jumper, J. </w:t>
      </w:r>
      <w:r w:rsidRPr="00F96002">
        <w:rPr>
          <w:i/>
          <w:lang w:val="en-US"/>
        </w:rPr>
        <w:t>et al.</w:t>
      </w:r>
      <w:r w:rsidRPr="00F96002">
        <w:rPr>
          <w:lang w:val="en-US"/>
        </w:rPr>
        <w:t xml:space="preserve"> Highly accurate protein structure prediction with </w:t>
      </w:r>
      <w:proofErr w:type="spellStart"/>
      <w:r w:rsidRPr="00F96002">
        <w:rPr>
          <w:lang w:val="en-US"/>
        </w:rPr>
        <w:t>AlphaFold</w:t>
      </w:r>
      <w:proofErr w:type="spellEnd"/>
      <w:r w:rsidRPr="00F96002">
        <w:rPr>
          <w:lang w:val="en-US"/>
        </w:rPr>
        <w:t xml:space="preserve">. </w:t>
      </w:r>
      <w:r w:rsidRPr="00F96002">
        <w:rPr>
          <w:i/>
          <w:lang w:val="en-US"/>
        </w:rPr>
        <w:t xml:space="preserve">Nature </w:t>
      </w:r>
      <w:r w:rsidRPr="00F96002">
        <w:rPr>
          <w:b/>
          <w:lang w:val="en-US"/>
        </w:rPr>
        <w:t>596</w:t>
      </w:r>
      <w:r w:rsidRPr="00F96002">
        <w:rPr>
          <w:lang w:val="en-US"/>
        </w:rPr>
        <w:t>, 583–589 (2021).</w:t>
      </w:r>
    </w:p>
    <w:p w14:paraId="17CCD7E8"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17.</w:t>
      </w:r>
      <w:r w:rsidRPr="00F96002">
        <w:rPr>
          <w:lang w:val="en-US"/>
        </w:rPr>
        <w:tab/>
      </w:r>
      <w:proofErr w:type="spellStart"/>
      <w:r w:rsidRPr="00F96002">
        <w:rPr>
          <w:lang w:val="en-US"/>
        </w:rPr>
        <w:t>Barretina</w:t>
      </w:r>
      <w:proofErr w:type="spellEnd"/>
      <w:r w:rsidRPr="00F96002">
        <w:rPr>
          <w:lang w:val="en-US"/>
        </w:rPr>
        <w:t xml:space="preserve">, J. </w:t>
      </w:r>
      <w:r w:rsidRPr="00F96002">
        <w:rPr>
          <w:i/>
          <w:lang w:val="en-US"/>
        </w:rPr>
        <w:t>et al.</w:t>
      </w:r>
      <w:r w:rsidRPr="00F96002">
        <w:rPr>
          <w:lang w:val="en-US"/>
        </w:rPr>
        <w:t xml:space="preserve"> The Cancer Cell Line Encyclopedia enables predictive modelling of anticancer drug sensitivity. </w:t>
      </w:r>
      <w:r w:rsidRPr="00F96002">
        <w:rPr>
          <w:i/>
          <w:lang w:val="en-US"/>
        </w:rPr>
        <w:t xml:space="preserve">Nature </w:t>
      </w:r>
      <w:r w:rsidRPr="00F96002">
        <w:rPr>
          <w:b/>
          <w:lang w:val="en-US"/>
        </w:rPr>
        <w:t>483</w:t>
      </w:r>
      <w:r w:rsidRPr="00F96002">
        <w:rPr>
          <w:lang w:val="en-US"/>
        </w:rPr>
        <w:t>, 603–607 (2012).</w:t>
      </w:r>
    </w:p>
    <w:p w14:paraId="17CCD7E9"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18.</w:t>
      </w:r>
      <w:r w:rsidRPr="00F96002">
        <w:rPr>
          <w:lang w:val="en-US"/>
        </w:rPr>
        <w:tab/>
      </w:r>
      <w:proofErr w:type="spellStart"/>
      <w:r w:rsidRPr="00F96002">
        <w:rPr>
          <w:lang w:val="en-US"/>
        </w:rPr>
        <w:t>Ghandi</w:t>
      </w:r>
      <w:proofErr w:type="spellEnd"/>
      <w:r w:rsidRPr="00F96002">
        <w:rPr>
          <w:lang w:val="en-US"/>
        </w:rPr>
        <w:t xml:space="preserve">, M. </w:t>
      </w:r>
      <w:r w:rsidRPr="00F96002">
        <w:rPr>
          <w:i/>
          <w:lang w:val="en-US"/>
        </w:rPr>
        <w:t>et al.</w:t>
      </w:r>
      <w:r w:rsidRPr="00F96002">
        <w:rPr>
          <w:lang w:val="en-US"/>
        </w:rPr>
        <w:t xml:space="preserve"> Next-generation characterization of the Cancer Cell Line Encyclopedia. </w:t>
      </w:r>
      <w:r w:rsidRPr="00F96002">
        <w:rPr>
          <w:i/>
          <w:lang w:val="en-US"/>
        </w:rPr>
        <w:t xml:space="preserve">Nature </w:t>
      </w:r>
      <w:r w:rsidRPr="00F96002">
        <w:rPr>
          <w:b/>
          <w:lang w:val="en-US"/>
        </w:rPr>
        <w:t>569</w:t>
      </w:r>
      <w:r w:rsidRPr="00F96002">
        <w:rPr>
          <w:lang w:val="en-US"/>
        </w:rPr>
        <w:t>, 503–508 (2019).</w:t>
      </w:r>
    </w:p>
    <w:p w14:paraId="17CCD7EA"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19.</w:t>
      </w:r>
      <w:r w:rsidRPr="00F96002">
        <w:rPr>
          <w:lang w:val="en-US"/>
        </w:rPr>
        <w:tab/>
        <w:t xml:space="preserve">Laurent </w:t>
      </w:r>
      <w:proofErr w:type="spellStart"/>
      <w:r w:rsidRPr="00F96002">
        <w:rPr>
          <w:lang w:val="en-US"/>
        </w:rPr>
        <w:t>Gatto</w:t>
      </w:r>
      <w:proofErr w:type="spellEnd"/>
      <w:r w:rsidRPr="00F96002">
        <w:rPr>
          <w:lang w:val="en-US"/>
        </w:rPr>
        <w:t xml:space="preserve">, Theo Killian. </w:t>
      </w:r>
      <w:proofErr w:type="spellStart"/>
      <w:r w:rsidRPr="00F96002">
        <w:rPr>
          <w:lang w:val="en-US"/>
        </w:rPr>
        <w:t>depmap</w:t>
      </w:r>
      <w:proofErr w:type="spellEnd"/>
      <w:r w:rsidRPr="00F96002">
        <w:rPr>
          <w:lang w:val="en-US"/>
        </w:rPr>
        <w:t xml:space="preserve">. </w:t>
      </w:r>
      <w:proofErr w:type="gramStart"/>
      <w:r w:rsidRPr="00F96002">
        <w:rPr>
          <w:lang w:val="en-US"/>
        </w:rPr>
        <w:t>doi:10.18129/B9.BIOC.DEPMAP</w:t>
      </w:r>
      <w:proofErr w:type="gramEnd"/>
      <w:r w:rsidRPr="00F96002">
        <w:rPr>
          <w:lang w:val="en-US"/>
        </w:rPr>
        <w:t>.</w:t>
      </w:r>
    </w:p>
    <w:p w14:paraId="17CCD7EB"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20.</w:t>
      </w:r>
      <w:r w:rsidRPr="00F96002">
        <w:rPr>
          <w:lang w:val="en-US"/>
        </w:rPr>
        <w:tab/>
        <w:t xml:space="preserve">Greene, C. S. </w:t>
      </w:r>
      <w:r w:rsidRPr="00F96002">
        <w:rPr>
          <w:i/>
          <w:lang w:val="en-US"/>
        </w:rPr>
        <w:t>et al.</w:t>
      </w:r>
      <w:r w:rsidRPr="00F96002">
        <w:rPr>
          <w:lang w:val="en-US"/>
        </w:rPr>
        <w:t xml:space="preserve"> Understanding multicellular function and disease with human tissue-specific networks. </w:t>
      </w:r>
      <w:r w:rsidRPr="00F96002">
        <w:rPr>
          <w:i/>
          <w:lang w:val="en-US"/>
        </w:rPr>
        <w:t xml:space="preserve">Nat. Genet. </w:t>
      </w:r>
      <w:r w:rsidRPr="00F96002">
        <w:rPr>
          <w:b/>
          <w:lang w:val="en-US"/>
        </w:rPr>
        <w:t>47</w:t>
      </w:r>
      <w:r w:rsidRPr="00F96002">
        <w:rPr>
          <w:lang w:val="en-US"/>
        </w:rPr>
        <w:t>, 569–576 (2015).</w:t>
      </w:r>
    </w:p>
    <w:p w14:paraId="17CCD7EC"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21.</w:t>
      </w:r>
      <w:r w:rsidRPr="00F96002">
        <w:rPr>
          <w:lang w:val="en-US"/>
        </w:rPr>
        <w:tab/>
      </w:r>
      <w:proofErr w:type="spellStart"/>
      <w:r w:rsidRPr="00F96002">
        <w:rPr>
          <w:lang w:val="en-US"/>
        </w:rPr>
        <w:t>Kochinke</w:t>
      </w:r>
      <w:proofErr w:type="spellEnd"/>
      <w:r w:rsidRPr="00F96002">
        <w:rPr>
          <w:lang w:val="en-US"/>
        </w:rPr>
        <w:t xml:space="preserve">, K. </w:t>
      </w:r>
      <w:r w:rsidRPr="00F96002">
        <w:rPr>
          <w:i/>
          <w:lang w:val="en-US"/>
        </w:rPr>
        <w:t>et al.</w:t>
      </w:r>
      <w:r w:rsidRPr="00F96002">
        <w:rPr>
          <w:lang w:val="en-US"/>
        </w:rPr>
        <w:t xml:space="preserve"> Systematic Phenomics Analysis Deconvolutes Genes Mutated in Intellectual Disability into Biologically Coherent Modules. </w:t>
      </w:r>
      <w:r w:rsidRPr="00F96002">
        <w:rPr>
          <w:i/>
          <w:lang w:val="en-US"/>
        </w:rPr>
        <w:t xml:space="preserve">Am. J. Hum. Genet. </w:t>
      </w:r>
      <w:r w:rsidRPr="00F96002">
        <w:rPr>
          <w:b/>
          <w:lang w:val="en-US"/>
        </w:rPr>
        <w:t>98</w:t>
      </w:r>
      <w:r w:rsidRPr="00F96002">
        <w:rPr>
          <w:lang w:val="en-US"/>
        </w:rPr>
        <w:t>, 149–164 (2016).</w:t>
      </w:r>
    </w:p>
    <w:p w14:paraId="17CCD7ED"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22.</w:t>
      </w:r>
      <w:r w:rsidRPr="00F96002">
        <w:rPr>
          <w:lang w:val="en-US"/>
        </w:rPr>
        <w:tab/>
        <w:t xml:space="preserve">Chilton, I. </w:t>
      </w:r>
      <w:r w:rsidRPr="00F96002">
        <w:rPr>
          <w:i/>
          <w:lang w:val="en-US"/>
        </w:rPr>
        <w:t>et al.</w:t>
      </w:r>
      <w:r w:rsidRPr="00F96002">
        <w:rPr>
          <w:lang w:val="en-US"/>
        </w:rPr>
        <w:t xml:space="preserve"> De novo heterozygous missense and loss‐of‐function variants in </w:t>
      </w:r>
      <w:r w:rsidRPr="00F96002">
        <w:rPr>
          <w:i/>
          <w:lang w:val="en-US"/>
        </w:rPr>
        <w:t>CDC42BPB</w:t>
      </w:r>
      <w:r w:rsidRPr="00F96002">
        <w:rPr>
          <w:lang w:val="en-US"/>
        </w:rPr>
        <w:t xml:space="preserve"> are associated with a neurodevelopmental phenotype. </w:t>
      </w:r>
      <w:r w:rsidRPr="00F96002">
        <w:rPr>
          <w:i/>
          <w:lang w:val="en-US"/>
        </w:rPr>
        <w:t xml:space="preserve">Am. J. Med. Genet. A. </w:t>
      </w:r>
      <w:r w:rsidRPr="00F96002">
        <w:rPr>
          <w:b/>
          <w:lang w:val="en-US"/>
        </w:rPr>
        <w:t>182</w:t>
      </w:r>
      <w:r w:rsidRPr="00F96002">
        <w:rPr>
          <w:lang w:val="en-US"/>
        </w:rPr>
        <w:t>, 962–973 (2020).</w:t>
      </w:r>
    </w:p>
    <w:p w14:paraId="17CCD7EE"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lastRenderedPageBreak/>
        <w:t>23.</w:t>
      </w:r>
      <w:r w:rsidRPr="00F96002">
        <w:rPr>
          <w:lang w:val="en-US"/>
        </w:rPr>
        <w:tab/>
        <w:t xml:space="preserve">Chao, E. C. </w:t>
      </w:r>
      <w:r w:rsidRPr="00F96002">
        <w:rPr>
          <w:i/>
          <w:lang w:val="en-US"/>
        </w:rPr>
        <w:t>et al.</w:t>
      </w:r>
      <w:r w:rsidRPr="00F96002">
        <w:rPr>
          <w:lang w:val="en-US"/>
        </w:rPr>
        <w:t xml:space="preserve"> Incidental detection of acquired variants in germline genetic and genomic testing: a </w:t>
      </w:r>
      <w:proofErr w:type="gramStart"/>
      <w:r w:rsidRPr="00F96002">
        <w:rPr>
          <w:lang w:val="en-US"/>
        </w:rPr>
        <w:t>points</w:t>
      </w:r>
      <w:proofErr w:type="gramEnd"/>
      <w:r w:rsidRPr="00F96002">
        <w:rPr>
          <w:lang w:val="en-US"/>
        </w:rPr>
        <w:t xml:space="preserve"> to consider statement of the American College of Medical Genetics and Genomics (ACMG). </w:t>
      </w:r>
      <w:r w:rsidRPr="00F96002">
        <w:rPr>
          <w:i/>
          <w:lang w:val="en-US"/>
        </w:rPr>
        <w:t xml:space="preserve">Genet. Med. Off. J. Am. Coll. Med. Genet. </w:t>
      </w:r>
      <w:r w:rsidRPr="00F96002">
        <w:rPr>
          <w:b/>
          <w:lang w:val="en-US"/>
        </w:rPr>
        <w:t>23</w:t>
      </w:r>
      <w:r w:rsidRPr="00F96002">
        <w:rPr>
          <w:lang w:val="en-US"/>
        </w:rPr>
        <w:t>, 1179–1184 (2021).</w:t>
      </w:r>
    </w:p>
    <w:p w14:paraId="17CCD7EF"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24.</w:t>
      </w:r>
      <w:r w:rsidRPr="00F96002">
        <w:rPr>
          <w:lang w:val="en-US"/>
        </w:rPr>
        <w:tab/>
        <w:t xml:space="preserve">Qi, H., Dong, C., Chung, W. K., Wang, K. &amp; Shen, Y. Deep Genetic Connection Between Cancer and Developmental Disorders: HUMAN MUTATION. </w:t>
      </w:r>
      <w:r w:rsidRPr="00F96002">
        <w:rPr>
          <w:i/>
          <w:lang w:val="en-US"/>
        </w:rPr>
        <w:t xml:space="preserve">Hum. </w:t>
      </w:r>
      <w:proofErr w:type="spellStart"/>
      <w:r w:rsidRPr="00F96002">
        <w:rPr>
          <w:i/>
          <w:lang w:val="en-US"/>
        </w:rPr>
        <w:t>Mutat</w:t>
      </w:r>
      <w:proofErr w:type="spellEnd"/>
      <w:r w:rsidRPr="00F96002">
        <w:rPr>
          <w:i/>
          <w:lang w:val="en-US"/>
        </w:rPr>
        <w:t xml:space="preserve">. </w:t>
      </w:r>
      <w:r w:rsidRPr="00F96002">
        <w:rPr>
          <w:b/>
          <w:lang w:val="en-US"/>
        </w:rPr>
        <w:t>37</w:t>
      </w:r>
      <w:r w:rsidRPr="00F96002">
        <w:rPr>
          <w:lang w:val="en-US"/>
        </w:rPr>
        <w:t>, 1042–1050 (2016).</w:t>
      </w:r>
    </w:p>
    <w:p w14:paraId="17CCD7F0"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25.</w:t>
      </w:r>
      <w:r w:rsidRPr="00F96002">
        <w:rPr>
          <w:lang w:val="en-US"/>
        </w:rPr>
        <w:tab/>
      </w:r>
      <w:proofErr w:type="spellStart"/>
      <w:r w:rsidRPr="00F96002">
        <w:rPr>
          <w:lang w:val="en-US"/>
        </w:rPr>
        <w:t>Vitsios</w:t>
      </w:r>
      <w:proofErr w:type="spellEnd"/>
      <w:r w:rsidRPr="00F96002">
        <w:rPr>
          <w:lang w:val="en-US"/>
        </w:rPr>
        <w:t xml:space="preserve">, D. </w:t>
      </w:r>
      <w:r w:rsidRPr="00F96002">
        <w:rPr>
          <w:i/>
          <w:lang w:val="en-US"/>
        </w:rPr>
        <w:t>et al. Cancer-driving mutations are enriched in genic regions intolerant to germline variation</w:t>
      </w:r>
      <w:r w:rsidRPr="00F96002">
        <w:rPr>
          <w:lang w:val="en-US"/>
        </w:rPr>
        <w:t>. http://biorxiv.org/lookup/doi/10.1101/2022.01.07.475416 (2022) doi:10.1101/2022.01.07.475416.</w:t>
      </w:r>
    </w:p>
    <w:p w14:paraId="17CCD7F1"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26.</w:t>
      </w:r>
      <w:r w:rsidRPr="00F96002">
        <w:rPr>
          <w:lang w:val="en-US"/>
        </w:rPr>
        <w:tab/>
        <w:t xml:space="preserve">Brunet, T. </w:t>
      </w:r>
      <w:r w:rsidRPr="00F96002">
        <w:rPr>
          <w:i/>
          <w:lang w:val="en-US"/>
        </w:rPr>
        <w:t>et al.</w:t>
      </w:r>
      <w:r w:rsidRPr="00F96002">
        <w:rPr>
          <w:lang w:val="en-US"/>
        </w:rPr>
        <w:t xml:space="preserve"> Clonal Hematopoiesis as a pitfall in germline variant interpretation in the context of Mendelian disorders. </w:t>
      </w:r>
      <w:r w:rsidRPr="00F96002">
        <w:rPr>
          <w:i/>
          <w:lang w:val="en-US"/>
        </w:rPr>
        <w:t>Hum. Mol. Genet.</w:t>
      </w:r>
      <w:r w:rsidRPr="00F96002">
        <w:rPr>
          <w:lang w:val="en-US"/>
        </w:rPr>
        <w:t xml:space="preserve"> ddac034 (2022) doi:10.1093/</w:t>
      </w:r>
      <w:proofErr w:type="spellStart"/>
      <w:r w:rsidRPr="00F96002">
        <w:rPr>
          <w:lang w:val="en-US"/>
        </w:rPr>
        <w:t>hmg</w:t>
      </w:r>
      <w:proofErr w:type="spellEnd"/>
      <w:r w:rsidRPr="00F96002">
        <w:rPr>
          <w:lang w:val="en-US"/>
        </w:rPr>
        <w:t>/ddac034.</w:t>
      </w:r>
    </w:p>
    <w:p w14:paraId="17CCD7F2"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27.</w:t>
      </w:r>
      <w:r w:rsidRPr="00F96002">
        <w:rPr>
          <w:lang w:val="en-US"/>
        </w:rPr>
        <w:tab/>
      </w:r>
      <w:proofErr w:type="spellStart"/>
      <w:r w:rsidRPr="00F96002">
        <w:rPr>
          <w:lang w:val="en-US"/>
        </w:rPr>
        <w:t>Rentzsch</w:t>
      </w:r>
      <w:proofErr w:type="spellEnd"/>
      <w:r w:rsidRPr="00F96002">
        <w:rPr>
          <w:lang w:val="en-US"/>
        </w:rPr>
        <w:t xml:space="preserve">, P., Witten, D., Cooper, G. M., </w:t>
      </w:r>
      <w:proofErr w:type="spellStart"/>
      <w:r w:rsidRPr="00F96002">
        <w:rPr>
          <w:lang w:val="en-US"/>
        </w:rPr>
        <w:t>Shendure</w:t>
      </w:r>
      <w:proofErr w:type="spellEnd"/>
      <w:r w:rsidRPr="00F96002">
        <w:rPr>
          <w:lang w:val="en-US"/>
        </w:rPr>
        <w:t xml:space="preserve">, J. &amp; Kircher, M. CADD: predicting the deleteriousness of variants throughout the human genome. </w:t>
      </w:r>
      <w:r w:rsidRPr="00F96002">
        <w:rPr>
          <w:i/>
          <w:lang w:val="en-US"/>
        </w:rPr>
        <w:t xml:space="preserve">Nucleic Acids Res. </w:t>
      </w:r>
      <w:r w:rsidRPr="00F96002">
        <w:rPr>
          <w:b/>
          <w:lang w:val="en-US"/>
        </w:rPr>
        <w:t>47</w:t>
      </w:r>
      <w:r w:rsidRPr="00F96002">
        <w:rPr>
          <w:lang w:val="en-US"/>
        </w:rPr>
        <w:t>, D886–D894 (2019).</w:t>
      </w:r>
    </w:p>
    <w:p w14:paraId="17CCD7F3"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28.</w:t>
      </w:r>
      <w:r w:rsidRPr="00F96002">
        <w:rPr>
          <w:lang w:val="en-US"/>
        </w:rPr>
        <w:tab/>
        <w:t xml:space="preserve">Li, J. </w:t>
      </w:r>
      <w:r w:rsidRPr="00F96002">
        <w:rPr>
          <w:i/>
          <w:lang w:val="en-US"/>
        </w:rPr>
        <w:t>et al.</w:t>
      </w:r>
      <w:r w:rsidRPr="00F96002">
        <w:rPr>
          <w:lang w:val="en-US"/>
        </w:rPr>
        <w:t xml:space="preserve"> NSD2-E1099K Mutation Leads to Glucocorticoid-Resistant B Cell Lymphocytic Leukemia in Mice. </w:t>
      </w:r>
      <w:r w:rsidRPr="00F96002">
        <w:rPr>
          <w:i/>
          <w:lang w:val="en-US"/>
        </w:rPr>
        <w:t xml:space="preserve">Blood </w:t>
      </w:r>
      <w:r w:rsidRPr="00F96002">
        <w:rPr>
          <w:b/>
          <w:lang w:val="en-US"/>
        </w:rPr>
        <w:t>136</w:t>
      </w:r>
      <w:r w:rsidRPr="00F96002">
        <w:rPr>
          <w:lang w:val="en-US"/>
        </w:rPr>
        <w:t>, 3–4 (2020).</w:t>
      </w:r>
    </w:p>
    <w:p w14:paraId="17CCD7F4"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29.</w:t>
      </w:r>
      <w:r w:rsidRPr="00F96002">
        <w:rPr>
          <w:lang w:val="en-US"/>
        </w:rPr>
        <w:tab/>
        <w:t xml:space="preserve">Sato, K. </w:t>
      </w:r>
      <w:r w:rsidRPr="00F96002">
        <w:rPr>
          <w:i/>
          <w:lang w:val="en-US"/>
        </w:rPr>
        <w:t>et al.</w:t>
      </w:r>
      <w:r w:rsidRPr="00F96002">
        <w:rPr>
          <w:lang w:val="en-US"/>
        </w:rPr>
        <w:t xml:space="preserve"> Structural basis of the regulation of the normal and oncogenic methylation of </w:t>
      </w:r>
      <w:proofErr w:type="spellStart"/>
      <w:r w:rsidRPr="00F96002">
        <w:rPr>
          <w:lang w:val="en-US"/>
        </w:rPr>
        <w:t>nucleosomal</w:t>
      </w:r>
      <w:proofErr w:type="spellEnd"/>
      <w:r w:rsidRPr="00F96002">
        <w:rPr>
          <w:lang w:val="en-US"/>
        </w:rPr>
        <w:t xml:space="preserve"> histone H3 Lys36 by NSD2. </w:t>
      </w:r>
      <w:r w:rsidRPr="00F96002">
        <w:rPr>
          <w:i/>
          <w:lang w:val="en-US"/>
        </w:rPr>
        <w:t xml:space="preserve">Nat. </w:t>
      </w:r>
      <w:proofErr w:type="spellStart"/>
      <w:r w:rsidRPr="00F96002">
        <w:rPr>
          <w:i/>
          <w:lang w:val="en-US"/>
        </w:rPr>
        <w:t>Commun</w:t>
      </w:r>
      <w:proofErr w:type="spellEnd"/>
      <w:r w:rsidRPr="00F96002">
        <w:rPr>
          <w:i/>
          <w:lang w:val="en-US"/>
        </w:rPr>
        <w:t xml:space="preserve">. </w:t>
      </w:r>
      <w:r w:rsidRPr="00F96002">
        <w:rPr>
          <w:b/>
          <w:lang w:val="en-US"/>
        </w:rPr>
        <w:t>12</w:t>
      </w:r>
      <w:r w:rsidRPr="00F96002">
        <w:rPr>
          <w:lang w:val="en-US"/>
        </w:rPr>
        <w:t>, 6605 (2021).</w:t>
      </w:r>
    </w:p>
    <w:p w14:paraId="17CCD7F5"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30.</w:t>
      </w:r>
      <w:r w:rsidRPr="00F96002">
        <w:rPr>
          <w:lang w:val="en-US"/>
        </w:rPr>
        <w:tab/>
        <w:t xml:space="preserve">Weinberg, D. N. </w:t>
      </w:r>
      <w:r w:rsidRPr="00F96002">
        <w:rPr>
          <w:i/>
          <w:lang w:val="en-US"/>
        </w:rPr>
        <w:t>et al.</w:t>
      </w:r>
      <w:r w:rsidRPr="00F96002">
        <w:rPr>
          <w:lang w:val="en-US"/>
        </w:rPr>
        <w:t xml:space="preserve"> The histone mark H3K36me2 recruits DNMT3A and shapes the intergenic DNA methylation landscape. </w:t>
      </w:r>
      <w:r w:rsidRPr="00F96002">
        <w:rPr>
          <w:i/>
          <w:lang w:val="en-US"/>
        </w:rPr>
        <w:t xml:space="preserve">Nature </w:t>
      </w:r>
      <w:r w:rsidRPr="00F96002">
        <w:rPr>
          <w:b/>
          <w:lang w:val="en-US"/>
        </w:rPr>
        <w:t>573</w:t>
      </w:r>
      <w:r w:rsidRPr="00F96002">
        <w:rPr>
          <w:lang w:val="en-US"/>
        </w:rPr>
        <w:t>, 281–286 (2019).</w:t>
      </w:r>
    </w:p>
    <w:p w14:paraId="17CCD7F6"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31.</w:t>
      </w:r>
      <w:r w:rsidRPr="00F96002">
        <w:rPr>
          <w:lang w:val="en-US"/>
        </w:rPr>
        <w:tab/>
        <w:t xml:space="preserve">Krishnan, A. </w:t>
      </w:r>
      <w:r w:rsidRPr="00F96002">
        <w:rPr>
          <w:i/>
          <w:lang w:val="en-US"/>
        </w:rPr>
        <w:t>et al.</w:t>
      </w:r>
      <w:r w:rsidRPr="00F96002">
        <w:rPr>
          <w:lang w:val="en-US"/>
        </w:rPr>
        <w:t xml:space="preserve"> Genome-wide prediction and functional characterization of the genetic basis of autism spectrum disorder. </w:t>
      </w:r>
      <w:r w:rsidRPr="00F96002">
        <w:rPr>
          <w:i/>
          <w:lang w:val="en-US"/>
        </w:rPr>
        <w:t xml:space="preserve">Nat. </w:t>
      </w:r>
      <w:proofErr w:type="spellStart"/>
      <w:r w:rsidRPr="00F96002">
        <w:rPr>
          <w:i/>
          <w:lang w:val="en-US"/>
        </w:rPr>
        <w:t>Neurosci</w:t>
      </w:r>
      <w:proofErr w:type="spellEnd"/>
      <w:r w:rsidRPr="00F96002">
        <w:rPr>
          <w:i/>
          <w:lang w:val="en-US"/>
        </w:rPr>
        <w:t xml:space="preserve">. </w:t>
      </w:r>
      <w:r w:rsidRPr="00F96002">
        <w:rPr>
          <w:b/>
          <w:lang w:val="en-US"/>
        </w:rPr>
        <w:t>19</w:t>
      </w:r>
      <w:r w:rsidRPr="00F96002">
        <w:rPr>
          <w:lang w:val="en-US"/>
        </w:rPr>
        <w:t>, 1454–1462 (2016).</w:t>
      </w:r>
    </w:p>
    <w:p w14:paraId="17CCD7F7"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32.</w:t>
      </w:r>
      <w:r w:rsidRPr="00F96002">
        <w:rPr>
          <w:lang w:val="en-US"/>
        </w:rPr>
        <w:tab/>
        <w:t xml:space="preserve">Swaroop, A. </w:t>
      </w:r>
      <w:r w:rsidRPr="00F96002">
        <w:rPr>
          <w:i/>
          <w:lang w:val="en-US"/>
        </w:rPr>
        <w:t>et al.</w:t>
      </w:r>
      <w:r w:rsidRPr="00F96002">
        <w:rPr>
          <w:lang w:val="en-US"/>
        </w:rPr>
        <w:t xml:space="preserve"> An activating mutation of the NSD2 histone methyltransferase drives oncogenic reprogramming in acute lymphocytic leukemia. </w:t>
      </w:r>
      <w:r w:rsidRPr="00F96002">
        <w:rPr>
          <w:i/>
          <w:lang w:val="en-US"/>
        </w:rPr>
        <w:t xml:space="preserve">Oncogene </w:t>
      </w:r>
      <w:r w:rsidRPr="00F96002">
        <w:rPr>
          <w:b/>
          <w:lang w:val="en-US"/>
        </w:rPr>
        <w:t>38</w:t>
      </w:r>
      <w:r w:rsidRPr="00F96002">
        <w:rPr>
          <w:lang w:val="en-US"/>
        </w:rPr>
        <w:t>, 671–686 (2019).</w:t>
      </w:r>
    </w:p>
    <w:p w14:paraId="17CCD7F8"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lastRenderedPageBreak/>
        <w:t>33.</w:t>
      </w:r>
      <w:r w:rsidRPr="00F96002">
        <w:rPr>
          <w:lang w:val="en-US"/>
        </w:rPr>
        <w:tab/>
        <w:t xml:space="preserve">Collins, R. L. </w:t>
      </w:r>
      <w:r w:rsidRPr="00F96002">
        <w:rPr>
          <w:i/>
          <w:lang w:val="en-US"/>
        </w:rPr>
        <w:t>et al.</w:t>
      </w:r>
      <w:r w:rsidRPr="00F96002">
        <w:rPr>
          <w:lang w:val="en-US"/>
        </w:rPr>
        <w:t xml:space="preserve"> A cross-disorder dosage sensitivity map of the human genome. </w:t>
      </w:r>
      <w:r w:rsidRPr="00F96002">
        <w:rPr>
          <w:i/>
          <w:lang w:val="en-US"/>
        </w:rPr>
        <w:t xml:space="preserve">Cell </w:t>
      </w:r>
      <w:r w:rsidRPr="00F96002">
        <w:rPr>
          <w:b/>
          <w:lang w:val="en-US"/>
        </w:rPr>
        <w:t>185</w:t>
      </w:r>
      <w:r w:rsidRPr="00F96002">
        <w:rPr>
          <w:lang w:val="en-US"/>
        </w:rPr>
        <w:t>, 3041-3055.e25 (2022).</w:t>
      </w:r>
    </w:p>
    <w:p w14:paraId="17CCD7F9"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34.</w:t>
      </w:r>
      <w:r w:rsidRPr="00F96002">
        <w:rPr>
          <w:lang w:val="en-US"/>
        </w:rPr>
        <w:tab/>
        <w:t xml:space="preserve">Collins, Ryan </w:t>
      </w:r>
      <w:r w:rsidRPr="00F96002">
        <w:rPr>
          <w:i/>
          <w:lang w:val="en-US"/>
        </w:rPr>
        <w:t>et al.</w:t>
      </w:r>
      <w:r w:rsidRPr="00F96002">
        <w:rPr>
          <w:lang w:val="en-US"/>
        </w:rPr>
        <w:t xml:space="preserve"> A cross-disorder dosage sensitivity map of the human genome. (2022) doi:10.5281/ZENODO.6347673.</w:t>
      </w:r>
    </w:p>
    <w:p w14:paraId="17CCD7FA"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35.</w:t>
      </w:r>
      <w:r w:rsidRPr="00F96002">
        <w:rPr>
          <w:lang w:val="en-US"/>
        </w:rPr>
        <w:tab/>
        <w:t xml:space="preserve">Bi, W., Cheung, S.-W., </w:t>
      </w:r>
      <w:proofErr w:type="spellStart"/>
      <w:r w:rsidRPr="00F96002">
        <w:rPr>
          <w:lang w:val="en-US"/>
        </w:rPr>
        <w:t>Breman</w:t>
      </w:r>
      <w:proofErr w:type="spellEnd"/>
      <w:r w:rsidRPr="00F96002">
        <w:rPr>
          <w:lang w:val="en-US"/>
        </w:rPr>
        <w:t xml:space="preserve">, A. M. &amp; </w:t>
      </w:r>
      <w:proofErr w:type="spellStart"/>
      <w:r w:rsidRPr="00F96002">
        <w:rPr>
          <w:lang w:val="en-US"/>
        </w:rPr>
        <w:t>Bacino</w:t>
      </w:r>
      <w:proofErr w:type="spellEnd"/>
      <w:r w:rsidRPr="00F96002">
        <w:rPr>
          <w:lang w:val="en-US"/>
        </w:rPr>
        <w:t xml:space="preserve">, C. A. 4p16.3 microdeletions and microduplications detected by chromosomal microarray analysis: </w:t>
      </w:r>
      <w:proofErr w:type="gramStart"/>
      <w:r w:rsidRPr="00F96002">
        <w:rPr>
          <w:lang w:val="en-US"/>
        </w:rPr>
        <w:t>New</w:t>
      </w:r>
      <w:proofErr w:type="gramEnd"/>
      <w:r w:rsidRPr="00F96002">
        <w:rPr>
          <w:lang w:val="en-US"/>
        </w:rPr>
        <w:t xml:space="preserve"> insights into mechanisms and critical regions. </w:t>
      </w:r>
      <w:r w:rsidRPr="00F96002">
        <w:rPr>
          <w:i/>
          <w:lang w:val="en-US"/>
        </w:rPr>
        <w:t xml:space="preserve">Am. J. Med. Genet. A. </w:t>
      </w:r>
      <w:r w:rsidRPr="00F96002">
        <w:rPr>
          <w:b/>
          <w:lang w:val="en-US"/>
        </w:rPr>
        <w:t>170</w:t>
      </w:r>
      <w:r w:rsidRPr="00F96002">
        <w:rPr>
          <w:lang w:val="en-US"/>
        </w:rPr>
        <w:t>, 2540–2550 (2016).</w:t>
      </w:r>
    </w:p>
    <w:p w14:paraId="17CCD7FB" w14:textId="77777777" w:rsidR="004D3F6C" w:rsidRPr="00F96002" w:rsidRDefault="00000000">
      <w:pPr>
        <w:widowControl w:val="0"/>
        <w:pBdr>
          <w:top w:val="nil"/>
          <w:left w:val="nil"/>
          <w:bottom w:val="nil"/>
          <w:right w:val="nil"/>
          <w:between w:val="nil"/>
        </w:pBdr>
        <w:spacing w:before="0" w:after="0" w:line="480" w:lineRule="auto"/>
        <w:ind w:left="264" w:hanging="264"/>
        <w:jc w:val="left"/>
        <w:rPr>
          <w:lang w:val="en-US"/>
        </w:rPr>
      </w:pPr>
      <w:r w:rsidRPr="00F96002">
        <w:rPr>
          <w:lang w:val="en-US"/>
        </w:rPr>
        <w:t>36.</w:t>
      </w:r>
      <w:r w:rsidRPr="00F96002">
        <w:rPr>
          <w:lang w:val="en-US"/>
        </w:rPr>
        <w:tab/>
        <w:t xml:space="preserve">Popp, Bernt. Data files for manuscript ‘A novel syndrome caused by the constitutional gain-of-function variant </w:t>
      </w:r>
      <w:proofErr w:type="gramStart"/>
      <w:r w:rsidRPr="00F96002">
        <w:rPr>
          <w:lang w:val="en-US"/>
        </w:rPr>
        <w:t>p.Glu</w:t>
      </w:r>
      <w:proofErr w:type="gramEnd"/>
      <w:r w:rsidRPr="00F96002">
        <w:rPr>
          <w:lang w:val="en-US"/>
        </w:rPr>
        <w:t>1099Lys in NSD2’. (2022) doi:10.5281/ZENODO.6206868.</w:t>
      </w:r>
    </w:p>
    <w:sectPr w:rsidR="004D3F6C" w:rsidRPr="00F96002">
      <w:foot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281E3" w14:textId="77777777" w:rsidR="001A52EE" w:rsidRDefault="001A52EE">
      <w:pPr>
        <w:spacing w:before="0" w:after="0" w:line="240" w:lineRule="auto"/>
      </w:pPr>
      <w:r>
        <w:separator/>
      </w:r>
    </w:p>
  </w:endnote>
  <w:endnote w:type="continuationSeparator" w:id="0">
    <w:p w14:paraId="5B9F6CFB" w14:textId="77777777" w:rsidR="001A52EE" w:rsidRDefault="001A52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CD806" w14:textId="43037070" w:rsidR="004D3F6C" w:rsidRDefault="00000000">
    <w:pPr>
      <w:jc w:val="right"/>
    </w:pPr>
    <w:r>
      <w:fldChar w:fldCharType="begin"/>
    </w:r>
    <w:r>
      <w:instrText>PAGE</w:instrText>
    </w:r>
    <w:r>
      <w:fldChar w:fldCharType="separate"/>
    </w:r>
    <w:r w:rsidR="003D1C4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E89F9" w14:textId="77777777" w:rsidR="001A52EE" w:rsidRDefault="001A52EE">
      <w:pPr>
        <w:spacing w:before="0" w:after="0" w:line="240" w:lineRule="auto"/>
      </w:pPr>
      <w:r>
        <w:separator/>
      </w:r>
    </w:p>
  </w:footnote>
  <w:footnote w:type="continuationSeparator" w:id="0">
    <w:p w14:paraId="4628E1F2" w14:textId="77777777" w:rsidR="001A52EE" w:rsidRDefault="001A52EE">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F6C"/>
    <w:rsid w:val="001A52EE"/>
    <w:rsid w:val="003C22CF"/>
    <w:rsid w:val="003D1C42"/>
    <w:rsid w:val="004D3F6C"/>
    <w:rsid w:val="00AF47E0"/>
    <w:rsid w:val="00F960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CD67F"/>
  <w15:docId w15:val="{7D592699-124F-47E1-A63D-A47DF56E6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 w:eastAsia="de-DE" w:bidi="ar-SA"/>
      </w:rPr>
    </w:rPrDefault>
    <w:pPrDefault>
      <w:pPr>
        <w:spacing w:before="240" w:after="24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outlineLvl w:val="0"/>
    </w:pPr>
    <w:rPr>
      <w:b/>
      <w:sz w:val="24"/>
      <w:szCs w:val="24"/>
    </w:rPr>
  </w:style>
  <w:style w:type="paragraph" w:styleId="berschrift2">
    <w:name w:val="heading 2"/>
    <w:basedOn w:val="Standard"/>
    <w:next w:val="Standard"/>
    <w:uiPriority w:val="9"/>
    <w:unhideWhenUsed/>
    <w:qFormat/>
    <w:pPr>
      <w:keepNext/>
      <w:keepLines/>
      <w:outlineLvl w:val="1"/>
    </w:pPr>
    <w:rPr>
      <w:sz w:val="24"/>
      <w:szCs w:val="24"/>
      <w:u w:val="single"/>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after="80"/>
      <w:outlineLvl w:val="4"/>
    </w:pPr>
    <w:rPr>
      <w:color w:val="666666"/>
    </w:rPr>
  </w:style>
  <w:style w:type="paragraph" w:styleId="berschrift6">
    <w:name w:val="heading 6"/>
    <w:basedOn w:val="Standard"/>
    <w:next w:val="Standard"/>
    <w:uiPriority w:val="9"/>
    <w:semiHidden/>
    <w:unhideWhenUsed/>
    <w:qFormat/>
    <w:pPr>
      <w:keepNext/>
      <w:keepLines/>
      <w:spacing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0" w:after="0"/>
    </w:pPr>
    <w:rPr>
      <w:b/>
    </w:rPr>
  </w:style>
  <w:style w:type="paragraph" w:styleId="Untertitel">
    <w:name w:val="Subtitle"/>
    <w:basedOn w:val="Standard"/>
    <w:next w:val="Standard"/>
    <w:uiPriority w:val="11"/>
    <w:qFormat/>
    <w:pPr>
      <w:keepNext/>
      <w:keepLines/>
      <w:spacing w:before="0" w:after="320"/>
    </w:pPr>
    <w:rPr>
      <w:color w:val="666666"/>
      <w:sz w:val="30"/>
      <w:szCs w:val="30"/>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5684</Words>
  <Characters>35814</Characters>
  <Application>Microsoft Office Word</Application>
  <DocSecurity>0</DocSecurity>
  <Lines>298</Lines>
  <Paragraphs>82</Paragraphs>
  <ScaleCrop>false</ScaleCrop>
  <Company/>
  <LinksUpToDate>false</LinksUpToDate>
  <CharactersWithSpaces>41416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Bernt Popp</cp:lastModifiedBy>
  <cp:revision>5</cp:revision>
  <dcterms:created xsi:type="dcterms:W3CDTF">2022-09-26T17:19:00Z</dcterms:created>
  <dcterms:modified xsi:type="dcterms:W3CDTF">2022-09-26T17:31:00Z</dcterms:modified>
</cp:coreProperties>
</file>