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0F9" w:rsidRDefault="00B920F9" w:rsidP="00B920F9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Supplemental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Figure</w:t>
      </w:r>
      <w:proofErr w:type="spellEnd"/>
      <w:r>
        <w:rPr>
          <w:rFonts w:ascii="Arial" w:hAnsi="Arial" w:cs="Arial"/>
          <w:b/>
        </w:rPr>
        <w:t xml:space="preserve"> 1</w:t>
      </w:r>
    </w:p>
    <w:p w:rsidR="00B920F9" w:rsidRPr="00992212" w:rsidRDefault="00B920F9" w:rsidP="00B920F9">
      <w:pPr>
        <w:rPr>
          <w:rFonts w:ascii="Arial" w:hAnsi="Arial" w:cs="Arial"/>
          <w:b/>
        </w:rPr>
      </w:pPr>
      <w:r w:rsidRPr="007873A3">
        <w:rPr>
          <w:rFonts w:ascii="Arial" w:hAnsi="Arial" w:cs="Arial"/>
          <w:b/>
          <w:noProof/>
        </w:rPr>
        <w:drawing>
          <wp:inline distT="0" distB="0" distL="0" distR="0" wp14:anchorId="0AB32D18" wp14:editId="16D59683">
            <wp:extent cx="4563208" cy="4155951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6389" cy="41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F9" w:rsidRPr="00301652" w:rsidRDefault="00B920F9" w:rsidP="00301652">
      <w:pPr>
        <w:jc w:val="both"/>
        <w:rPr>
          <w:rFonts w:ascii="Arial" w:hAnsi="Arial" w:cs="Arial"/>
          <w:b/>
          <w:sz w:val="20"/>
          <w:szCs w:val="20"/>
          <w:lang w:val="en-US"/>
        </w:rPr>
        <w:sectPr w:rsidR="00B920F9" w:rsidRPr="00301652" w:rsidSect="00A83161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0"/>
          <w:szCs w:val="20"/>
          <w:lang w:val="en-US"/>
        </w:rPr>
        <w:t>Supplemental Figure 1</w:t>
      </w:r>
      <w:r w:rsidRPr="007873A3">
        <w:rPr>
          <w:rFonts w:ascii="Arial" w:hAnsi="Arial" w:cs="Arial"/>
          <w:b/>
          <w:sz w:val="20"/>
          <w:szCs w:val="20"/>
          <w:lang w:val="en-US"/>
        </w:rPr>
        <w:t xml:space="preserve">: </w:t>
      </w:r>
      <w:r w:rsidRPr="0046111C">
        <w:rPr>
          <w:rFonts w:ascii="Arial" w:hAnsi="Arial" w:cs="Arial"/>
          <w:b/>
          <w:sz w:val="20"/>
          <w:szCs w:val="20"/>
          <w:lang w:val="en-US"/>
        </w:rPr>
        <w:t xml:space="preserve">Hematoxylin-eosin </w:t>
      </w:r>
      <w:r>
        <w:rPr>
          <w:rFonts w:ascii="Arial" w:hAnsi="Arial" w:cs="Arial"/>
          <w:b/>
          <w:sz w:val="20"/>
          <w:szCs w:val="20"/>
          <w:lang w:val="en-US"/>
        </w:rPr>
        <w:t>(HE) volumetric analysis of early- and late-stage SB28 tumors.</w:t>
      </w:r>
      <w:r w:rsidR="00301652" w:rsidRPr="00301652">
        <w:rPr>
          <w:lang w:val="en-US"/>
        </w:rPr>
        <w:t xml:space="preserve"> </w:t>
      </w:r>
      <w:r w:rsidR="00301652" w:rsidRPr="00301652">
        <w:rPr>
          <w:rFonts w:ascii="Arial" w:hAnsi="Arial" w:cs="Arial"/>
          <w:bCs/>
          <w:sz w:val="20"/>
          <w:szCs w:val="20"/>
          <w:lang w:val="en-US"/>
        </w:rPr>
        <w:t xml:space="preserve">The day-6 tumor indicated a small compact HE-positive tumor core but a large infiltration zone, whereas the late-stage day-26 tumor was characterized by a large HE-positive lesion with high density and only minor infiltration zone. Volumetric results: </w:t>
      </w:r>
      <w:r w:rsidR="00301652" w:rsidRPr="00301652">
        <w:rPr>
          <w:rFonts w:ascii="Arial" w:hAnsi="Arial" w:cs="Arial"/>
          <w:sz w:val="20"/>
          <w:szCs w:val="20"/>
          <w:lang w:val="en-US"/>
        </w:rPr>
        <w:t>Day 6: Tumor: 7.1 mm</w:t>
      </w:r>
      <w:r w:rsidR="00301652" w:rsidRPr="00596F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 w:rsidR="00301652" w:rsidRPr="00301652">
        <w:rPr>
          <w:rFonts w:ascii="Arial" w:hAnsi="Arial" w:cs="Arial"/>
          <w:sz w:val="20"/>
          <w:szCs w:val="20"/>
          <w:lang w:val="en-US"/>
        </w:rPr>
        <w:t xml:space="preserve"> (solid tumor: 3.6 mm</w:t>
      </w:r>
      <w:r w:rsidR="00301652" w:rsidRPr="00596F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 w:rsidR="00301652" w:rsidRPr="00301652">
        <w:rPr>
          <w:rFonts w:ascii="Arial" w:hAnsi="Arial" w:cs="Arial"/>
          <w:sz w:val="20"/>
          <w:szCs w:val="20"/>
          <w:lang w:val="en-US"/>
        </w:rPr>
        <w:t xml:space="preserve"> = 50.7%, infiltration zone: 3.5 mm</w:t>
      </w:r>
      <w:r w:rsidR="00301652" w:rsidRPr="00596F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 w:rsidR="00301652" w:rsidRPr="00301652">
        <w:rPr>
          <w:rFonts w:ascii="Arial" w:hAnsi="Arial" w:cs="Arial"/>
          <w:sz w:val="20"/>
          <w:szCs w:val="20"/>
          <w:lang w:val="en-US"/>
        </w:rPr>
        <w:t xml:space="preserve"> = 49.3%). Day 26: Tumor 62.8 mm</w:t>
      </w:r>
      <w:r w:rsidR="00301652" w:rsidRPr="00596F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 w:rsidR="00301652" w:rsidRPr="00301652">
        <w:rPr>
          <w:rFonts w:ascii="Arial" w:hAnsi="Arial" w:cs="Arial"/>
          <w:sz w:val="20"/>
          <w:szCs w:val="20"/>
          <w:lang w:val="en-US"/>
        </w:rPr>
        <w:t xml:space="preserve"> (solid tumor: 62.8 mm</w:t>
      </w:r>
      <w:r w:rsidR="00301652" w:rsidRPr="00596F9B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 w:rsidR="00301652" w:rsidRPr="00301652">
        <w:rPr>
          <w:rFonts w:ascii="Arial" w:hAnsi="Arial" w:cs="Arial"/>
          <w:sz w:val="20"/>
          <w:szCs w:val="20"/>
          <w:lang w:val="en-US"/>
        </w:rPr>
        <w:t>, infiltration zone: not measurable)</w:t>
      </w:r>
      <w:r w:rsidR="00301652">
        <w:rPr>
          <w:rFonts w:ascii="Arial" w:hAnsi="Arial" w:cs="Arial"/>
          <w:sz w:val="20"/>
          <w:szCs w:val="20"/>
          <w:lang w:val="en-US"/>
        </w:rPr>
        <w:t>.</w:t>
      </w:r>
    </w:p>
    <w:p w:rsidR="006F732C" w:rsidRPr="00301652" w:rsidRDefault="00B920F9" w:rsidP="006F732C">
      <w:pPr>
        <w:rPr>
          <w:rFonts w:ascii="Arial" w:hAnsi="Arial" w:cs="Arial"/>
          <w:b/>
          <w:lang w:val="en-US"/>
        </w:rPr>
      </w:pPr>
      <w:r w:rsidRPr="00301652">
        <w:rPr>
          <w:rFonts w:ascii="Arial" w:hAnsi="Arial" w:cs="Arial"/>
          <w:b/>
          <w:lang w:val="en-US"/>
        </w:rPr>
        <w:lastRenderedPageBreak/>
        <w:t>Supplemental Figure 2</w:t>
      </w:r>
    </w:p>
    <w:p w:rsidR="006F732C" w:rsidRDefault="006F732C" w:rsidP="00A83161">
      <w:pPr>
        <w:rPr>
          <w:rFonts w:ascii="Arial" w:hAnsi="Arial" w:cs="Arial"/>
          <w:b/>
        </w:rPr>
      </w:pPr>
      <w:r w:rsidRPr="006F732C">
        <w:rPr>
          <w:rFonts w:ascii="Arial" w:hAnsi="Arial" w:cs="Arial"/>
          <w:b/>
          <w:noProof/>
        </w:rPr>
        <w:drawing>
          <wp:inline distT="0" distB="0" distL="0" distR="0" wp14:anchorId="6D7570A8" wp14:editId="23049019">
            <wp:extent cx="9072245" cy="23012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32C" w:rsidRPr="007873A3" w:rsidRDefault="00B920F9" w:rsidP="007873A3">
      <w:pPr>
        <w:spacing w:line="276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Supplemental Figure 2</w:t>
      </w:r>
      <w:r w:rsidR="006F732C" w:rsidRPr="007873A3">
        <w:rPr>
          <w:rFonts w:ascii="Arial" w:hAnsi="Arial" w:cs="Arial"/>
          <w:b/>
          <w:sz w:val="20"/>
          <w:szCs w:val="20"/>
          <w:lang w:val="en-US"/>
        </w:rPr>
        <w:t xml:space="preserve">: Serial TSPO-PET imaging of two SB28 mice. </w:t>
      </w:r>
      <w:r w:rsidR="00F34C05" w:rsidRPr="007873A3">
        <w:rPr>
          <w:rFonts w:ascii="Arial" w:hAnsi="Arial" w:cs="Arial"/>
          <w:sz w:val="20"/>
          <w:szCs w:val="20"/>
          <w:lang w:val="en-US"/>
        </w:rPr>
        <w:t>(</w:t>
      </w:r>
      <w:r w:rsidR="00F34C05" w:rsidRPr="007873A3">
        <w:rPr>
          <w:rFonts w:ascii="Arial" w:hAnsi="Arial" w:cs="Arial"/>
          <w:b/>
          <w:sz w:val="20"/>
          <w:szCs w:val="20"/>
          <w:lang w:val="en-US"/>
        </w:rPr>
        <w:t>A</w:t>
      </w:r>
      <w:r w:rsidR="00F34C05" w:rsidRPr="007873A3">
        <w:rPr>
          <w:rFonts w:ascii="Arial" w:hAnsi="Arial" w:cs="Arial"/>
          <w:sz w:val="20"/>
          <w:szCs w:val="20"/>
          <w:lang w:val="en-US"/>
        </w:rPr>
        <w:t>) Coronal and axial planes</w:t>
      </w:r>
      <w:r w:rsidR="00F34C05" w:rsidRPr="007873A3">
        <w:rPr>
          <w:rFonts w:ascii="Arial" w:hAnsi="Arial" w:cs="Arial"/>
          <w:bCs/>
          <w:sz w:val="20"/>
          <w:szCs w:val="20"/>
          <w:lang w:val="en-US"/>
        </w:rPr>
        <w:t xml:space="preserve"> show serial TSPO-PET images of a SB28 mouse at both time-points (week-1 = day 7 / week-3 = day 19) upon a CT template. Note the regional shift of the tumor hotspot during tumor growth. (</w:t>
      </w:r>
      <w:r w:rsidR="00F34C05" w:rsidRPr="007873A3">
        <w:rPr>
          <w:rFonts w:ascii="Arial" w:hAnsi="Arial" w:cs="Arial"/>
          <w:b/>
          <w:bCs/>
          <w:sz w:val="20"/>
          <w:szCs w:val="20"/>
          <w:lang w:val="en-US"/>
        </w:rPr>
        <w:t>B</w:t>
      </w:r>
      <w:proofErr w:type="gramStart"/>
      <w:r w:rsidR="00F34C05" w:rsidRPr="007873A3">
        <w:rPr>
          <w:rFonts w:ascii="Arial" w:hAnsi="Arial" w:cs="Arial"/>
          <w:b/>
          <w:bCs/>
          <w:sz w:val="20"/>
          <w:szCs w:val="20"/>
          <w:lang w:val="en-US"/>
        </w:rPr>
        <w:t>,C</w:t>
      </w:r>
      <w:proofErr w:type="gramEnd"/>
      <w:r w:rsidR="00F34C05" w:rsidRPr="007873A3">
        <w:rPr>
          <w:rFonts w:ascii="Arial" w:hAnsi="Arial" w:cs="Arial"/>
          <w:bCs/>
          <w:sz w:val="20"/>
          <w:szCs w:val="20"/>
          <w:lang w:val="en-US"/>
        </w:rPr>
        <w:t xml:space="preserve">) Quantification of serial TSPO-PET imaging in two SB28 mice. </w:t>
      </w:r>
    </w:p>
    <w:p w:rsidR="006F732C" w:rsidRPr="006F732C" w:rsidRDefault="006F732C" w:rsidP="00A83161">
      <w:pPr>
        <w:rPr>
          <w:rFonts w:ascii="Arial" w:hAnsi="Arial" w:cs="Arial"/>
          <w:b/>
          <w:lang w:val="en-US"/>
        </w:rPr>
      </w:pPr>
    </w:p>
    <w:p w:rsidR="007873A3" w:rsidRDefault="007873A3" w:rsidP="00A83161">
      <w:pPr>
        <w:rPr>
          <w:rFonts w:ascii="Arial" w:hAnsi="Arial" w:cs="Arial"/>
          <w:b/>
          <w:lang w:val="en-US"/>
        </w:rPr>
        <w:sectPr w:rsidR="007873A3" w:rsidSect="00A83161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:rsidR="00A83161" w:rsidRPr="00F34C05" w:rsidRDefault="00A83161" w:rsidP="00A83161">
      <w:pPr>
        <w:rPr>
          <w:rFonts w:ascii="Arial" w:hAnsi="Arial" w:cs="Arial"/>
          <w:b/>
          <w:lang w:val="en-US"/>
        </w:rPr>
      </w:pPr>
      <w:r w:rsidRPr="00F34C05">
        <w:rPr>
          <w:rFonts w:ascii="Arial" w:hAnsi="Arial" w:cs="Arial"/>
          <w:b/>
          <w:lang w:val="en-US"/>
        </w:rPr>
        <w:lastRenderedPageBreak/>
        <w:t>Supplemental Figure 3</w:t>
      </w:r>
    </w:p>
    <w:p w:rsidR="00A83161" w:rsidRPr="00F34C05" w:rsidRDefault="00A83161" w:rsidP="00A83161">
      <w:pPr>
        <w:rPr>
          <w:lang w:val="en-US"/>
        </w:rPr>
      </w:pPr>
      <w:r w:rsidRPr="00A83161">
        <w:rPr>
          <w:noProof/>
        </w:rPr>
        <w:drawing>
          <wp:inline distT="0" distB="0" distL="0" distR="0" wp14:anchorId="600F9878" wp14:editId="1A1FCBF6">
            <wp:extent cx="9072245" cy="295783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161" w:rsidRPr="00A83161" w:rsidRDefault="00A83161" w:rsidP="007873A3">
      <w:pPr>
        <w:spacing w:line="276" w:lineRule="auto"/>
        <w:jc w:val="both"/>
        <w:rPr>
          <w:rFonts w:ascii="Arial" w:hAnsi="Arial" w:cs="Arial"/>
          <w:b/>
          <w:lang w:val="en-US"/>
        </w:rPr>
        <w:sectPr w:rsidR="00A83161" w:rsidRPr="00A83161" w:rsidSect="00A83161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0"/>
          <w:lang w:val="en-US"/>
        </w:rPr>
        <w:t>Supplemental Figure 3</w:t>
      </w:r>
      <w:r w:rsidRPr="00992212">
        <w:rPr>
          <w:rFonts w:ascii="Arial" w:hAnsi="Arial" w:cs="Arial"/>
          <w:b/>
          <w:sz w:val="20"/>
          <w:lang w:val="en-US"/>
        </w:rPr>
        <w:t>:</w:t>
      </w:r>
      <w:r>
        <w:rPr>
          <w:rFonts w:ascii="Arial" w:hAnsi="Arial" w:cs="Arial"/>
          <w:b/>
          <w:sz w:val="20"/>
          <w:lang w:val="en-US"/>
        </w:rPr>
        <w:t xml:space="preserve"> Qualitative </w:t>
      </w:r>
      <w:r w:rsidR="00596F9B">
        <w:rPr>
          <w:rFonts w:ascii="Arial" w:hAnsi="Arial" w:cs="Arial"/>
          <w:b/>
          <w:sz w:val="20"/>
          <w:lang w:val="en-US"/>
        </w:rPr>
        <w:t>immuno</w:t>
      </w:r>
      <w:r>
        <w:rPr>
          <w:rFonts w:ascii="Arial" w:hAnsi="Arial" w:cs="Arial"/>
          <w:b/>
          <w:sz w:val="20"/>
          <w:lang w:val="en-US"/>
        </w:rPr>
        <w:t xml:space="preserve">fluorescence tissue imaging of a week-3 tumor. </w:t>
      </w:r>
      <w:r w:rsidRPr="00A83161">
        <w:rPr>
          <w:rFonts w:ascii="Arial" w:hAnsi="Arial" w:cs="Arial"/>
          <w:sz w:val="20"/>
          <w:lang w:val="en-US"/>
        </w:rPr>
        <w:t>(</w:t>
      </w:r>
      <w:r w:rsidRPr="00A83161">
        <w:rPr>
          <w:rFonts w:ascii="Arial" w:hAnsi="Arial" w:cs="Arial"/>
          <w:b/>
          <w:sz w:val="20"/>
          <w:lang w:val="en-US"/>
        </w:rPr>
        <w:t>A</w:t>
      </w:r>
      <w:r w:rsidRPr="00A83161">
        <w:rPr>
          <w:rFonts w:ascii="Arial" w:hAnsi="Arial" w:cs="Arial"/>
          <w:sz w:val="20"/>
          <w:lang w:val="en-US"/>
        </w:rPr>
        <w:t xml:space="preserve">) Strong TSPO labeling of SB28 tumor tissue across all parts of the lesion </w:t>
      </w:r>
      <w:r>
        <w:rPr>
          <w:rFonts w:ascii="Arial" w:hAnsi="Arial" w:cs="Arial"/>
          <w:sz w:val="20"/>
          <w:lang w:val="en-US"/>
        </w:rPr>
        <w:t xml:space="preserve">in an overview section </w:t>
      </w:r>
      <w:r w:rsidRPr="00A83161">
        <w:rPr>
          <w:rFonts w:ascii="Arial" w:hAnsi="Arial" w:cs="Arial"/>
          <w:sz w:val="20"/>
          <w:lang w:val="en-US"/>
        </w:rPr>
        <w:t>comprising the edge (left: infiltration zone, less GFP-positive cells) and the core of the tumor (right: more GFP-positive cells)</w:t>
      </w:r>
      <w:r>
        <w:rPr>
          <w:rFonts w:ascii="Arial" w:hAnsi="Arial" w:cs="Arial"/>
          <w:sz w:val="20"/>
          <w:lang w:val="en-US"/>
        </w:rPr>
        <w:t>. DAPI indicates cell cores. Scale bar indicates 100 µm. (</w:t>
      </w:r>
      <w:r w:rsidRPr="00A83161">
        <w:rPr>
          <w:rFonts w:ascii="Arial" w:hAnsi="Arial" w:cs="Arial"/>
          <w:b/>
          <w:sz w:val="20"/>
          <w:lang w:val="en-US"/>
        </w:rPr>
        <w:t>B</w:t>
      </w:r>
      <w:r>
        <w:rPr>
          <w:rFonts w:ascii="Arial" w:hAnsi="Arial" w:cs="Arial"/>
          <w:sz w:val="20"/>
          <w:lang w:val="en-US"/>
        </w:rPr>
        <w:t>) Zoomed section</w:t>
      </w:r>
      <w:r w:rsidR="00B530FA">
        <w:rPr>
          <w:rFonts w:ascii="Arial" w:hAnsi="Arial" w:cs="Arial"/>
          <w:sz w:val="20"/>
          <w:lang w:val="en-US"/>
        </w:rPr>
        <w:t xml:space="preserve"> showing</w:t>
      </w:r>
      <w:r>
        <w:rPr>
          <w:rFonts w:ascii="Arial" w:hAnsi="Arial" w:cs="Arial"/>
          <w:sz w:val="20"/>
          <w:lang w:val="en-US"/>
        </w:rPr>
        <w:t xml:space="preserve"> co-labeling of GFP-positive tumor cells and TSPO. DAPI indicates cell cores. Scale bar indicates 10 µm.</w:t>
      </w:r>
      <w:r w:rsidR="00B530FA" w:rsidRPr="00B530FA">
        <w:rPr>
          <w:rFonts w:ascii="Arial" w:hAnsi="Arial" w:cs="Arial"/>
          <w:sz w:val="20"/>
          <w:lang w:val="en-US"/>
        </w:rPr>
        <w:t xml:space="preserve"> </w:t>
      </w:r>
      <w:r w:rsidR="00B530FA">
        <w:rPr>
          <w:rFonts w:ascii="Arial" w:hAnsi="Arial" w:cs="Arial"/>
          <w:sz w:val="20"/>
          <w:lang w:val="en-US"/>
        </w:rPr>
        <w:t>(</w:t>
      </w:r>
      <w:r w:rsidR="00B530FA">
        <w:rPr>
          <w:rFonts w:ascii="Arial" w:hAnsi="Arial" w:cs="Arial"/>
          <w:b/>
          <w:sz w:val="20"/>
          <w:lang w:val="en-US"/>
        </w:rPr>
        <w:t>C</w:t>
      </w:r>
      <w:r w:rsidR="00B530FA">
        <w:rPr>
          <w:rFonts w:ascii="Arial" w:hAnsi="Arial" w:cs="Arial"/>
          <w:sz w:val="20"/>
          <w:lang w:val="en-US"/>
        </w:rPr>
        <w:t>) Zoomed section showing co-labeling of CD11b-positive immune cells and TSPO. DAPI indicates cell cores. Scale bar indicates 10 µm.</w:t>
      </w:r>
      <w:bookmarkStart w:id="0" w:name="_GoBack"/>
      <w:bookmarkEnd w:id="0"/>
    </w:p>
    <w:p w:rsidR="00992212" w:rsidRPr="00A83161" w:rsidRDefault="00A83161">
      <w:pPr>
        <w:rPr>
          <w:rFonts w:ascii="Arial" w:hAnsi="Arial" w:cs="Arial"/>
          <w:b/>
          <w:lang w:val="en-US"/>
        </w:rPr>
      </w:pPr>
      <w:r w:rsidRPr="00A83161">
        <w:rPr>
          <w:rFonts w:ascii="Arial" w:hAnsi="Arial" w:cs="Arial"/>
          <w:b/>
          <w:lang w:val="en-US"/>
        </w:rPr>
        <w:lastRenderedPageBreak/>
        <w:t>Supplemental Figure 4</w:t>
      </w:r>
    </w:p>
    <w:p w:rsidR="00F3211A" w:rsidRPr="00A83161" w:rsidRDefault="00992212">
      <w:pPr>
        <w:rPr>
          <w:lang w:val="en-US"/>
        </w:rPr>
      </w:pPr>
      <w:r w:rsidRPr="00992212">
        <w:rPr>
          <w:noProof/>
        </w:rPr>
        <w:drawing>
          <wp:inline distT="0" distB="0" distL="0" distR="0" wp14:anchorId="5B90689B" wp14:editId="4C2337BD">
            <wp:extent cx="3833565" cy="27505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0210" cy="275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12" w:rsidRPr="00992212" w:rsidRDefault="00B530FA" w:rsidP="007873A3">
      <w:pPr>
        <w:spacing w:line="276" w:lineRule="auto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b/>
          <w:sz w:val="20"/>
          <w:lang w:val="en-US"/>
        </w:rPr>
        <w:t>Supplemental Figure 4</w:t>
      </w:r>
      <w:r w:rsidR="00992212" w:rsidRPr="00992212">
        <w:rPr>
          <w:rFonts w:ascii="Arial" w:hAnsi="Arial" w:cs="Arial"/>
          <w:b/>
          <w:sz w:val="20"/>
          <w:lang w:val="en-US"/>
        </w:rPr>
        <w:t>:</w:t>
      </w:r>
      <w:r w:rsidR="00992212" w:rsidRPr="00992212">
        <w:rPr>
          <w:b/>
          <w:sz w:val="20"/>
          <w:lang w:val="en-US"/>
        </w:rPr>
        <w:t xml:space="preserve"> </w:t>
      </w:r>
      <w:r w:rsidR="00992212" w:rsidRPr="00992212">
        <w:rPr>
          <w:rFonts w:ascii="Arial" w:hAnsi="Arial" w:cs="Arial"/>
          <w:b/>
          <w:sz w:val="20"/>
          <w:lang w:val="en-US"/>
        </w:rPr>
        <w:t xml:space="preserve">Quantitative assessment of cerebellar TSPO-PET signals in SB28 and sham mice. </w:t>
      </w:r>
      <w:r w:rsidR="00992212" w:rsidRPr="00992212">
        <w:rPr>
          <w:rFonts w:ascii="Arial" w:hAnsi="Arial" w:cs="Arial"/>
          <w:sz w:val="20"/>
          <w:lang w:val="en-US"/>
        </w:rPr>
        <w:t xml:space="preserve">Mean volumes of distribution (VT) and standardized uptake values (SUV) of the cerebellum in SB28 and sham mice at week-1 and week-3. Mean values were obtained using a standard VOI of the </w:t>
      </w:r>
      <w:proofErr w:type="spellStart"/>
      <w:r w:rsidR="00992212" w:rsidRPr="00992212">
        <w:rPr>
          <w:rFonts w:ascii="Arial" w:hAnsi="Arial" w:cs="Arial"/>
          <w:sz w:val="20"/>
          <w:lang w:val="en-US"/>
        </w:rPr>
        <w:t>Mirrione</w:t>
      </w:r>
      <w:proofErr w:type="spellEnd"/>
      <w:r w:rsidR="00992212" w:rsidRPr="00992212">
        <w:rPr>
          <w:rFonts w:ascii="Arial" w:hAnsi="Arial" w:cs="Arial"/>
          <w:sz w:val="20"/>
          <w:lang w:val="en-US"/>
        </w:rPr>
        <w:t xml:space="preserve"> atlas. P values are indicated for comparisons of SB28 and sham mice per time-point and for the comparison of week-1 and week-3 within groups.</w:t>
      </w:r>
    </w:p>
    <w:sectPr w:rsidR="00992212" w:rsidRPr="009922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12"/>
    <w:rsid w:val="002634E0"/>
    <w:rsid w:val="002F7686"/>
    <w:rsid w:val="00301652"/>
    <w:rsid w:val="0046111C"/>
    <w:rsid w:val="005478CF"/>
    <w:rsid w:val="00596F9B"/>
    <w:rsid w:val="006F732C"/>
    <w:rsid w:val="007873A3"/>
    <w:rsid w:val="00992212"/>
    <w:rsid w:val="00A83161"/>
    <w:rsid w:val="00B530FA"/>
    <w:rsid w:val="00B920F9"/>
    <w:rsid w:val="00F3211A"/>
    <w:rsid w:val="00F34C05"/>
    <w:rsid w:val="00FE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6A9E8"/>
  <w15:chartTrackingRefBased/>
  <w15:docId w15:val="{2D4B6386-DAAF-4CC4-A433-C6C0748FC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der Universitaet Muenchen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2022-08-11T19:43:00Z</dcterms:created>
  <dcterms:modified xsi:type="dcterms:W3CDTF">2022-08-11T19:43:00Z</dcterms:modified>
</cp:coreProperties>
</file>