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BF34E8" w14:textId="26C89994" w:rsidR="00643646" w:rsidRDefault="00643646" w:rsidP="00643646">
      <w:pPr>
        <w:spacing w:line="48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Critical assessment of chromatographic metadata in publicly available metabolomics data repositories – Supplementary Information</w:t>
      </w:r>
      <w:bookmarkStart w:id="0" w:name="_GoBack"/>
      <w:bookmarkEnd w:id="0"/>
    </w:p>
    <w:p w14:paraId="155D978D" w14:textId="77777777" w:rsidR="00643646" w:rsidRDefault="00643646" w:rsidP="00643646">
      <w:pPr>
        <w:spacing w:line="480" w:lineRule="auto"/>
        <w:jc w:val="both"/>
      </w:pPr>
    </w:p>
    <w:p w14:paraId="428BCC05" w14:textId="77777777" w:rsidR="00643646" w:rsidRDefault="00643646" w:rsidP="00643646">
      <w:pPr>
        <w:spacing w:line="480" w:lineRule="auto"/>
        <w:jc w:val="both"/>
        <w:rPr>
          <w:lang w:val="de-DE"/>
        </w:rPr>
      </w:pPr>
      <w:r>
        <w:rPr>
          <w:lang w:val="de-DE"/>
        </w:rPr>
        <w:t>Eva-Maria Harrieder</w:t>
      </w:r>
      <w:r>
        <w:rPr>
          <w:vertAlign w:val="superscript"/>
          <w:lang w:val="de-DE"/>
        </w:rPr>
        <w:t>1</w:t>
      </w:r>
      <w:r>
        <w:rPr>
          <w:lang w:val="de-DE"/>
        </w:rPr>
        <w:t>, Fleming Kretschmer</w:t>
      </w:r>
      <w:r>
        <w:rPr>
          <w:vertAlign w:val="superscript"/>
          <w:lang w:val="de-DE"/>
        </w:rPr>
        <w:t>2</w:t>
      </w:r>
      <w:r>
        <w:rPr>
          <w:lang w:val="de-DE"/>
        </w:rPr>
        <w:t>, Warwick Dunn</w:t>
      </w:r>
      <w:r>
        <w:rPr>
          <w:vertAlign w:val="superscript"/>
          <w:lang w:val="de-DE"/>
        </w:rPr>
        <w:t>3</w:t>
      </w:r>
      <w:r>
        <w:rPr>
          <w:lang w:val="de-DE"/>
        </w:rPr>
        <w:t>, Sebastian Böcker</w:t>
      </w:r>
      <w:r>
        <w:rPr>
          <w:vertAlign w:val="superscript"/>
          <w:lang w:val="de-DE"/>
        </w:rPr>
        <w:t>2</w:t>
      </w:r>
      <w:r>
        <w:rPr>
          <w:lang w:val="de-DE"/>
        </w:rPr>
        <w:t xml:space="preserve"> and Michael Witting</w:t>
      </w:r>
      <w:r>
        <w:rPr>
          <w:vertAlign w:val="superscript"/>
          <w:lang w:val="de-DE"/>
        </w:rPr>
        <w:t>4,5,</w:t>
      </w:r>
      <w:r>
        <w:rPr>
          <w:lang w:val="de-DE"/>
        </w:rPr>
        <w:t>*</w:t>
      </w:r>
    </w:p>
    <w:p w14:paraId="081EC6D1" w14:textId="77777777" w:rsidR="00643646" w:rsidRDefault="00643646" w:rsidP="00643646">
      <w:pPr>
        <w:spacing w:line="480" w:lineRule="auto"/>
        <w:jc w:val="both"/>
        <w:rPr>
          <w:lang w:val="de-DE"/>
        </w:rPr>
      </w:pPr>
    </w:p>
    <w:p w14:paraId="1FBE0217" w14:textId="77777777" w:rsidR="00643646" w:rsidRDefault="00643646" w:rsidP="00643646">
      <w:pPr>
        <w:spacing w:line="480" w:lineRule="auto"/>
        <w:jc w:val="both"/>
        <w:rPr>
          <w:lang w:val="de-DE"/>
        </w:rPr>
      </w:pPr>
      <w:r>
        <w:rPr>
          <w:vertAlign w:val="superscript"/>
          <w:lang w:val="de-DE"/>
        </w:rPr>
        <w:t>1</w:t>
      </w:r>
      <w:r>
        <w:rPr>
          <w:lang w:val="de-DE"/>
        </w:rPr>
        <w:t xml:space="preserve"> Research Unit Analytical BioGeoChemistry, Helmholtz Zentrum München, Ingolstädter Landstraße 1, 85764 Neuherberg, Germany</w:t>
      </w:r>
    </w:p>
    <w:p w14:paraId="5762EEBE" w14:textId="77777777" w:rsidR="00643646" w:rsidRDefault="00643646" w:rsidP="00643646">
      <w:pPr>
        <w:spacing w:line="480" w:lineRule="auto"/>
      </w:pPr>
      <w:r>
        <w:rPr>
          <w:vertAlign w:val="superscript"/>
        </w:rPr>
        <w:t>2</w:t>
      </w:r>
      <w:r>
        <w:t xml:space="preserve"> Chair of Bioinformatics, Friedrich-Schiller-Universität Jena, Ernst-Abbe-Platz 2, 07743 Jena, Germany</w:t>
      </w:r>
    </w:p>
    <w:p w14:paraId="096DC652" w14:textId="77777777" w:rsidR="00643646" w:rsidRDefault="00643646" w:rsidP="00643646">
      <w:pPr>
        <w:spacing w:line="480" w:lineRule="auto"/>
      </w:pPr>
      <w:r>
        <w:rPr>
          <w:vertAlign w:val="superscript"/>
        </w:rPr>
        <w:t>3</w:t>
      </w:r>
      <w:r>
        <w:t xml:space="preserve"> Department of Biochemistry and Systems Biology, Institute of Systems, Molecular, and Integrative Biology, University of Liverpool, Liverpool L69 7ZB, UK </w:t>
      </w:r>
    </w:p>
    <w:p w14:paraId="535DDC5A" w14:textId="77777777" w:rsidR="00643646" w:rsidRDefault="00643646" w:rsidP="00643646">
      <w:pPr>
        <w:spacing w:line="480" w:lineRule="auto"/>
        <w:jc w:val="both"/>
        <w:rPr>
          <w:lang w:val="de-DE"/>
        </w:rPr>
      </w:pPr>
      <w:r>
        <w:rPr>
          <w:vertAlign w:val="superscript"/>
          <w:lang w:val="de-DE"/>
        </w:rPr>
        <w:t xml:space="preserve">4 </w:t>
      </w:r>
      <w:r>
        <w:rPr>
          <w:lang w:val="de-DE"/>
        </w:rPr>
        <w:t>Metabolomics and Proteomics Core, Helmholtz Zentrum München, Ingolstädter Landstraße 1, 85764 Neuherberg, Germany</w:t>
      </w:r>
    </w:p>
    <w:p w14:paraId="52DB5B1C" w14:textId="77777777" w:rsidR="00643646" w:rsidRDefault="00643646" w:rsidP="00643646">
      <w:pPr>
        <w:spacing w:line="480" w:lineRule="auto"/>
        <w:jc w:val="both"/>
      </w:pPr>
      <w:r>
        <w:rPr>
          <w:vertAlign w:val="superscript"/>
        </w:rPr>
        <w:t>5</w:t>
      </w:r>
      <w:r>
        <w:t xml:space="preserve"> Chair of Analytical Food Chemistry, TUM School of Life Sciences, Technical University of Munich, Maximus-von-</w:t>
      </w:r>
      <w:proofErr w:type="spellStart"/>
      <w:r>
        <w:t>Imhof</w:t>
      </w:r>
      <w:proofErr w:type="spellEnd"/>
      <w:r>
        <w:t xml:space="preserve">-Forum 2, 85354 </w:t>
      </w:r>
      <w:proofErr w:type="spellStart"/>
      <w:r>
        <w:t>Freising</w:t>
      </w:r>
      <w:proofErr w:type="spellEnd"/>
      <w:r>
        <w:t>, Germany</w:t>
      </w:r>
    </w:p>
    <w:p w14:paraId="44432906" w14:textId="77777777" w:rsidR="00643646" w:rsidRDefault="00643646" w:rsidP="00643646">
      <w:pPr>
        <w:spacing w:line="480" w:lineRule="auto"/>
        <w:jc w:val="both"/>
      </w:pPr>
    </w:p>
    <w:p w14:paraId="5F899B93" w14:textId="77777777" w:rsidR="00643646" w:rsidRDefault="00643646" w:rsidP="00643646">
      <w:pPr>
        <w:spacing w:line="480" w:lineRule="auto"/>
        <w:jc w:val="both"/>
      </w:pPr>
      <w:r>
        <w:t xml:space="preserve">* </w:t>
      </w:r>
      <w:proofErr w:type="gramStart"/>
      <w:r>
        <w:t>corresponding</w:t>
      </w:r>
      <w:proofErr w:type="gramEnd"/>
      <w:r>
        <w:t xml:space="preserve"> author</w:t>
      </w:r>
    </w:p>
    <w:p w14:paraId="3D2252C9" w14:textId="77777777" w:rsidR="00643646" w:rsidRDefault="00643646" w:rsidP="00643646">
      <w:pPr>
        <w:spacing w:line="480" w:lineRule="auto"/>
        <w:jc w:val="both"/>
      </w:pPr>
      <w:r>
        <w:t>Dr. Michael Witting</w:t>
      </w:r>
    </w:p>
    <w:p w14:paraId="68CEB093" w14:textId="77777777" w:rsidR="00643646" w:rsidRDefault="00643646" w:rsidP="00643646">
      <w:pPr>
        <w:spacing w:line="480" w:lineRule="auto"/>
        <w:jc w:val="both"/>
      </w:pPr>
      <w:r>
        <w:t>michael.witting@helmholtz-muenchen.de</w:t>
      </w:r>
    </w:p>
    <w:p w14:paraId="5C58E326" w14:textId="77777777" w:rsidR="00643646" w:rsidRDefault="00643646" w:rsidP="00643646">
      <w:r>
        <w:br w:type="page"/>
      </w:r>
    </w:p>
    <w:p w14:paraId="7C801ECD" w14:textId="77777777" w:rsidR="00CB5F93" w:rsidRDefault="00CB5F93" w:rsidP="00CB5F93">
      <w:pPr>
        <w:spacing w:line="480" w:lineRule="auto"/>
        <w:jc w:val="both"/>
        <w:rPr>
          <w:i/>
        </w:rPr>
      </w:pPr>
      <w:r>
        <w:rPr>
          <w:i/>
        </w:rPr>
        <w:lastRenderedPageBreak/>
        <w:t>Case study - MTBLS291</w:t>
      </w:r>
    </w:p>
    <w:p w14:paraId="5A2A98E7" w14:textId="77777777" w:rsidR="00CB5F93" w:rsidRDefault="00CB5F93" w:rsidP="00CB5F93">
      <w:pPr>
        <w:spacing w:line="480" w:lineRule="auto"/>
        <w:jc w:val="both"/>
      </w:pPr>
      <w:r>
        <w:t xml:space="preserve">We would like to illustrate the application of the suggested notation on the example of </w:t>
      </w:r>
      <w:proofErr w:type="spellStart"/>
      <w:r>
        <w:t>MetaboLights</w:t>
      </w:r>
      <w:proofErr w:type="spellEnd"/>
      <w:r>
        <w:t xml:space="preserve"> study MTBLS291. The current method description reads as followed: “Separation was achieved on a Waters </w:t>
      </w:r>
      <w:proofErr w:type="spellStart"/>
      <w:r>
        <w:t>Cortecs</w:t>
      </w:r>
      <w:proofErr w:type="spellEnd"/>
      <w:r>
        <w:t xml:space="preserve"> C</w:t>
      </w:r>
      <w:r>
        <w:rPr>
          <w:vertAlign w:val="subscript"/>
        </w:rPr>
        <w:t>18</w:t>
      </w:r>
      <w:r>
        <w:t xml:space="preserve"> column, 150 mm x 2.1 mm ID, 1.6 µm using a Waters </w:t>
      </w:r>
      <w:proofErr w:type="spellStart"/>
      <w:r>
        <w:t>Acquity</w:t>
      </w:r>
      <w:proofErr w:type="spellEnd"/>
      <w:r>
        <w:t xml:space="preserve"> UPLC (Waters, </w:t>
      </w:r>
      <w:proofErr w:type="spellStart"/>
      <w:r>
        <w:t>Eschborn</w:t>
      </w:r>
      <w:proofErr w:type="spellEnd"/>
      <w:r>
        <w:t xml:space="preserve">, Germany) coupled to a </w:t>
      </w:r>
      <w:proofErr w:type="spellStart"/>
      <w:r>
        <w:t>Bruker</w:t>
      </w:r>
      <w:proofErr w:type="spellEnd"/>
      <w:r>
        <w:t xml:space="preserve"> </w:t>
      </w:r>
      <w:proofErr w:type="spellStart"/>
      <w:r>
        <w:t>maXis</w:t>
      </w:r>
      <w:proofErr w:type="spellEnd"/>
      <w:r>
        <w:t xml:space="preserve"> UHR-</w:t>
      </w:r>
      <w:proofErr w:type="spellStart"/>
      <w:r>
        <w:t>ToF</w:t>
      </w:r>
      <w:proofErr w:type="spellEnd"/>
      <w:r>
        <w:t>-MS (</w:t>
      </w:r>
      <w:proofErr w:type="spellStart"/>
      <w:r>
        <w:t>Bruker</w:t>
      </w:r>
      <w:proofErr w:type="spellEnd"/>
      <w:r>
        <w:t xml:space="preserve"> </w:t>
      </w:r>
      <w:proofErr w:type="spellStart"/>
      <w:r>
        <w:t>Daltonic</w:t>
      </w:r>
      <w:proofErr w:type="spellEnd"/>
      <w:r>
        <w:t xml:space="preserve">, Bremen, Germany). Flow rate was 0.25 ml/min and column temperature were set to 50°C. Eluent A consisted of 60% ACN and 40% water, eluent B of 90% </w:t>
      </w:r>
      <w:proofErr w:type="spellStart"/>
      <w:r>
        <w:t>iPrOH</w:t>
      </w:r>
      <w:proofErr w:type="spellEnd"/>
      <w:r>
        <w:t xml:space="preserve"> and 10% ACN, both with 10 </w:t>
      </w:r>
      <w:proofErr w:type="spellStart"/>
      <w:r>
        <w:t>mM</w:t>
      </w:r>
      <w:proofErr w:type="spellEnd"/>
      <w:r>
        <w:t xml:space="preserve"> ammonium </w:t>
      </w:r>
      <w:proofErr w:type="spellStart"/>
      <w:r>
        <w:t>formate</w:t>
      </w:r>
      <w:proofErr w:type="spellEnd"/>
      <w:r>
        <w:t xml:space="preserve"> and 0.1% formic acid.”</w:t>
      </w:r>
    </w:p>
    <w:p w14:paraId="094CA343" w14:textId="3F733B21" w:rsidR="00295108" w:rsidRDefault="00CB5F93" w:rsidP="00A05F53">
      <w:pPr>
        <w:spacing w:line="480" w:lineRule="auto"/>
        <w:jc w:val="both"/>
      </w:pPr>
      <w:r>
        <w:t>The column name is almost correct, the particle size indicates a sub-2-µm particle. Therefore, the column name according to our curated list together with column dimensions will be “Waters CORTECS UPLC C</w:t>
      </w:r>
      <w:r>
        <w:rPr>
          <w:vertAlign w:val="subscript"/>
        </w:rPr>
        <w:t>18</w:t>
      </w:r>
      <w:r>
        <w:t xml:space="preserve"> (150 mm x 2.1 mm ID, 1.6 µm, 90Å)”. While eluent composition could be readily retrieved, it can be improved by applying the notation suggested in this publication. The compositions of the eluents will be written as solvent A is “40% H</w:t>
      </w:r>
      <w:r>
        <w:rPr>
          <w:vertAlign w:val="subscript"/>
        </w:rPr>
        <w:t>2</w:t>
      </w:r>
      <w:r>
        <w:t xml:space="preserve">O / 60% ACN + 10 </w:t>
      </w:r>
      <w:proofErr w:type="spellStart"/>
      <w:r>
        <w:t>mM</w:t>
      </w:r>
      <w:proofErr w:type="spellEnd"/>
      <w:r>
        <w:t xml:space="preserve"> ammonium </w:t>
      </w:r>
      <w:proofErr w:type="spellStart"/>
      <w:r>
        <w:t>formate</w:t>
      </w:r>
      <w:proofErr w:type="spellEnd"/>
      <w:r>
        <w:t xml:space="preserve"> / 0.1% formic acid” and solvent B will be “10% ACN / 90% </w:t>
      </w:r>
      <w:proofErr w:type="spellStart"/>
      <w:r>
        <w:t>iPrOH</w:t>
      </w:r>
      <w:proofErr w:type="spellEnd"/>
      <w:r>
        <w:t xml:space="preserve"> + 10 </w:t>
      </w:r>
      <w:proofErr w:type="spellStart"/>
      <w:r>
        <w:t>mM</w:t>
      </w:r>
      <w:proofErr w:type="spellEnd"/>
      <w:r>
        <w:t xml:space="preserve"> ammonium </w:t>
      </w:r>
      <w:proofErr w:type="spellStart"/>
      <w:r>
        <w:t>formate</w:t>
      </w:r>
      <w:proofErr w:type="spellEnd"/>
      <w:r>
        <w:t xml:space="preserve"> / 0.1% formic acid”. No gradient was indicated, searching in the original publication describing the method the gradients should be written as follows: “68/32 at 0 min, 68/32 at 1.5 min, 3/97 at 21 min, 3/97 at 25 min, 68/32 at 25.1 min”. Furthermore, in this description no details on the preparation of the mobile phases or the gradient curve have been mentioned. The final description should read as follows: “Separation was achieved on a Waters CORTECS C</w:t>
      </w:r>
      <w:r>
        <w:rPr>
          <w:vertAlign w:val="subscript"/>
        </w:rPr>
        <w:t>18</w:t>
      </w:r>
      <w:r>
        <w:t xml:space="preserve"> (150 mm x 2.1 mm ID, 1.6 µm, 90Å) column using a Waters ACQUITY UPLC system coupled to a </w:t>
      </w:r>
      <w:proofErr w:type="spellStart"/>
      <w:r>
        <w:t>Bruker</w:t>
      </w:r>
      <w:proofErr w:type="spellEnd"/>
      <w:r>
        <w:t xml:space="preserve"> </w:t>
      </w:r>
      <w:proofErr w:type="spellStart"/>
      <w:r>
        <w:t>maXis</w:t>
      </w:r>
      <w:proofErr w:type="spellEnd"/>
      <w:r>
        <w:t xml:space="preserve"> UHR-</w:t>
      </w:r>
      <w:proofErr w:type="spellStart"/>
      <w:r>
        <w:t>ToF</w:t>
      </w:r>
      <w:proofErr w:type="spellEnd"/>
      <w:r>
        <w:t>-MS. Composition of eluent A was 40% H</w:t>
      </w:r>
      <w:r>
        <w:rPr>
          <w:vertAlign w:val="subscript"/>
        </w:rPr>
        <w:t>2</w:t>
      </w:r>
      <w:r>
        <w:t xml:space="preserve">O / 60% ACN + 10 </w:t>
      </w:r>
      <w:proofErr w:type="spellStart"/>
      <w:r>
        <w:t>mM</w:t>
      </w:r>
      <w:proofErr w:type="spellEnd"/>
      <w:r>
        <w:t xml:space="preserve"> ammonium </w:t>
      </w:r>
      <w:proofErr w:type="spellStart"/>
      <w:r>
        <w:t>formate</w:t>
      </w:r>
      <w:proofErr w:type="spellEnd"/>
      <w:r>
        <w:t xml:space="preserve"> / 0.1% formic acid, while composition of eluent B was 10% ACN / 90% </w:t>
      </w:r>
      <w:proofErr w:type="spellStart"/>
      <w:r>
        <w:t>iPrOH</w:t>
      </w:r>
      <w:proofErr w:type="spellEnd"/>
      <w:r>
        <w:t xml:space="preserve"> + 10 </w:t>
      </w:r>
      <w:proofErr w:type="spellStart"/>
      <w:r>
        <w:t>mM</w:t>
      </w:r>
      <w:proofErr w:type="spellEnd"/>
      <w:r>
        <w:t xml:space="preserve"> ammonium </w:t>
      </w:r>
      <w:proofErr w:type="spellStart"/>
      <w:r>
        <w:t>formate</w:t>
      </w:r>
      <w:proofErr w:type="spellEnd"/>
      <w:r>
        <w:t xml:space="preserve"> / 0.1% formic acid. The following linear gradient was used: 68/32 at 0 min, 68/32 at 1.5 min, 3/97 at 21 min, 3/97 at 25 min, 68/32 at 25.1 min with a flow rate of 0.250 mL/min and a temperature of 50°C.” In this case linear gradient refers to the gradient curve since different settings in different vendor software have different meaning. However, in most cases a linear gradient program is used in metabolomics. The additional eluent preparation could read like this: “For preparation of eluent A 400 mL of </w:t>
      </w:r>
      <w:r>
        <w:lastRenderedPageBreak/>
        <w:t>H</w:t>
      </w:r>
      <w:r>
        <w:rPr>
          <w:vertAlign w:val="subscript"/>
        </w:rPr>
        <w:t>2</w:t>
      </w:r>
      <w:r>
        <w:t xml:space="preserve">O were mixed with 600 mL of ACN followed by the addition of 1 mL 10 M ammonium </w:t>
      </w:r>
      <w:proofErr w:type="spellStart"/>
      <w:r>
        <w:t>formate</w:t>
      </w:r>
      <w:proofErr w:type="spellEnd"/>
      <w:r>
        <w:t xml:space="preserve"> solution and 1 mL formic acid. Likewise, eluent B was prepared by mixing 100 mL ACN and 900 mL </w:t>
      </w:r>
      <w:proofErr w:type="spellStart"/>
      <w:r>
        <w:t>iPrOH</w:t>
      </w:r>
      <w:proofErr w:type="spellEnd"/>
      <w:r>
        <w:t xml:space="preserve"> followed by the addition of 1 mL 10 M ammonium </w:t>
      </w:r>
      <w:proofErr w:type="spellStart"/>
      <w:r>
        <w:t>formate</w:t>
      </w:r>
      <w:proofErr w:type="spellEnd"/>
      <w:r>
        <w:t xml:space="preserve"> and 1 mL formic acid. Since especially in eluent B ammonium </w:t>
      </w:r>
      <w:proofErr w:type="spellStart"/>
      <w:r>
        <w:t>formate</w:t>
      </w:r>
      <w:proofErr w:type="spellEnd"/>
      <w:r>
        <w:t xml:space="preserve"> might initially precipitate, both eluents were </w:t>
      </w:r>
      <w:proofErr w:type="spellStart"/>
      <w:r>
        <w:t>sonicated</w:t>
      </w:r>
      <w:proofErr w:type="spellEnd"/>
      <w:r>
        <w:t xml:space="preserve"> until ammonium </w:t>
      </w:r>
      <w:proofErr w:type="spellStart"/>
      <w:r>
        <w:t>formate</w:t>
      </w:r>
      <w:proofErr w:type="spellEnd"/>
      <w:r>
        <w:t xml:space="preserve"> dissolved completely.”</w:t>
      </w:r>
    </w:p>
    <w:sectPr w:rsidR="0029510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Q3NDUzMzYyMTU0NzZU0lEKTi0uzszPAykwrAUApjznsCwAAAA="/>
  </w:docVars>
  <w:rsids>
    <w:rsidRoot w:val="00CB5F93"/>
    <w:rsid w:val="00295108"/>
    <w:rsid w:val="00446DE4"/>
    <w:rsid w:val="00643646"/>
    <w:rsid w:val="00A05F53"/>
    <w:rsid w:val="00CB5F93"/>
    <w:rsid w:val="00F2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3134B"/>
  <w15:chartTrackingRefBased/>
  <w15:docId w15:val="{9AD67967-CF37-458D-AD89-2C83ECE4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F93"/>
    <w:pPr>
      <w:suppressAutoHyphens/>
      <w:spacing w:after="0" w:line="276" w:lineRule="auto"/>
    </w:pPr>
    <w:rPr>
      <w:rFonts w:ascii="Arial" w:eastAsia="Arial" w:hAnsi="Arial" w:cs="Arial"/>
      <w:lang w:val="en-US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B5F93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CB5F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CB5F93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de-DE" w:eastAsia="en-US"/>
    </w:rPr>
  </w:style>
  <w:style w:type="character" w:customStyle="1" w:styleId="KommentartextZchn1">
    <w:name w:val="Kommentartext Zchn1"/>
    <w:basedOn w:val="DefaultParagraphFont"/>
    <w:uiPriority w:val="99"/>
    <w:semiHidden/>
    <w:rsid w:val="00CB5F93"/>
    <w:rPr>
      <w:rFonts w:ascii="Arial" w:eastAsia="Arial" w:hAnsi="Arial" w:cs="Arial"/>
      <w:sz w:val="20"/>
      <w:szCs w:val="20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568</Words>
  <Characters>3240</Characters>
  <Application>Microsoft Office Word</Application>
  <DocSecurity>0</DocSecurity>
  <Lines>27</Lines>
  <Paragraphs>7</Paragraphs>
  <ScaleCrop>false</ScaleCrop>
  <Company/>
  <LinksUpToDate>false</LinksUpToDate>
  <CharactersWithSpaces>3801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Harrieder, Eva-Maria</dc:creator>
  <cp:keywords/>
  <dc:description/>
  <cp:lastModifiedBy>Mohana Priya T.</cp:lastModifiedBy>
  <cp:revision>5</cp:revision>
  <dcterms:created xsi:type="dcterms:W3CDTF">2022-10-08T12:32:00Z</dcterms:created>
  <dcterms:modified xsi:type="dcterms:W3CDTF">2022-11-19T14:53:00Z</dcterms:modified>
</cp:coreProperties>
</file>