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>
      <w:pPr>
        <w:spacing w:after="0" w:line="240" w:lineRule="auto"/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Myoglobin-mediated lipid shuttling increases adrenergic activation of brown and white adipocyte metabolism and is as a marker of thermogenic adipocytes in humans</w:t>
      </w:r>
    </w:p>
    <w:p>
      <w:pPr>
        <w:spacing w:after="0" w:line="240" w:lineRule="auto"/>
        <w:jc w:val="both"/>
        <w:rPr>
          <w:rFonts w:cstheme="minorHAnsi"/>
          <w:sz w:val="24"/>
          <w:szCs w:val="24"/>
        </w:rPr>
      </w:pPr>
    </w:p>
    <w:p>
      <w:pPr>
        <w:spacing w:after="0" w:line="240" w:lineRule="auto"/>
        <w:jc w:val="both"/>
        <w:rPr>
          <w:rFonts w:cstheme="minorHAnsi"/>
          <w:sz w:val="24"/>
          <w:szCs w:val="24"/>
          <w:vertAlign w:val="superscript"/>
        </w:rPr>
      </w:pPr>
      <w:r>
        <w:rPr>
          <w:rFonts w:cstheme="minorHAnsi"/>
          <w:sz w:val="24"/>
          <w:szCs w:val="24"/>
        </w:rPr>
        <w:t xml:space="preserve">Lisa Christen, Helen </w:t>
      </w:r>
      <w:proofErr w:type="spellStart"/>
      <w:r>
        <w:rPr>
          <w:rFonts w:cstheme="minorHAnsi"/>
          <w:sz w:val="24"/>
          <w:szCs w:val="24"/>
        </w:rPr>
        <w:t>Broghammer</w:t>
      </w:r>
      <w:proofErr w:type="spellEnd"/>
      <w:r>
        <w:rPr>
          <w:rFonts w:cstheme="minorHAnsi"/>
          <w:sz w:val="24"/>
          <w:szCs w:val="24"/>
        </w:rPr>
        <w:t xml:space="preserve">, Inka Rapöhn, Kevin </w:t>
      </w:r>
      <w:proofErr w:type="spellStart"/>
      <w:r>
        <w:rPr>
          <w:rFonts w:cstheme="minorHAnsi"/>
          <w:sz w:val="24"/>
          <w:szCs w:val="24"/>
        </w:rPr>
        <w:t>Möhlis</w:t>
      </w:r>
      <w:proofErr w:type="spellEnd"/>
      <w:r>
        <w:rPr>
          <w:rFonts w:cstheme="minorHAnsi"/>
          <w:sz w:val="24"/>
          <w:szCs w:val="24"/>
        </w:rPr>
        <w:t xml:space="preserve">, Christian </w:t>
      </w:r>
      <w:proofErr w:type="spellStart"/>
      <w:r>
        <w:rPr>
          <w:rFonts w:cstheme="minorHAnsi"/>
          <w:sz w:val="24"/>
          <w:szCs w:val="24"/>
        </w:rPr>
        <w:t>Strehlau</w:t>
      </w:r>
      <w:proofErr w:type="spellEnd"/>
      <w:r>
        <w:rPr>
          <w:rFonts w:cstheme="minorHAnsi"/>
          <w:sz w:val="24"/>
          <w:szCs w:val="24"/>
        </w:rPr>
        <w:t xml:space="preserve">, </w:t>
      </w:r>
      <w:proofErr w:type="spellStart"/>
      <w:r>
        <w:rPr>
          <w:rFonts w:cstheme="minorHAnsi"/>
          <w:sz w:val="24"/>
          <w:szCs w:val="24"/>
        </w:rPr>
        <w:t>Aleix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Ribas-Latre</w:t>
      </w:r>
      <w:proofErr w:type="spellEnd"/>
      <w:r>
        <w:rPr>
          <w:rFonts w:cstheme="minorHAnsi"/>
          <w:sz w:val="24"/>
          <w:szCs w:val="24"/>
        </w:rPr>
        <w:t xml:space="preserve">, Claudia Gebhardt, Lisa Roth, Kerstin Krause, Kathrin Landgraf, Antje Körner, Kerstin Rohde-Zimmermann, Anne Hoffmann, Nora Klöting, </w:t>
      </w:r>
      <w:proofErr w:type="spellStart"/>
      <w:r>
        <w:rPr>
          <w:rFonts w:cstheme="minorHAnsi"/>
          <w:sz w:val="24"/>
          <w:szCs w:val="24"/>
        </w:rPr>
        <w:t>Adhideb</w:t>
      </w:r>
      <w:proofErr w:type="spellEnd"/>
      <w:r>
        <w:rPr>
          <w:rFonts w:cstheme="minorHAnsi"/>
          <w:sz w:val="24"/>
          <w:szCs w:val="24"/>
        </w:rPr>
        <w:t xml:space="preserve"> Ghosh, </w:t>
      </w:r>
      <w:proofErr w:type="spellStart"/>
      <w:r>
        <w:rPr>
          <w:rFonts w:cstheme="minorHAnsi"/>
          <w:sz w:val="24"/>
          <w:szCs w:val="24"/>
        </w:rPr>
        <w:t>Wenfei</w:t>
      </w:r>
      <w:proofErr w:type="spellEnd"/>
      <w:r>
        <w:rPr>
          <w:rFonts w:cstheme="minorHAnsi"/>
          <w:sz w:val="24"/>
          <w:szCs w:val="24"/>
        </w:rPr>
        <w:t xml:space="preserve"> Sun, Hua Dong, Christian </w:t>
      </w:r>
      <w:proofErr w:type="spellStart"/>
      <w:r>
        <w:rPr>
          <w:rFonts w:cstheme="minorHAnsi"/>
          <w:sz w:val="24"/>
          <w:szCs w:val="24"/>
        </w:rPr>
        <w:t>Wolfrum</w:t>
      </w:r>
      <w:proofErr w:type="spellEnd"/>
      <w:r>
        <w:rPr>
          <w:rFonts w:cstheme="minorHAnsi"/>
          <w:sz w:val="24"/>
          <w:szCs w:val="24"/>
        </w:rPr>
        <w:t xml:space="preserve">, </w:t>
      </w:r>
      <w:proofErr w:type="spellStart"/>
      <w:r>
        <w:rPr>
          <w:rFonts w:cstheme="minorHAnsi"/>
          <w:sz w:val="24"/>
          <w:szCs w:val="24"/>
        </w:rPr>
        <w:t>Tienush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Rassaf</w:t>
      </w:r>
      <w:proofErr w:type="spellEnd"/>
      <w:r>
        <w:rPr>
          <w:rFonts w:cstheme="minorHAnsi"/>
          <w:sz w:val="24"/>
          <w:szCs w:val="24"/>
        </w:rPr>
        <w:t xml:space="preserve">, Ulrike B. Hendgen-Cotta, Michael Stumvoll, Matthias </w:t>
      </w:r>
      <w:proofErr w:type="spellStart"/>
      <w:r>
        <w:rPr>
          <w:rFonts w:cstheme="minorHAnsi"/>
          <w:sz w:val="24"/>
          <w:szCs w:val="24"/>
        </w:rPr>
        <w:t>Blüher</w:t>
      </w:r>
      <w:proofErr w:type="spellEnd"/>
      <w:r>
        <w:rPr>
          <w:rFonts w:cstheme="minorHAnsi"/>
          <w:sz w:val="24"/>
          <w:szCs w:val="24"/>
        </w:rPr>
        <w:t>, John T. Heiker</w:t>
      </w:r>
      <w:r>
        <w:rPr>
          <w:rFonts w:cstheme="minorHAnsi"/>
          <w:sz w:val="24"/>
          <w:szCs w:val="24"/>
          <w:vertAlign w:val="superscript"/>
        </w:rPr>
        <w:t>*</w:t>
      </w:r>
      <w:r>
        <w:rPr>
          <w:rFonts w:cstheme="minorHAnsi"/>
          <w:sz w:val="24"/>
          <w:szCs w:val="24"/>
        </w:rPr>
        <w:t>, Juliane Weiner</w:t>
      </w:r>
      <w:r>
        <w:rPr>
          <w:rFonts w:cstheme="minorHAnsi"/>
          <w:sz w:val="24"/>
          <w:szCs w:val="24"/>
          <w:vertAlign w:val="superscript"/>
        </w:rPr>
        <w:t>*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eastAsia="Times New Roman" w:cstheme="minorHAnsi"/>
          <w:b/>
          <w:color w:val="000000"/>
          <w:sz w:val="24"/>
          <w:szCs w:val="24"/>
        </w:rPr>
      </w:pP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eastAsia="Times New Roman" w:cstheme="minorHAnsi"/>
          <w:b/>
          <w:color w:val="000000"/>
          <w:sz w:val="24"/>
          <w:szCs w:val="24"/>
        </w:rPr>
      </w:pPr>
      <w:r>
        <w:rPr>
          <w:rFonts w:eastAsia="Times New Roman" w:cstheme="minorHAnsi"/>
          <w:b/>
          <w:color w:val="000000"/>
          <w:sz w:val="24"/>
          <w:szCs w:val="24"/>
        </w:rPr>
        <w:t>Supplementary Figure 1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eastAsia="Times New Roman" w:cstheme="minorHAnsi"/>
          <w:b/>
          <w:sz w:val="24"/>
          <w:szCs w:val="24"/>
        </w:rPr>
      </w:pPr>
      <w:r>
        <w:rPr>
          <w:rFonts w:eastAsia="Times New Roman" w:cstheme="minorHAnsi"/>
          <w:b/>
          <w:noProof/>
          <w:sz w:val="24"/>
          <w:szCs w:val="24"/>
        </w:rPr>
        <w:drawing>
          <wp:inline distT="0" distB="0" distL="0" distR="0">
            <wp:extent cx="5943600" cy="4025900"/>
            <wp:effectExtent l="0" t="0" r="0" b="0"/>
            <wp:docPr id="3" name="Grafik 3">
              <a:extLst xmlns:a="http://schemas.openxmlformats.org/drawingml/2006/main">
                <a:ext uri="{FF2B5EF4-FFF2-40B4-BE49-F238E27FC236}">
                  <a16:creationId xmlns:a16="http://schemas.microsoft.com/office/drawing/2014/main" id="{3346AE20-7887-43D3-BAA0-C93D9224813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>
                      <a:extLst>
                        <a:ext uri="{FF2B5EF4-FFF2-40B4-BE49-F238E27FC236}">
                          <a16:creationId xmlns:a16="http://schemas.microsoft.com/office/drawing/2014/main" id="{3346AE20-7887-43D3-BAA0-C93D9224813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2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theme="minorHAnsi"/>
          <w:sz w:val="24"/>
          <w:szCs w:val="24"/>
        </w:rPr>
      </w:pPr>
      <w:r>
        <w:rPr>
          <w:rFonts w:eastAsia="Times New Roman" w:cstheme="minorHAnsi"/>
          <w:b/>
          <w:sz w:val="24"/>
          <w:szCs w:val="24"/>
        </w:rPr>
        <w:t xml:space="preserve">Supplementary Figure S1. </w:t>
      </w:r>
      <w:r>
        <w:rPr>
          <w:sz w:val="24"/>
          <w:szCs w:val="24"/>
        </w:rPr>
        <w:t xml:space="preserve">Temperature-dependence of MB expression in BAT in male C57Bl/6N mice. A) </w:t>
      </w:r>
      <w:r>
        <w:rPr>
          <w:i/>
          <w:sz w:val="24"/>
          <w:szCs w:val="24"/>
        </w:rPr>
        <w:t>Mb</w:t>
      </w:r>
      <w:r>
        <w:rPr>
          <w:sz w:val="24"/>
          <w:szCs w:val="24"/>
        </w:rPr>
        <w:t xml:space="preserve"> mRNA expression in epidydimal (</w:t>
      </w:r>
      <w:proofErr w:type="spellStart"/>
      <w:r>
        <w:rPr>
          <w:sz w:val="24"/>
          <w:szCs w:val="24"/>
        </w:rPr>
        <w:t>eWAT</w:t>
      </w:r>
      <w:proofErr w:type="spellEnd"/>
      <w:r>
        <w:rPr>
          <w:sz w:val="24"/>
          <w:szCs w:val="24"/>
        </w:rPr>
        <w:t>), inguinal (iWAT) and brown adipose tissue (BAT</w:t>
      </w:r>
      <w:r>
        <w:rPr>
          <w:rFonts w:cstheme="minorHAnsi"/>
          <w:sz w:val="24"/>
          <w:szCs w:val="24"/>
        </w:rPr>
        <w:t>), muscle (quadriceps femoris) and heart of male</w:t>
      </w:r>
      <w:r>
        <w:rPr>
          <w:sz w:val="24"/>
          <w:szCs w:val="24"/>
        </w:rPr>
        <w:t xml:space="preserve"> C57Bl/6N mice housed either at 30 °C or 8 °C for 1 week (n = 4 per group). For better appreciation, </w:t>
      </w:r>
      <w:r>
        <w:rPr>
          <w:i/>
          <w:sz w:val="24"/>
          <w:szCs w:val="24"/>
        </w:rPr>
        <w:t>Mb</w:t>
      </w:r>
      <w:r>
        <w:rPr>
          <w:sz w:val="24"/>
          <w:szCs w:val="24"/>
        </w:rPr>
        <w:t xml:space="preserve"> expression in AT depots is also presented as insert. B) Direct comparison of Mb expression in BAT of 30 °C and 8 °C housed male and female C57Bl/6N mice. C) Representative images of MB immunohistochemistry in BAT from male C57Bl/6N mice as in (A). D) Time-resolved OCR of differentiated primary brown adipocytes from female NMRI WT and Mb-KO mice measured by Seahorse (representative experiment, n = 9/9). E) Quantification of basal respiration, proton leak, ATP production, acute response to FSK, maximum and spare respiratory capacity and non-mitochondrial respiration of samples in panel (D). Data are presented as mean ± SEM. </w:t>
      </w:r>
      <w:r>
        <w:rPr>
          <w:rFonts w:cstheme="minorHAnsi"/>
          <w:sz w:val="24"/>
          <w:szCs w:val="24"/>
        </w:rPr>
        <w:t>Statistical significance was evaluated by multiple unpaired t-tests (A, B),</w:t>
      </w:r>
      <w:r>
        <w:rPr>
          <w:sz w:val="24"/>
          <w:szCs w:val="24"/>
        </w:rPr>
        <w:t xml:space="preserve"> corrected by the Holm-</w:t>
      </w:r>
      <w:proofErr w:type="spellStart"/>
      <w:r>
        <w:rPr>
          <w:sz w:val="24"/>
          <w:szCs w:val="24"/>
        </w:rPr>
        <w:t>Šídák</w:t>
      </w:r>
      <w:proofErr w:type="spellEnd"/>
      <w:r>
        <w:rPr>
          <w:sz w:val="24"/>
          <w:szCs w:val="24"/>
        </w:rPr>
        <w:t xml:space="preserve"> method (E</w:t>
      </w:r>
      <w:r>
        <w:rPr>
          <w:rFonts w:cstheme="minorHAnsi"/>
          <w:sz w:val="24"/>
          <w:szCs w:val="24"/>
        </w:rPr>
        <w:t>). *p&lt;0.05, **p&lt;0.01, ***p&lt;0.001. Scale bar: 400 µm.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eastAsia="Times New Roman" w:cstheme="minorHAnsi"/>
          <w:b/>
          <w:color w:val="000000"/>
          <w:sz w:val="24"/>
          <w:szCs w:val="24"/>
        </w:rPr>
      </w:pP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eastAsia="Times New Roman" w:cstheme="minorHAnsi"/>
          <w:b/>
          <w:color w:val="000000"/>
          <w:sz w:val="24"/>
          <w:szCs w:val="24"/>
        </w:rPr>
      </w:pP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eastAsia="Times New Roman" w:cstheme="minorHAnsi"/>
          <w:b/>
          <w:color w:val="000000"/>
          <w:sz w:val="24"/>
          <w:szCs w:val="24"/>
        </w:rPr>
      </w:pP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eastAsia="Times New Roman" w:cstheme="minorHAnsi"/>
          <w:b/>
          <w:color w:val="000000"/>
          <w:sz w:val="24"/>
          <w:szCs w:val="24"/>
        </w:rPr>
      </w:pPr>
      <w:r>
        <w:rPr>
          <w:rFonts w:eastAsia="Times New Roman" w:cstheme="minorHAnsi"/>
          <w:b/>
          <w:color w:val="000000"/>
          <w:sz w:val="24"/>
          <w:szCs w:val="24"/>
        </w:rPr>
        <w:lastRenderedPageBreak/>
        <w:t>Supplementary Figure 2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eastAsia="Times New Roman" w:cstheme="minorHAnsi"/>
          <w:b/>
          <w:color w:val="000000"/>
          <w:sz w:val="24"/>
          <w:szCs w:val="24"/>
        </w:rPr>
      </w:pPr>
      <w:r>
        <w:rPr>
          <w:rFonts w:eastAsia="Times New Roman" w:cstheme="minorHAnsi"/>
          <w:b/>
          <w:noProof/>
          <w:color w:val="000000"/>
          <w:sz w:val="24"/>
          <w:szCs w:val="24"/>
        </w:rPr>
        <w:drawing>
          <wp:inline distT="0" distB="0" distL="0" distR="0">
            <wp:extent cx="5943600" cy="4251325"/>
            <wp:effectExtent l="0" t="0" r="0" b="0"/>
            <wp:docPr id="9" name="Grafik 2">
              <a:extLst xmlns:a="http://schemas.openxmlformats.org/drawingml/2006/main">
                <a:ext uri="{FF2B5EF4-FFF2-40B4-BE49-F238E27FC236}">
                  <a16:creationId xmlns:a16="http://schemas.microsoft.com/office/drawing/2014/main" id="{B9857C63-1948-45EE-A6CA-1C473583045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2">
                      <a:extLst>
                        <a:ext uri="{FF2B5EF4-FFF2-40B4-BE49-F238E27FC236}">
                          <a16:creationId xmlns:a16="http://schemas.microsoft.com/office/drawing/2014/main" id="{B9857C63-1948-45EE-A6CA-1C473583045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5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eastAsia="Times New Roman" w:cstheme="minorHAnsi"/>
          <w:b/>
          <w:color w:val="000000"/>
          <w:sz w:val="24"/>
          <w:szCs w:val="24"/>
        </w:rPr>
      </w:pP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eastAsia="Times New Roman" w:cstheme="minorHAnsi"/>
          <w:b/>
          <w:color w:val="000000"/>
          <w:sz w:val="24"/>
          <w:szCs w:val="24"/>
        </w:rPr>
      </w:pPr>
      <w:r>
        <w:rPr>
          <w:rFonts w:eastAsia="Times New Roman" w:cstheme="minorHAnsi"/>
          <w:b/>
          <w:color w:val="000000"/>
          <w:sz w:val="24"/>
          <w:szCs w:val="24"/>
        </w:rPr>
        <w:t xml:space="preserve">Supplementary Figure S2. </w:t>
      </w:r>
      <w:r>
        <w:rPr>
          <w:rFonts w:cstheme="minorHAnsi"/>
          <w:sz w:val="24"/>
          <w:szCs w:val="24"/>
        </w:rPr>
        <w:t xml:space="preserve">Regulatory mechanisms of </w:t>
      </w:r>
      <w:r>
        <w:rPr>
          <w:rFonts w:cstheme="minorHAnsi"/>
          <w:i/>
          <w:sz w:val="24"/>
          <w:szCs w:val="24"/>
        </w:rPr>
        <w:t>Mb</w:t>
      </w:r>
      <w:r>
        <w:rPr>
          <w:rFonts w:cstheme="minorHAnsi"/>
          <w:sz w:val="24"/>
          <w:szCs w:val="24"/>
        </w:rPr>
        <w:t xml:space="preserve"> expression in primary brown adipocytes and imBA. A) Effects of norepinephrine (NE) and CL316,243 (CL) on </w:t>
      </w:r>
      <w:r>
        <w:rPr>
          <w:rFonts w:cstheme="minorHAnsi"/>
          <w:i/>
          <w:sz w:val="24"/>
          <w:szCs w:val="24"/>
        </w:rPr>
        <w:t>Mb</w:t>
      </w:r>
      <w:r>
        <w:rPr>
          <w:rFonts w:cstheme="minorHAnsi"/>
          <w:sz w:val="24"/>
          <w:szCs w:val="24"/>
        </w:rPr>
        <w:t xml:space="preserve"> mRNA expression in differentiated primary brown adipocytes. B-F) </w:t>
      </w:r>
      <w:r>
        <w:rPr>
          <w:rFonts w:cstheme="minorHAnsi"/>
          <w:i/>
          <w:sz w:val="24"/>
          <w:szCs w:val="24"/>
        </w:rPr>
        <w:t>Mb</w:t>
      </w:r>
      <w:r>
        <w:rPr>
          <w:rFonts w:cstheme="minorHAnsi"/>
          <w:sz w:val="24"/>
          <w:szCs w:val="24"/>
        </w:rPr>
        <w:t xml:space="preserve"> gene expression in imBA cells cultured under normothermia or hypothermia (30°C) for 24 h (B), </w:t>
      </w:r>
      <w:proofErr w:type="gramStart"/>
      <w:r>
        <w:rPr>
          <w:rFonts w:cstheme="minorHAnsi"/>
          <w:sz w:val="24"/>
          <w:szCs w:val="24"/>
        </w:rPr>
        <w:t>with  menthol</w:t>
      </w:r>
      <w:proofErr w:type="gramEnd"/>
      <w:r>
        <w:rPr>
          <w:rFonts w:cstheme="minorHAnsi"/>
          <w:sz w:val="24"/>
          <w:szCs w:val="24"/>
        </w:rPr>
        <w:t xml:space="preserve"> (C), with rosiglitazone (D) or various </w:t>
      </w:r>
      <w:proofErr w:type="spellStart"/>
      <w:r>
        <w:rPr>
          <w:rFonts w:cstheme="minorHAnsi"/>
          <w:sz w:val="24"/>
          <w:szCs w:val="24"/>
        </w:rPr>
        <w:t>conentrations</w:t>
      </w:r>
      <w:proofErr w:type="spellEnd"/>
      <w:r>
        <w:rPr>
          <w:rFonts w:cstheme="minorHAnsi"/>
          <w:sz w:val="24"/>
          <w:szCs w:val="24"/>
        </w:rPr>
        <w:t xml:space="preserve"> of linoleic acid (E) or oleic acid (F). Data are presented as mean ± SEM of at least two independent experiments.</w:t>
      </w:r>
    </w:p>
    <w:p>
      <w:pPr>
        <w:rPr>
          <w:rFonts w:eastAsia="Times New Roman" w:cstheme="minorHAnsi"/>
          <w:b/>
          <w:color w:val="000000"/>
          <w:sz w:val="24"/>
          <w:szCs w:val="24"/>
        </w:rPr>
      </w:pPr>
      <w:r>
        <w:rPr>
          <w:rFonts w:eastAsia="Times New Roman" w:cstheme="minorHAnsi"/>
          <w:b/>
          <w:color w:val="000000"/>
          <w:sz w:val="24"/>
          <w:szCs w:val="24"/>
        </w:rPr>
        <w:br w:type="page"/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eastAsia="Times New Roman" w:cstheme="minorHAnsi"/>
          <w:b/>
          <w:color w:val="000000"/>
          <w:sz w:val="24"/>
          <w:szCs w:val="24"/>
        </w:rPr>
      </w:pPr>
      <w:r>
        <w:rPr>
          <w:rFonts w:eastAsia="Times New Roman" w:cstheme="minorHAnsi"/>
          <w:b/>
          <w:color w:val="000000"/>
          <w:sz w:val="24"/>
          <w:szCs w:val="24"/>
        </w:rPr>
        <w:lastRenderedPageBreak/>
        <w:t>Supplementary Figure 3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eastAsia="Times New Roman" w:cstheme="minorHAnsi"/>
          <w:b/>
          <w:color w:val="000000"/>
          <w:sz w:val="24"/>
          <w:szCs w:val="24"/>
        </w:rPr>
      </w:pPr>
      <w:r>
        <w:rPr>
          <w:rFonts w:eastAsia="Times New Roman" w:cstheme="minorHAnsi"/>
          <w:b/>
          <w:noProof/>
          <w:color w:val="000000"/>
          <w:sz w:val="24"/>
          <w:szCs w:val="24"/>
        </w:rPr>
        <w:drawing>
          <wp:inline distT="0" distB="0" distL="0" distR="0">
            <wp:extent cx="5943600" cy="4612640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1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contextualSpacing/>
        <w:jc w:val="both"/>
        <w:rPr>
          <w:rFonts w:eastAsia="Times New Roman" w:cstheme="minorHAnsi"/>
          <w:color w:val="000000"/>
          <w:sz w:val="24"/>
          <w:szCs w:val="24"/>
        </w:rPr>
      </w:pPr>
      <w:r>
        <w:rPr>
          <w:rFonts w:eastAsia="Times New Roman" w:cstheme="minorHAnsi"/>
          <w:b/>
          <w:color w:val="000000"/>
          <w:sz w:val="24"/>
          <w:szCs w:val="24"/>
        </w:rPr>
        <w:t xml:space="preserve">Supplementary Figure S3. </w:t>
      </w:r>
      <w:r>
        <w:rPr>
          <w:rFonts w:eastAsia="Times New Roman" w:cstheme="minorHAnsi"/>
          <w:color w:val="000000"/>
          <w:sz w:val="24"/>
          <w:szCs w:val="24"/>
        </w:rPr>
        <w:t xml:space="preserve">Genomic Sequence of murine myoglobin transcript NM_001164047.1 promoter region. A) Sequence derived from UCSC genome browser (access January 2022), genome assembly mm39. Line numbering relative to translation start site (ATG) marked by a bent arrow and +1. CpG Assay Design </w:t>
      </w:r>
      <w:proofErr w:type="spellStart"/>
      <w:r>
        <w:rPr>
          <w:rFonts w:eastAsia="Times New Roman" w:cstheme="minorHAnsi"/>
          <w:color w:val="000000"/>
          <w:sz w:val="24"/>
          <w:szCs w:val="24"/>
        </w:rPr>
        <w:t>Softare</w:t>
      </w:r>
      <w:proofErr w:type="spellEnd"/>
      <w:r>
        <w:rPr>
          <w:rFonts w:eastAsia="Times New Roman" w:cstheme="minorHAnsi"/>
          <w:color w:val="000000"/>
          <w:sz w:val="24"/>
          <w:szCs w:val="24"/>
        </w:rPr>
        <w:t xml:space="preserve"> 2.0 (Qiagen) was used to create a PyroMark CpG Assay (underlined) including 4 CpG sites marked with # and numbered in consecutive order. The assay was designed for the use of PyroMark Q24 system (Qiagen). A potential Nrf1 transcription factor binding site is highlighted with a rectangle and was identified using the open access JASPAR database. B) Sequence logo of matrix profile MA0506.2 (Nrf1). To search for potential binding sites of Nrf1 within NM_001164047, the genomic sequence shown in (A) was loaded into open access JASPAR database (</w:t>
      </w:r>
      <w:r>
        <w:rPr>
          <w:rFonts w:eastAsia="Times New Roman" w:cstheme="minorHAnsi"/>
          <w:sz w:val="24"/>
          <w:szCs w:val="24"/>
        </w:rPr>
        <w:t>https://jaspar.genereg.net/</w:t>
      </w:r>
      <w:r>
        <w:rPr>
          <w:rFonts w:eastAsia="Times New Roman" w:cstheme="minorHAnsi"/>
          <w:color w:val="000000"/>
          <w:sz w:val="24"/>
          <w:szCs w:val="24"/>
        </w:rPr>
        <w:t>, latest access January 2022). Four predicted binding sites for Nrf1 were identified with similarity score values of 9.5 to 10.5 with a threshold of 80</w:t>
      </w:r>
      <w:proofErr w:type="gramStart"/>
      <w:r>
        <w:rPr>
          <w:rFonts w:eastAsia="Times New Roman" w:cstheme="minorHAnsi"/>
          <w:color w:val="000000"/>
          <w:sz w:val="24"/>
          <w:szCs w:val="24"/>
        </w:rPr>
        <w:t>% .</w:t>
      </w:r>
      <w:proofErr w:type="gramEnd"/>
      <w:r>
        <w:rPr>
          <w:rFonts w:eastAsia="Times New Roman" w:cstheme="minorHAnsi"/>
          <w:color w:val="000000"/>
          <w:sz w:val="24"/>
          <w:szCs w:val="24"/>
        </w:rPr>
        <w:t xml:space="preserve"> Nrf1 = nuclear respiratory factor 1.</w:t>
      </w:r>
    </w:p>
    <w:p>
      <w:pPr>
        <w:rPr>
          <w:rFonts w:eastAsia="Times New Roman" w:cstheme="minorHAnsi"/>
          <w:color w:val="000000"/>
          <w:sz w:val="24"/>
          <w:szCs w:val="24"/>
        </w:rPr>
      </w:pPr>
      <w:r>
        <w:rPr>
          <w:rFonts w:eastAsia="Times New Roman" w:cstheme="minorHAnsi"/>
          <w:color w:val="000000"/>
          <w:sz w:val="24"/>
          <w:szCs w:val="24"/>
        </w:rPr>
        <w:br w:type="page"/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eastAsia="Times New Roman" w:cstheme="minorHAnsi"/>
          <w:b/>
          <w:color w:val="000000"/>
          <w:sz w:val="24"/>
          <w:szCs w:val="24"/>
        </w:rPr>
      </w:pPr>
      <w:r>
        <w:rPr>
          <w:rFonts w:eastAsia="Times New Roman" w:cstheme="minorHAnsi"/>
          <w:b/>
          <w:color w:val="000000"/>
          <w:sz w:val="24"/>
          <w:szCs w:val="24"/>
        </w:rPr>
        <w:lastRenderedPageBreak/>
        <w:t>Supplementary Figure S4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eastAsia="Times New Roman" w:cstheme="minorHAnsi"/>
          <w:b/>
          <w:color w:val="000000"/>
          <w:sz w:val="24"/>
          <w:szCs w:val="24"/>
        </w:rPr>
      </w:pPr>
      <w:r>
        <w:rPr>
          <w:rFonts w:eastAsia="Times New Roman" w:cstheme="minorHAnsi"/>
          <w:b/>
          <w:noProof/>
          <w:color w:val="000000"/>
          <w:sz w:val="24"/>
          <w:szCs w:val="24"/>
        </w:rPr>
        <w:drawing>
          <wp:inline distT="0" distB="0" distL="0" distR="0">
            <wp:extent cx="5731510" cy="3785235"/>
            <wp:effectExtent l="0" t="0" r="0" b="0"/>
            <wp:docPr id="7" name="Grafik 1">
              <a:extLst xmlns:a="http://schemas.openxmlformats.org/drawingml/2006/main">
                <a:ext uri="{FF2B5EF4-FFF2-40B4-BE49-F238E27FC236}">
                  <a16:creationId xmlns:a16="http://schemas.microsoft.com/office/drawing/2014/main" id="{963ACA87-E5F0-44CD-9E71-2226AA5A2DC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1">
                      <a:extLst>
                        <a:ext uri="{FF2B5EF4-FFF2-40B4-BE49-F238E27FC236}">
                          <a16:creationId xmlns:a16="http://schemas.microsoft.com/office/drawing/2014/main" id="{963ACA87-E5F0-44CD-9E71-2226AA5A2DC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8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jc w:val="both"/>
        <w:rPr>
          <w:rFonts w:cstheme="minorHAnsi"/>
          <w:sz w:val="24"/>
          <w:szCs w:val="24"/>
        </w:rPr>
      </w:pPr>
      <w:r>
        <w:rPr>
          <w:rFonts w:eastAsia="Times New Roman" w:cstheme="minorHAnsi"/>
          <w:b/>
          <w:color w:val="000000"/>
          <w:sz w:val="24"/>
          <w:szCs w:val="24"/>
        </w:rPr>
        <w:t xml:space="preserve">Supplementary Figure S4. </w:t>
      </w:r>
      <w:r>
        <w:rPr>
          <w:rFonts w:cstheme="minorHAnsi"/>
          <w:sz w:val="24"/>
          <w:szCs w:val="24"/>
        </w:rPr>
        <w:t xml:space="preserve">A) Cell viability was compared in imBA_Ctrl and imBA_hMB </w:t>
      </w:r>
      <w:r>
        <w:rPr>
          <w:rFonts w:cstheme="minorHAnsi"/>
          <w:sz w:val="24"/>
        </w:rPr>
        <w:t>cultured for 24 h and formation of formazan dye was quantified</w:t>
      </w:r>
      <w:r>
        <w:rPr>
          <w:rFonts w:cstheme="minorHAnsi"/>
          <w:sz w:val="24"/>
          <w:szCs w:val="24"/>
        </w:rPr>
        <w:t xml:space="preserve">. B) Expression of adipogenesis genes in adipocytes at day 0, 4 and 8 of differentiation. Gene expression is relative to imBA_Ctrl at day 0 and normalized to </w:t>
      </w:r>
      <w:r>
        <w:rPr>
          <w:rFonts w:cstheme="minorHAnsi"/>
          <w:i/>
          <w:sz w:val="24"/>
          <w:szCs w:val="24"/>
        </w:rPr>
        <w:t>Nono</w:t>
      </w:r>
      <w:r>
        <w:rPr>
          <w:rFonts w:cstheme="minorHAnsi"/>
          <w:sz w:val="24"/>
          <w:szCs w:val="24"/>
        </w:rPr>
        <w:t xml:space="preserve">. C) Time-resolved OCR of differentiated imBA_Ctrl and imBA_hMB adipocytes measured by Seahorse including FSK injection (representative experiment, n = 9/10). D) Mitochondrial content measured by mtDNA assay in differentiated imBA_Ctrl, imBA_hMB and imBA_hMB 4xmut adipocytes (n = 6/5/3). E, F) Western blot analysis and quantification of mitochondrial proteins SDHA, CYCS and COXIV in differentiated imBA_Ctrl and imBA_hMB adipocytes (day 8, representative of two experiments). G) Western blot analysis of cytosolic and membrane localized ADRB3 protein expression in differentiated imBA_Ctrl and imBA_hMB adipocytes. Upper panel: anti </w:t>
      </w:r>
      <w:r>
        <w:rPr>
          <w:rFonts w:ascii="Symbol" w:hAnsi="Symbol" w:cstheme="minorHAnsi"/>
          <w:sz w:val="24"/>
          <w:szCs w:val="24"/>
        </w:rPr>
        <w:t></w:t>
      </w:r>
      <w:r>
        <w:rPr>
          <w:rFonts w:cstheme="minorHAnsi"/>
          <w:sz w:val="24"/>
          <w:szCs w:val="24"/>
        </w:rPr>
        <w:t>-catenin antibody; middle panels: anti HSP90 antibody, anti ADRB3 antibody; lower panel: ponceau. H) Representative picture indicating increased acidification of cell culture media in imBA_hMB compared to imBA_Ctrl adipocytes. I) Western blot analysis of cytosolic and mitochondrial MB protein in pools of differentiated imBA_Ctrl and imBA_hMB adipocytes. Upper panel: anti SDHA antibody; middle panel: anti GAPDH antibody; lower panel: anti MB antibody. J) Quantification of lipid accumulation in imBA_Ctrl, imBA_hMB and imBA_hMB 4xmut adipocytes after differentiation. Data are presented as mean ± SEM of at least two experiments. Statistical significance was evaluated by unpaired t-tests (C). *p&lt;0.05.</w:t>
      </w:r>
    </w:p>
    <w:p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br w:type="page"/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eastAsia="Times New Roman" w:cstheme="minorHAnsi"/>
          <w:color w:val="000000"/>
          <w:sz w:val="24"/>
          <w:szCs w:val="24"/>
        </w:rPr>
      </w:pPr>
      <w:r>
        <w:rPr>
          <w:rFonts w:eastAsia="Times New Roman" w:cstheme="minorHAnsi"/>
          <w:b/>
          <w:color w:val="000000"/>
          <w:sz w:val="24"/>
          <w:szCs w:val="24"/>
        </w:rPr>
        <w:lastRenderedPageBreak/>
        <w:t>Supplementary Figure S5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eastAsia="Times New Roman" w:cstheme="minorHAnsi"/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5880772" cy="2702459"/>
            <wp:effectExtent l="0" t="0" r="5715" b="3175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726" cy="2707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contextualSpacing/>
        <w:jc w:val="both"/>
        <w:rPr>
          <w:rFonts w:eastAsia="Times New Roman" w:cstheme="minorHAnsi"/>
          <w:color w:val="000000"/>
          <w:sz w:val="24"/>
          <w:szCs w:val="24"/>
        </w:rPr>
      </w:pPr>
      <w:r>
        <w:rPr>
          <w:rFonts w:eastAsia="Times New Roman" w:cstheme="minorHAnsi"/>
          <w:b/>
          <w:color w:val="000000"/>
          <w:sz w:val="24"/>
          <w:szCs w:val="24"/>
        </w:rPr>
        <w:t xml:space="preserve">Supplementary Figure S5. </w:t>
      </w:r>
      <w:r>
        <w:rPr>
          <w:rFonts w:eastAsia="Times New Roman" w:cstheme="minorHAnsi"/>
          <w:color w:val="000000"/>
          <w:sz w:val="24"/>
          <w:szCs w:val="24"/>
        </w:rPr>
        <w:t>A-C</w:t>
      </w:r>
      <w:r>
        <w:rPr>
          <w:rFonts w:cstheme="minorHAnsi"/>
          <w:sz w:val="24"/>
          <w:szCs w:val="24"/>
        </w:rPr>
        <w:t>) Expression of marker genes of adipogenesis (</w:t>
      </w:r>
      <w:proofErr w:type="spellStart"/>
      <w:r>
        <w:rPr>
          <w:rFonts w:cstheme="minorHAnsi"/>
          <w:i/>
          <w:sz w:val="24"/>
          <w:szCs w:val="24"/>
        </w:rPr>
        <w:t>Cebpa</w:t>
      </w:r>
      <w:proofErr w:type="spellEnd"/>
      <w:r>
        <w:rPr>
          <w:rFonts w:cstheme="minorHAnsi"/>
          <w:i/>
          <w:sz w:val="24"/>
          <w:szCs w:val="24"/>
        </w:rPr>
        <w:t xml:space="preserve">, </w:t>
      </w:r>
      <w:proofErr w:type="spellStart"/>
      <w:r>
        <w:rPr>
          <w:rFonts w:cstheme="minorHAnsi"/>
          <w:i/>
          <w:sz w:val="24"/>
          <w:szCs w:val="24"/>
        </w:rPr>
        <w:t>Cebpb</w:t>
      </w:r>
      <w:proofErr w:type="spellEnd"/>
      <w:r>
        <w:rPr>
          <w:rFonts w:cstheme="minorHAnsi"/>
          <w:i/>
          <w:sz w:val="24"/>
          <w:szCs w:val="24"/>
        </w:rPr>
        <w:t xml:space="preserve">, </w:t>
      </w:r>
      <w:proofErr w:type="spellStart"/>
      <w:r>
        <w:rPr>
          <w:rFonts w:cstheme="minorHAnsi"/>
          <w:i/>
          <w:sz w:val="24"/>
          <w:szCs w:val="24"/>
        </w:rPr>
        <w:t>Pparg</w:t>
      </w:r>
      <w:proofErr w:type="spellEnd"/>
      <w:r>
        <w:rPr>
          <w:rFonts w:cstheme="minorHAnsi"/>
          <w:i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 xml:space="preserve">and </w:t>
      </w:r>
      <w:proofErr w:type="spellStart"/>
      <w:r>
        <w:rPr>
          <w:rFonts w:cstheme="minorHAnsi"/>
          <w:i/>
          <w:sz w:val="24"/>
          <w:szCs w:val="24"/>
        </w:rPr>
        <w:t>Adipoq</w:t>
      </w:r>
      <w:proofErr w:type="spellEnd"/>
      <w:r>
        <w:rPr>
          <w:rFonts w:cstheme="minorHAnsi"/>
          <w:sz w:val="24"/>
          <w:szCs w:val="24"/>
        </w:rPr>
        <w:t>, A), of lipid uptake (</w:t>
      </w:r>
      <w:r>
        <w:rPr>
          <w:rFonts w:cstheme="minorHAnsi"/>
          <w:i/>
          <w:sz w:val="24"/>
          <w:szCs w:val="24"/>
        </w:rPr>
        <w:t>Fabp4, Cd36</w:t>
      </w:r>
      <w:r>
        <w:rPr>
          <w:rFonts w:cstheme="minorHAnsi"/>
          <w:sz w:val="24"/>
          <w:szCs w:val="24"/>
        </w:rPr>
        <w:t xml:space="preserve"> and </w:t>
      </w:r>
      <w:proofErr w:type="spellStart"/>
      <w:r>
        <w:rPr>
          <w:rFonts w:cstheme="minorHAnsi"/>
          <w:i/>
          <w:sz w:val="24"/>
          <w:szCs w:val="24"/>
        </w:rPr>
        <w:t>Fasn</w:t>
      </w:r>
      <w:proofErr w:type="spellEnd"/>
      <w:r>
        <w:rPr>
          <w:rFonts w:cstheme="minorHAnsi"/>
          <w:sz w:val="24"/>
          <w:szCs w:val="24"/>
        </w:rPr>
        <w:t>, B) and thermogenesis (</w:t>
      </w:r>
      <w:r>
        <w:rPr>
          <w:rFonts w:cstheme="minorHAnsi"/>
          <w:i/>
          <w:sz w:val="24"/>
          <w:szCs w:val="24"/>
        </w:rPr>
        <w:t>Ucp1,</w:t>
      </w:r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i/>
          <w:sz w:val="24"/>
          <w:szCs w:val="24"/>
        </w:rPr>
        <w:t>Cidea</w:t>
      </w:r>
      <w:proofErr w:type="spellEnd"/>
      <w:r>
        <w:rPr>
          <w:rFonts w:cstheme="minorHAnsi"/>
          <w:sz w:val="24"/>
          <w:szCs w:val="24"/>
        </w:rPr>
        <w:t xml:space="preserve"> and </w:t>
      </w:r>
      <w:r>
        <w:rPr>
          <w:rFonts w:cstheme="minorHAnsi"/>
          <w:i/>
          <w:sz w:val="24"/>
          <w:szCs w:val="24"/>
        </w:rPr>
        <w:t>Adrb3</w:t>
      </w:r>
      <w:r>
        <w:rPr>
          <w:rFonts w:cstheme="minorHAnsi"/>
          <w:sz w:val="24"/>
          <w:szCs w:val="24"/>
        </w:rPr>
        <w:t xml:space="preserve">, C) in </w:t>
      </w:r>
      <w:r>
        <w:rPr>
          <w:rFonts w:eastAsia="MS Mincho"/>
          <w:sz w:val="24"/>
          <w:szCs w:val="24"/>
          <w:lang w:eastAsia="ja-JP"/>
        </w:rPr>
        <w:t>3T3-L1_hMB and 3T3-L1_Ctrl adipocytes</w:t>
      </w:r>
      <w:r>
        <w:rPr>
          <w:rFonts w:cstheme="minorHAnsi"/>
          <w:sz w:val="24"/>
          <w:szCs w:val="24"/>
        </w:rPr>
        <w:t xml:space="preserve"> at day 0, 4 or 8 of differentiation. Gene expression is relative to 3T3-L1_Ctrl at day 0 and normalized to </w:t>
      </w:r>
      <w:r>
        <w:rPr>
          <w:rFonts w:cstheme="minorHAnsi"/>
          <w:i/>
          <w:sz w:val="24"/>
          <w:szCs w:val="24"/>
        </w:rPr>
        <w:t>Nono</w:t>
      </w:r>
      <w:r>
        <w:rPr>
          <w:rFonts w:cstheme="minorHAnsi"/>
          <w:sz w:val="24"/>
          <w:szCs w:val="24"/>
        </w:rPr>
        <w:t xml:space="preserve">. D) </w:t>
      </w:r>
      <w:proofErr w:type="spellStart"/>
      <w:r>
        <w:rPr>
          <w:rFonts w:cstheme="minorHAnsi"/>
          <w:sz w:val="24"/>
          <w:szCs w:val="24"/>
        </w:rPr>
        <w:t>Westen</w:t>
      </w:r>
      <w:proofErr w:type="spellEnd"/>
      <w:r>
        <w:rPr>
          <w:rFonts w:cstheme="minorHAnsi"/>
          <w:sz w:val="24"/>
          <w:szCs w:val="24"/>
        </w:rPr>
        <w:t xml:space="preserve"> blot analysis of OXPHOS protein expression (I: subunit NDUFB8; II: SDHB, III: UQCRC2, V: ATP5A) in differentiated </w:t>
      </w:r>
      <w:r>
        <w:rPr>
          <w:rFonts w:eastAsia="MS Mincho"/>
          <w:sz w:val="24"/>
          <w:szCs w:val="24"/>
          <w:lang w:eastAsia="ja-JP"/>
        </w:rPr>
        <w:t>3T3-L1_hMB and 3T3-L1_Ctrl adipocytes</w:t>
      </w:r>
      <w:r>
        <w:rPr>
          <w:rFonts w:cstheme="minorHAnsi"/>
          <w:sz w:val="24"/>
          <w:szCs w:val="24"/>
        </w:rPr>
        <w:t>. E) Expression of Ca-cycling genes in beige adipose thermogenesis (</w:t>
      </w:r>
      <w:proofErr w:type="spellStart"/>
      <w:r>
        <w:rPr>
          <w:rFonts w:cstheme="minorHAnsi"/>
          <w:i/>
          <w:sz w:val="24"/>
          <w:szCs w:val="24"/>
        </w:rPr>
        <w:t>Serca</w:t>
      </w:r>
      <w:proofErr w:type="spellEnd"/>
      <w:r>
        <w:rPr>
          <w:rFonts w:cstheme="minorHAnsi"/>
          <w:i/>
          <w:sz w:val="24"/>
          <w:szCs w:val="24"/>
        </w:rPr>
        <w:t xml:space="preserve">, Serca2b </w:t>
      </w:r>
      <w:r>
        <w:rPr>
          <w:rFonts w:cstheme="minorHAnsi"/>
          <w:sz w:val="24"/>
          <w:szCs w:val="24"/>
        </w:rPr>
        <w:t xml:space="preserve">and </w:t>
      </w:r>
      <w:r>
        <w:rPr>
          <w:rFonts w:cstheme="minorHAnsi"/>
          <w:i/>
          <w:sz w:val="24"/>
          <w:szCs w:val="24"/>
        </w:rPr>
        <w:t>Ryr2</w:t>
      </w:r>
      <w:r>
        <w:rPr>
          <w:rFonts w:cstheme="minorHAnsi"/>
          <w:sz w:val="24"/>
          <w:szCs w:val="24"/>
        </w:rPr>
        <w:t xml:space="preserve">) in differentiated </w:t>
      </w:r>
      <w:r>
        <w:rPr>
          <w:rFonts w:eastAsia="MS Mincho"/>
          <w:sz w:val="24"/>
          <w:szCs w:val="24"/>
          <w:lang w:eastAsia="ja-JP"/>
        </w:rPr>
        <w:t>3T3-L1_hMB and 3T3-L1_Ctrl adipocytes</w:t>
      </w:r>
      <w:r>
        <w:rPr>
          <w:rFonts w:cstheme="minorHAnsi"/>
          <w:sz w:val="24"/>
          <w:szCs w:val="24"/>
        </w:rPr>
        <w:t xml:space="preserve">. Gene expression is relative to 3T3-L1_Ctrl at day 8 and normalized to </w:t>
      </w:r>
      <w:r>
        <w:rPr>
          <w:rFonts w:cstheme="minorHAnsi"/>
          <w:i/>
          <w:sz w:val="24"/>
          <w:szCs w:val="24"/>
        </w:rPr>
        <w:t>Nono</w:t>
      </w:r>
      <w:r>
        <w:rPr>
          <w:rFonts w:cstheme="minorHAnsi"/>
          <w:sz w:val="24"/>
          <w:szCs w:val="24"/>
        </w:rPr>
        <w:t>. Data are presented as mean ± SEM of at least three experiments. *p&lt;0.05.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eastAsia="Times New Roman" w:cstheme="minorHAnsi"/>
          <w:color w:val="000000"/>
          <w:sz w:val="24"/>
          <w:szCs w:val="24"/>
        </w:rPr>
      </w:pPr>
    </w:p>
    <w:p>
      <w:pPr>
        <w:rPr>
          <w:rFonts w:eastAsia="Times New Roman" w:cstheme="minorHAnsi"/>
          <w:b/>
          <w:color w:val="000000"/>
          <w:sz w:val="24"/>
          <w:szCs w:val="24"/>
        </w:rPr>
      </w:pPr>
      <w:r>
        <w:rPr>
          <w:rFonts w:eastAsia="Times New Roman" w:cstheme="minorHAnsi"/>
          <w:b/>
          <w:color w:val="000000"/>
          <w:sz w:val="24"/>
          <w:szCs w:val="24"/>
        </w:rPr>
        <w:br w:type="page"/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eastAsia="Times New Roman" w:cstheme="minorHAnsi"/>
          <w:color w:val="000000"/>
          <w:sz w:val="24"/>
          <w:szCs w:val="24"/>
        </w:rPr>
      </w:pPr>
      <w:r>
        <w:rPr>
          <w:rFonts w:eastAsia="Times New Roman" w:cstheme="minorHAnsi"/>
          <w:b/>
          <w:color w:val="000000"/>
          <w:sz w:val="24"/>
          <w:szCs w:val="24"/>
        </w:rPr>
        <w:lastRenderedPageBreak/>
        <w:t>Supplementary Figure S6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eastAsia="Times New Roman" w:cstheme="minorHAnsi"/>
          <w:color w:val="000000"/>
          <w:sz w:val="24"/>
          <w:szCs w:val="24"/>
        </w:rPr>
      </w:pPr>
      <w:r>
        <w:rPr>
          <w:rFonts w:eastAsia="Times New Roman" w:cstheme="minorHAnsi"/>
          <w:noProof/>
          <w:color w:val="000000"/>
          <w:sz w:val="24"/>
          <w:szCs w:val="24"/>
        </w:rPr>
        <w:drawing>
          <wp:inline distT="0" distB="0" distL="0" distR="0">
            <wp:extent cx="5121874" cy="6618235"/>
            <wp:effectExtent l="0" t="0" r="0" b="0"/>
            <wp:docPr id="12" name="Grafik 2">
              <a:extLst xmlns:a="http://schemas.openxmlformats.org/drawingml/2006/main">
                <a:ext uri="{FF2B5EF4-FFF2-40B4-BE49-F238E27FC236}">
                  <a16:creationId xmlns:a16="http://schemas.microsoft.com/office/drawing/2014/main" id="{204D6DED-FA17-4CCC-8F84-43FF48550F0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2">
                      <a:extLst>
                        <a:ext uri="{FF2B5EF4-FFF2-40B4-BE49-F238E27FC236}">
                          <a16:creationId xmlns:a16="http://schemas.microsoft.com/office/drawing/2014/main" id="{204D6DED-FA17-4CCC-8F84-43FF48550F0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21874" cy="661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cstheme="minorHAnsi"/>
          <w:sz w:val="24"/>
          <w:szCs w:val="24"/>
        </w:rPr>
      </w:pPr>
      <w:r>
        <w:rPr>
          <w:rFonts w:eastAsia="Times New Roman" w:cstheme="minorHAnsi"/>
          <w:b/>
          <w:color w:val="000000"/>
          <w:sz w:val="24"/>
          <w:szCs w:val="24"/>
        </w:rPr>
        <w:t xml:space="preserve">Supplementary Figure S6. </w:t>
      </w:r>
      <w:r>
        <w:rPr>
          <w:rFonts w:eastAsia="Times New Roman" w:cstheme="minorHAnsi"/>
          <w:color w:val="000000"/>
          <w:sz w:val="24"/>
          <w:szCs w:val="24"/>
        </w:rPr>
        <w:t>A) Energy expenditure during light and dark phase of NMRI WT and Mb-KO mice housed at 8 °C or 30 °C</w:t>
      </w:r>
      <w:r>
        <w:rPr>
          <w:rFonts w:cstheme="minorHAnsi"/>
          <w:sz w:val="24"/>
          <w:szCs w:val="24"/>
        </w:rPr>
        <w:t xml:space="preserve"> during indirect calorimetry </w:t>
      </w:r>
      <w:r>
        <w:rPr>
          <w:rFonts w:eastAsia="Times New Roman" w:cstheme="minorHAnsi"/>
          <w:color w:val="000000"/>
          <w:sz w:val="24"/>
          <w:szCs w:val="24"/>
        </w:rPr>
        <w:t xml:space="preserve">(averaged data of n = 6/5). B, C) Regression plots of EE against body weight with the ANCOVA test using body </w:t>
      </w:r>
      <w:r>
        <w:rPr>
          <w:rFonts w:eastAsia="Times New Roman" w:cstheme="minorHAnsi"/>
          <w:sz w:val="24"/>
          <w:szCs w:val="24"/>
        </w:rPr>
        <w:t xml:space="preserve">weight as covariate </w:t>
      </w:r>
      <w:r>
        <w:rPr>
          <w:rFonts w:cstheme="minorHAnsi"/>
          <w:sz w:val="24"/>
          <w:szCs w:val="24"/>
        </w:rPr>
        <w:t xml:space="preserve">for mice housed at 23 °C or 30 °C </w:t>
      </w:r>
      <w:r>
        <w:rPr>
          <w:rFonts w:eastAsia="Times New Roman" w:cstheme="minorHAnsi"/>
          <w:color w:val="000000"/>
          <w:sz w:val="24"/>
          <w:szCs w:val="24"/>
        </w:rPr>
        <w:t>(n = 6/5)</w:t>
      </w:r>
      <w:r>
        <w:rPr>
          <w:rFonts w:eastAsia="Times New Roman" w:cstheme="minorHAnsi"/>
          <w:sz w:val="24"/>
          <w:szCs w:val="24"/>
        </w:rPr>
        <w:t>. D, E) Food intake (adjusted to body weight) and respiratory exchange rates (RER) of NMRI WT and Mb-KO mice housed at 30 °C, 23 °C or 8 °C</w:t>
      </w:r>
      <w:r>
        <w:rPr>
          <w:rFonts w:eastAsia="Times New Roman" w:cstheme="minorHAnsi"/>
          <w:color w:val="000000"/>
          <w:sz w:val="24"/>
          <w:szCs w:val="24"/>
        </w:rPr>
        <w:t xml:space="preserve"> for 1 week (n = 6/5). F, G) Locomotor activity (X+Y) and rearing (Z) of NMRI WT and Mb-KO mice during indirect calorimetry (n = 6/5). </w:t>
      </w:r>
      <w:r>
        <w:rPr>
          <w:rFonts w:cstheme="minorHAnsi"/>
          <w:sz w:val="24"/>
          <w:szCs w:val="24"/>
        </w:rPr>
        <w:t xml:space="preserve">H, I) Relative organ weights of liver, and epididymal (eWAT), inguinal (iWAT) and BAT of NMRI WT and Mb-KO mice housed at 30 °C (H) or 23 °C (I) for 1 week (n = 6/4). J) Representative H&amp;E-stained sections of BAT (40x), iWAT and </w:t>
      </w:r>
      <w:proofErr w:type="spellStart"/>
      <w:r>
        <w:rPr>
          <w:rFonts w:cstheme="minorHAnsi"/>
          <w:sz w:val="24"/>
          <w:szCs w:val="24"/>
        </w:rPr>
        <w:t>eWAT</w:t>
      </w:r>
      <w:proofErr w:type="spellEnd"/>
      <w:r>
        <w:rPr>
          <w:rFonts w:cstheme="minorHAnsi"/>
          <w:sz w:val="24"/>
          <w:szCs w:val="24"/>
        </w:rPr>
        <w:t xml:space="preserve"> (20x) from control and Mb-KO mice housed at 30 °C and 23 °C. K, L) Adipocyte lipid droplet size distribution in iWAT (K) and </w:t>
      </w:r>
      <w:proofErr w:type="spellStart"/>
      <w:r>
        <w:rPr>
          <w:rFonts w:cstheme="minorHAnsi"/>
          <w:sz w:val="24"/>
          <w:szCs w:val="24"/>
        </w:rPr>
        <w:t>eWAT</w:t>
      </w:r>
      <w:proofErr w:type="spellEnd"/>
      <w:r>
        <w:rPr>
          <w:rFonts w:cstheme="minorHAnsi"/>
          <w:sz w:val="24"/>
          <w:szCs w:val="24"/>
        </w:rPr>
        <w:t xml:space="preserve"> (L) from NMRI WT and Mb-KO mice shown </w:t>
      </w:r>
      <w:r>
        <w:rPr>
          <w:rFonts w:cstheme="minorHAnsi"/>
          <w:sz w:val="24"/>
          <w:szCs w:val="24"/>
        </w:rPr>
        <w:lastRenderedPageBreak/>
        <w:t xml:space="preserve">in G (n = 5/4). Data are shown as mean ± SEM. Statistical significance was evaluated by two-way ANOVA with </w:t>
      </w:r>
      <w:proofErr w:type="spellStart"/>
      <w:r>
        <w:rPr>
          <w:rFonts w:cstheme="minorHAnsi"/>
          <w:sz w:val="24"/>
          <w:szCs w:val="24"/>
        </w:rPr>
        <w:t>Šídák's</w:t>
      </w:r>
      <w:proofErr w:type="spellEnd"/>
      <w:r>
        <w:rPr>
          <w:rFonts w:cstheme="minorHAnsi"/>
          <w:sz w:val="24"/>
          <w:szCs w:val="24"/>
        </w:rPr>
        <w:t xml:space="preserve"> post-hoc test or multiple uncorrected t-tests (H, I). *p-value &lt; 0.05, **p-value &lt; 0.01, ***p-value &lt; 0.001.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cstheme="minorHAnsi"/>
          <w:sz w:val="24"/>
          <w:szCs w:val="24"/>
        </w:rPr>
      </w:pPr>
    </w:p>
    <w:p>
      <w:pPr>
        <w:rPr>
          <w:rFonts w:eastAsia="Times New Roman" w:cstheme="minorHAnsi"/>
          <w:b/>
          <w:color w:val="000000"/>
          <w:sz w:val="24"/>
          <w:szCs w:val="24"/>
        </w:rPr>
      </w:pPr>
    </w:p>
    <w:p>
      <w:pPr>
        <w:rPr>
          <w:rFonts w:cstheme="minorHAnsi"/>
          <w:sz w:val="24"/>
          <w:szCs w:val="24"/>
        </w:rPr>
      </w:pPr>
      <w:r>
        <w:rPr>
          <w:rFonts w:eastAsia="Times New Roman" w:cstheme="minorHAnsi"/>
          <w:b/>
          <w:color w:val="000000"/>
          <w:sz w:val="24"/>
          <w:szCs w:val="24"/>
        </w:rPr>
        <w:t>Supplementary Figure S7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eastAsia="Times New Roman" w:cstheme="minorHAnsi"/>
          <w:color w:val="000000"/>
          <w:sz w:val="24"/>
          <w:szCs w:val="24"/>
        </w:rPr>
      </w:pPr>
      <w:r>
        <w:rPr>
          <w:rFonts w:eastAsia="Times New Roman" w:cstheme="minorHAnsi"/>
          <w:noProof/>
          <w:color w:val="000000"/>
          <w:sz w:val="24"/>
          <w:szCs w:val="24"/>
        </w:rPr>
        <w:drawing>
          <wp:inline distT="0" distB="0" distL="0" distR="0">
            <wp:extent cx="5731510" cy="2874645"/>
            <wp:effectExtent l="0" t="0" r="0" b="0"/>
            <wp:docPr id="5" name="Grafik 2">
              <a:extLst xmlns:a="http://schemas.openxmlformats.org/drawingml/2006/main">
                <a:ext uri="{FF2B5EF4-FFF2-40B4-BE49-F238E27FC236}">
                  <a16:creationId xmlns:a16="http://schemas.microsoft.com/office/drawing/2014/main" id="{D5880EF0-9A96-4E32-89E3-E1AE783A5AB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2">
                      <a:extLst>
                        <a:ext uri="{FF2B5EF4-FFF2-40B4-BE49-F238E27FC236}">
                          <a16:creationId xmlns:a16="http://schemas.microsoft.com/office/drawing/2014/main" id="{D5880EF0-9A96-4E32-89E3-E1AE783A5AB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7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eastAsia="Times New Roman" w:cstheme="minorHAnsi"/>
          <w:color w:val="000000"/>
          <w:sz w:val="24"/>
          <w:szCs w:val="24"/>
        </w:rPr>
      </w:pP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contextualSpacing/>
        <w:jc w:val="both"/>
        <w:rPr>
          <w:rFonts w:eastAsia="Times New Roman" w:cstheme="minorHAnsi"/>
          <w:color w:val="000000"/>
          <w:sz w:val="24"/>
          <w:szCs w:val="24"/>
        </w:rPr>
      </w:pPr>
      <w:r>
        <w:rPr>
          <w:rFonts w:eastAsia="Times New Roman" w:cstheme="minorHAnsi"/>
          <w:b/>
          <w:color w:val="000000"/>
          <w:sz w:val="24"/>
          <w:szCs w:val="24"/>
        </w:rPr>
        <w:t xml:space="preserve">Supplementary Figure S7. </w:t>
      </w:r>
      <w:r>
        <w:rPr>
          <w:rFonts w:eastAsia="Times New Roman" w:cstheme="minorHAnsi"/>
          <w:color w:val="000000"/>
          <w:sz w:val="24"/>
          <w:szCs w:val="24"/>
        </w:rPr>
        <w:t xml:space="preserve">A) Gene expression of </w:t>
      </w:r>
      <w:r>
        <w:rPr>
          <w:rFonts w:eastAsia="MS Mincho"/>
          <w:sz w:val="24"/>
          <w:szCs w:val="24"/>
          <w:lang w:eastAsia="ja-JP"/>
        </w:rPr>
        <w:t xml:space="preserve">thermogenic and mitochondrial genes in BAT of </w:t>
      </w:r>
      <w:r>
        <w:rPr>
          <w:rFonts w:cstheme="minorHAnsi"/>
          <w:sz w:val="24"/>
          <w:szCs w:val="24"/>
        </w:rPr>
        <w:t xml:space="preserve">NMRI WT and Mb-KO mice housed at 8 °C for 1 week (n = 6/4). Gene expression is relative to NMRI WT and normalized to </w:t>
      </w:r>
      <w:r>
        <w:rPr>
          <w:rFonts w:cstheme="minorHAnsi"/>
          <w:i/>
          <w:sz w:val="24"/>
          <w:szCs w:val="24"/>
        </w:rPr>
        <w:t>36b4</w:t>
      </w:r>
      <w:r>
        <w:rPr>
          <w:rFonts w:cstheme="minorHAnsi"/>
          <w:sz w:val="24"/>
          <w:szCs w:val="24"/>
        </w:rPr>
        <w:t xml:space="preserve">. B) Quantification of </w:t>
      </w:r>
      <w:r>
        <w:rPr>
          <w:rFonts w:eastAsia="MS Mincho" w:cstheme="minorHAnsi"/>
          <w:sz w:val="24"/>
          <w:szCs w:val="24"/>
          <w:lang w:eastAsia="ja-JP"/>
        </w:rPr>
        <w:t>OXPHOS complex protein expression from Western blot analyses</w:t>
      </w:r>
      <w:r>
        <w:rPr>
          <w:rFonts w:eastAsia="MS Mincho"/>
          <w:sz w:val="24"/>
          <w:szCs w:val="24"/>
          <w:lang w:eastAsia="ja-JP"/>
        </w:rPr>
        <w:t xml:space="preserve"> in BAT of </w:t>
      </w:r>
      <w:r>
        <w:rPr>
          <w:rFonts w:cstheme="minorHAnsi"/>
          <w:sz w:val="24"/>
          <w:szCs w:val="24"/>
        </w:rPr>
        <w:t xml:space="preserve">NMRI WT and Mb-KO mice housed at 8 °C for 1 week (n = 6/4). </w:t>
      </w:r>
      <w:r>
        <w:rPr>
          <w:rFonts w:eastAsia="Times New Roman" w:cstheme="minorHAnsi"/>
          <w:color w:val="000000"/>
          <w:sz w:val="24"/>
          <w:szCs w:val="24"/>
        </w:rPr>
        <w:t>C)</w:t>
      </w:r>
      <w:r>
        <w:rPr>
          <w:rFonts w:eastAsia="Times New Roman" w:cstheme="minorHAnsi"/>
          <w:b/>
          <w:color w:val="000000"/>
          <w:sz w:val="24"/>
          <w:szCs w:val="24"/>
        </w:rPr>
        <w:t xml:space="preserve"> </w:t>
      </w:r>
      <w:bookmarkStart w:id="0" w:name="_Hlk105764011"/>
      <w:r>
        <w:rPr>
          <w:rFonts w:cstheme="minorHAnsi"/>
          <w:sz w:val="24"/>
          <w:szCs w:val="24"/>
        </w:rPr>
        <w:t xml:space="preserve">Western blot analysis (C) and quantification of PKA (D) and HSL (E) activation in BAT of NMRI WT and Mb-KO mice housed at 8 °C for 1 week (n = 5/5). Panels from top to bottom: anti-phospho-PKA substrate antibody; </w:t>
      </w:r>
      <w:bookmarkEnd w:id="0"/>
      <w:r>
        <w:rPr>
          <w:rFonts w:cstheme="minorHAnsi"/>
          <w:sz w:val="24"/>
          <w:szCs w:val="24"/>
        </w:rPr>
        <w:t xml:space="preserve">Tubulin antibody, </w:t>
      </w:r>
      <w:proofErr w:type="spellStart"/>
      <w:r>
        <w:rPr>
          <w:rFonts w:cstheme="minorHAnsi"/>
          <w:sz w:val="24"/>
          <w:szCs w:val="24"/>
        </w:rPr>
        <w:t>pHSL</w:t>
      </w:r>
      <w:proofErr w:type="spellEnd"/>
      <w:r>
        <w:rPr>
          <w:rFonts w:cstheme="minorHAnsi"/>
          <w:sz w:val="24"/>
          <w:szCs w:val="24"/>
        </w:rPr>
        <w:t xml:space="preserve"> antibody, HSL antibody, Tubulin antibody. F) Oxygen consumption before and up until 12 h after a single </w:t>
      </w:r>
      <w:proofErr w:type="spellStart"/>
      <w:r>
        <w:rPr>
          <w:rFonts w:cstheme="minorHAnsi"/>
          <w:sz w:val="24"/>
          <w:szCs w:val="24"/>
        </w:rPr>
        <w:t>i.p.</w:t>
      </w:r>
      <w:proofErr w:type="spellEnd"/>
      <w:r>
        <w:rPr>
          <w:rFonts w:cstheme="minorHAnsi"/>
          <w:sz w:val="24"/>
          <w:szCs w:val="24"/>
        </w:rPr>
        <w:t xml:space="preserve"> injection of CL in male NMRI WT and Mb-KO mice (n = 4/6). Data before and until 30 min after CL injection are shown in Figure 8G-H. G) Area under the curve of VO</w:t>
      </w:r>
      <w:r>
        <w:rPr>
          <w:rFonts w:cstheme="minorHAnsi"/>
          <w:sz w:val="24"/>
          <w:szCs w:val="24"/>
          <w:vertAlign w:val="subscript"/>
        </w:rPr>
        <w:t>2</w:t>
      </w:r>
      <w:r>
        <w:rPr>
          <w:rFonts w:cstheme="minorHAnsi"/>
          <w:sz w:val="24"/>
          <w:szCs w:val="24"/>
        </w:rPr>
        <w:t xml:space="preserve"> post CL injection shown in (F) and results of ANCOVA analysis. H) Expression of top DEG from microarray analysis in BAT of acutely cold-exposed NM</w:t>
      </w:r>
      <w:bookmarkStart w:id="1" w:name="_GoBack"/>
      <w:bookmarkEnd w:id="1"/>
      <w:r>
        <w:rPr>
          <w:rFonts w:cstheme="minorHAnsi"/>
          <w:sz w:val="24"/>
          <w:szCs w:val="24"/>
        </w:rPr>
        <w:t xml:space="preserve">RI WT and Mb-KO mice measured by qPCR (upregulated: </w:t>
      </w:r>
      <w:r>
        <w:rPr>
          <w:rFonts w:cstheme="minorHAnsi"/>
          <w:i/>
          <w:iCs/>
          <w:sz w:val="24"/>
          <w:szCs w:val="24"/>
        </w:rPr>
        <w:t>Ier3,</w:t>
      </w:r>
      <w:r>
        <w:rPr>
          <w:rFonts w:cstheme="minorHAnsi"/>
          <w:sz w:val="24"/>
          <w:szCs w:val="24"/>
        </w:rPr>
        <w:t xml:space="preserve"> down-regulated: </w:t>
      </w:r>
      <w:r>
        <w:rPr>
          <w:rFonts w:cstheme="minorHAnsi"/>
          <w:i/>
          <w:iCs/>
          <w:sz w:val="24"/>
          <w:szCs w:val="24"/>
        </w:rPr>
        <w:t>Tfrc</w:t>
      </w:r>
      <w:r>
        <w:rPr>
          <w:rFonts w:cstheme="minorHAnsi"/>
          <w:sz w:val="24"/>
          <w:szCs w:val="24"/>
        </w:rPr>
        <w:t xml:space="preserve">, </w:t>
      </w:r>
      <w:r>
        <w:rPr>
          <w:rFonts w:cstheme="minorHAnsi"/>
          <w:i/>
          <w:iCs/>
          <w:sz w:val="24"/>
          <w:szCs w:val="24"/>
        </w:rPr>
        <w:t xml:space="preserve">Igf1 </w:t>
      </w:r>
      <w:r>
        <w:rPr>
          <w:rFonts w:cstheme="minorHAnsi"/>
          <w:iCs/>
          <w:sz w:val="24"/>
          <w:szCs w:val="24"/>
        </w:rPr>
        <w:t xml:space="preserve">and </w:t>
      </w:r>
      <w:r>
        <w:rPr>
          <w:rFonts w:cstheme="minorHAnsi"/>
          <w:i/>
          <w:iCs/>
          <w:sz w:val="24"/>
          <w:szCs w:val="24"/>
        </w:rPr>
        <w:t>Adcy10</w:t>
      </w:r>
      <w:r>
        <w:rPr>
          <w:rFonts w:cstheme="minorHAnsi"/>
          <w:sz w:val="24"/>
          <w:szCs w:val="24"/>
        </w:rPr>
        <w:t xml:space="preserve"> in Mb-KO BAT). Data are shown as mean ± SEM. Statistical significance was evaluated with multiple uncorrected t-tests.  *p-value &lt; 0.05, **p-value &lt; 0.01.</w:t>
      </w:r>
    </w:p>
    <w:p>
      <w:pPr>
        <w:rPr>
          <w:rFonts w:eastAsia="Times New Roman" w:cstheme="minorHAnsi"/>
          <w:color w:val="000000"/>
          <w:sz w:val="24"/>
          <w:szCs w:val="24"/>
        </w:rPr>
      </w:pPr>
      <w:r>
        <w:rPr>
          <w:rFonts w:eastAsia="Times New Roman" w:cstheme="minorHAnsi"/>
          <w:color w:val="000000"/>
          <w:sz w:val="24"/>
          <w:szCs w:val="24"/>
        </w:rPr>
        <w:br w:type="page"/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eastAsia="Times New Roman" w:cstheme="minorHAnsi"/>
          <w:color w:val="000000"/>
          <w:sz w:val="24"/>
          <w:szCs w:val="24"/>
        </w:rPr>
      </w:pPr>
      <w:r>
        <w:rPr>
          <w:rFonts w:eastAsia="Times New Roman" w:cstheme="minorHAnsi"/>
          <w:b/>
          <w:color w:val="000000"/>
          <w:sz w:val="24"/>
          <w:szCs w:val="24"/>
        </w:rPr>
        <w:lastRenderedPageBreak/>
        <w:t>Supplementary Figure S8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eastAsia="Times New Roman" w:cstheme="minorHAnsi"/>
          <w:color w:val="000000"/>
          <w:sz w:val="24"/>
          <w:szCs w:val="24"/>
        </w:rPr>
      </w:pP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eastAsia="Times New Roman" w:cstheme="minorHAnsi"/>
          <w:color w:val="000000"/>
          <w:sz w:val="24"/>
          <w:szCs w:val="24"/>
        </w:rPr>
      </w:pPr>
      <w:r>
        <w:rPr>
          <w:rFonts w:eastAsia="Times New Roman" w:cstheme="minorHAnsi"/>
          <w:noProof/>
          <w:color w:val="000000"/>
          <w:sz w:val="24"/>
          <w:szCs w:val="24"/>
        </w:rPr>
        <w:drawing>
          <wp:inline distT="0" distB="0" distL="0" distR="0">
            <wp:extent cx="5731510" cy="3321685"/>
            <wp:effectExtent l="0" t="0" r="2540" b="0"/>
            <wp:docPr id="19" name="Grafik 18">
              <a:extLst xmlns:a="http://schemas.openxmlformats.org/drawingml/2006/main">
                <a:ext uri="{FF2B5EF4-FFF2-40B4-BE49-F238E27FC236}">
                  <a16:creationId xmlns:a16="http://schemas.microsoft.com/office/drawing/2014/main" id="{2C8FC26F-52DB-47DB-955E-0105C706D20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8">
                      <a:extLst>
                        <a:ext uri="{FF2B5EF4-FFF2-40B4-BE49-F238E27FC236}">
                          <a16:creationId xmlns:a16="http://schemas.microsoft.com/office/drawing/2014/main" id="{2C8FC26F-52DB-47DB-955E-0105C706D20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2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eastAsia="Times New Roman" w:cstheme="minorHAnsi"/>
          <w:color w:val="000000"/>
          <w:sz w:val="24"/>
          <w:szCs w:val="24"/>
        </w:rPr>
      </w:pPr>
    </w:p>
    <w:p>
      <w:pPr>
        <w:spacing w:line="276" w:lineRule="auto"/>
        <w:jc w:val="both"/>
        <w:rPr>
          <w:rFonts w:eastAsia="Times New Roman" w:cstheme="minorHAnsi"/>
          <w:color w:val="FF0000"/>
          <w:sz w:val="24"/>
          <w:szCs w:val="24"/>
        </w:rPr>
      </w:pPr>
      <w:r>
        <w:rPr>
          <w:rFonts w:eastAsia="Times New Roman" w:cstheme="minorHAnsi"/>
          <w:b/>
          <w:color w:val="000000"/>
          <w:sz w:val="24"/>
          <w:szCs w:val="24"/>
        </w:rPr>
        <w:t xml:space="preserve">Supplementary Figure S8. </w:t>
      </w:r>
      <w:r>
        <w:rPr>
          <w:rFonts w:eastAsia="Times New Roman" w:cstheme="minorHAnsi"/>
          <w:color w:val="000000"/>
          <w:sz w:val="24"/>
          <w:szCs w:val="24"/>
        </w:rPr>
        <w:t xml:space="preserve">A) </w:t>
      </w:r>
      <w:r>
        <w:rPr>
          <w:rFonts w:cstheme="minorHAnsi"/>
          <w:sz w:val="24"/>
          <w:szCs w:val="24"/>
        </w:rPr>
        <w:t xml:space="preserve">Subcutaneous (SC) and visceral adipose tissue (VIS) </w:t>
      </w:r>
      <w:r>
        <w:rPr>
          <w:rFonts w:cstheme="minorHAnsi"/>
          <w:i/>
          <w:sz w:val="24"/>
          <w:szCs w:val="24"/>
        </w:rPr>
        <w:t>MB</w:t>
      </w:r>
      <w:r>
        <w:rPr>
          <w:rFonts w:cstheme="minorHAnsi"/>
          <w:sz w:val="24"/>
          <w:szCs w:val="24"/>
        </w:rPr>
        <w:t xml:space="preserve"> gene expression in female and male BMI subgroups (normal weight (20 ≤ BMI ≤ 25), overweight (25 &lt; BMI &lt; 30) and obese (BMI ≥ 30)). B-D) Correlation of SC AT </w:t>
      </w:r>
      <w:r>
        <w:rPr>
          <w:rFonts w:cstheme="minorHAnsi"/>
          <w:i/>
          <w:sz w:val="24"/>
          <w:szCs w:val="24"/>
        </w:rPr>
        <w:t>MB</w:t>
      </w:r>
      <w:r>
        <w:rPr>
          <w:rFonts w:cstheme="minorHAnsi"/>
          <w:sz w:val="24"/>
          <w:szCs w:val="24"/>
        </w:rPr>
        <w:t xml:space="preserve"> expression with BMI (B) as well as body weight (C) and inverse correlation with free T4 (D) in humans. E) </w:t>
      </w:r>
      <w:r>
        <w:rPr>
          <w:rFonts w:cstheme="minorHAnsi"/>
          <w:i/>
          <w:sz w:val="24"/>
          <w:szCs w:val="24"/>
        </w:rPr>
        <w:t xml:space="preserve">MB </w:t>
      </w:r>
      <w:r>
        <w:rPr>
          <w:rFonts w:cstheme="minorHAnsi"/>
          <w:sz w:val="24"/>
          <w:szCs w:val="24"/>
        </w:rPr>
        <w:t>gene expression in BMI subgroups of SC and VIS AT from patient samples belonging either to the 10</w:t>
      </w:r>
      <w:r>
        <w:rPr>
          <w:rFonts w:cstheme="minorHAnsi"/>
          <w:sz w:val="24"/>
          <w:szCs w:val="24"/>
          <w:vertAlign w:val="superscript"/>
        </w:rPr>
        <w:t>th</w:t>
      </w:r>
      <w:r>
        <w:rPr>
          <w:rFonts w:cstheme="minorHAnsi"/>
          <w:sz w:val="24"/>
          <w:szCs w:val="24"/>
        </w:rPr>
        <w:t xml:space="preserve"> quantile or 90</w:t>
      </w:r>
      <w:r>
        <w:rPr>
          <w:rFonts w:cstheme="minorHAnsi"/>
          <w:sz w:val="24"/>
          <w:szCs w:val="24"/>
          <w:vertAlign w:val="superscript"/>
        </w:rPr>
        <w:t>th</w:t>
      </w:r>
      <w:r>
        <w:rPr>
          <w:rFonts w:cstheme="minorHAnsi"/>
          <w:sz w:val="24"/>
          <w:szCs w:val="24"/>
        </w:rPr>
        <w:t xml:space="preserve"> quantile of AT </w:t>
      </w:r>
      <w:r>
        <w:rPr>
          <w:rFonts w:cstheme="minorHAnsi"/>
          <w:i/>
          <w:sz w:val="24"/>
          <w:szCs w:val="24"/>
        </w:rPr>
        <w:t>UCP1</w:t>
      </w:r>
      <w:r>
        <w:rPr>
          <w:rFonts w:cstheme="minorHAnsi"/>
          <w:sz w:val="24"/>
          <w:szCs w:val="24"/>
        </w:rPr>
        <w:t xml:space="preserve"> expression. Statistical significance was evaluated by Kruskal-Wallis one-way ANOVA and Dunn's test for pairwise comparisons and corrected for multiple inference using the Holm method (A, E). p-values are given in the figure.</w:t>
      </w:r>
    </w:p>
    <w:sectPr>
      <w:pgSz w:w="11906" w:h="16838" w:code="9"/>
      <w:pgMar w:top="1440" w:right="1440" w:bottom="1276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30"/>
  <w:hideSpellingErrors/>
  <w:hideGrammaticalErrors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en-US" w:vendorID="64" w:dllVersion="4096" w:nlCheck="1" w:checkStyle="0"/>
  <w:activeWritingStyle w:appName="MSWord" w:lang="de-DE" w:vendorID="64" w:dllVersion="4096" w:nlCheck="1" w:checkStyle="0"/>
  <w:activeWritingStyle w:appName="MSWord" w:lang="en-GB" w:vendorID="64" w:dllVersion="4096" w:nlCheck="1" w:checkStyle="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5B0F9B5-91C2-4BF7-98E4-D9DEB2D020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Pr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Pr>
      <w:rFonts w:ascii="Segoe UI" w:hAnsi="Segoe UI" w:cs="Segoe UI"/>
      <w:sz w:val="18"/>
      <w:szCs w:val="18"/>
    </w:rPr>
  </w:style>
  <w:style w:type="character" w:styleId="Hyperlink">
    <w:name w:val="Hyperlink"/>
    <w:basedOn w:val="Absatz-Standardschriftart"/>
    <w:uiPriority w:val="99"/>
    <w:unhideWhenUsed/>
    <w:rPr>
      <w:color w:val="0563C1" w:themeColor="hyperlink"/>
      <w:u w:val="single"/>
    </w:rPr>
  </w:style>
  <w:style w:type="paragraph" w:styleId="StandardWeb">
    <w:name w:val="Normal (Web)"/>
    <w:basedOn w:val="Standard"/>
    <w:uiPriority w:val="99"/>
    <w:semiHidden/>
    <w:unhideWhenUsed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hgkelc">
    <w:name w:val="hgkelc"/>
    <w:basedOn w:val="Absatz-Standardschriftart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154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3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9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68E1BA-3118-476A-B319-2EFC450762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1255</Words>
  <Characters>7911</Characters>
  <Application>Microsoft Office Word</Application>
  <DocSecurity>0</DocSecurity>
  <Lines>65</Lines>
  <Paragraphs>18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Helmholtz Zentrum München</Company>
  <LinksUpToDate>false</LinksUpToDate>
  <CharactersWithSpaces>9148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JTH</dc:creator>
  <cp:keywords/>
  <dc:description/>
  <cp:lastModifiedBy>Heiker, John Thomas, Dr. Dr.</cp:lastModifiedBy>
  <cp:revision>65</cp:revision>
  <cp:lastPrinted>2022-10-23T08:51:00Z</cp:lastPrinted>
  <dcterms:created xsi:type="dcterms:W3CDTF">2022-02-02T12:33:00Z</dcterms:created>
  <dcterms:modified xsi:type="dcterms:W3CDTF">2022-10-23T08:51:00Z</dcterms:modified>
</cp:coreProperties>
</file>