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CA14" w14:textId="0DBD236B" w:rsidR="007070EF" w:rsidRPr="00654F96" w:rsidRDefault="00966744">
      <w:pPr>
        <w:rPr>
          <w:rFonts w:ascii="Times New Roman" w:hAnsi="Times New Roman" w:cs="Times New Roman"/>
          <w:b/>
          <w:bCs/>
        </w:rPr>
      </w:pPr>
      <w:r w:rsidRPr="00654F96">
        <w:rPr>
          <w:rFonts w:ascii="Times New Roman" w:hAnsi="Times New Roman" w:cs="Times New Roman"/>
          <w:b/>
          <w:bCs/>
        </w:rPr>
        <w:t>Supplementa</w:t>
      </w:r>
      <w:r w:rsidR="001C59D1">
        <w:rPr>
          <w:rFonts w:ascii="Times New Roman" w:hAnsi="Times New Roman" w:cs="Times New Roman"/>
          <w:b/>
          <w:bCs/>
        </w:rPr>
        <w:t>ry materials</w:t>
      </w:r>
    </w:p>
    <w:p w14:paraId="69E458EB" w14:textId="77777777" w:rsidR="00966744" w:rsidRPr="00654F96" w:rsidRDefault="00966744">
      <w:pPr>
        <w:rPr>
          <w:rFonts w:ascii="Times New Roman" w:hAnsi="Times New Roman" w:cs="Times New Roman"/>
          <w:b/>
          <w:bCs/>
        </w:rPr>
      </w:pPr>
    </w:p>
    <w:p w14:paraId="1A707730" w14:textId="67992CF3" w:rsidR="00966744" w:rsidRPr="00654F96" w:rsidRDefault="00966744">
      <w:pPr>
        <w:rPr>
          <w:rFonts w:ascii="Times New Roman" w:hAnsi="Times New Roman" w:cs="Times New Roman"/>
        </w:rPr>
      </w:pPr>
    </w:p>
    <w:p w14:paraId="58B823BA" w14:textId="77777777" w:rsidR="00966744" w:rsidRPr="00654F96" w:rsidRDefault="00966744" w:rsidP="00966744">
      <w:pPr>
        <w:jc w:val="center"/>
        <w:rPr>
          <w:rFonts w:ascii="Times New Roman" w:hAnsi="Times New Roman" w:cs="Times New Roman"/>
          <w:b/>
          <w:bCs/>
        </w:rPr>
      </w:pPr>
      <w:r w:rsidRPr="00654F96">
        <w:rPr>
          <w:rFonts w:ascii="Times New Roman" w:hAnsi="Times New Roman" w:cs="Times New Roman"/>
          <w:b/>
          <w:bCs/>
        </w:rPr>
        <w:t>Mirabegron-induced brown fat activation does not exacerbate atherosclerosis in mice with a functional hepatic ApoE-LDLR pathway</w:t>
      </w:r>
    </w:p>
    <w:p w14:paraId="2B3F7B6D" w14:textId="77777777" w:rsidR="00966744" w:rsidRPr="00654F96" w:rsidRDefault="00966744" w:rsidP="00966744">
      <w:pPr>
        <w:rPr>
          <w:rFonts w:ascii="Times New Roman" w:hAnsi="Times New Roman" w:cs="Times New Roman"/>
        </w:rPr>
      </w:pPr>
    </w:p>
    <w:p w14:paraId="3D6ECACE" w14:textId="085E4FB2" w:rsidR="00966744" w:rsidRPr="00654F96" w:rsidRDefault="00966744" w:rsidP="00966744">
      <w:pPr>
        <w:jc w:val="center"/>
        <w:rPr>
          <w:rFonts w:ascii="Times New Roman" w:hAnsi="Times New Roman" w:cs="Times New Roman"/>
          <w:lang w:val="nl-NL"/>
        </w:rPr>
      </w:pPr>
      <w:r w:rsidRPr="00654F96">
        <w:rPr>
          <w:rFonts w:ascii="Times New Roman" w:hAnsi="Times New Roman" w:cs="Times New Roman"/>
          <w:lang w:val="nl-NL"/>
        </w:rPr>
        <w:t>Zhixiong Ying*</w:t>
      </w:r>
      <w:r w:rsidRPr="00654F96">
        <w:rPr>
          <w:rFonts w:ascii="Times New Roman" w:hAnsi="Times New Roman" w:cs="Times New Roman"/>
          <w:vertAlign w:val="superscript"/>
          <w:lang w:val="nl-NL"/>
        </w:rPr>
        <w:t>1,2</w:t>
      </w:r>
      <w:r w:rsidRPr="00654F96">
        <w:rPr>
          <w:rFonts w:ascii="Times New Roman" w:hAnsi="Times New Roman" w:cs="Times New Roman"/>
          <w:lang w:val="nl-NL"/>
        </w:rPr>
        <w:t>, Robin van Eenige*</w:t>
      </w:r>
      <w:r w:rsidRPr="00654F96">
        <w:rPr>
          <w:rFonts w:ascii="Times New Roman" w:hAnsi="Times New Roman" w:cs="Times New Roman"/>
          <w:vertAlign w:val="superscript"/>
          <w:lang w:val="nl-NL"/>
        </w:rPr>
        <w:t>1,2</w:t>
      </w:r>
      <w:r w:rsidRPr="00654F96">
        <w:rPr>
          <w:rFonts w:ascii="Times New Roman" w:hAnsi="Times New Roman" w:cs="Times New Roman"/>
          <w:lang w:val="nl-NL"/>
        </w:rPr>
        <w:t>, Rosa Beerepoot</w:t>
      </w:r>
      <w:r w:rsidRPr="00654F96">
        <w:rPr>
          <w:rFonts w:ascii="Times New Roman" w:hAnsi="Times New Roman" w:cs="Times New Roman"/>
          <w:vertAlign w:val="superscript"/>
          <w:lang w:val="nl-NL"/>
        </w:rPr>
        <w:t>1,2</w:t>
      </w:r>
      <w:r w:rsidRPr="00654F96">
        <w:rPr>
          <w:rFonts w:ascii="Times New Roman" w:hAnsi="Times New Roman" w:cs="Times New Roman"/>
          <w:lang w:val="nl-NL"/>
        </w:rPr>
        <w:t>, Mariëtte R. Boon</w:t>
      </w:r>
      <w:r w:rsidRPr="00654F96">
        <w:rPr>
          <w:rFonts w:ascii="Times New Roman" w:hAnsi="Times New Roman" w:cs="Times New Roman"/>
          <w:vertAlign w:val="superscript"/>
          <w:lang w:val="nl-NL"/>
        </w:rPr>
        <w:t>1,2</w:t>
      </w:r>
      <w:r w:rsidRPr="00654F96">
        <w:rPr>
          <w:rFonts w:ascii="Times New Roman" w:hAnsi="Times New Roman" w:cs="Times New Roman"/>
          <w:lang w:val="nl-NL"/>
        </w:rPr>
        <w:t>, Niels J. Kloosterhuis</w:t>
      </w:r>
      <w:r w:rsidRPr="00654F96">
        <w:rPr>
          <w:rFonts w:ascii="Times New Roman" w:hAnsi="Times New Roman" w:cs="Times New Roman"/>
          <w:vertAlign w:val="superscript"/>
          <w:lang w:val="nl-NL"/>
        </w:rPr>
        <w:t>3</w:t>
      </w:r>
      <w:r w:rsidRPr="00654F96">
        <w:rPr>
          <w:rFonts w:ascii="Times New Roman" w:hAnsi="Times New Roman" w:cs="Times New Roman"/>
          <w:lang w:val="nl-NL"/>
        </w:rPr>
        <w:t>, Bart van de Sluis</w:t>
      </w:r>
      <w:r w:rsidRPr="00654F96">
        <w:rPr>
          <w:rFonts w:ascii="Times New Roman" w:hAnsi="Times New Roman" w:cs="Times New Roman"/>
          <w:vertAlign w:val="superscript"/>
          <w:lang w:val="nl-NL"/>
        </w:rPr>
        <w:t>3</w:t>
      </w:r>
      <w:r w:rsidRPr="00654F96">
        <w:rPr>
          <w:rFonts w:ascii="Times New Roman" w:hAnsi="Times New Roman" w:cs="Times New Roman"/>
          <w:lang w:val="nl-NL"/>
        </w:rPr>
        <w:t>, Alexander Bartelt</w:t>
      </w:r>
      <w:r w:rsidRPr="00654F96">
        <w:rPr>
          <w:rFonts w:ascii="Times New Roman" w:hAnsi="Times New Roman" w:cs="Times New Roman"/>
          <w:vertAlign w:val="superscript"/>
          <w:lang w:val="nl-NL"/>
        </w:rPr>
        <w:t>4,5,6</w:t>
      </w:r>
      <w:r w:rsidRPr="00654F96">
        <w:rPr>
          <w:rFonts w:ascii="Times New Roman" w:hAnsi="Times New Roman" w:cs="Times New Roman"/>
          <w:lang w:val="nl-NL"/>
        </w:rPr>
        <w:t>, Patrick C.N. Rensen</w:t>
      </w:r>
      <w:r w:rsidRPr="00654F96">
        <w:rPr>
          <w:rFonts w:ascii="Times New Roman" w:hAnsi="Times New Roman" w:cs="Times New Roman"/>
          <w:vertAlign w:val="superscript"/>
          <w:lang w:val="nl-NL"/>
        </w:rPr>
        <w:t>1,2</w:t>
      </w:r>
      <w:r w:rsidRPr="00654F96">
        <w:rPr>
          <w:rFonts w:ascii="Times New Roman" w:hAnsi="Times New Roman" w:cs="Times New Roman"/>
          <w:lang w:val="nl-NL"/>
        </w:rPr>
        <w:t>, Sander Kooijman</w:t>
      </w:r>
      <w:r w:rsidRPr="00654F96">
        <w:rPr>
          <w:rFonts w:ascii="Times New Roman" w:hAnsi="Times New Roman" w:cs="Times New Roman"/>
          <w:vertAlign w:val="superscript"/>
          <w:lang w:val="nl-NL"/>
        </w:rPr>
        <w:t>1,2</w:t>
      </w:r>
    </w:p>
    <w:p w14:paraId="5E67223E" w14:textId="255DAEEC" w:rsidR="00966744" w:rsidRPr="00654F96" w:rsidRDefault="004F25FD" w:rsidP="00966744">
      <w:pPr>
        <w:jc w:val="center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</w:rPr>
        <w:t>*</w:t>
      </w:r>
      <w:r w:rsidR="00966744" w:rsidRPr="00654F96">
        <w:rPr>
          <w:rFonts w:ascii="Times New Roman" w:hAnsi="Times New Roman" w:cs="Times New Roman"/>
        </w:rPr>
        <w:t>Authors contributed equally.</w:t>
      </w:r>
    </w:p>
    <w:p w14:paraId="35998375" w14:textId="78342262" w:rsidR="00966744" w:rsidRPr="00654F96" w:rsidRDefault="00966744" w:rsidP="00966744">
      <w:pPr>
        <w:jc w:val="center"/>
        <w:rPr>
          <w:rFonts w:ascii="Times New Roman" w:hAnsi="Times New Roman" w:cs="Times New Roman"/>
          <w:vertAlign w:val="superscript"/>
        </w:rPr>
      </w:pPr>
    </w:p>
    <w:p w14:paraId="031802D7" w14:textId="77777777" w:rsidR="00966744" w:rsidRPr="00654F96" w:rsidRDefault="00966744" w:rsidP="00966744">
      <w:pPr>
        <w:jc w:val="center"/>
        <w:rPr>
          <w:rFonts w:ascii="Times New Roman" w:hAnsi="Times New Roman" w:cs="Times New Roman"/>
          <w:vertAlign w:val="superscript"/>
        </w:rPr>
      </w:pPr>
    </w:p>
    <w:p w14:paraId="5D54FEA9" w14:textId="77777777" w:rsidR="00966744" w:rsidRPr="00654F96" w:rsidRDefault="00966744" w:rsidP="00966744">
      <w:pPr>
        <w:jc w:val="center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  <w:vertAlign w:val="superscript"/>
        </w:rPr>
        <w:t>1</w:t>
      </w:r>
      <w:r w:rsidRPr="00654F96">
        <w:rPr>
          <w:rFonts w:ascii="Times New Roman" w:hAnsi="Times New Roman" w:cs="Times New Roman"/>
        </w:rPr>
        <w:t>Division of Endocrinology, Department of Medicine, Leiden University Medical Center, Leiden, The Netherlands</w:t>
      </w:r>
    </w:p>
    <w:p w14:paraId="20BA8D76" w14:textId="77777777" w:rsidR="00966744" w:rsidRPr="00654F96" w:rsidRDefault="00966744" w:rsidP="00966744">
      <w:pPr>
        <w:jc w:val="center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  <w:vertAlign w:val="superscript"/>
        </w:rPr>
        <w:t>2</w:t>
      </w:r>
      <w:r w:rsidRPr="00654F96">
        <w:rPr>
          <w:rFonts w:ascii="Times New Roman" w:hAnsi="Times New Roman" w:cs="Times New Roman"/>
        </w:rPr>
        <w:t>Einthoven Laboratory for Experimental Vascular Medicine, Leiden University Medical Center, Leiden, The Netherlands</w:t>
      </w:r>
    </w:p>
    <w:p w14:paraId="2FD1A935" w14:textId="189FE6FA" w:rsidR="00966744" w:rsidRPr="00654F96" w:rsidRDefault="00966744" w:rsidP="00966744">
      <w:pPr>
        <w:jc w:val="center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  <w:vertAlign w:val="superscript"/>
        </w:rPr>
        <w:t>3</w:t>
      </w:r>
      <w:r w:rsidRPr="00654F96">
        <w:rPr>
          <w:rFonts w:ascii="Times New Roman" w:hAnsi="Times New Roman" w:cs="Times New Roman"/>
        </w:rPr>
        <w:t xml:space="preserve">Department of Pediatrics, </w:t>
      </w:r>
      <w:r w:rsidRPr="00654F96">
        <w:rPr>
          <w:rFonts w:ascii="Times New Roman" w:hAnsi="Times New Roman" w:cs="Times New Roman"/>
          <w:color w:val="000000" w:themeColor="text1"/>
        </w:rPr>
        <w:t>University of Groningen</w:t>
      </w:r>
      <w:r w:rsidRPr="00654F96">
        <w:rPr>
          <w:rFonts w:ascii="Times New Roman" w:hAnsi="Times New Roman" w:cs="Times New Roman"/>
        </w:rPr>
        <w:t>, University Medical Center Groningen, Groningen, The Netherlands</w:t>
      </w:r>
    </w:p>
    <w:p w14:paraId="195518B8" w14:textId="77777777" w:rsidR="00966744" w:rsidRPr="00654F96" w:rsidRDefault="00966744" w:rsidP="00966744">
      <w:pPr>
        <w:jc w:val="center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  <w:vertAlign w:val="superscript"/>
        </w:rPr>
        <w:t>4</w:t>
      </w:r>
      <w:r w:rsidRPr="00654F96">
        <w:rPr>
          <w:rFonts w:ascii="Times New Roman" w:hAnsi="Times New Roman" w:cs="Times New Roman"/>
        </w:rPr>
        <w:t>Institute for Cardiovascular Prevention (IPEK), Ludwig-Maximilians-University, Munich, Germany</w:t>
      </w:r>
    </w:p>
    <w:p w14:paraId="70A202BD" w14:textId="77777777" w:rsidR="00966744" w:rsidRPr="00654F96" w:rsidRDefault="00966744" w:rsidP="00966744">
      <w:pPr>
        <w:jc w:val="center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  <w:vertAlign w:val="superscript"/>
        </w:rPr>
        <w:t>5</w:t>
      </w:r>
      <w:r w:rsidRPr="00654F96">
        <w:rPr>
          <w:rFonts w:ascii="Times New Roman" w:hAnsi="Times New Roman" w:cs="Times New Roman"/>
        </w:rPr>
        <w:t>Institute for Diabetes and Cancer (IDC), Helmholtz Center Munich, Neuherberg, Germany</w:t>
      </w:r>
    </w:p>
    <w:p w14:paraId="124FF9D5" w14:textId="77777777" w:rsidR="00966744" w:rsidRPr="00654F96" w:rsidRDefault="00966744" w:rsidP="00966744">
      <w:pPr>
        <w:jc w:val="center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  <w:vertAlign w:val="superscript"/>
        </w:rPr>
        <w:t>6</w:t>
      </w:r>
      <w:r w:rsidRPr="00654F96">
        <w:rPr>
          <w:rFonts w:ascii="Times New Roman" w:hAnsi="Times New Roman" w:cs="Times New Roman"/>
        </w:rPr>
        <w:t>German Center for Cardiovascular Research (DZHK), Partner Site Munich Heart Alliance, Technische Universität München, Munich, Germany</w:t>
      </w:r>
    </w:p>
    <w:p w14:paraId="7A5E4F2C" w14:textId="4B31A1AF" w:rsidR="00966744" w:rsidRPr="00654F96" w:rsidRDefault="00966744">
      <w:pPr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</w:rPr>
        <w:br w:type="page"/>
      </w:r>
    </w:p>
    <w:p w14:paraId="190A965D" w14:textId="3723A4B1" w:rsidR="0070134F" w:rsidRDefault="00410C29" w:rsidP="00E86427">
      <w:pPr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0D7BFACD" wp14:editId="002EB8A6">
            <wp:extent cx="4134385" cy="441297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480" cy="441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73D5F" w14:textId="2FF2DCF8" w:rsidR="00966744" w:rsidRPr="00654F96" w:rsidRDefault="00966744" w:rsidP="00E86427">
      <w:pPr>
        <w:jc w:val="both"/>
        <w:rPr>
          <w:rFonts w:ascii="Times New Roman" w:hAnsi="Times New Roman" w:cs="Times New Roman"/>
        </w:rPr>
      </w:pPr>
      <w:r w:rsidRPr="00654F96">
        <w:rPr>
          <w:rFonts w:ascii="Times New Roman" w:hAnsi="Times New Roman" w:cs="Times New Roman"/>
          <w:b/>
          <w:bCs/>
        </w:rPr>
        <w:t>Supplementary Fig. S1. Mirabegron stimulates lipoprotein lipase activity in brown adipose tissue.</w:t>
      </w:r>
      <w:r w:rsidR="00F36AA7">
        <w:rPr>
          <w:rFonts w:ascii="Times New Roman" w:hAnsi="Times New Roman" w:cs="Times New Roman"/>
          <w:b/>
          <w:bCs/>
        </w:rPr>
        <w:br/>
      </w:r>
      <w:r w:rsidRPr="00654F96">
        <w:rPr>
          <w:rFonts w:ascii="Times New Roman" w:hAnsi="Times New Roman" w:cs="Times New Roman"/>
        </w:rPr>
        <w:t xml:space="preserve">Female APOE*3-Leiden.CETP mice were fed a Western-type diet and injected with mirabegron or vehicle for 15 weeks. In </w:t>
      </w:r>
      <w:r w:rsidR="00D132C3" w:rsidRPr="00654F96">
        <w:rPr>
          <w:rFonts w:ascii="Times New Roman" w:hAnsi="Times New Roman" w:cs="Times New Roman"/>
          <w:b/>
          <w:bCs/>
        </w:rPr>
        <w:t>(</w:t>
      </w:r>
      <w:r w:rsidR="00D132C3">
        <w:rPr>
          <w:rFonts w:ascii="Times New Roman" w:hAnsi="Times New Roman" w:cs="Times New Roman"/>
          <w:b/>
          <w:bCs/>
        </w:rPr>
        <w:t>A</w:t>
      </w:r>
      <w:r w:rsidR="00D132C3" w:rsidRPr="00654F96">
        <w:rPr>
          <w:rFonts w:ascii="Times New Roman" w:hAnsi="Times New Roman" w:cs="Times New Roman"/>
          <w:b/>
          <w:bCs/>
        </w:rPr>
        <w:t xml:space="preserve">, </w:t>
      </w:r>
      <w:r w:rsidR="00D132C3">
        <w:rPr>
          <w:rFonts w:ascii="Times New Roman" w:hAnsi="Times New Roman" w:cs="Times New Roman"/>
          <w:b/>
          <w:bCs/>
        </w:rPr>
        <w:t>B</w:t>
      </w:r>
      <w:r w:rsidR="00D132C3" w:rsidRPr="00654F96">
        <w:rPr>
          <w:rFonts w:ascii="Times New Roman" w:hAnsi="Times New Roman" w:cs="Times New Roman"/>
          <w:b/>
          <w:bCs/>
        </w:rPr>
        <w:t>)</w:t>
      </w:r>
      <w:r w:rsidR="00D132C3" w:rsidRPr="00654F96">
        <w:rPr>
          <w:rFonts w:ascii="Times New Roman" w:hAnsi="Times New Roman" w:cs="Times New Roman"/>
        </w:rPr>
        <w:t xml:space="preserve"> subcutaneous white adipose tissue (sWAT) </w:t>
      </w:r>
      <w:r w:rsidR="00D132C3">
        <w:rPr>
          <w:rFonts w:ascii="Times New Roman" w:hAnsi="Times New Roman" w:cs="Times New Roman"/>
        </w:rPr>
        <w:t xml:space="preserve">and </w:t>
      </w:r>
      <w:r w:rsidR="00D132C3" w:rsidRPr="00654F96">
        <w:rPr>
          <w:rFonts w:ascii="Times New Roman" w:hAnsi="Times New Roman" w:cs="Times New Roman"/>
          <w:b/>
          <w:bCs/>
        </w:rPr>
        <w:t>(</w:t>
      </w:r>
      <w:r w:rsidR="00D132C3">
        <w:rPr>
          <w:rFonts w:ascii="Times New Roman" w:hAnsi="Times New Roman" w:cs="Times New Roman"/>
          <w:b/>
          <w:bCs/>
        </w:rPr>
        <w:t>C</w:t>
      </w:r>
      <w:r w:rsidR="00D132C3" w:rsidRPr="00654F96">
        <w:rPr>
          <w:rFonts w:ascii="Times New Roman" w:hAnsi="Times New Roman" w:cs="Times New Roman"/>
          <w:b/>
          <w:bCs/>
        </w:rPr>
        <w:t xml:space="preserve">, </w:t>
      </w:r>
      <w:r w:rsidR="00D132C3">
        <w:rPr>
          <w:rFonts w:ascii="Times New Roman" w:hAnsi="Times New Roman" w:cs="Times New Roman"/>
          <w:b/>
          <w:bCs/>
        </w:rPr>
        <w:t>D</w:t>
      </w:r>
      <w:r w:rsidR="00D132C3" w:rsidRPr="00654F96">
        <w:rPr>
          <w:rFonts w:ascii="Times New Roman" w:hAnsi="Times New Roman" w:cs="Times New Roman"/>
          <w:b/>
          <w:bCs/>
        </w:rPr>
        <w:t>)</w:t>
      </w:r>
      <w:r w:rsidR="00D132C3" w:rsidRPr="00654F96">
        <w:rPr>
          <w:rFonts w:ascii="Times New Roman" w:hAnsi="Times New Roman" w:cs="Times New Roman"/>
        </w:rPr>
        <w:t xml:space="preserve"> </w:t>
      </w:r>
      <w:r w:rsidRPr="00654F96">
        <w:rPr>
          <w:rFonts w:ascii="Times New Roman" w:hAnsi="Times New Roman" w:cs="Times New Roman"/>
        </w:rPr>
        <w:t>interscapular brown adipose tissue (iBAT) samples</w:t>
      </w:r>
      <w:r w:rsidR="00D132C3" w:rsidRPr="00D132C3">
        <w:t xml:space="preserve"> </w:t>
      </w:r>
      <w:r w:rsidR="00D132C3" w:rsidRPr="00D132C3">
        <w:rPr>
          <w:rFonts w:ascii="Times New Roman" w:hAnsi="Times New Roman" w:cs="Times New Roman"/>
        </w:rPr>
        <w:t>collected 4 hours after the last injection</w:t>
      </w:r>
      <w:r w:rsidRPr="00654F96">
        <w:rPr>
          <w:rFonts w:ascii="Times New Roman" w:hAnsi="Times New Roman" w:cs="Times New Roman"/>
        </w:rPr>
        <w:t>, relative gene expression levels of lipoprotein lipase (</w:t>
      </w:r>
      <w:r w:rsidRPr="00654F96">
        <w:rPr>
          <w:rFonts w:ascii="Times New Roman" w:hAnsi="Times New Roman" w:cs="Times New Roman"/>
          <w:i/>
          <w:iCs/>
        </w:rPr>
        <w:t>Lpl</w:t>
      </w:r>
      <w:r w:rsidRPr="00654F96">
        <w:rPr>
          <w:rFonts w:ascii="Times New Roman" w:hAnsi="Times New Roman" w:cs="Times New Roman"/>
        </w:rPr>
        <w:t>), glycosylphosphatidylinositol anchored high density lipoprotein binding protein 1 (</w:t>
      </w:r>
      <w:r w:rsidRPr="00654F96">
        <w:rPr>
          <w:rFonts w:ascii="Times New Roman" w:hAnsi="Times New Roman" w:cs="Times New Roman"/>
          <w:i/>
          <w:iCs/>
        </w:rPr>
        <w:t>Gpihbp1</w:t>
      </w:r>
      <w:r w:rsidRPr="00654F96">
        <w:rPr>
          <w:rFonts w:ascii="Times New Roman" w:hAnsi="Times New Roman" w:cs="Times New Roman"/>
        </w:rPr>
        <w:t>), angiopoietin-like 4 (</w:t>
      </w:r>
      <w:r w:rsidRPr="00654F96">
        <w:rPr>
          <w:rFonts w:ascii="Times New Roman" w:hAnsi="Times New Roman" w:cs="Times New Roman"/>
          <w:i/>
          <w:iCs/>
        </w:rPr>
        <w:t>Angptl4</w:t>
      </w:r>
      <w:r w:rsidRPr="00654F96">
        <w:rPr>
          <w:rFonts w:ascii="Times New Roman" w:hAnsi="Times New Roman" w:cs="Times New Roman"/>
        </w:rPr>
        <w:t>) and cluster of differentiation 36 (</w:t>
      </w:r>
      <w:r w:rsidRPr="00654F96">
        <w:rPr>
          <w:rFonts w:ascii="Times New Roman" w:hAnsi="Times New Roman" w:cs="Times New Roman"/>
          <w:i/>
          <w:iCs/>
        </w:rPr>
        <w:t>Cd36</w:t>
      </w:r>
      <w:r w:rsidRPr="00654F96">
        <w:rPr>
          <w:rFonts w:ascii="Times New Roman" w:hAnsi="Times New Roman" w:cs="Times New Roman"/>
        </w:rPr>
        <w:t xml:space="preserve">) was determined, </w:t>
      </w:r>
      <w:r w:rsidR="00E86427" w:rsidRPr="00654F96">
        <w:rPr>
          <w:rFonts w:ascii="Times New Roman" w:hAnsi="Times New Roman" w:cs="Times New Roman"/>
        </w:rPr>
        <w:t>and</w:t>
      </w:r>
      <w:r w:rsidRPr="00654F96">
        <w:rPr>
          <w:rFonts w:ascii="Times New Roman" w:hAnsi="Times New Roman" w:cs="Times New Roman"/>
        </w:rPr>
        <w:t xml:space="preserve"> the LPL</w:t>
      </w:r>
      <w:r w:rsidR="006F4B31">
        <w:rPr>
          <w:rFonts w:ascii="Times New Roman" w:hAnsi="Times New Roman" w:cs="Times New Roman"/>
        </w:rPr>
        <w:t xml:space="preserve"> activity was determined and expressed as </w:t>
      </w:r>
      <w:r w:rsidRPr="00654F96">
        <w:rPr>
          <w:rFonts w:ascii="Times New Roman" w:hAnsi="Times New Roman" w:cs="Times New Roman"/>
        </w:rPr>
        <w:t xml:space="preserve">triglyceride (TG) hydrolase (hydr.) activity </w:t>
      </w:r>
      <w:r w:rsidR="006F4B31">
        <w:rPr>
          <w:rFonts w:ascii="Times New Roman" w:hAnsi="Times New Roman" w:cs="Times New Roman"/>
        </w:rPr>
        <w:t xml:space="preserve">in </w:t>
      </w:r>
      <w:r w:rsidRPr="00654F96">
        <w:rPr>
          <w:rFonts w:ascii="Times New Roman" w:hAnsi="Times New Roman" w:cs="Times New Roman"/>
        </w:rPr>
        <w:t>μmol free fatty acids (FFA) per hour (h) per gram (g) tissue.</w:t>
      </w:r>
      <w:r w:rsidR="000A70B9" w:rsidRPr="00654F96">
        <w:rPr>
          <w:rFonts w:ascii="Times New Roman" w:hAnsi="Times New Roman" w:cs="Times New Roman"/>
        </w:rPr>
        <w:t xml:space="preserve"> Data are presented as mean ± SEM and individual data points </w:t>
      </w:r>
      <w:r w:rsidR="001454AA" w:rsidRPr="00654F96">
        <w:rPr>
          <w:rFonts w:ascii="Times New Roman" w:hAnsi="Times New Roman" w:cs="Times New Roman"/>
        </w:rPr>
        <w:t>(</w:t>
      </w:r>
      <w:r w:rsidR="00B56A49" w:rsidRPr="00B56A49">
        <w:rPr>
          <w:rFonts w:ascii="Times New Roman" w:hAnsi="Times New Roman" w:cs="Times New Roman"/>
          <w:b/>
          <w:bCs/>
        </w:rPr>
        <w:t>A</w:t>
      </w:r>
      <w:r w:rsidR="00B56A49">
        <w:rPr>
          <w:rFonts w:ascii="Times New Roman" w:hAnsi="Times New Roman" w:cs="Times New Roman"/>
        </w:rPr>
        <w:t xml:space="preserve">, </w:t>
      </w:r>
      <w:r w:rsidR="00B56A49" w:rsidRPr="00B56A49">
        <w:rPr>
          <w:rFonts w:ascii="Times New Roman" w:hAnsi="Times New Roman" w:cs="Times New Roman"/>
          <w:b/>
          <w:bCs/>
        </w:rPr>
        <w:t>C</w:t>
      </w:r>
      <w:r w:rsidR="00B56A49">
        <w:rPr>
          <w:rFonts w:ascii="Times New Roman" w:hAnsi="Times New Roman" w:cs="Times New Roman"/>
        </w:rPr>
        <w:t>-</w:t>
      </w:r>
      <w:r w:rsidR="00B56A49" w:rsidRPr="00B56A49">
        <w:rPr>
          <w:rFonts w:ascii="Times New Roman" w:hAnsi="Times New Roman" w:cs="Times New Roman"/>
          <w:b/>
          <w:bCs/>
        </w:rPr>
        <w:t>D</w:t>
      </w:r>
      <w:r w:rsidR="00B56A49">
        <w:rPr>
          <w:rFonts w:ascii="Times New Roman" w:hAnsi="Times New Roman" w:cs="Times New Roman"/>
        </w:rPr>
        <w:t xml:space="preserve">, </w:t>
      </w:r>
      <w:r w:rsidR="000A70B9" w:rsidRPr="00654F96">
        <w:rPr>
          <w:rFonts w:ascii="Times New Roman" w:hAnsi="Times New Roman" w:cs="Times New Roman"/>
          <w:i/>
          <w:iCs/>
        </w:rPr>
        <w:t>n</w:t>
      </w:r>
      <w:r w:rsidR="000A70B9" w:rsidRPr="00654F96">
        <w:rPr>
          <w:rFonts w:ascii="Times New Roman" w:hAnsi="Times New Roman" w:cs="Times New Roman"/>
        </w:rPr>
        <w:t>=</w:t>
      </w:r>
      <w:r w:rsidR="00B56A49">
        <w:rPr>
          <w:rFonts w:ascii="Times New Roman" w:hAnsi="Times New Roman" w:cs="Times New Roman"/>
        </w:rPr>
        <w:t>7-</w:t>
      </w:r>
      <w:r w:rsidR="000A70B9" w:rsidRPr="00654F96">
        <w:rPr>
          <w:rFonts w:ascii="Times New Roman" w:hAnsi="Times New Roman" w:cs="Times New Roman"/>
        </w:rPr>
        <w:t>8 per group</w:t>
      </w:r>
      <w:r w:rsidR="00B56A49">
        <w:rPr>
          <w:rFonts w:ascii="Times New Roman" w:hAnsi="Times New Roman" w:cs="Times New Roman"/>
        </w:rPr>
        <w:t xml:space="preserve">; </w:t>
      </w:r>
      <w:r w:rsidR="00B56A49" w:rsidRPr="00B56A49">
        <w:rPr>
          <w:rFonts w:ascii="Times New Roman" w:hAnsi="Times New Roman" w:cs="Times New Roman"/>
          <w:b/>
          <w:bCs/>
        </w:rPr>
        <w:t>B</w:t>
      </w:r>
      <w:r w:rsidR="00B56A49">
        <w:rPr>
          <w:rFonts w:ascii="Times New Roman" w:hAnsi="Times New Roman" w:cs="Times New Roman"/>
        </w:rPr>
        <w:t>, n=8 per group</w:t>
      </w:r>
      <w:r w:rsidR="001454AA" w:rsidRPr="00654F96">
        <w:rPr>
          <w:rFonts w:ascii="Times New Roman" w:hAnsi="Times New Roman" w:cs="Times New Roman"/>
        </w:rPr>
        <w:t>)</w:t>
      </w:r>
      <w:bookmarkStart w:id="0" w:name="OLE_LINK1"/>
      <w:r w:rsidR="001454AA" w:rsidRPr="00654F96">
        <w:rPr>
          <w:rFonts w:ascii="Times New Roman" w:hAnsi="Times New Roman" w:cs="Times New Roman"/>
        </w:rPr>
        <w:t>.</w:t>
      </w:r>
      <w:r w:rsidR="000A70B9" w:rsidRPr="00654F96">
        <w:rPr>
          <w:rFonts w:ascii="Times New Roman" w:hAnsi="Times New Roman" w:cs="Times New Roman"/>
        </w:rPr>
        <w:t xml:space="preserve"> </w:t>
      </w:r>
      <w:r w:rsidR="001454AA" w:rsidRPr="00654F96">
        <w:rPr>
          <w:rFonts w:ascii="Times New Roman" w:hAnsi="Times New Roman" w:cs="Times New Roman"/>
        </w:rPr>
        <w:t>*</w:t>
      </w:r>
      <w:r w:rsidR="000A70B9" w:rsidRPr="00654F96">
        <w:rPr>
          <w:rFonts w:ascii="Times New Roman" w:hAnsi="Times New Roman" w:cs="Times New Roman"/>
          <w:i/>
          <w:iCs/>
        </w:rPr>
        <w:t>P</w:t>
      </w:r>
      <w:r w:rsidR="000A70B9" w:rsidRPr="00654F96">
        <w:rPr>
          <w:rFonts w:ascii="Times New Roman" w:hAnsi="Times New Roman" w:cs="Times New Roman"/>
        </w:rPr>
        <w:t xml:space="preserve"> &lt; 0.05, </w:t>
      </w:r>
      <w:r w:rsidR="001454AA" w:rsidRPr="00654F96">
        <w:rPr>
          <w:rFonts w:ascii="Times New Roman" w:hAnsi="Times New Roman" w:cs="Times New Roman"/>
        </w:rPr>
        <w:t>**</w:t>
      </w:r>
      <w:r w:rsidR="00206FF0">
        <w:rPr>
          <w:rFonts w:ascii="Times New Roman" w:hAnsi="Times New Roman" w:cs="Times New Roman"/>
        </w:rPr>
        <w:t>*</w:t>
      </w:r>
      <w:r w:rsidR="000A70B9" w:rsidRPr="00654F96">
        <w:rPr>
          <w:rFonts w:ascii="Times New Roman" w:hAnsi="Times New Roman" w:cs="Times New Roman"/>
          <w:i/>
          <w:iCs/>
        </w:rPr>
        <w:t>P</w:t>
      </w:r>
      <w:r w:rsidR="000A70B9" w:rsidRPr="00654F96">
        <w:rPr>
          <w:rFonts w:ascii="Times New Roman" w:hAnsi="Times New Roman" w:cs="Times New Roman"/>
        </w:rPr>
        <w:t xml:space="preserve"> &lt; 0.0</w:t>
      </w:r>
      <w:r w:rsidR="00206FF0">
        <w:rPr>
          <w:rFonts w:ascii="Times New Roman" w:hAnsi="Times New Roman" w:cs="Times New Roman"/>
        </w:rPr>
        <w:t>0</w:t>
      </w:r>
      <w:r w:rsidR="000A70B9" w:rsidRPr="00654F96">
        <w:rPr>
          <w:rFonts w:ascii="Times New Roman" w:hAnsi="Times New Roman" w:cs="Times New Roman"/>
        </w:rPr>
        <w:t>1.</w:t>
      </w:r>
      <w:bookmarkEnd w:id="0"/>
      <w:r w:rsidR="00AA7A1D">
        <w:rPr>
          <w:rFonts w:ascii="Times New Roman" w:hAnsi="Times New Roman" w:cs="Times New Roman"/>
        </w:rPr>
        <w:t xml:space="preserve"> n.d. not detectable (</w:t>
      </w:r>
      <w:r w:rsidR="00AA7A1D" w:rsidRPr="003B24FF">
        <w:rPr>
          <w:rFonts w:ascii="Times New Roman" w:hAnsi="Times New Roman" w:cs="Times New Roman"/>
          <w:i/>
          <w:iCs/>
        </w:rPr>
        <w:t>i.e.</w:t>
      </w:r>
      <w:r w:rsidR="00AA7A1D">
        <w:rPr>
          <w:rFonts w:ascii="Times New Roman" w:hAnsi="Times New Roman" w:cs="Times New Roman"/>
        </w:rPr>
        <w:t>, CT value &gt; 33).</w:t>
      </w:r>
    </w:p>
    <w:sectPr w:rsidR="00966744" w:rsidRPr="00654F96" w:rsidSect="006E6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wMzMxMjKzMDI2MTFX0lEKTi0uzszPAykwrAUASioH/iwAAAA="/>
  </w:docVars>
  <w:rsids>
    <w:rsidRoot w:val="00CF5ED3"/>
    <w:rsid w:val="000A70B9"/>
    <w:rsid w:val="00132609"/>
    <w:rsid w:val="001454AA"/>
    <w:rsid w:val="001C59D1"/>
    <w:rsid w:val="00206FF0"/>
    <w:rsid w:val="00410C29"/>
    <w:rsid w:val="004F25FD"/>
    <w:rsid w:val="00654F96"/>
    <w:rsid w:val="006E62DC"/>
    <w:rsid w:val="006F4B31"/>
    <w:rsid w:val="0070134F"/>
    <w:rsid w:val="007070EF"/>
    <w:rsid w:val="008969E7"/>
    <w:rsid w:val="00966744"/>
    <w:rsid w:val="009C403A"/>
    <w:rsid w:val="00AA1627"/>
    <w:rsid w:val="00AA7A1D"/>
    <w:rsid w:val="00B56A49"/>
    <w:rsid w:val="00C724EE"/>
    <w:rsid w:val="00C85721"/>
    <w:rsid w:val="00CC39D5"/>
    <w:rsid w:val="00CF5ED3"/>
    <w:rsid w:val="00D132C3"/>
    <w:rsid w:val="00DD27FC"/>
    <w:rsid w:val="00E86427"/>
    <w:rsid w:val="00F36AA7"/>
    <w:rsid w:val="00F4490C"/>
    <w:rsid w:val="00F6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04B"/>
  <w15:chartTrackingRefBased/>
  <w15:docId w15:val="{9D04BBB1-EBE5-4EB3-B35F-C35B98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6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Eenige, R. van (ENDO)</dc:creator>
  <cp:keywords/>
  <dc:description/>
  <cp:lastModifiedBy>Robin</cp:lastModifiedBy>
  <cp:revision>20</cp:revision>
  <dcterms:created xsi:type="dcterms:W3CDTF">2022-11-23T11:09:00Z</dcterms:created>
  <dcterms:modified xsi:type="dcterms:W3CDTF">2022-12-09T14:11:00Z</dcterms:modified>
</cp:coreProperties>
</file>