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E5" w:rsidRDefault="00B61AE5" w:rsidP="00B61AE5">
      <w:pPr>
        <w:rPr>
          <w:rFonts w:ascii="Times New Roman" w:eastAsiaTheme="majorEastAsia" w:hAnsi="Times New Roman" w:cs="Times New Roman"/>
          <w:i/>
          <w:sz w:val="24"/>
          <w:szCs w:val="24"/>
        </w:rPr>
      </w:pPr>
      <w:bookmarkStart w:id="0" w:name="_GoBack"/>
      <w:bookmarkEnd w:id="0"/>
      <w:r w:rsidRPr="00370A02">
        <w:rPr>
          <w:rFonts w:ascii="Times New Roman" w:eastAsiaTheme="majorEastAsia" w:hAnsi="Times New Roman" w:cs="Times New Roman"/>
          <w:i/>
          <w:sz w:val="24"/>
          <w:szCs w:val="24"/>
        </w:rPr>
        <w:t>APPENDICES</w:t>
      </w:r>
    </w:p>
    <w:p w:rsidR="00B61AE5" w:rsidRDefault="00B61AE5" w:rsidP="00B61AE5"/>
    <w:p w:rsidR="00B61AE5" w:rsidRDefault="00B61AE5" w:rsidP="00B61AE5">
      <w:pPr>
        <w:pStyle w:val="Heading3"/>
      </w:pPr>
      <w:r w:rsidRPr="00564BE5">
        <w:t>Appendix Table I</w:t>
      </w:r>
      <w:bookmarkStart w:id="1" w:name="_Hlk114153346"/>
      <w:r w:rsidRPr="00564BE5">
        <w:t xml:space="preserve">. Differences </w:t>
      </w:r>
      <w:r>
        <w:t xml:space="preserve">in Key Baseline Characteristics by Treatment Group in Patients Analyzed and Excluded from this Study </w:t>
      </w:r>
      <w:r w:rsidRPr="00564BE5">
        <w:t>(N = 404)</w:t>
      </w:r>
      <w:bookmarkEnd w:id="1"/>
    </w:p>
    <w:p w:rsidR="00B61AE5" w:rsidRPr="00564BE5" w:rsidRDefault="00B61AE5" w:rsidP="00B61AE5"/>
    <w:tbl>
      <w:tblPr>
        <w:tblStyle w:val="TableGrid"/>
        <w:tblW w:w="5136" w:type="pct"/>
        <w:tblLayout w:type="fixed"/>
        <w:tblLook w:val="04A0" w:firstRow="1" w:lastRow="0" w:firstColumn="1" w:lastColumn="0" w:noHBand="0" w:noVBand="1"/>
      </w:tblPr>
      <w:tblGrid>
        <w:gridCol w:w="1864"/>
        <w:gridCol w:w="1388"/>
        <w:gridCol w:w="1389"/>
        <w:gridCol w:w="1394"/>
        <w:gridCol w:w="1470"/>
        <w:gridCol w:w="1556"/>
        <w:gridCol w:w="1015"/>
        <w:gridCol w:w="14"/>
        <w:gridCol w:w="1316"/>
        <w:gridCol w:w="1137"/>
        <w:gridCol w:w="991"/>
      </w:tblGrid>
      <w:tr w:rsidR="00B61AE5" w:rsidTr="002B3737">
        <w:trPr>
          <w:trHeight w:val="290"/>
        </w:trPr>
        <w:tc>
          <w:tcPr>
            <w:tcW w:w="689" w:type="pct"/>
          </w:tcPr>
          <w:p w:rsidR="00B61AE5" w:rsidRPr="00527845" w:rsidRDefault="00B61AE5" w:rsidP="002B3737">
            <w:pPr>
              <w:pStyle w:val="table"/>
              <w:rPr>
                <w:rFonts w:cs="Times New Roman"/>
                <w:szCs w:val="20"/>
              </w:rPr>
            </w:pPr>
          </w:p>
        </w:tc>
        <w:tc>
          <w:tcPr>
            <w:tcW w:w="1541" w:type="pct"/>
            <w:gridSpan w:val="3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Total Sample</w:t>
            </w:r>
          </w:p>
        </w:tc>
        <w:tc>
          <w:tcPr>
            <w:tcW w:w="2770" w:type="pct"/>
            <w:gridSpan w:val="7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By Treatment Group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RPr="00527845" w:rsidRDefault="00B61AE5" w:rsidP="002B3737">
            <w:pPr>
              <w:pStyle w:val="table"/>
              <w:rPr>
                <w:rFonts w:cs="Times New Roman"/>
                <w:szCs w:val="20"/>
              </w:rPr>
            </w:pP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 xml:space="preserve">Analyzed </w:t>
            </w:r>
          </w:p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(N = 331)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 xml:space="preserve">Excluded </w:t>
            </w:r>
          </w:p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(N = 73)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p-value</w:t>
            </w:r>
            <w:r w:rsidRPr="00720EDA">
              <w:rPr>
                <w:rFonts w:cs="Times New Roman"/>
                <w:bCs w:val="0"/>
                <w:szCs w:val="20"/>
                <w:vertAlign w:val="superscript"/>
              </w:rPr>
              <w:t>1</w:t>
            </w:r>
          </w:p>
        </w:tc>
        <w:tc>
          <w:tcPr>
            <w:tcW w:w="1498" w:type="pct"/>
            <w:gridSpan w:val="4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 xml:space="preserve">Analyzed </w:t>
            </w:r>
          </w:p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(N = 331)</w:t>
            </w:r>
          </w:p>
        </w:tc>
        <w:tc>
          <w:tcPr>
            <w:tcW w:w="1272" w:type="pct"/>
            <w:gridSpan w:val="3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 xml:space="preserve">Excluded </w:t>
            </w:r>
          </w:p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(N = 73)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RPr="00527845" w:rsidRDefault="00B61AE5" w:rsidP="002B3737">
            <w:pPr>
              <w:pStyle w:val="table"/>
              <w:rPr>
                <w:rFonts w:cs="Times New Roman"/>
                <w:szCs w:val="20"/>
              </w:rPr>
            </w:pP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</w:p>
        </w:tc>
        <w:tc>
          <w:tcPr>
            <w:tcW w:w="543" w:type="pct"/>
            <w:noWrap/>
          </w:tcPr>
          <w:p w:rsidR="00B61AE5" w:rsidRPr="0052784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Collaborative care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Usual care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p-value</w:t>
            </w:r>
            <w:r w:rsidRPr="00720EDA">
              <w:rPr>
                <w:rFonts w:cs="Times New Roman"/>
                <w:bCs w:val="0"/>
                <w:szCs w:val="20"/>
                <w:vertAlign w:val="superscript"/>
              </w:rPr>
              <w:t>2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Collaborative care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Usual care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p-value</w:t>
            </w:r>
            <w:r w:rsidRPr="00720EDA">
              <w:rPr>
                <w:rFonts w:cs="Times New Roman"/>
                <w:bCs w:val="0"/>
                <w:szCs w:val="20"/>
                <w:vertAlign w:val="superscript"/>
              </w:rPr>
              <w:t>2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RPr="00527845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Age (years)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szCs w:val="20"/>
              </w:rPr>
              <w:t>52.9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szCs w:val="20"/>
              </w:rPr>
              <w:t>52.1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0.47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52.46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53.29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0.1873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50.41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53.39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</w:pPr>
            <w:r>
              <w:t>0.9364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Del="00A35344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Female sex, %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szCs w:val="20"/>
              </w:rPr>
              <w:t>59.8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szCs w:val="20"/>
              </w:rPr>
              <w:t>0.57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55.0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65.0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0.6056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53.0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59.0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</w:pPr>
            <w:r>
              <w:t>0.9121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RPr="00527845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BMI, </w:t>
            </w:r>
            <w:r w:rsidRPr="004A74FE">
              <w:rPr>
                <w:rFonts w:cs="Times New Roman"/>
                <w:szCs w:val="20"/>
              </w:rPr>
              <w:t>kg/m</w:t>
            </w:r>
            <w:r w:rsidRPr="004A74FE">
              <w:rPr>
                <w:rFonts w:cs="Times New Roman"/>
                <w:szCs w:val="20"/>
                <w:vertAlign w:val="superscript"/>
              </w:rPr>
              <w:t>2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szCs w:val="20"/>
              </w:rPr>
              <w:t>26.7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szCs w:val="20"/>
              </w:rPr>
              <w:t>27.0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szCs w:val="20"/>
              </w:rPr>
              <w:t>0.66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26.70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26.69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0.9536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27.80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26.36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</w:pPr>
            <w:r>
              <w:t>0.7027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Del="00A35344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Blood Pressure Medication, %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color w:val="000000"/>
                <w:szCs w:val="20"/>
              </w:rPr>
              <w:t>48.9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color w:val="000000"/>
                <w:szCs w:val="20"/>
              </w:rPr>
              <w:t>52.1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527845">
              <w:rPr>
                <w:rFonts w:cs="Times New Roman"/>
                <w:szCs w:val="20"/>
              </w:rPr>
              <w:t>0.63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48.0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50.0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0.9943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50.0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54.0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</w:pPr>
            <w:r>
              <w:t>0.9595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Del="00A35344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Duration of Diabetes (years)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9.4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9.7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0.75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8.84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10.00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0.3813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9.43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9.94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</w:pPr>
            <w:r>
              <w:t>0.5928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Del="00A35344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OHA Medication, %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93.4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90.4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0.38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95.0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92.0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0.0381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88.0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93.0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</w:pPr>
            <w:r>
              <w:t>0.1484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Del="00A35344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Current tobacco Use,% 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2.0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szCs w:val="20"/>
              </w:rPr>
              <w:t>1.2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 w:rsidRPr="00014518">
              <w:rPr>
                <w:rFonts w:cs="Times New Roman"/>
                <w:bCs w:val="0"/>
                <w:szCs w:val="20"/>
              </w:rPr>
              <w:t>0.038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0.91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1.51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0.1771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5.48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1.37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</w:pPr>
            <w:r>
              <w:t>&lt; 0.001</w:t>
            </w:r>
          </w:p>
        </w:tc>
      </w:tr>
      <w:tr w:rsidR="00B61AE5" w:rsidTr="002B3737">
        <w:trPr>
          <w:trHeight w:val="290"/>
        </w:trPr>
        <w:tc>
          <w:tcPr>
            <w:tcW w:w="689" w:type="pct"/>
          </w:tcPr>
          <w:p w:rsidR="00B61AE5" w:rsidDel="00A35344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Antidepressants, %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4.5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5.5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0.73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7.0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2.0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&lt; 0.001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3.0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7.0</w:t>
            </w:r>
          </w:p>
        </w:tc>
        <w:tc>
          <w:tcPr>
            <w:tcW w:w="366" w:type="pct"/>
          </w:tcPr>
          <w:p w:rsidR="00B61AE5" w:rsidRDefault="00B61AE5" w:rsidP="002B3737">
            <w:pPr>
              <w:pStyle w:val="table"/>
              <w:jc w:val="center"/>
            </w:pPr>
            <w:r>
              <w:t>0.4419</w:t>
            </w:r>
          </w:p>
        </w:tc>
      </w:tr>
      <w:tr w:rsidR="00B61AE5" w:rsidRPr="00017727" w:rsidTr="002B3737">
        <w:trPr>
          <w:trHeight w:val="290"/>
        </w:trPr>
        <w:tc>
          <w:tcPr>
            <w:tcW w:w="689" w:type="pct"/>
          </w:tcPr>
          <w:p w:rsidR="00B61AE5" w:rsidDel="00A35344" w:rsidRDefault="00B61AE5" w:rsidP="002B3737">
            <w:pPr>
              <w:pStyle w:val="tab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Insulin, %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32.6</w:t>
            </w:r>
          </w:p>
        </w:tc>
        <w:tc>
          <w:tcPr>
            <w:tcW w:w="513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39.7</w:t>
            </w:r>
          </w:p>
        </w:tc>
        <w:tc>
          <w:tcPr>
            <w:tcW w:w="51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0.28</w:t>
            </w:r>
          </w:p>
        </w:tc>
        <w:tc>
          <w:tcPr>
            <w:tcW w:w="543" w:type="pct"/>
            <w:noWrap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31.0</w:t>
            </w:r>
          </w:p>
        </w:tc>
        <w:tc>
          <w:tcPr>
            <w:tcW w:w="5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34.0</w:t>
            </w:r>
          </w:p>
        </w:tc>
        <w:tc>
          <w:tcPr>
            <w:tcW w:w="375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0.7592</w:t>
            </w:r>
          </w:p>
        </w:tc>
        <w:tc>
          <w:tcPr>
            <w:tcW w:w="491" w:type="pct"/>
            <w:gridSpan w:val="2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47.0</w:t>
            </w:r>
          </w:p>
        </w:tc>
        <w:tc>
          <w:tcPr>
            <w:tcW w:w="420" w:type="pct"/>
          </w:tcPr>
          <w:p w:rsidR="00B61AE5" w:rsidRDefault="00B61AE5" w:rsidP="002B3737">
            <w:pPr>
              <w:pStyle w:val="table"/>
              <w:jc w:val="center"/>
              <w:rPr>
                <w:rFonts w:cs="Times New Roman"/>
                <w:bCs w:val="0"/>
                <w:szCs w:val="20"/>
              </w:rPr>
            </w:pPr>
            <w:r>
              <w:rPr>
                <w:rFonts w:cs="Times New Roman"/>
                <w:bCs w:val="0"/>
                <w:szCs w:val="20"/>
              </w:rPr>
              <w:t>34.0</w:t>
            </w:r>
          </w:p>
        </w:tc>
        <w:tc>
          <w:tcPr>
            <w:tcW w:w="366" w:type="pct"/>
          </w:tcPr>
          <w:p w:rsidR="00B61AE5" w:rsidRPr="00017727" w:rsidRDefault="00B61AE5" w:rsidP="002B37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0.7375</w:t>
            </w:r>
          </w:p>
        </w:tc>
      </w:tr>
    </w:tbl>
    <w:p w:rsidR="00B61AE5" w:rsidRDefault="00B61AE5" w:rsidP="00B61AE5">
      <w:pPr>
        <w:tabs>
          <w:tab w:val="left" w:pos="2010"/>
        </w:tabs>
        <w:rPr>
          <w:rFonts w:ascii="Times New Roman" w:hAnsi="Times New Roman" w:cs="Times New Roman"/>
          <w:bCs/>
          <w:i/>
        </w:rPr>
      </w:pPr>
      <w:r w:rsidRPr="009F55E5">
        <w:rPr>
          <w:rFonts w:ascii="Times New Roman" w:hAnsi="Times New Roman" w:cs="Times New Roman"/>
          <w:bCs/>
          <w:i/>
        </w:rPr>
        <w:t>Abbreviations: OHA = Oral Hypoglycemic Agent; BMI = Body Mass Index</w:t>
      </w:r>
    </w:p>
    <w:p w:rsidR="00B61AE5" w:rsidRPr="00351632" w:rsidRDefault="00B61AE5" w:rsidP="00B61AE5">
      <w:pPr>
        <w:tabs>
          <w:tab w:val="left" w:pos="201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All data presented are unadjusted. Percentages may not match weighted and unweighted characteristics presented in the main manuscript.</w:t>
      </w:r>
    </w:p>
    <w:p w:rsidR="00B61AE5" w:rsidRPr="00720EDA" w:rsidRDefault="00B61AE5" w:rsidP="00B61AE5">
      <w:pPr>
        <w:tabs>
          <w:tab w:val="left" w:pos="2010"/>
        </w:tabs>
        <w:rPr>
          <w:rFonts w:ascii="Times New Roman" w:hAnsi="Times New Roman" w:cs="Times New Roman"/>
        </w:rPr>
      </w:pPr>
      <w:r w:rsidRPr="00720EDA">
        <w:rPr>
          <w:rFonts w:cs="Times New Roman"/>
          <w:bCs/>
          <w:szCs w:val="20"/>
          <w:vertAlign w:val="superscript"/>
        </w:rPr>
        <w:t xml:space="preserve">1 </w:t>
      </w:r>
      <w:r w:rsidRPr="00720EDA">
        <w:rPr>
          <w:rFonts w:ascii="Times New Roman" w:hAnsi="Times New Roman" w:cs="Times New Roman"/>
        </w:rPr>
        <w:t>p-value compares differences between the total analyzed and excluded sample</w:t>
      </w:r>
    </w:p>
    <w:p w:rsidR="00B61AE5" w:rsidRPr="00720EDA" w:rsidRDefault="00B61AE5" w:rsidP="00B61AE5">
      <w:pPr>
        <w:tabs>
          <w:tab w:val="left" w:pos="2010"/>
        </w:tabs>
        <w:rPr>
          <w:rFonts w:ascii="Times New Roman" w:hAnsi="Times New Roman" w:cs="Times New Roman"/>
        </w:rPr>
      </w:pPr>
      <w:proofErr w:type="gramStart"/>
      <w:r w:rsidRPr="00720EDA">
        <w:rPr>
          <w:rFonts w:cs="Times New Roman"/>
          <w:bCs/>
          <w:szCs w:val="20"/>
          <w:vertAlign w:val="superscript"/>
        </w:rPr>
        <w:t>2</w:t>
      </w:r>
      <w:proofErr w:type="gramEnd"/>
      <w:r w:rsidRPr="00720EDA">
        <w:rPr>
          <w:rFonts w:cs="Times New Roman"/>
          <w:bCs/>
          <w:szCs w:val="20"/>
          <w:vertAlign w:val="superscript"/>
        </w:rPr>
        <w:t xml:space="preserve"> </w:t>
      </w:r>
      <w:r w:rsidRPr="00720EDA">
        <w:rPr>
          <w:rFonts w:ascii="Times New Roman" w:hAnsi="Times New Roman" w:cs="Times New Roman"/>
        </w:rPr>
        <w:t>p-value compares differences between the collaborative care and usual care group within analysis stratum</w:t>
      </w:r>
    </w:p>
    <w:p w:rsidR="00B61AE5" w:rsidRPr="009F55E5" w:rsidRDefault="00B61AE5" w:rsidP="00B61AE5">
      <w:pPr>
        <w:tabs>
          <w:tab w:val="left" w:pos="2010"/>
        </w:tabs>
        <w:rPr>
          <w:rFonts w:ascii="Times New Roman" w:hAnsi="Times New Roman" w:cs="Times New Roman"/>
          <w:i/>
        </w:rPr>
      </w:pPr>
    </w:p>
    <w:p w:rsidR="00B61AE5" w:rsidRDefault="00B61AE5" w:rsidP="00B61AE5"/>
    <w:p w:rsidR="00B61AE5" w:rsidRDefault="00B61AE5" w:rsidP="00B61AE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B61AE5" w:rsidRPr="00195C87" w:rsidRDefault="00B61AE5" w:rsidP="00B61AE5">
      <w:pPr>
        <w:rPr>
          <w:rFonts w:ascii="Times New Roman" w:hAnsi="Times New Roman" w:cs="Times New Roman"/>
          <w:bCs/>
        </w:rPr>
        <w:sectPr w:rsidR="00B61AE5" w:rsidRPr="00195C87" w:rsidSect="00B61AE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61AE5" w:rsidRPr="001E4D39" w:rsidRDefault="00B61AE5" w:rsidP="00B61AE5">
      <w:pPr>
        <w:tabs>
          <w:tab w:val="left" w:pos="32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Appendix Table II</w:t>
      </w:r>
      <w:r w:rsidRPr="00B667A1">
        <w:rPr>
          <w:rFonts w:ascii="Times New Roman" w:hAnsi="Times New Roman" w:cs="Times New Roman"/>
          <w:b/>
          <w:sz w:val="24"/>
        </w:rPr>
        <w:t xml:space="preserve">. </w:t>
      </w:r>
      <w:r w:rsidRPr="00F3143F">
        <w:rPr>
          <w:rFonts w:ascii="Times New Roman" w:hAnsi="Times New Roman" w:cs="Times New Roman"/>
          <w:b/>
          <w:sz w:val="24"/>
        </w:rPr>
        <w:t xml:space="preserve">Adjusted Differences in Means of </w:t>
      </w:r>
      <w:r>
        <w:rPr>
          <w:rFonts w:ascii="Times New Roman" w:hAnsi="Times New Roman" w:cs="Times New Roman"/>
          <w:b/>
          <w:sz w:val="24"/>
        </w:rPr>
        <w:t xml:space="preserve">Additional, Single-Measure Composite </w:t>
      </w:r>
      <w:r w:rsidRPr="00F3143F">
        <w:rPr>
          <w:rFonts w:ascii="Times New Roman" w:hAnsi="Times New Roman" w:cs="Times New Roman"/>
          <w:b/>
          <w:sz w:val="24"/>
        </w:rPr>
        <w:t xml:space="preserve">Treatment Targets Between Collaborative Care and Usual Care 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2730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B61AE5" w:rsidRPr="00F91F02" w:rsidTr="002B3737">
        <w:trPr>
          <w:trHeight w:val="20"/>
        </w:trPr>
        <w:tc>
          <w:tcPr>
            <w:tcW w:w="2730" w:type="dxa"/>
          </w:tcPr>
          <w:p w:rsidR="00B61AE5" w:rsidRPr="00246DA9" w:rsidRDefault="00B61AE5" w:rsidP="002B3737">
            <w:pPr>
              <w:pStyle w:val="tableind"/>
              <w:ind w:left="0"/>
            </w:pP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>Collaborative Care Group (%) (N=192)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>Usual Care Group (%) (N = 202)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 xml:space="preserve">Risk Ratios at </w:t>
            </w:r>
            <w:r>
              <w:rPr>
                <w:rFonts w:cs="Times New Roman"/>
                <w:bCs w:val="0"/>
              </w:rPr>
              <w:t xml:space="preserve">12 </w:t>
            </w:r>
            <w:r w:rsidRPr="006F5566">
              <w:rPr>
                <w:rFonts w:cs="Times New Roman"/>
                <w:bCs w:val="0"/>
              </w:rPr>
              <w:t>months (95% CI)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>Collaborative Care Group (%) (N = 164)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>Usual Care Group (%) (N = 167)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>Risk Ratios at 36 months (95% CI)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>Collaborative Care Group (%) (N = 152)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>Usual Care Group (%) (N = 162)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  <w:r w:rsidRPr="006F5566">
              <w:rPr>
                <w:rFonts w:cs="Times New Roman"/>
                <w:bCs w:val="0"/>
              </w:rPr>
              <w:t>Risk Ratios at 36 months (95% CI)</w:t>
            </w:r>
          </w:p>
        </w:tc>
      </w:tr>
      <w:tr w:rsidR="00B61AE5" w:rsidRPr="00F91F02" w:rsidTr="002B3737">
        <w:trPr>
          <w:trHeight w:val="20"/>
        </w:trPr>
        <w:tc>
          <w:tcPr>
            <w:tcW w:w="2730" w:type="dxa"/>
          </w:tcPr>
          <w:p w:rsidR="00B61AE5" w:rsidRPr="00246DA9" w:rsidRDefault="00B61AE5" w:rsidP="002B3737">
            <w:pPr>
              <w:pStyle w:val="tableind"/>
              <w:ind w:left="0"/>
            </w:pPr>
            <w:r w:rsidRPr="00246DA9">
              <w:t>Improvements since baseline in composite indicators</w:t>
            </w:r>
            <w:r w:rsidRPr="00246DA9">
              <w:rPr>
                <w:szCs w:val="20"/>
              </w:rPr>
              <w:t>, %</w:t>
            </w:r>
            <w:r w:rsidRPr="00246DA9">
              <w:t xml:space="preserve"> 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  <w:highlight w:val="yellow"/>
              </w:rPr>
            </w:pPr>
          </w:p>
        </w:tc>
      </w:tr>
      <w:tr w:rsidR="00B61AE5" w:rsidRPr="00F91F02" w:rsidTr="002B3737">
        <w:trPr>
          <w:trHeight w:val="840"/>
        </w:trPr>
        <w:tc>
          <w:tcPr>
            <w:tcW w:w="2730" w:type="dxa"/>
          </w:tcPr>
          <w:p w:rsidR="00B61AE5" w:rsidRPr="00246DA9" w:rsidRDefault="00B61AE5" w:rsidP="002B3737">
            <w:pPr>
              <w:pStyle w:val="tableind"/>
            </w:pPr>
            <w:r w:rsidRPr="00246DA9">
              <w:t>≥0.5-percentage point reduction in HbA1c or HbA1c &lt;7%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28.7 [22.3, 35.2]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20.9 [15.3, 26.6]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1.38 [1.00, 1.89]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16.1 [10.3, 21.9]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13.8 [8.5, 19.0]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1.15 [0.69, 1.94]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4.4 [1.0, 7.7]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6.4 [2.6, 10.2]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0.68 [0.26, 1.77]</w:t>
            </w:r>
          </w:p>
        </w:tc>
      </w:tr>
      <w:tr w:rsidR="00B61AE5" w:rsidRPr="00F91F02" w:rsidTr="002B3737">
        <w:trPr>
          <w:trHeight w:val="20"/>
        </w:trPr>
        <w:tc>
          <w:tcPr>
            <w:tcW w:w="2730" w:type="dxa"/>
          </w:tcPr>
          <w:p w:rsidR="00B61AE5" w:rsidRPr="00246DA9" w:rsidRDefault="00B61AE5" w:rsidP="002B3737">
            <w:pPr>
              <w:pStyle w:val="tableind"/>
            </w:pPr>
            <w:r w:rsidRPr="00246DA9">
              <w:t>≥5-mm Hg reduction in SBP or SBP &lt;130 mmHg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59.6 [52.6, 66.6]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57.9 [51.0, 64.7]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1.00 [0.87, 1.16]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45.2 [37.5, 52.9]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52.3 [44.7, 60.0]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0.87 [0.70, 1.08]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33.7 [26.1, 41.3]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32.0 [24.7, 39.3]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1.01 [0.74, 1.38]</w:t>
            </w:r>
          </w:p>
        </w:tc>
      </w:tr>
      <w:tr w:rsidR="00B61AE5" w:rsidRPr="00F91F02" w:rsidTr="002B3737">
        <w:trPr>
          <w:trHeight w:val="20"/>
        </w:trPr>
        <w:tc>
          <w:tcPr>
            <w:tcW w:w="2730" w:type="dxa"/>
          </w:tcPr>
          <w:p w:rsidR="00B61AE5" w:rsidRPr="00246DA9" w:rsidRDefault="00B61AE5" w:rsidP="002B3737">
            <w:pPr>
              <w:pStyle w:val="tableind"/>
            </w:pPr>
            <w:r w:rsidRPr="00246DA9">
              <w:t>≥10-mg/</w:t>
            </w:r>
            <w:proofErr w:type="spellStart"/>
            <w:r w:rsidRPr="00246DA9">
              <w:t>dL</w:t>
            </w:r>
            <w:proofErr w:type="spellEnd"/>
            <w:r w:rsidRPr="00246DA9">
              <w:t xml:space="preserve"> reduction in LDL or LDL-C &lt;100 mg/</w:t>
            </w:r>
            <w:proofErr w:type="spellStart"/>
            <w:r w:rsidRPr="00246DA9">
              <w:t>dL</w:t>
            </w:r>
            <w:proofErr w:type="spellEnd"/>
            <w:r w:rsidRPr="00246DA9">
              <w:t xml:space="preserve"> (&lt;70</w:t>
            </w:r>
            <w:r w:rsidRPr="00246DA9">
              <w:br/>
              <w:t>with history of CVD)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59.8 [52.8, 66.8]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54.4 [47.5, 61.3]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0.98 [0.84, 1.15]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40.8 [33.2, 48.4]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43.2 [35.6, 50.7]</w:t>
            </w:r>
          </w:p>
        </w:tc>
        <w:tc>
          <w:tcPr>
            <w:tcW w:w="1152" w:type="dxa"/>
            <w:noWrap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0.91 [0.72, 1.15]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28.4 [21.2, 35.7]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24.7 [18.0, 31.4]</w:t>
            </w:r>
          </w:p>
        </w:tc>
        <w:tc>
          <w:tcPr>
            <w:tcW w:w="1152" w:type="dxa"/>
          </w:tcPr>
          <w:p w:rsidR="00B61AE5" w:rsidRPr="00246DA9" w:rsidRDefault="00B61AE5" w:rsidP="002B3737">
            <w:pPr>
              <w:pStyle w:val="table"/>
              <w:rPr>
                <w:rFonts w:cs="Times New Roman"/>
              </w:rPr>
            </w:pPr>
            <w:r w:rsidRPr="00246DA9">
              <w:rPr>
                <w:rFonts w:cs="Times New Roman"/>
              </w:rPr>
              <w:t>1.08 [0.76, 1.53]</w:t>
            </w:r>
          </w:p>
        </w:tc>
      </w:tr>
    </w:tbl>
    <w:p w:rsidR="00B61AE5" w:rsidRDefault="00B61AE5" w:rsidP="00B61AE5">
      <w:pPr>
        <w:tabs>
          <w:tab w:val="left" w:pos="2010"/>
        </w:tabs>
        <w:rPr>
          <w:rFonts w:ascii="Times New Roman" w:hAnsi="Times New Roman" w:cs="Times New Roman"/>
          <w:bCs/>
        </w:rPr>
      </w:pPr>
      <w:r w:rsidRPr="009F55E5">
        <w:rPr>
          <w:rFonts w:ascii="Times New Roman" w:hAnsi="Times New Roman" w:cs="Times New Roman"/>
          <w:bCs/>
          <w:i/>
        </w:rPr>
        <w:t>Abbreviations: LDL = Low-Density Lipoprotein;</w:t>
      </w:r>
      <w:r>
        <w:rPr>
          <w:rFonts w:ascii="Times New Roman" w:hAnsi="Times New Roman" w:cs="Times New Roman"/>
          <w:bCs/>
          <w:i/>
        </w:rPr>
        <w:t xml:space="preserve"> HbA1c = Hemoglobin A1C</w:t>
      </w:r>
      <w:r w:rsidRPr="009F55E5">
        <w:rPr>
          <w:rFonts w:ascii="Times New Roman" w:hAnsi="Times New Roman" w:cs="Times New Roman"/>
          <w:bCs/>
          <w:i/>
        </w:rPr>
        <w:t>; SBP = Systolic Blood Pressure</w:t>
      </w:r>
    </w:p>
    <w:p w:rsidR="00B61AE5" w:rsidRPr="00ED7F07" w:rsidRDefault="00B61AE5" w:rsidP="00B61AE5">
      <w:pPr>
        <w:rPr>
          <w:bCs/>
        </w:rPr>
      </w:pPr>
      <w:r>
        <w:rPr>
          <w:bCs/>
        </w:rPr>
        <w:br w:type="page"/>
      </w:r>
    </w:p>
    <w:p w:rsidR="00B61AE5" w:rsidRPr="00DF58E4" w:rsidRDefault="00B61AE5" w:rsidP="00B61AE5">
      <w:pPr>
        <w:pStyle w:val="Heading3"/>
        <w:rPr>
          <w:bCs w:val="0"/>
        </w:rPr>
      </w:pPr>
      <w:r w:rsidRPr="00DF58E4">
        <w:rPr>
          <w:bCs w:val="0"/>
        </w:rPr>
        <w:lastRenderedPageBreak/>
        <w:t xml:space="preserve">Appendix Table </w:t>
      </w:r>
      <w:r>
        <w:rPr>
          <w:bCs w:val="0"/>
        </w:rPr>
        <w:t>III</w:t>
      </w:r>
      <w:r w:rsidRPr="00DF58E4">
        <w:rPr>
          <w:bCs w:val="0"/>
        </w:rPr>
        <w:t xml:space="preserve">: </w:t>
      </w:r>
      <w:r>
        <w:rPr>
          <w:bCs w:val="0"/>
        </w:rPr>
        <w:t xml:space="preserve">Effect of Collaborative Care on </w:t>
      </w:r>
      <w:r w:rsidRPr="00DF58E4">
        <w:rPr>
          <w:bCs w:val="0"/>
        </w:rPr>
        <w:t xml:space="preserve">Primary Outcome at 36 Months by Socioeconomic and Clinical Characteristics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20"/>
        <w:gridCol w:w="4527"/>
        <w:gridCol w:w="2229"/>
      </w:tblGrid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sz w:val="20"/>
                <w:szCs w:val="20"/>
              </w:rPr>
              <w:t>Risk Ratio (95% CI)</w:t>
            </w:r>
          </w:p>
        </w:tc>
        <w:tc>
          <w:tcPr>
            <w:tcW w:w="84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sz w:val="20"/>
                <w:szCs w:val="20"/>
              </w:rPr>
              <w:t>p-value*</w:t>
            </w: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Age (years)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≤49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0.94 [0.72, 1.22]</w:t>
            </w:r>
          </w:p>
        </w:tc>
        <w:tc>
          <w:tcPr>
            <w:tcW w:w="846" w:type="pct"/>
            <w:vMerge w:val="restart"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0.38</w:t>
            </w: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t>≥</w:t>
            </w: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0.93 [0.77, 1.13]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Sex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1.05 [0.83, 1.33]</w:t>
            </w:r>
          </w:p>
        </w:tc>
        <w:tc>
          <w:tcPr>
            <w:tcW w:w="846" w:type="pct"/>
            <w:vMerge w:val="restart"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0.37</w:t>
            </w: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0.85 [0.70, 1.04]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Level of Education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More than secondary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1.10 [-0.52, 0.71]</w:t>
            </w:r>
          </w:p>
        </w:tc>
        <w:tc>
          <w:tcPr>
            <w:tcW w:w="846" w:type="pct"/>
            <w:vMerge w:val="restart"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0.68</w:t>
            </w: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Primary or Secondary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0.90 [-0.45, 0.25]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368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No education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0.78 [0.32, 1.88]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Household Income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&lt; 10000 INR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1.04 [0.60, 1.78]</w:t>
            </w:r>
          </w:p>
        </w:tc>
        <w:tc>
          <w:tcPr>
            <w:tcW w:w="846" w:type="pct"/>
            <w:vMerge w:val="restart"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0.76</w:t>
            </w: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≥10000 INR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0.89 [0.63, 1.25]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Duration of diabetes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pStyle w:val="tableind"/>
            </w:pPr>
            <w:r w:rsidRPr="00DF58E4">
              <w:t>≤ 8 years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0.84 [0.55, 1.30]</w:t>
            </w:r>
          </w:p>
        </w:tc>
        <w:tc>
          <w:tcPr>
            <w:tcW w:w="846" w:type="pct"/>
            <w:vMerge w:val="restart"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0.56</w:t>
            </w: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pStyle w:val="tableind"/>
            </w:pPr>
            <w:r w:rsidRPr="00DF58E4">
              <w:t>&gt; 8 years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1.00 [0.68, 1.48]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Site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MDRF (private)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0.91 [0.74, 1.12]</w:t>
            </w:r>
          </w:p>
        </w:tc>
        <w:tc>
          <w:tcPr>
            <w:tcW w:w="846" w:type="pct"/>
            <w:vMerge w:val="restart"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--</w:t>
            </w: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AIIMS (public)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0.78 [0.57, 1.09]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EDC (private)</w:t>
            </w:r>
            <w:r>
              <w:t>†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0.00 [0.00, 0.00]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1AE5" w:rsidRPr="00DF58E4" w:rsidTr="002B3737">
        <w:trPr>
          <w:trHeight w:val="290"/>
        </w:trPr>
        <w:tc>
          <w:tcPr>
            <w:tcW w:w="2436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DIACON (private)</w:t>
            </w:r>
          </w:p>
        </w:tc>
        <w:tc>
          <w:tcPr>
            <w:tcW w:w="1718" w:type="pct"/>
            <w:noWrap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E4">
              <w:rPr>
                <w:rFonts w:ascii="Times New Roman" w:hAnsi="Times New Roman" w:cs="Times New Roman"/>
                <w:bCs/>
                <w:sz w:val="20"/>
                <w:szCs w:val="20"/>
              </w:rPr>
              <w:t>1.18 [0.86, 1.61]</w:t>
            </w:r>
          </w:p>
        </w:tc>
        <w:tc>
          <w:tcPr>
            <w:tcW w:w="846" w:type="pct"/>
            <w:vMerge/>
            <w:hideMark/>
          </w:tcPr>
          <w:p w:rsidR="00B61AE5" w:rsidRPr="00DF58E4" w:rsidRDefault="00B61AE5" w:rsidP="002B37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61AE5" w:rsidRDefault="00B61AE5" w:rsidP="00B61AE5">
      <w:pPr>
        <w:rPr>
          <w:rFonts w:ascii="Times New Roman" w:hAnsi="Times New Roman" w:cs="Times New Roman"/>
          <w:bCs/>
        </w:rPr>
      </w:pPr>
      <w:r w:rsidRPr="00195C8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*p-value tests heterogeneity across levels of each socio-economic and clinical risk factor</w:t>
      </w:r>
    </w:p>
    <w:p w:rsidR="00B61AE5" w:rsidRDefault="00B61AE5" w:rsidP="00B61AE5">
      <w:pPr>
        <w:tabs>
          <w:tab w:val="left" w:pos="3260"/>
        </w:tabs>
        <w:rPr>
          <w:rFonts w:ascii="Times New Roman" w:hAnsi="Times New Roman" w:cs="Times New Roman"/>
        </w:rPr>
      </w:pPr>
      <w:r>
        <w:t>†</w:t>
      </w:r>
      <w:r>
        <w:rPr>
          <w:rFonts w:ascii="Times New Roman" w:hAnsi="Times New Roman" w:cs="Times New Roman"/>
          <w:bCs/>
        </w:rPr>
        <w:t>Numerator equal to 0.00</w:t>
      </w:r>
    </w:p>
    <w:p w:rsidR="00B61AE5" w:rsidRDefault="00B61AE5" w:rsidP="00B61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61AE5" w:rsidRPr="002C0E08" w:rsidRDefault="00B61AE5" w:rsidP="00B61AE5">
      <w:pPr>
        <w:rPr>
          <w:rFonts w:ascii="Times New Roman" w:hAnsi="Times New Roman" w:cs="Times New Roman"/>
          <w:b/>
          <w:bCs/>
        </w:rPr>
      </w:pPr>
      <w:r w:rsidRPr="002C0E08">
        <w:rPr>
          <w:rFonts w:ascii="Times New Roman" w:hAnsi="Times New Roman" w:cs="Times New Roman"/>
          <w:b/>
          <w:bCs/>
        </w:rPr>
        <w:lastRenderedPageBreak/>
        <w:t xml:space="preserve">Appendix Table </w:t>
      </w:r>
      <w:r>
        <w:rPr>
          <w:rFonts w:ascii="Times New Roman" w:hAnsi="Times New Roman" w:cs="Times New Roman"/>
          <w:b/>
          <w:bCs/>
        </w:rPr>
        <w:t>IV</w:t>
      </w:r>
      <w:r w:rsidRPr="002C0E08">
        <w:rPr>
          <w:rFonts w:ascii="Times New Roman" w:hAnsi="Times New Roman" w:cs="Times New Roman"/>
          <w:b/>
          <w:bCs/>
        </w:rPr>
        <w:t>. Common Effect Outcome at 12-, 24-, and 36-Month Follow-Up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75"/>
        <w:gridCol w:w="2604"/>
        <w:gridCol w:w="2324"/>
        <w:gridCol w:w="2272"/>
        <w:gridCol w:w="2401"/>
      </w:tblGrid>
      <w:tr w:rsidR="00B61AE5" w:rsidRPr="00195C87" w:rsidTr="002B3737">
        <w:trPr>
          <w:trHeight w:val="8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Collaborative Care</w:t>
            </w: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Usual Care</w:t>
            </w:r>
          </w:p>
        </w:tc>
      </w:tr>
      <w:tr w:rsidR="00B61AE5" w:rsidRPr="00195C87" w:rsidTr="002B3737">
        <w:trPr>
          <w:trHeight w:val="29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Common Effect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95% CI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Common Effect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95% CI</w:t>
            </w:r>
          </w:p>
        </w:tc>
      </w:tr>
      <w:tr w:rsidR="00B61AE5" w:rsidRPr="00195C87" w:rsidTr="002B3737">
        <w:trPr>
          <w:trHeight w:val="29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12 months -Post-intervention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-0.2250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(-0.3303, -0.1197)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0.00 (reference)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N/A</w:t>
            </w:r>
          </w:p>
        </w:tc>
      </w:tr>
      <w:tr w:rsidR="00B61AE5" w:rsidRPr="00195C87" w:rsidTr="002B3737">
        <w:trPr>
          <w:trHeight w:val="29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24 months -Post-intervention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-0.1118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(-0.2254 0.0018)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0.00 (reference)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N/A</w:t>
            </w:r>
          </w:p>
        </w:tc>
      </w:tr>
      <w:tr w:rsidR="00B61AE5" w:rsidRPr="00195C87" w:rsidTr="002B3737">
        <w:trPr>
          <w:trHeight w:val="29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36 months-Post-intervention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0.0434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(-0.0880, 0.1749)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 w:rsidRPr="00195C87">
              <w:rPr>
                <w:rFonts w:ascii="Times New Roman" w:eastAsia="Times New Roman" w:hAnsi="Times New Roman" w:cs="Times New Roman"/>
                <w:bCs/>
              </w:rPr>
              <w:t>0.00 (reference)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E5" w:rsidRPr="00195C87" w:rsidRDefault="00B61AE5" w:rsidP="002B37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N/A</w:t>
            </w:r>
          </w:p>
        </w:tc>
      </w:tr>
    </w:tbl>
    <w:p w:rsidR="00B61AE5" w:rsidRPr="00195C87" w:rsidRDefault="00B61AE5" w:rsidP="00B61AE5">
      <w:pPr>
        <w:spacing w:line="480" w:lineRule="auto"/>
        <w:rPr>
          <w:rFonts w:ascii="Times New Roman" w:hAnsi="Times New Roman" w:cs="Times New Roman"/>
          <w:bCs/>
        </w:rPr>
        <w:sectPr w:rsidR="00B61AE5" w:rsidRPr="00195C87" w:rsidSect="009C13DF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61AE5" w:rsidRPr="002C0E08" w:rsidRDefault="00B61AE5" w:rsidP="00B61AE5">
      <w:pPr>
        <w:pStyle w:val="Heading3"/>
      </w:pPr>
    </w:p>
    <w:p w:rsidR="00B61AE5" w:rsidRPr="002C0E08" w:rsidRDefault="00B61AE5" w:rsidP="00B61AE5">
      <w:pPr>
        <w:pStyle w:val="Heading3"/>
        <w:rPr>
          <w:bCs w:val="0"/>
        </w:rPr>
      </w:pPr>
      <w:r w:rsidRPr="002C0E08">
        <w:rPr>
          <w:bCs w:val="0"/>
        </w:rPr>
        <w:t xml:space="preserve">Appendix Figure </w:t>
      </w:r>
      <w:r>
        <w:rPr>
          <w:bCs w:val="0"/>
        </w:rPr>
        <w:t>I</w:t>
      </w:r>
      <w:r w:rsidRPr="002C0E08">
        <w:rPr>
          <w:bCs w:val="0"/>
        </w:rPr>
        <w:t>. INDEPENDENT Participant Eligibility and Collaborative Care Components</w:t>
      </w:r>
    </w:p>
    <w:p w:rsidR="00B61AE5" w:rsidRDefault="00B61AE5" w:rsidP="00B61AE5">
      <w:r>
        <w:rPr>
          <w:noProof/>
        </w:rPr>
        <w:drawing>
          <wp:anchor distT="0" distB="0" distL="114300" distR="114300" simplePos="0" relativeHeight="251659264" behindDoc="0" locked="0" layoutInCell="1" allowOverlap="1" wp14:anchorId="1153E45D" wp14:editId="5A6C8725">
            <wp:simplePos x="0" y="0"/>
            <wp:positionH relativeFrom="margin">
              <wp:align>right</wp:align>
            </wp:positionH>
            <wp:positionV relativeFrom="paragraph">
              <wp:posOffset>198784</wp:posOffset>
            </wp:positionV>
            <wp:extent cx="5943600" cy="423609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1AE5" w:rsidRPr="001B16AC" w:rsidRDefault="00B61AE5" w:rsidP="00B61AE5">
      <w:pPr>
        <w:sectPr w:rsidR="00B61AE5" w:rsidRPr="001B16AC" w:rsidSect="009C13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1AE5" w:rsidRPr="002C0E08" w:rsidRDefault="00B61AE5" w:rsidP="00B61AE5">
      <w:pPr>
        <w:spacing w:line="480" w:lineRule="auto"/>
        <w:rPr>
          <w:rFonts w:ascii="Times New Roman" w:eastAsiaTheme="majorEastAsia" w:hAnsi="Times New Roman" w:cs="Times New Roman"/>
          <w:bCs/>
          <w:sz w:val="24"/>
          <w:szCs w:val="24"/>
        </w:rPr>
        <w:sectPr w:rsidR="00B61AE5" w:rsidRPr="002C0E08" w:rsidSect="009C13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C0E0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0897B99" wp14:editId="0557584E">
            <wp:simplePos x="0" y="0"/>
            <wp:positionH relativeFrom="margin">
              <wp:posOffset>152400</wp:posOffset>
            </wp:positionH>
            <wp:positionV relativeFrom="paragraph">
              <wp:posOffset>254000</wp:posOffset>
            </wp:positionV>
            <wp:extent cx="5727700" cy="7408545"/>
            <wp:effectExtent l="0" t="0" r="6350" b="190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40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E08">
        <w:rPr>
          <w:rStyle w:val="Heading3Char"/>
        </w:rPr>
        <w:t xml:space="preserve">Appendix Figure </w:t>
      </w:r>
      <w:r>
        <w:rPr>
          <w:rStyle w:val="Heading3Char"/>
        </w:rPr>
        <w:t>II</w:t>
      </w:r>
      <w:r w:rsidRPr="002C0E08">
        <w:rPr>
          <w:rStyle w:val="Heading3Char"/>
        </w:rPr>
        <w:t>: Participant Diag</w:t>
      </w:r>
      <w:r>
        <w:rPr>
          <w:rStyle w:val="Heading3Char"/>
        </w:rPr>
        <w:t>ram</w:t>
      </w:r>
    </w:p>
    <w:p w:rsidR="00B61AE5" w:rsidRPr="002C0E08" w:rsidRDefault="00B61AE5" w:rsidP="00B61AE5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B61AE5" w:rsidRDefault="00B61AE5" w:rsidP="00B61AE5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B61AE5" w:rsidRDefault="00B61AE5" w:rsidP="00B61AE5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B61AE5" w:rsidRPr="002C0E08" w:rsidRDefault="00B61AE5" w:rsidP="00B61AE5">
      <w:pPr>
        <w:tabs>
          <w:tab w:val="left" w:pos="4200"/>
        </w:tabs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</w:p>
    <w:p w:rsidR="003615E2" w:rsidRDefault="003615E2"/>
    <w:sectPr w:rsidR="003615E2" w:rsidSect="009C13DF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8779A"/>
    <w:multiLevelType w:val="multilevel"/>
    <w:tmpl w:val="D2165628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E5"/>
    <w:rsid w:val="00062481"/>
    <w:rsid w:val="000869D9"/>
    <w:rsid w:val="000C4265"/>
    <w:rsid w:val="000C5114"/>
    <w:rsid w:val="000D170B"/>
    <w:rsid w:val="000E2FE8"/>
    <w:rsid w:val="000E661D"/>
    <w:rsid w:val="000F0867"/>
    <w:rsid w:val="00101BD6"/>
    <w:rsid w:val="00130B26"/>
    <w:rsid w:val="0015285E"/>
    <w:rsid w:val="00153003"/>
    <w:rsid w:val="00157632"/>
    <w:rsid w:val="00157F34"/>
    <w:rsid w:val="00167E75"/>
    <w:rsid w:val="00197F80"/>
    <w:rsid w:val="001B75F8"/>
    <w:rsid w:val="001D1C13"/>
    <w:rsid w:val="001F0674"/>
    <w:rsid w:val="00280A06"/>
    <w:rsid w:val="002F737C"/>
    <w:rsid w:val="00312255"/>
    <w:rsid w:val="003225C5"/>
    <w:rsid w:val="00330C44"/>
    <w:rsid w:val="00340C2D"/>
    <w:rsid w:val="0035079C"/>
    <w:rsid w:val="003615E2"/>
    <w:rsid w:val="00384A74"/>
    <w:rsid w:val="003B32D5"/>
    <w:rsid w:val="003B44FD"/>
    <w:rsid w:val="003D6CD1"/>
    <w:rsid w:val="003E0237"/>
    <w:rsid w:val="003F5CEB"/>
    <w:rsid w:val="00403148"/>
    <w:rsid w:val="004347D2"/>
    <w:rsid w:val="0043516C"/>
    <w:rsid w:val="00464FD5"/>
    <w:rsid w:val="00490438"/>
    <w:rsid w:val="004D63D4"/>
    <w:rsid w:val="004E660F"/>
    <w:rsid w:val="00524D91"/>
    <w:rsid w:val="00535300"/>
    <w:rsid w:val="005568D2"/>
    <w:rsid w:val="00587729"/>
    <w:rsid w:val="00597120"/>
    <w:rsid w:val="005A2D6C"/>
    <w:rsid w:val="005B35AB"/>
    <w:rsid w:val="005E2349"/>
    <w:rsid w:val="005E40B7"/>
    <w:rsid w:val="005E6D4E"/>
    <w:rsid w:val="005F3F56"/>
    <w:rsid w:val="00601EAA"/>
    <w:rsid w:val="0064709D"/>
    <w:rsid w:val="00690807"/>
    <w:rsid w:val="006C712E"/>
    <w:rsid w:val="00710E42"/>
    <w:rsid w:val="00774C38"/>
    <w:rsid w:val="007A687A"/>
    <w:rsid w:val="007B736C"/>
    <w:rsid w:val="007D736D"/>
    <w:rsid w:val="007E0985"/>
    <w:rsid w:val="007F4925"/>
    <w:rsid w:val="00821B34"/>
    <w:rsid w:val="00896149"/>
    <w:rsid w:val="008A7558"/>
    <w:rsid w:val="008C5526"/>
    <w:rsid w:val="008C6B11"/>
    <w:rsid w:val="008D704F"/>
    <w:rsid w:val="009620C4"/>
    <w:rsid w:val="0097027B"/>
    <w:rsid w:val="009712D9"/>
    <w:rsid w:val="00A36A21"/>
    <w:rsid w:val="00A4000B"/>
    <w:rsid w:val="00A457F6"/>
    <w:rsid w:val="00A70FF4"/>
    <w:rsid w:val="00A8730D"/>
    <w:rsid w:val="00A93BF2"/>
    <w:rsid w:val="00AB5602"/>
    <w:rsid w:val="00AF0DD6"/>
    <w:rsid w:val="00B15145"/>
    <w:rsid w:val="00B41363"/>
    <w:rsid w:val="00B61AE5"/>
    <w:rsid w:val="00BF782F"/>
    <w:rsid w:val="00C302CB"/>
    <w:rsid w:val="00C4174F"/>
    <w:rsid w:val="00C658EA"/>
    <w:rsid w:val="00C673AB"/>
    <w:rsid w:val="00C974FD"/>
    <w:rsid w:val="00CE1D5B"/>
    <w:rsid w:val="00CE2EFB"/>
    <w:rsid w:val="00CF2B3C"/>
    <w:rsid w:val="00D016E1"/>
    <w:rsid w:val="00D057BB"/>
    <w:rsid w:val="00D31704"/>
    <w:rsid w:val="00D41FFA"/>
    <w:rsid w:val="00D67174"/>
    <w:rsid w:val="00DA370C"/>
    <w:rsid w:val="00DD107D"/>
    <w:rsid w:val="00DE4A77"/>
    <w:rsid w:val="00E13458"/>
    <w:rsid w:val="00E159D5"/>
    <w:rsid w:val="00E4547C"/>
    <w:rsid w:val="00E67DF2"/>
    <w:rsid w:val="00E87CCC"/>
    <w:rsid w:val="00E9334F"/>
    <w:rsid w:val="00EC7A2C"/>
    <w:rsid w:val="00EE5175"/>
    <w:rsid w:val="00F0753E"/>
    <w:rsid w:val="00F40049"/>
    <w:rsid w:val="00F5467F"/>
    <w:rsid w:val="00F923A9"/>
    <w:rsid w:val="00F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20"/>
    <w:pPr>
      <w:spacing w:after="0" w:line="240" w:lineRule="auto"/>
    </w:pPr>
    <w:rPr>
      <w:rFonts w:ascii="Courier New" w:eastAsia="SimSun" w:hAnsi="Courier New" w:cs="Courier New"/>
      <w:color w:val="000000"/>
      <w:sz w:val="21"/>
      <w:szCs w:val="21"/>
    </w:rPr>
  </w:style>
  <w:style w:type="paragraph" w:styleId="Heading10">
    <w:name w:val="heading 1"/>
    <w:basedOn w:val="Normal"/>
    <w:link w:val="Heading1Char"/>
    <w:qFormat/>
    <w:rsid w:val="00597120"/>
    <w:pPr>
      <w:spacing w:after="173"/>
      <w:outlineLvl w:val="0"/>
    </w:pPr>
    <w:rPr>
      <w:rFonts w:ascii="Times New Roman" w:eastAsiaTheme="majorEastAsia" w:hAnsi="Times New Roman" w:cstheme="majorBidi"/>
      <w:color w:val="362BB6"/>
      <w:kern w:val="36"/>
      <w:sz w:val="41"/>
      <w:szCs w:val="41"/>
    </w:rPr>
  </w:style>
  <w:style w:type="paragraph" w:styleId="Heading20">
    <w:name w:val="heading 2"/>
    <w:basedOn w:val="Normal"/>
    <w:next w:val="Normal"/>
    <w:link w:val="Heading2Char"/>
    <w:unhideWhenUsed/>
    <w:qFormat/>
    <w:rsid w:val="00597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7120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97120"/>
    <w:pPr>
      <w:keepNext/>
      <w:spacing w:before="240" w:after="60"/>
      <w:outlineLvl w:val="3"/>
    </w:pPr>
    <w:rPr>
      <w:rFonts w:ascii="Times New Roman" w:hAnsi="Times New Roman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71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7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71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71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71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rsid w:val="00597120"/>
    <w:rPr>
      <w:rFonts w:ascii="Times New Roman" w:eastAsiaTheme="majorEastAsia" w:hAnsi="Times New Roman" w:cstheme="majorBidi"/>
      <w:color w:val="362BB6"/>
      <w:kern w:val="36"/>
      <w:sz w:val="41"/>
      <w:szCs w:val="41"/>
    </w:rPr>
  </w:style>
  <w:style w:type="paragraph" w:styleId="ListParagraph">
    <w:name w:val="List Paragraph"/>
    <w:basedOn w:val="Normal"/>
    <w:link w:val="ListParagraphChar"/>
    <w:uiPriority w:val="34"/>
    <w:qFormat/>
    <w:rsid w:val="005971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75F8"/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heading1">
    <w:name w:val="heading1"/>
    <w:basedOn w:val="Normal"/>
    <w:next w:val="Normal"/>
    <w:rsid w:val="00C658EA"/>
    <w:pPr>
      <w:keepNext/>
      <w:keepLines/>
      <w:numPr>
        <w:numId w:val="4"/>
      </w:numPr>
      <w:suppressAutoHyphens/>
      <w:spacing w:before="360" w:after="240" w:line="300" w:lineRule="atLeast"/>
      <w:ind w:right="567"/>
      <w:outlineLvl w:val="0"/>
    </w:pPr>
    <w:rPr>
      <w:b/>
    </w:rPr>
  </w:style>
  <w:style w:type="paragraph" w:customStyle="1" w:styleId="heading2">
    <w:name w:val="heading2"/>
    <w:basedOn w:val="Normal"/>
    <w:next w:val="Normal"/>
    <w:rsid w:val="00C658EA"/>
    <w:pPr>
      <w:keepNext/>
      <w:keepLines/>
      <w:numPr>
        <w:ilvl w:val="1"/>
        <w:numId w:val="4"/>
      </w:numPr>
      <w:suppressAutoHyphens/>
      <w:spacing w:before="360" w:after="160"/>
      <w:ind w:right="567"/>
      <w:outlineLvl w:val="1"/>
    </w:pPr>
    <w:rPr>
      <w:b/>
    </w:rPr>
  </w:style>
  <w:style w:type="paragraph" w:customStyle="1" w:styleId="DecimalAligned">
    <w:name w:val="Decimal Aligned"/>
    <w:basedOn w:val="Normal"/>
    <w:uiPriority w:val="40"/>
    <w:rsid w:val="00C658EA"/>
    <w:pPr>
      <w:tabs>
        <w:tab w:val="decimal" w:pos="360"/>
      </w:tabs>
    </w:pPr>
  </w:style>
  <w:style w:type="character" w:customStyle="1" w:styleId="Heading2Char">
    <w:name w:val="Heading 2 Char"/>
    <w:basedOn w:val="DefaultParagraphFont"/>
    <w:link w:val="Heading20"/>
    <w:rsid w:val="00597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7120"/>
    <w:rPr>
      <w:rFonts w:ascii="Cambria" w:eastAsiaTheme="majorEastAsia" w:hAnsi="Cambria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97120"/>
    <w:rPr>
      <w:rFonts w:ascii="Times New Roman" w:eastAsia="SimSun" w:hAnsi="Times New Roman" w:cstheme="majorBidi"/>
      <w:b/>
      <w:bCs/>
      <w:color w:val="000000"/>
      <w:sz w:val="28"/>
      <w:szCs w:val="28"/>
    </w:rPr>
  </w:style>
  <w:style w:type="character" w:styleId="Strong">
    <w:name w:val="Strong"/>
    <w:qFormat/>
    <w:rsid w:val="00597120"/>
    <w:rPr>
      <w:b/>
      <w:bCs/>
    </w:rPr>
  </w:style>
  <w:style w:type="character" w:styleId="Emphasis">
    <w:name w:val="Emphasis"/>
    <w:uiPriority w:val="20"/>
    <w:qFormat/>
    <w:rsid w:val="0059712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97120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59712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597120"/>
    <w:rPr>
      <w:rFonts w:asciiTheme="majorHAnsi" w:eastAsiaTheme="majorEastAsia" w:hAnsiTheme="majorHAnsi" w:cstheme="majorBidi"/>
      <w:color w:val="365F91" w:themeColor="accent1" w:themeShade="BF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597120"/>
    <w:rPr>
      <w:rFonts w:asciiTheme="majorHAnsi" w:eastAsiaTheme="majorEastAsia" w:hAnsiTheme="majorHAnsi" w:cstheme="majorBidi"/>
      <w:color w:val="243F60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97120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5971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971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597120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97120"/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597120"/>
    <w:pPr>
      <w:spacing w:after="0" w:line="240" w:lineRule="auto"/>
    </w:pPr>
    <w:rPr>
      <w:rFonts w:ascii="Courier New" w:eastAsia="SimSun" w:hAnsi="Courier New" w:cs="Courier New"/>
      <w:color w:val="00000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971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20"/>
    <w:rPr>
      <w:rFonts w:ascii="Courier New" w:eastAsia="SimSun" w:hAnsi="Courier New" w:cs="Courier New"/>
      <w:i/>
      <w:iCs/>
      <w:color w:val="404040" w:themeColor="text1" w:themeTint="BF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20"/>
    <w:rPr>
      <w:rFonts w:ascii="Courier New" w:eastAsia="SimSun" w:hAnsi="Courier New" w:cs="Courier New"/>
      <w:i/>
      <w:iCs/>
      <w:color w:val="4F81BD" w:themeColor="accent1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597120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9712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97120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97120"/>
    <w:rPr>
      <w:b/>
      <w:bCs/>
      <w:i/>
      <w:iCs/>
      <w:spacing w:val="5"/>
    </w:rPr>
  </w:style>
  <w:style w:type="paragraph" w:styleId="TOCHeading">
    <w:name w:val="TOC Heading"/>
    <w:basedOn w:val="Heading10"/>
    <w:next w:val="Normal"/>
    <w:uiPriority w:val="39"/>
    <w:unhideWhenUsed/>
    <w:qFormat/>
    <w:rsid w:val="00597120"/>
    <w:pPr>
      <w:keepNext/>
      <w:keepLines/>
      <w:spacing w:before="240" w:after="0"/>
      <w:outlineLvl w:val="9"/>
    </w:pPr>
    <w:rPr>
      <w:rFonts w:asciiTheme="majorHAnsi" w:hAnsiTheme="majorHAnsi"/>
      <w:color w:val="365F91" w:themeColor="accent1" w:themeShade="BF"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86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69D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69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69D9"/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0869D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869D9"/>
    <w:rPr>
      <w:rFonts w:ascii="Arial" w:hAnsi="Arial" w:cs="Arial"/>
      <w:kern w:val="0"/>
      <w:sz w:val="16"/>
      <w:szCs w:val="16"/>
    </w:rPr>
  </w:style>
  <w:style w:type="table" w:styleId="TableGrid">
    <w:name w:val="Table Grid"/>
    <w:basedOn w:val="TableNormal"/>
    <w:uiPriority w:val="39"/>
    <w:rsid w:val="00B6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_table"/>
    <w:basedOn w:val="Normal"/>
    <w:qFormat/>
    <w:rsid w:val="00B61AE5"/>
    <w:rPr>
      <w:rFonts w:ascii="Times New Roman" w:eastAsiaTheme="minorHAnsi" w:hAnsi="Times New Roman" w:cstheme="minorBidi"/>
      <w:bCs/>
      <w:iCs/>
      <w:color w:val="auto"/>
      <w:sz w:val="20"/>
      <w:szCs w:val="22"/>
    </w:rPr>
  </w:style>
  <w:style w:type="paragraph" w:customStyle="1" w:styleId="tableind">
    <w:name w:val="_tableind"/>
    <w:basedOn w:val="table"/>
    <w:qFormat/>
    <w:rsid w:val="00B61AE5"/>
    <w:pPr>
      <w:ind w:left="288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20"/>
    <w:pPr>
      <w:spacing w:after="0" w:line="240" w:lineRule="auto"/>
    </w:pPr>
    <w:rPr>
      <w:rFonts w:ascii="Courier New" w:eastAsia="SimSun" w:hAnsi="Courier New" w:cs="Courier New"/>
      <w:color w:val="000000"/>
      <w:sz w:val="21"/>
      <w:szCs w:val="21"/>
    </w:rPr>
  </w:style>
  <w:style w:type="paragraph" w:styleId="Heading10">
    <w:name w:val="heading 1"/>
    <w:basedOn w:val="Normal"/>
    <w:link w:val="Heading1Char"/>
    <w:qFormat/>
    <w:rsid w:val="00597120"/>
    <w:pPr>
      <w:spacing w:after="173"/>
      <w:outlineLvl w:val="0"/>
    </w:pPr>
    <w:rPr>
      <w:rFonts w:ascii="Times New Roman" w:eastAsiaTheme="majorEastAsia" w:hAnsi="Times New Roman" w:cstheme="majorBidi"/>
      <w:color w:val="362BB6"/>
      <w:kern w:val="36"/>
      <w:sz w:val="41"/>
      <w:szCs w:val="41"/>
    </w:rPr>
  </w:style>
  <w:style w:type="paragraph" w:styleId="Heading20">
    <w:name w:val="heading 2"/>
    <w:basedOn w:val="Normal"/>
    <w:next w:val="Normal"/>
    <w:link w:val="Heading2Char"/>
    <w:unhideWhenUsed/>
    <w:qFormat/>
    <w:rsid w:val="00597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7120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97120"/>
    <w:pPr>
      <w:keepNext/>
      <w:spacing w:before="240" w:after="60"/>
      <w:outlineLvl w:val="3"/>
    </w:pPr>
    <w:rPr>
      <w:rFonts w:ascii="Times New Roman" w:hAnsi="Times New Roman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71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7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71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71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71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rsid w:val="00597120"/>
    <w:rPr>
      <w:rFonts w:ascii="Times New Roman" w:eastAsiaTheme="majorEastAsia" w:hAnsi="Times New Roman" w:cstheme="majorBidi"/>
      <w:color w:val="362BB6"/>
      <w:kern w:val="36"/>
      <w:sz w:val="41"/>
      <w:szCs w:val="41"/>
    </w:rPr>
  </w:style>
  <w:style w:type="paragraph" w:styleId="ListParagraph">
    <w:name w:val="List Paragraph"/>
    <w:basedOn w:val="Normal"/>
    <w:link w:val="ListParagraphChar"/>
    <w:uiPriority w:val="34"/>
    <w:qFormat/>
    <w:rsid w:val="005971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75F8"/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heading1">
    <w:name w:val="heading1"/>
    <w:basedOn w:val="Normal"/>
    <w:next w:val="Normal"/>
    <w:rsid w:val="00C658EA"/>
    <w:pPr>
      <w:keepNext/>
      <w:keepLines/>
      <w:numPr>
        <w:numId w:val="4"/>
      </w:numPr>
      <w:suppressAutoHyphens/>
      <w:spacing w:before="360" w:after="240" w:line="300" w:lineRule="atLeast"/>
      <w:ind w:right="567"/>
      <w:outlineLvl w:val="0"/>
    </w:pPr>
    <w:rPr>
      <w:b/>
    </w:rPr>
  </w:style>
  <w:style w:type="paragraph" w:customStyle="1" w:styleId="heading2">
    <w:name w:val="heading2"/>
    <w:basedOn w:val="Normal"/>
    <w:next w:val="Normal"/>
    <w:rsid w:val="00C658EA"/>
    <w:pPr>
      <w:keepNext/>
      <w:keepLines/>
      <w:numPr>
        <w:ilvl w:val="1"/>
        <w:numId w:val="4"/>
      </w:numPr>
      <w:suppressAutoHyphens/>
      <w:spacing w:before="360" w:after="160"/>
      <w:ind w:right="567"/>
      <w:outlineLvl w:val="1"/>
    </w:pPr>
    <w:rPr>
      <w:b/>
    </w:rPr>
  </w:style>
  <w:style w:type="paragraph" w:customStyle="1" w:styleId="DecimalAligned">
    <w:name w:val="Decimal Aligned"/>
    <w:basedOn w:val="Normal"/>
    <w:uiPriority w:val="40"/>
    <w:rsid w:val="00C658EA"/>
    <w:pPr>
      <w:tabs>
        <w:tab w:val="decimal" w:pos="360"/>
      </w:tabs>
    </w:pPr>
  </w:style>
  <w:style w:type="character" w:customStyle="1" w:styleId="Heading2Char">
    <w:name w:val="Heading 2 Char"/>
    <w:basedOn w:val="DefaultParagraphFont"/>
    <w:link w:val="Heading20"/>
    <w:rsid w:val="00597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7120"/>
    <w:rPr>
      <w:rFonts w:ascii="Cambria" w:eastAsiaTheme="majorEastAsia" w:hAnsi="Cambria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97120"/>
    <w:rPr>
      <w:rFonts w:ascii="Times New Roman" w:eastAsia="SimSun" w:hAnsi="Times New Roman" w:cstheme="majorBidi"/>
      <w:b/>
      <w:bCs/>
      <w:color w:val="000000"/>
      <w:sz w:val="28"/>
      <w:szCs w:val="28"/>
    </w:rPr>
  </w:style>
  <w:style w:type="character" w:styleId="Strong">
    <w:name w:val="Strong"/>
    <w:qFormat/>
    <w:rsid w:val="00597120"/>
    <w:rPr>
      <w:b/>
      <w:bCs/>
    </w:rPr>
  </w:style>
  <w:style w:type="character" w:styleId="Emphasis">
    <w:name w:val="Emphasis"/>
    <w:uiPriority w:val="20"/>
    <w:qFormat/>
    <w:rsid w:val="0059712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97120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59712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597120"/>
    <w:rPr>
      <w:rFonts w:asciiTheme="majorHAnsi" w:eastAsiaTheme="majorEastAsia" w:hAnsiTheme="majorHAnsi" w:cstheme="majorBidi"/>
      <w:color w:val="365F91" w:themeColor="accent1" w:themeShade="BF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597120"/>
    <w:rPr>
      <w:rFonts w:asciiTheme="majorHAnsi" w:eastAsiaTheme="majorEastAsia" w:hAnsiTheme="majorHAnsi" w:cstheme="majorBidi"/>
      <w:color w:val="243F60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97120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5971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971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597120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97120"/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597120"/>
    <w:pPr>
      <w:spacing w:after="0" w:line="240" w:lineRule="auto"/>
    </w:pPr>
    <w:rPr>
      <w:rFonts w:ascii="Courier New" w:eastAsia="SimSun" w:hAnsi="Courier New" w:cs="Courier New"/>
      <w:color w:val="00000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971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20"/>
    <w:rPr>
      <w:rFonts w:ascii="Courier New" w:eastAsia="SimSun" w:hAnsi="Courier New" w:cs="Courier New"/>
      <w:i/>
      <w:iCs/>
      <w:color w:val="404040" w:themeColor="text1" w:themeTint="BF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20"/>
    <w:rPr>
      <w:rFonts w:ascii="Courier New" w:eastAsia="SimSun" w:hAnsi="Courier New" w:cs="Courier New"/>
      <w:i/>
      <w:iCs/>
      <w:color w:val="4F81BD" w:themeColor="accent1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597120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9712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97120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97120"/>
    <w:rPr>
      <w:b/>
      <w:bCs/>
      <w:i/>
      <w:iCs/>
      <w:spacing w:val="5"/>
    </w:rPr>
  </w:style>
  <w:style w:type="paragraph" w:styleId="TOCHeading">
    <w:name w:val="TOC Heading"/>
    <w:basedOn w:val="Heading10"/>
    <w:next w:val="Normal"/>
    <w:uiPriority w:val="39"/>
    <w:unhideWhenUsed/>
    <w:qFormat/>
    <w:rsid w:val="00597120"/>
    <w:pPr>
      <w:keepNext/>
      <w:keepLines/>
      <w:spacing w:before="240" w:after="0"/>
      <w:outlineLvl w:val="9"/>
    </w:pPr>
    <w:rPr>
      <w:rFonts w:asciiTheme="majorHAnsi" w:hAnsiTheme="majorHAnsi"/>
      <w:color w:val="365F91" w:themeColor="accent1" w:themeShade="BF"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86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69D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69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69D9"/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0869D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869D9"/>
    <w:rPr>
      <w:rFonts w:ascii="Arial" w:hAnsi="Arial" w:cs="Arial"/>
      <w:kern w:val="0"/>
      <w:sz w:val="16"/>
      <w:szCs w:val="16"/>
    </w:rPr>
  </w:style>
  <w:style w:type="table" w:styleId="TableGrid">
    <w:name w:val="Table Grid"/>
    <w:basedOn w:val="TableNormal"/>
    <w:uiPriority w:val="39"/>
    <w:rsid w:val="00B6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_table"/>
    <w:basedOn w:val="Normal"/>
    <w:qFormat/>
    <w:rsid w:val="00B61AE5"/>
    <w:rPr>
      <w:rFonts w:ascii="Times New Roman" w:eastAsiaTheme="minorHAnsi" w:hAnsi="Times New Roman" w:cstheme="minorBidi"/>
      <w:bCs/>
      <w:iCs/>
      <w:color w:val="auto"/>
      <w:sz w:val="20"/>
      <w:szCs w:val="22"/>
    </w:rPr>
  </w:style>
  <w:style w:type="paragraph" w:customStyle="1" w:styleId="tableind">
    <w:name w:val="_tableind"/>
    <w:basedOn w:val="table"/>
    <w:qFormat/>
    <w:rsid w:val="00B61AE5"/>
    <w:pPr>
      <w:ind w:left="288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598</Words>
  <Characters>3453</Characters>
  <Application>Microsoft Office Word</Application>
  <DocSecurity>0</DocSecurity>
  <Lines>123</Lines>
  <Paragraphs>65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RBARREDO</dc:creator>
  <cp:lastModifiedBy>RBARREDO</cp:lastModifiedBy>
  <cp:revision>1</cp:revision>
  <dcterms:created xsi:type="dcterms:W3CDTF">2022-11-21T03:13:00Z</dcterms:created>
  <dcterms:modified xsi:type="dcterms:W3CDTF">2022-11-21T03:13:00Z</dcterms:modified>
</cp:coreProperties>
</file>