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ADAD" w14:textId="77777777" w:rsidR="00066D11" w:rsidRDefault="00E55468">
      <w:pPr>
        <w:spacing w:line="240" w:lineRule="auto"/>
        <w:jc w:val="center"/>
        <w:rPr>
          <w:rFonts w:ascii="Arial" w:eastAsia="Times New Roman" w:hAnsi="Arial" w:cs="Arial"/>
          <w:lang w:val="en-US" w:eastAsia="de-DE"/>
        </w:rPr>
      </w:pPr>
      <w:r>
        <w:rPr>
          <w:rFonts w:ascii="Arial" w:eastAsia="Times New Roman" w:hAnsi="Arial" w:cs="Arial"/>
          <w:b/>
          <w:bCs/>
          <w:color w:val="000000"/>
          <w:lang w:val="en-US" w:eastAsia="de-DE"/>
        </w:rPr>
        <w:t>Eukaryotic cell size regulation and its implications for cellular function and dysfunction</w:t>
      </w:r>
    </w:p>
    <w:p w14:paraId="21D480AB" w14:textId="77777777" w:rsidR="00066D11" w:rsidRDefault="00E55468">
      <w:pPr>
        <w:jc w:val="center"/>
        <w:rPr>
          <w:rFonts w:ascii="Arial" w:hAnsi="Arial" w:cs="Arial"/>
          <w:color w:val="000000" w:themeColor="text1"/>
          <w:lang w:val="en-US"/>
        </w:rPr>
      </w:pPr>
      <w:r>
        <w:rPr>
          <w:rFonts w:ascii="Arial" w:hAnsi="Arial" w:cs="Arial"/>
          <w:color w:val="000000" w:themeColor="text1"/>
          <w:lang w:val="en-US"/>
        </w:rPr>
        <w:t>Yagya Chadha</w:t>
      </w:r>
      <w:r>
        <w:rPr>
          <w:rFonts w:ascii="Arial" w:hAnsi="Arial" w:cs="Arial"/>
          <w:color w:val="000000" w:themeColor="text1"/>
          <w:vertAlign w:val="superscript"/>
          <w:lang w:val="en-US"/>
        </w:rPr>
        <w:t>1*</w:t>
      </w:r>
      <w:r>
        <w:rPr>
          <w:rFonts w:ascii="Arial" w:hAnsi="Arial" w:cs="Arial"/>
          <w:color w:val="000000" w:themeColor="text1"/>
          <w:lang w:val="en-US"/>
        </w:rPr>
        <w:t>, Arohi Khurana</w:t>
      </w:r>
      <w:r>
        <w:rPr>
          <w:rFonts w:ascii="Arial" w:hAnsi="Arial" w:cs="Arial"/>
          <w:color w:val="000000" w:themeColor="text1"/>
          <w:vertAlign w:val="superscript"/>
          <w:lang w:val="en-US"/>
        </w:rPr>
        <w:t>1*</w:t>
      </w:r>
      <w:r>
        <w:rPr>
          <w:rFonts w:ascii="Arial" w:hAnsi="Arial" w:cs="Arial"/>
          <w:color w:val="000000" w:themeColor="text1"/>
          <w:lang w:val="en-US"/>
        </w:rPr>
        <w:t>, Kurt M. Schmoller</w:t>
      </w:r>
      <w:r>
        <w:rPr>
          <w:rFonts w:ascii="Arial" w:hAnsi="Arial" w:cs="Arial"/>
          <w:color w:val="000000" w:themeColor="text1"/>
          <w:vertAlign w:val="superscript"/>
          <w:lang w:val="en-US"/>
        </w:rPr>
        <w:t>1#</w:t>
      </w:r>
    </w:p>
    <w:p w14:paraId="7058EA26" w14:textId="77777777" w:rsidR="00066D11" w:rsidRDefault="00E55468">
      <w:pPr>
        <w:spacing w:after="60"/>
        <w:jc w:val="center"/>
        <w:rPr>
          <w:rFonts w:ascii="Arial" w:hAnsi="Arial" w:cs="Arial"/>
          <w:color w:val="000000" w:themeColor="text1"/>
          <w:lang w:val="en-US"/>
        </w:rPr>
      </w:pPr>
      <w:r>
        <w:rPr>
          <w:rFonts w:ascii="Arial" w:hAnsi="Arial" w:cs="Arial"/>
          <w:color w:val="000000" w:themeColor="text1"/>
          <w:vertAlign w:val="superscript"/>
          <w:lang w:val="en-US"/>
        </w:rPr>
        <w:t>1</w:t>
      </w:r>
      <w:r>
        <w:rPr>
          <w:rFonts w:ascii="Arial" w:hAnsi="Arial" w:cs="Arial"/>
          <w:color w:val="000000" w:themeColor="text1"/>
          <w:lang w:val="en-US"/>
        </w:rPr>
        <w:t xml:space="preserve">Institute of Functional Epigenetics, Molecular Targets and Therapeutics Center, </w:t>
      </w:r>
      <w:r>
        <w:rPr>
          <w:rFonts w:ascii="Arial" w:hAnsi="Arial" w:cs="Arial"/>
          <w:color w:val="000000" w:themeColor="text1"/>
          <w:lang w:val="en-US"/>
        </w:rPr>
        <w:br/>
        <w:t xml:space="preserve">Helmholtz </w:t>
      </w:r>
      <w:proofErr w:type="spellStart"/>
      <w:r>
        <w:rPr>
          <w:rFonts w:ascii="Arial" w:hAnsi="Arial" w:cs="Arial"/>
          <w:color w:val="000000" w:themeColor="text1"/>
          <w:lang w:val="en-US"/>
        </w:rPr>
        <w:t>Zentrum</w:t>
      </w:r>
      <w:proofErr w:type="spellEnd"/>
      <w:r>
        <w:rPr>
          <w:rFonts w:ascii="Arial" w:hAnsi="Arial" w:cs="Arial"/>
          <w:color w:val="000000" w:themeColor="text1"/>
          <w:lang w:val="en-US"/>
        </w:rPr>
        <w:t xml:space="preserve"> München, </w:t>
      </w:r>
      <w:proofErr w:type="spellStart"/>
      <w:r>
        <w:rPr>
          <w:rFonts w:ascii="Arial" w:hAnsi="Arial" w:cs="Arial"/>
          <w:color w:val="000000" w:themeColor="text1"/>
          <w:lang w:val="en-US"/>
        </w:rPr>
        <w:t>Neuherberg</w:t>
      </w:r>
      <w:proofErr w:type="spellEnd"/>
      <w:r>
        <w:rPr>
          <w:rFonts w:ascii="Arial" w:hAnsi="Arial" w:cs="Arial"/>
          <w:color w:val="000000" w:themeColor="text1"/>
          <w:lang w:val="en-US"/>
        </w:rPr>
        <w:t>, Germany</w:t>
      </w:r>
      <w:r>
        <w:rPr>
          <w:rFonts w:ascii="Arial" w:hAnsi="Arial" w:cs="Arial"/>
          <w:color w:val="000000" w:themeColor="text1"/>
          <w:lang w:val="en-US"/>
        </w:rPr>
        <w:br/>
        <w:t>*these authors contributed equally</w:t>
      </w:r>
      <w:r>
        <w:rPr>
          <w:rFonts w:ascii="Arial" w:hAnsi="Arial" w:cs="Arial"/>
          <w:color w:val="000000" w:themeColor="text1"/>
          <w:lang w:val="en-US"/>
        </w:rPr>
        <w:br/>
        <w:t>#correspondence: kurt.schmoller@helmholtz-munich.de</w:t>
      </w:r>
    </w:p>
    <w:p w14:paraId="1E1B9F54" w14:textId="77777777" w:rsidR="00066D11" w:rsidRDefault="00066D11">
      <w:pPr>
        <w:spacing w:line="240" w:lineRule="auto"/>
        <w:jc w:val="both"/>
        <w:rPr>
          <w:rFonts w:ascii="Arial" w:eastAsia="Times New Roman" w:hAnsi="Arial" w:cs="Arial"/>
          <w:b/>
          <w:bCs/>
          <w:i/>
          <w:iCs/>
          <w:color w:val="000000"/>
          <w:lang w:val="en-US" w:eastAsia="de-DE"/>
        </w:rPr>
      </w:pPr>
    </w:p>
    <w:p w14:paraId="24BC262B" w14:textId="77777777" w:rsidR="00066D11" w:rsidRDefault="00066D11">
      <w:pPr>
        <w:spacing w:line="240" w:lineRule="auto"/>
        <w:jc w:val="both"/>
        <w:rPr>
          <w:rFonts w:ascii="Arial" w:eastAsia="Times New Roman" w:hAnsi="Arial" w:cs="Arial"/>
          <w:b/>
          <w:bCs/>
          <w:i/>
          <w:iCs/>
          <w:color w:val="000000"/>
          <w:lang w:val="en-US" w:eastAsia="de-DE"/>
        </w:rPr>
      </w:pPr>
    </w:p>
    <w:p w14:paraId="6111127D" w14:textId="77777777" w:rsidR="00066D11" w:rsidRDefault="00E55468">
      <w:pPr>
        <w:spacing w:line="240" w:lineRule="auto"/>
        <w:jc w:val="both"/>
        <w:rPr>
          <w:rFonts w:ascii="Arial" w:eastAsia="Times New Roman" w:hAnsi="Arial" w:cs="Arial"/>
          <w:bCs/>
          <w:i/>
          <w:iCs/>
          <w:color w:val="000000"/>
          <w:lang w:val="en-US" w:eastAsia="de-DE"/>
        </w:rPr>
      </w:pPr>
      <w:r>
        <w:rPr>
          <w:rFonts w:ascii="Arial" w:eastAsia="Times New Roman" w:hAnsi="Arial" w:cs="Arial"/>
          <w:b/>
          <w:bCs/>
          <w:i/>
          <w:iCs/>
          <w:color w:val="000000"/>
          <w:lang w:val="en-US" w:eastAsia="de-DE"/>
        </w:rPr>
        <w:t xml:space="preserve">Abstract: </w:t>
      </w:r>
      <w:r>
        <w:rPr>
          <w:rFonts w:ascii="Arial" w:eastAsia="Times New Roman" w:hAnsi="Arial" w:cs="Arial"/>
          <w:bCs/>
          <w:i/>
          <w:iCs/>
          <w:color w:val="000000"/>
          <w:lang w:val="en-US" w:eastAsia="de-DE"/>
        </w:rPr>
        <w:t>Depending on cell type, envir</w:t>
      </w:r>
      <w:r>
        <w:rPr>
          <w:rFonts w:ascii="Arial" w:eastAsia="Times New Roman" w:hAnsi="Arial" w:cs="Arial"/>
          <w:bCs/>
          <w:i/>
          <w:iCs/>
          <w:color w:val="000000"/>
          <w:lang w:val="en-US" w:eastAsia="de-DE"/>
        </w:rPr>
        <w:t>onmental inputs, and disease, the cells in the human body can have widely different sizes. In recent years, it became clear that cell size is a major regulator of cell function. However, we are only beginning to understand how optimization of cell function</w:t>
      </w:r>
      <w:r>
        <w:rPr>
          <w:rFonts w:ascii="Arial" w:eastAsia="Times New Roman" w:hAnsi="Arial" w:cs="Arial"/>
          <w:bCs/>
          <w:i/>
          <w:iCs/>
          <w:color w:val="000000"/>
          <w:lang w:val="en-US" w:eastAsia="de-DE"/>
        </w:rPr>
        <w:t xml:space="preserve"> determines a given cell’s optimal size. Here, we review currently known size control strategies of eukaryotic cells, and the intricate link of cell size to intracellular biomolecular scaling, organelle homeostasis and cell cycle progression. We detail the</w:t>
      </w:r>
      <w:r>
        <w:rPr>
          <w:rFonts w:ascii="Arial" w:eastAsia="Times New Roman" w:hAnsi="Arial" w:cs="Arial"/>
          <w:bCs/>
          <w:i/>
          <w:iCs/>
          <w:color w:val="000000"/>
          <w:lang w:val="en-US" w:eastAsia="de-DE"/>
        </w:rPr>
        <w:t xml:space="preserve"> cell size dependent regulation of early development and the impact of cell size on cell differentiation. Given the importance of cell size for normal cellular physiology, cell size control must account for changing environmental conditions. We describe ho</w:t>
      </w:r>
      <w:r>
        <w:rPr>
          <w:rFonts w:ascii="Arial" w:eastAsia="Times New Roman" w:hAnsi="Arial" w:cs="Arial"/>
          <w:bCs/>
          <w:i/>
          <w:iCs/>
          <w:color w:val="000000"/>
          <w:lang w:val="en-US" w:eastAsia="de-DE"/>
        </w:rPr>
        <w:t xml:space="preserve">w cells sense environmental stimuli, such as nutrient availability, and accordingly adapt their size by regulating cell growth and cell cycle progression. Moreover, we discuss the correlation of pathological states with </w:t>
      </w:r>
      <w:proofErr w:type="spellStart"/>
      <w:r>
        <w:rPr>
          <w:rFonts w:ascii="Arial" w:eastAsia="Times New Roman" w:hAnsi="Arial" w:cs="Arial"/>
          <w:bCs/>
          <w:i/>
          <w:iCs/>
          <w:color w:val="000000"/>
          <w:lang w:val="en-US" w:eastAsia="de-DE"/>
        </w:rPr>
        <w:t>misregulation</w:t>
      </w:r>
      <w:proofErr w:type="spellEnd"/>
      <w:r>
        <w:rPr>
          <w:rFonts w:ascii="Arial" w:eastAsia="Times New Roman" w:hAnsi="Arial" w:cs="Arial"/>
          <w:bCs/>
          <w:i/>
          <w:iCs/>
          <w:color w:val="000000"/>
          <w:lang w:val="en-US" w:eastAsia="de-DE"/>
        </w:rPr>
        <w:t xml:space="preserve"> of cell size, and how </w:t>
      </w:r>
      <w:r>
        <w:rPr>
          <w:rFonts w:ascii="Arial" w:eastAsia="Times New Roman" w:hAnsi="Arial" w:cs="Arial"/>
          <w:bCs/>
          <w:i/>
          <w:iCs/>
          <w:color w:val="000000"/>
          <w:lang w:val="en-US" w:eastAsia="de-DE"/>
        </w:rPr>
        <w:t xml:space="preserve">for a long time, this was considered a downstream consequence of cellular dysfunction. We review newer studies that reveal a reversed causality, with </w:t>
      </w:r>
      <w:proofErr w:type="spellStart"/>
      <w:r>
        <w:rPr>
          <w:rFonts w:ascii="Arial" w:eastAsia="Times New Roman" w:hAnsi="Arial" w:cs="Arial"/>
          <w:bCs/>
          <w:i/>
          <w:iCs/>
          <w:color w:val="000000"/>
          <w:lang w:val="en-US" w:eastAsia="de-DE"/>
        </w:rPr>
        <w:t>misregulated</w:t>
      </w:r>
      <w:proofErr w:type="spellEnd"/>
      <w:r>
        <w:rPr>
          <w:rFonts w:ascii="Arial" w:eastAsia="Times New Roman" w:hAnsi="Arial" w:cs="Arial"/>
          <w:bCs/>
          <w:i/>
          <w:iCs/>
          <w:color w:val="000000"/>
          <w:lang w:val="en-US" w:eastAsia="de-DE"/>
        </w:rPr>
        <w:t xml:space="preserve"> cell size leading to pathophysiological phenotypes such as senescence and aging. In summary, </w:t>
      </w:r>
      <w:r>
        <w:rPr>
          <w:rFonts w:ascii="Arial" w:eastAsia="Times New Roman" w:hAnsi="Arial" w:cs="Arial"/>
          <w:bCs/>
          <w:i/>
          <w:iCs/>
          <w:color w:val="000000"/>
          <w:lang w:val="en-US" w:eastAsia="de-DE"/>
        </w:rPr>
        <w:t>we highlight important roles of cell size in cellular function and dysfunction, which could have major implications for both diagnostics and treatment in the clinic.</w:t>
      </w:r>
    </w:p>
    <w:p w14:paraId="66FF4190" w14:textId="77777777" w:rsidR="00066D11" w:rsidRDefault="00E55468">
      <w:pPr>
        <w:jc w:val="both"/>
        <w:rPr>
          <w:rFonts w:ascii="Arial" w:eastAsia="Times New Roman" w:hAnsi="Arial" w:cs="Arial"/>
          <w:b/>
          <w:bCs/>
          <w:i/>
          <w:color w:val="000000"/>
          <w:lang w:val="en-US" w:eastAsia="de-DE"/>
        </w:rPr>
      </w:pPr>
      <w:r>
        <w:rPr>
          <w:rFonts w:ascii="Arial" w:eastAsia="Times New Roman" w:hAnsi="Arial" w:cs="Arial"/>
          <w:lang w:val="en-US" w:eastAsia="de-DE"/>
        </w:rPr>
        <w:br/>
      </w:r>
      <w:r>
        <w:rPr>
          <w:rFonts w:ascii="Arial" w:eastAsia="Times New Roman" w:hAnsi="Arial" w:cs="Arial"/>
          <w:b/>
          <w:bCs/>
          <w:i/>
          <w:color w:val="000000"/>
          <w:lang w:val="en-US" w:eastAsia="de-DE"/>
        </w:rPr>
        <w:t xml:space="preserve">Clinical relevance: </w:t>
      </w:r>
      <w:r>
        <w:rPr>
          <w:rFonts w:ascii="Arial" w:eastAsia="Times New Roman" w:hAnsi="Arial" w:cs="Arial"/>
          <w:i/>
          <w:color w:val="000000"/>
          <w:lang w:val="en-US" w:eastAsia="de-DE"/>
        </w:rPr>
        <w:t xml:space="preserve">Cell size emerges as a major parameter controlling cell </w:t>
      </w:r>
      <w:r>
        <w:rPr>
          <w:rFonts w:ascii="Arial" w:eastAsia="Times New Roman" w:hAnsi="Arial" w:cs="Arial"/>
          <w:i/>
          <w:color w:val="000000"/>
          <w:lang w:val="en-US" w:eastAsia="de-DE"/>
        </w:rPr>
        <w:t>function. It is tightly linked to cell growth and cell cycle progression, dictates the size of many organelles, and through fundamental links to transcription and translation modulates the composition of the cellular proteome. While cell size alterations h</w:t>
      </w:r>
      <w:r>
        <w:rPr>
          <w:rFonts w:ascii="Arial" w:eastAsia="Times New Roman" w:hAnsi="Arial" w:cs="Arial"/>
          <w:i/>
          <w:color w:val="000000"/>
          <w:lang w:val="en-US" w:eastAsia="de-DE"/>
        </w:rPr>
        <w:t>ave been associated with many human diseases and aging, the causal relationships were long unclear. Recent studies revealed that increased cell size can lead to cellular malfunction and impaired cell cycle progression, and thereby acts as a causal driver o</w:t>
      </w:r>
      <w:r>
        <w:rPr>
          <w:rFonts w:ascii="Arial" w:eastAsia="Times New Roman" w:hAnsi="Arial" w:cs="Arial"/>
          <w:i/>
          <w:color w:val="000000"/>
          <w:lang w:val="en-US" w:eastAsia="de-DE"/>
        </w:rPr>
        <w:t xml:space="preserve">f cellular senescence and aging. This has broad consequences for diagnosis and potential therapeutic strategies, </w:t>
      </w:r>
      <w:proofErr w:type="gramStart"/>
      <w:r>
        <w:rPr>
          <w:rFonts w:ascii="Arial" w:eastAsia="Times New Roman" w:hAnsi="Arial" w:cs="Arial"/>
          <w:i/>
          <w:color w:val="000000"/>
          <w:lang w:val="en-US" w:eastAsia="de-DE"/>
        </w:rPr>
        <w:t>in particular for</w:t>
      </w:r>
      <w:proofErr w:type="gramEnd"/>
      <w:r>
        <w:rPr>
          <w:rFonts w:ascii="Arial" w:eastAsia="Times New Roman" w:hAnsi="Arial" w:cs="Arial"/>
          <w:i/>
          <w:color w:val="000000"/>
          <w:lang w:val="en-US" w:eastAsia="de-DE"/>
        </w:rPr>
        <w:t xml:space="preserve"> cancer treatment, where large cell size can be employed as a target for selective drug sensitivity. Future work now </w:t>
      </w:r>
      <w:proofErr w:type="gramStart"/>
      <w:r>
        <w:rPr>
          <w:rFonts w:ascii="Arial" w:eastAsia="Times New Roman" w:hAnsi="Arial" w:cs="Arial"/>
          <w:i/>
          <w:color w:val="000000"/>
          <w:lang w:val="en-US" w:eastAsia="de-DE"/>
        </w:rPr>
        <w:t>has to</w:t>
      </w:r>
      <w:proofErr w:type="gramEnd"/>
      <w:r>
        <w:rPr>
          <w:rFonts w:ascii="Arial" w:eastAsia="Times New Roman" w:hAnsi="Arial" w:cs="Arial"/>
          <w:i/>
          <w:color w:val="000000"/>
          <w:lang w:val="en-US" w:eastAsia="de-DE"/>
        </w:rPr>
        <w:t xml:space="preserve"> in</w:t>
      </w:r>
      <w:r>
        <w:rPr>
          <w:rFonts w:ascii="Arial" w:eastAsia="Times New Roman" w:hAnsi="Arial" w:cs="Arial"/>
          <w:i/>
          <w:color w:val="000000"/>
          <w:lang w:val="en-US" w:eastAsia="de-DE"/>
        </w:rPr>
        <w:t>vestigate the mechanisms through which cell size may impact diseases and further explore the potential of cell size as a diagnostic marker and predictive parameter for customized treatment and patient stratification.</w:t>
      </w:r>
    </w:p>
    <w:p w14:paraId="698330B0" w14:textId="77777777" w:rsidR="00066D11" w:rsidRDefault="00066D11">
      <w:pPr>
        <w:spacing w:line="240" w:lineRule="auto"/>
        <w:jc w:val="both"/>
        <w:rPr>
          <w:rFonts w:ascii="Arial" w:eastAsia="Times New Roman" w:hAnsi="Arial" w:cs="Arial"/>
          <w:lang w:val="en-US" w:eastAsia="de-DE"/>
        </w:rPr>
      </w:pPr>
    </w:p>
    <w:p w14:paraId="68EFC80C" w14:textId="77777777" w:rsidR="00066D11" w:rsidRDefault="00E55468">
      <w:pPr>
        <w:spacing w:after="0" w:line="240" w:lineRule="auto"/>
        <w:ind w:left="360" w:hanging="360"/>
        <w:jc w:val="both"/>
        <w:textAlignment w:val="baseline"/>
        <w:rPr>
          <w:rFonts w:ascii="Arial" w:eastAsia="Times New Roman" w:hAnsi="Arial" w:cs="Arial"/>
          <w:b/>
          <w:bCs/>
          <w:color w:val="000000"/>
          <w:lang w:val="en-US" w:eastAsia="de-DE"/>
        </w:rPr>
      </w:pPr>
      <w:r>
        <w:rPr>
          <w:rFonts w:ascii="Arial" w:eastAsia="Times New Roman" w:hAnsi="Arial" w:cs="Arial"/>
          <w:b/>
          <w:bCs/>
          <w:color w:val="000000"/>
          <w:u w:val="single"/>
          <w:lang w:val="en-US" w:eastAsia="de-DE"/>
        </w:rPr>
        <w:t>1 Introduction</w:t>
      </w:r>
    </w:p>
    <w:p w14:paraId="51DA54B7" w14:textId="77777777" w:rsidR="00066D11" w:rsidRDefault="00066D11">
      <w:pPr>
        <w:spacing w:after="0" w:line="240" w:lineRule="auto"/>
        <w:jc w:val="both"/>
        <w:rPr>
          <w:rFonts w:ascii="Arial" w:eastAsia="Times New Roman" w:hAnsi="Arial" w:cs="Arial"/>
          <w:lang w:val="en-US" w:eastAsia="de-DE"/>
        </w:rPr>
      </w:pPr>
    </w:p>
    <w:p w14:paraId="3FF0E0F3" w14:textId="77777777" w:rsidR="00066D11" w:rsidRDefault="00E55468">
      <w:pPr>
        <w:spacing w:after="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 xml:space="preserve">Depending on </w:t>
      </w:r>
      <w:r>
        <w:rPr>
          <w:rFonts w:ascii="Arial" w:eastAsia="Times New Roman" w:hAnsi="Arial" w:cs="Arial"/>
          <w:color w:val="000000" w:themeColor="text1"/>
          <w:lang w:val="en-US" w:eastAsia="de-DE"/>
        </w:rPr>
        <w:t>ecological niche, cell type, and environment, the diameter of eukaryotic cells ranges from less than a micrometer to several centimeters. In other words, their volume spans more than 14 orders of magnitude. While cells of any size are built on the same fun</w:t>
      </w:r>
      <w:r>
        <w:rPr>
          <w:rFonts w:ascii="Arial" w:eastAsia="Times New Roman" w:hAnsi="Arial" w:cs="Arial"/>
          <w:color w:val="000000" w:themeColor="text1"/>
          <w:lang w:val="en-US" w:eastAsia="de-DE"/>
        </w:rPr>
        <w:t>damental biological processes, cell size has major impacts on cell function (Fig. 1): It is a major determinant of biosynthetic capacity, setting the scale of transcription and protein production</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w:instrText>
      </w:r>
      <w:r>
        <w:rPr>
          <w:rFonts w:ascii="Arial" w:eastAsia="Times New Roman" w:hAnsi="Arial" w:cs="Arial"/>
          <w:color w:val="000000" w:themeColor="text1"/>
          <w:lang w:val="en-US" w:eastAsia="de-DE"/>
        </w:rPr>
        <w:instrText>":{"DOI":"10.1016/j.tig.2012.07.003","ISBN":"0168-9525 (Print)\\n0168-9525 (Linking)","PMID":"22863032","abstract":"Cell size is highly variable; cells from various tissues differ in volume over orders of magnitudes, from tiny lymphocytes to giant neurons,</w:instrText>
      </w:r>
      <w:r>
        <w:rPr>
          <w:rFonts w:ascii="Arial" w:eastAsia="Times New Roman" w:hAnsi="Arial" w:cs="Arial"/>
          <w:color w:val="000000" w:themeColor="text1"/>
          <w:lang w:val="en-US" w:eastAsia="de-DE"/>
        </w:rPr>
        <w:instrText xml:space="preserve"> and cells of a given type change size during the cell cycle. Larger cells need to produce and maintain higher amounts of RNA and protein to sustain biomass and function, although the genome content often remains constant. Available data indicate that the </w:instrText>
      </w:r>
      <w:r>
        <w:rPr>
          <w:rFonts w:ascii="Arial" w:eastAsia="Times New Roman" w:hAnsi="Arial" w:cs="Arial"/>
          <w:color w:val="000000" w:themeColor="text1"/>
          <w:lang w:val="en-US" w:eastAsia="de-DE"/>
        </w:rPr>
        <w:instrText>transcriptional and translational outputs scale with cell size at a genome-wide level, but how such remarkably coordinated regulation is achieved remains largely mysterious. With global and systems-level approaches becoming more widespread and quantitative</w:instrText>
      </w:r>
      <w:r>
        <w:rPr>
          <w:rFonts w:ascii="Arial" w:eastAsia="Times New Roman" w:hAnsi="Arial" w:cs="Arial"/>
          <w:color w:val="000000" w:themeColor="text1"/>
          <w:lang w:val="en-US" w:eastAsia="de-DE"/>
        </w:rPr>
        <w:instrText>, it is worth revisiting this fascinating problem. Here, we outline current knowledge of the fundamental relations between genome regulation and cell size, and highlight the biological implications and potential mechanisms of the global tuning of gene expr</w:instrText>
      </w:r>
      <w:r>
        <w:rPr>
          <w:rFonts w:ascii="Arial" w:eastAsia="Times New Roman" w:hAnsi="Arial" w:cs="Arial"/>
          <w:color w:val="000000" w:themeColor="text1"/>
          <w:lang w:val="en-US" w:eastAsia="de-DE"/>
        </w:rPr>
        <w:instrText>ession to cellular volume.","author":[{"dropping-particle":"","family":"Marguerat","given":"S","non-dropping-particle":"","parse-names":false,"suffix":""},{"dropping-particle":"","family":"Bahler","given":"J","non-dropping-particle":"","parse-names":false,</w:instrText>
      </w:r>
      <w:r>
        <w:rPr>
          <w:rFonts w:ascii="Arial" w:eastAsia="Times New Roman" w:hAnsi="Arial" w:cs="Arial"/>
          <w:color w:val="000000" w:themeColor="text1"/>
          <w:lang w:val="en-US" w:eastAsia="de-DE"/>
        </w:rPr>
        <w:instrText>"suffix":""}],"container-title":"Trends Genet","id":"ITEM-1","issue":"11","issued":{"date-parts":[["2012"]]},"page":"560-565","title":"Coordinating genome expression with cell size","type":"article-journal","volume":"28"},"uris":["http://www.mendeley.com/d</w:instrText>
      </w:r>
      <w:r>
        <w:rPr>
          <w:rFonts w:ascii="Arial" w:eastAsia="Times New Roman" w:hAnsi="Arial" w:cs="Arial"/>
          <w:color w:val="000000" w:themeColor="text1"/>
          <w:lang w:val="en-US" w:eastAsia="de-DE"/>
        </w:rPr>
        <w:instrText>ocuments/?uuid=7c83bac7-b0d6-43d6-ad15-64e442adba1b"]}],"mendeley":{"formattedCitation":"&lt;sup&gt;1&lt;/sup&gt;","plainTextFormattedCitation":"1","previouslyFormattedCitation":"&lt;sup&gt;1&lt;/sup&gt;"},"properties":{"noteIndex":0},"schema":"https://github.com/citation-style-l</w:instrText>
      </w:r>
      <w:r>
        <w:rPr>
          <w:rFonts w:ascii="Arial" w:eastAsia="Times New Roman" w:hAnsi="Arial" w:cs="Arial"/>
          <w:color w:val="000000" w:themeColor="text1"/>
          <w:lang w:val="en-US" w:eastAsia="de-DE"/>
        </w:rPr>
        <w:instrText>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 timescale of ideal passive diffusion across the cell increases with the diameter squared. Moreover, cell size governs intracellular organization, with many organelles increasing either </w:t>
      </w:r>
      <w:r>
        <w:rPr>
          <w:rFonts w:ascii="Arial" w:eastAsia="Times New Roman" w:hAnsi="Arial" w:cs="Arial"/>
          <w:color w:val="000000" w:themeColor="text1"/>
          <w:lang w:val="en-US" w:eastAsia="de-DE"/>
        </w:rPr>
        <w:lastRenderedPageBreak/>
        <w:t>in size or abundance with overall cell size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w:instrText>
      </w:r>
      <w:r>
        <w:rPr>
          <w:rFonts w:ascii="Arial" w:eastAsia="Times New Roman" w:hAnsi="Arial" w:cs="Arial"/>
          <w:color w:val="000000" w:themeColor="text1"/>
          <w:lang w:val="en-US" w:eastAsia="de-DE"/>
        </w:rPr>
        <w:instrText>itationItems":[{"id":"ITEM-1","itemData":{"DOI":"10.1146/annurev-cellbio-020520-113246","ISSN":"1081-0706","abstract":"&lt;p&gt;As cells grow, the size and number of their internal organelles increase in order to keep up with increased metabolic requirements. Ab</w:instrText>
      </w:r>
      <w:r>
        <w:rPr>
          <w:rFonts w:ascii="Arial" w:eastAsia="Times New Roman" w:hAnsi="Arial" w:cs="Arial"/>
          <w:color w:val="000000" w:themeColor="text1"/>
          <w:lang w:val="en-US" w:eastAsia="de-DE"/>
        </w:rPr>
        <w:instrText>normal size of organelles is a hallmark of cancer and an important aspect of diagnosis in cytopathology. Most organelles vary in either size or number, or both, as a function of cell size, but the mechanisms that create this variation remain unclear. In so</w:instrText>
      </w:r>
      <w:r>
        <w:rPr>
          <w:rFonts w:ascii="Arial" w:eastAsia="Times New Roman" w:hAnsi="Arial" w:cs="Arial"/>
          <w:color w:val="000000" w:themeColor="text1"/>
          <w:lang w:val="en-US" w:eastAsia="de-DE"/>
        </w:rPr>
        <w:instrText>me cases, organelle size appears to scale with cell size through processes of relative growth, but in others the size may be set by either active measurement systems or genetic programs that instruct organelle biosynthetic activities to create organelles o</w:instrText>
      </w:r>
      <w:r>
        <w:rPr>
          <w:rFonts w:ascii="Arial" w:eastAsia="Times New Roman" w:hAnsi="Arial" w:cs="Arial"/>
          <w:color w:val="000000" w:themeColor="text1"/>
          <w:lang w:val="en-US" w:eastAsia="de-DE"/>
        </w:rPr>
        <w:instrText>f a size appropriate to a given cell type.&lt;/p&gt;","author":[{"dropping-particle":"","family":"Marshall","given":"Wallace F.","non-dropping-particle":"","parse-names":false,"suffix":""}],"container-title":"Annual Review of Cell and Developmental Biology","id"</w:instrText>
      </w:r>
      <w:r>
        <w:rPr>
          <w:rFonts w:ascii="Arial" w:eastAsia="Times New Roman" w:hAnsi="Arial" w:cs="Arial"/>
          <w:color w:val="000000" w:themeColor="text1"/>
          <w:lang w:val="en-US" w:eastAsia="de-DE"/>
        </w:rPr>
        <w:instrText>:"ITEM-1","issue":"1","issued":{"date-parts":[["2020","10"]]},"page":"219-236","publisher":" Annual Reviews ","title":"Scaling of Subcellular Structures","type":"article-journal","volume":"36"},"uris":["http://www.mendeley.com/documents/?uuid=9b8900c1-b059</w:instrText>
      </w:r>
      <w:r>
        <w:rPr>
          <w:rFonts w:ascii="Arial" w:eastAsia="Times New Roman" w:hAnsi="Arial" w:cs="Arial"/>
          <w:color w:val="000000" w:themeColor="text1"/>
          <w:lang w:val="en-US" w:eastAsia="de-DE"/>
        </w:rPr>
        <w:instrText>-49bc-ac3d-ecefc02d7c3c"]}],"mendeley":{"formattedCitation":"&lt;sup&gt;2&lt;/sup&gt;","plainTextFormattedCitation":"2","previouslyFormattedCitation":"&lt;sup&gt;2&lt;/sup&gt;"},"properties":{"noteIndex":0},"schema":"https://github.com/citation-style-language/schema/raw/master/cs</w:instrText>
      </w:r>
      <w:r>
        <w:rPr>
          <w:rFonts w:ascii="Arial" w:eastAsia="Times New Roman" w:hAnsi="Arial" w:cs="Arial"/>
          <w:color w:val="000000" w:themeColor="text1"/>
          <w:lang w:val="en-US" w:eastAsia="de-DE"/>
        </w:rPr>
        <w:instrText>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and the molecular composition of a cell changes with its size because not all cellular molecules increase in direct proportion to cell volume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{"citationItems":[{"id":"ITEM-1","itemData":{"DOI":"10.1016/J.CELL.2019.0</w:instrText>
      </w:r>
      <w:r>
        <w:rPr>
          <w:rFonts w:ascii="Arial" w:eastAsia="Times New Roman" w:hAnsi="Arial" w:cs="Arial"/>
          <w:color w:val="000000" w:themeColor="text1"/>
          <w:lang w:val="en-US" w:eastAsia="de-DE"/>
        </w:rPr>
        <w:instrText>1.018","ISSN":"0092-8674","abstract":"Cell size varies greatly between cell types, yet within a specific cell type and growth condition, cell size is narrowly distributed. Why maintenance of a cell-type specific cell size is important remains poorly unders</w:instrText>
      </w:r>
      <w:r>
        <w:rPr>
          <w:rFonts w:ascii="Arial" w:eastAsia="Times New Roman" w:hAnsi="Arial" w:cs="Arial"/>
          <w:color w:val="000000" w:themeColor="text1"/>
          <w:lang w:val="en-US" w:eastAsia="de-DE"/>
        </w:rPr>
        <w:instrText>tood. Here we show that growing budding yeast and primary mammalian cells beyond a certain size impairs gene induction, cell-cycle progression, and cell signaling. These defects are due to the inability of large cells to scale nucleic acid and protein bios</w:instrText>
      </w:r>
      <w:r>
        <w:rPr>
          <w:rFonts w:ascii="Arial" w:eastAsia="Times New Roman" w:hAnsi="Arial" w:cs="Arial"/>
          <w:color w:val="000000" w:themeColor="text1"/>
          <w:lang w:val="en-US" w:eastAsia="de-DE"/>
        </w:rPr>
        <w:instrText>ynthesis in accordance with cell volume increase, which effectively leads to cytoplasm dilution. We further show that loss of scaling beyond a certain critical size is due to DNA becoming limiting. Based on the observation that senescent cells are large an</w:instrText>
      </w:r>
      <w:r>
        <w:rPr>
          <w:rFonts w:ascii="Arial" w:eastAsia="Times New Roman" w:hAnsi="Arial" w:cs="Arial"/>
          <w:color w:val="000000" w:themeColor="text1"/>
          <w:lang w:val="en-US" w:eastAsia="de-DE"/>
        </w:rPr>
        <w:instrText>d exhibit many of the phenotypes of large cells, we propose that the range of DNA:cytoplasm ratio that supports optimal cell function is limited and that ratios outside these bounds contribute to aging.","author":[{"dropping-particle":"","family":"Neurohr"</w:instrText>
      </w:r>
      <w:r>
        <w:rPr>
          <w:rFonts w:ascii="Arial" w:eastAsia="Times New Roman" w:hAnsi="Arial" w:cs="Arial"/>
          <w:color w:val="000000" w:themeColor="text1"/>
          <w:lang w:val="en-US" w:eastAsia="de-DE"/>
        </w:rPr>
        <w:instrText>,"given":"Gabriel E.","non-dropping-particle":"","parse-names":false,"suffix":""},{"dropping-particle":"","family":"Terry","given":"Rachel L.","non-dropping-particle":"","parse-names":false,"suffix":""},{"dropping-particle":"","family":"Lengefeld","given":</w:instrText>
      </w:r>
      <w:r>
        <w:rPr>
          <w:rFonts w:ascii="Arial" w:eastAsia="Times New Roman" w:hAnsi="Arial" w:cs="Arial"/>
          <w:color w:val="000000" w:themeColor="text1"/>
          <w:lang w:val="en-US" w:eastAsia="de-DE"/>
        </w:rPr>
        <w:instrText>"Jette","non-dropping-particle":"","parse-names":false,"suffix":""},{"dropping-particle":"","family":"Bonney","given":"Megan","non-dropping-particle":"","parse-names":false,"suffix":""},{"dropping-particle":"","family":"Brittingham","given":"Gregory P.","n</w:instrText>
      </w:r>
      <w:r>
        <w:rPr>
          <w:rFonts w:ascii="Arial" w:eastAsia="Times New Roman" w:hAnsi="Arial" w:cs="Arial"/>
          <w:color w:val="000000" w:themeColor="text1"/>
          <w:lang w:val="en-US" w:eastAsia="de-DE"/>
        </w:rPr>
        <w:instrText>on-dropping-particle":"","parse-names":false,"suffix":""},{"dropping-particle":"","family":"Moretto","given":"Fabien","non-dropping-particle":"","parse-names":false,"suffix":""},{"dropping-particle":"","family":"Miettinen","given":"Teemu P.","non-dropping-</w:instrText>
      </w:r>
      <w:r>
        <w:rPr>
          <w:rFonts w:ascii="Arial" w:eastAsia="Times New Roman" w:hAnsi="Arial" w:cs="Arial"/>
          <w:color w:val="000000" w:themeColor="text1"/>
          <w:lang w:val="en-US" w:eastAsia="de-DE"/>
        </w:rPr>
        <w:instrText>particle":"","parse-names":false,"suffix":""},{"dropping-particle":"","family":"Vaites","given":"Laura Pontano","non-dropping-particle":"","parse-names":false,"suffix":""},{"dropping-particle":"","family":"Soares","given":"Luis M.","non-dropping-particle":</w:instrText>
      </w:r>
      <w:r>
        <w:rPr>
          <w:rFonts w:ascii="Arial" w:eastAsia="Times New Roman" w:hAnsi="Arial" w:cs="Arial"/>
          <w:color w:val="000000" w:themeColor="text1"/>
          <w:lang w:val="en-US" w:eastAsia="de-DE"/>
        </w:rPr>
        <w:instrText>"","parse-names":false,"suffix":""},{"dropping-particle":"","family":"Paulo","given":"Joao A.","non-dropping-particle":"","parse-names":false,"suffix":""},{"dropping-particle":"","family":"Harper","given":"J. Wade","non-dropping-particle":"","parse-names":</w:instrText>
      </w:r>
      <w:r>
        <w:rPr>
          <w:rFonts w:ascii="Arial" w:eastAsia="Times New Roman" w:hAnsi="Arial" w:cs="Arial"/>
          <w:color w:val="000000" w:themeColor="text1"/>
          <w:lang w:val="en-US" w:eastAsia="de-DE"/>
        </w:rPr>
        <w:instrText>false,"suffix":""},{"dropping-particle":"","family":"Buratowski","given":"Stephen","non-dropping-particle":"","parse-names":false,"suffix":""},{"dropping-particle":"","family":"Manalis","given":"Scott","non-dropping-particle":"","parse-names":false,"suffix</w:instrText>
      </w:r>
      <w:r>
        <w:rPr>
          <w:rFonts w:ascii="Arial" w:eastAsia="Times New Roman" w:hAnsi="Arial" w:cs="Arial"/>
          <w:color w:val="000000" w:themeColor="text1"/>
          <w:lang w:val="en-US" w:eastAsia="de-DE"/>
        </w:rPr>
        <w:instrText>":""},{"dropping-particle":"","family":"Werven","given":"Folkert J.","non-dropping-particle":"van","parse-names":false,"suffix":""},{"dropping-particle":"","family":"Holt","given":"Liam J.","non-dropping-particle":"","parse-names":false,"suffix":""},{"drop</w:instrText>
      </w:r>
      <w:r>
        <w:rPr>
          <w:rFonts w:ascii="Arial" w:eastAsia="Times New Roman" w:hAnsi="Arial" w:cs="Arial"/>
          <w:color w:val="000000" w:themeColor="text1"/>
          <w:lang w:val="en-US" w:eastAsia="de-DE"/>
        </w:rPr>
        <w:instrText>ping-particle":"","family":"Amon","given":"Angelika","non-dropping-particle":"","parse-names":false,"suffix":""}],"container-title":"Cell","id":"ITEM-1","issue":"5","issued":{"date-parts":[["2019","2","21"]]},"page":"1083-1097.e18","publisher":"Cell Press"</w:instrText>
      </w:r>
      <w:r>
        <w:rPr>
          <w:rFonts w:ascii="Arial" w:eastAsia="Times New Roman" w:hAnsi="Arial" w:cs="Arial"/>
          <w:color w:val="000000" w:themeColor="text1"/>
          <w:lang w:val="en-US" w:eastAsia="de-DE"/>
        </w:rPr>
        <w:instrText>,"title":"Excessive Cell Growth Causes Cytoplasm Dilution And Contributes to Senescence","type":"article-journal","volume":"176"},"uris":["http://www.mendeley.com/documents/?uuid=4833c8e1-6ce1-37ae-98d6-80963c92a809"]},{"id":"ITEM-2","itemData":{"author":[</w:instrText>
      </w:r>
      <w:r>
        <w:rPr>
          <w:rFonts w:ascii="Arial" w:eastAsia="Times New Roman" w:hAnsi="Arial" w:cs="Arial"/>
          <w:color w:val="000000" w:themeColor="text1"/>
          <w:lang w:val="en-US" w:eastAsia="de-DE"/>
        </w:rPr>
        <w:instrText>{"dropping-particle":"","family":"Swaffer","given":"Matthew P","non-dropping-particle":"","parse-names":false,"suffix":""},{"dropping-particle":"","family":"Kim","given":"Jacob","non-dropping-particle":"","parse-names":false,"suffix":""},{"dropping-particl</w:instrText>
      </w:r>
      <w:r>
        <w:rPr>
          <w:rFonts w:ascii="Arial" w:eastAsia="Times New Roman" w:hAnsi="Arial" w:cs="Arial"/>
          <w:color w:val="000000" w:themeColor="text1"/>
          <w:lang w:val="en-US" w:eastAsia="de-DE"/>
        </w:rPr>
        <w:instrText>e":"","family":"Chandler-Brown","given":"Devon","non-dropping-particle":"","parse-names":false,"suffix":""},{"dropping-particle":"","family":"Langhinrichs","given":"Maurice","non-dropping-particle":"","parse-names":false,"suffix":""},{"dropping-particle":"</w:instrText>
      </w:r>
      <w:r>
        <w:rPr>
          <w:rFonts w:ascii="Arial" w:eastAsia="Times New Roman" w:hAnsi="Arial" w:cs="Arial"/>
          <w:color w:val="000000" w:themeColor="text1"/>
          <w:lang w:val="en-US" w:eastAsia="de-DE"/>
        </w:rPr>
        <w:instrText>","family":"Marinov","given":"Georgi","non-dropping-particle":"","parse-names":false,"suffix":""},{"dropping-particle":"","family":"Greenleaf","given":"William J","non-dropping-particle":"","parse-names":false,"suffix":""},{"dropping-particle":"","family":</w:instrText>
      </w:r>
      <w:r>
        <w:rPr>
          <w:rFonts w:ascii="Arial" w:eastAsia="Times New Roman" w:hAnsi="Arial" w:cs="Arial"/>
          <w:color w:val="000000" w:themeColor="text1"/>
          <w:lang w:val="en-US" w:eastAsia="de-DE"/>
        </w:rPr>
        <w:instrText>"Kundaje","given":"Anshul","non-dropping-particle":"","parse-names":false,"suffix":""},{"dropping-particle":"","family":"Schmoller","given":"Kurt M","non-dropping-particle":"","parse-names":false,"suffix":""},{"dropping-particle":"","family":"Skotheim","gi</w:instrText>
      </w:r>
      <w:r>
        <w:rPr>
          <w:rFonts w:ascii="Arial" w:eastAsia="Times New Roman" w:hAnsi="Arial" w:cs="Arial"/>
          <w:color w:val="000000" w:themeColor="text1"/>
          <w:lang w:val="en-US" w:eastAsia="de-DE"/>
        </w:rPr>
        <w:instrText>ven":"Jan M","non-dropping-particle":"","parse-names":false,"suffix":""}],"container-title":"Molecular cell","id":"ITEM-2","issued":{"date-parts":[["2021"]]},"page":"4861-4875","title":"Transcriptional and chromatin-based partitioning mechanisms uncouple p</w:instrText>
      </w:r>
      <w:r>
        <w:rPr>
          <w:rFonts w:ascii="Arial" w:eastAsia="Times New Roman" w:hAnsi="Arial" w:cs="Arial"/>
          <w:color w:val="000000" w:themeColor="text1"/>
          <w:lang w:val="en-US" w:eastAsia="de-DE"/>
        </w:rPr>
        <w:instrText>rotein scaling from cell size","type":"article-journal","volume":"81"},"uris":["http://www.mendeley.com/documents/?uuid=1fdceeb1-8ea8-46cd-97f8-5f08dbc8e2bf"]},{"id":"ITEM-3","itemData":{"DOI":"10.1016/J.MOLCEL.2022.07.017","ISSN":"1097-2765","PMID":"35987</w:instrText>
      </w:r>
      <w:r>
        <w:rPr>
          <w:rFonts w:ascii="Arial" w:eastAsia="Times New Roman" w:hAnsi="Arial" w:cs="Arial"/>
          <w:color w:val="000000" w:themeColor="text1"/>
          <w:lang w:val="en-US" w:eastAsia="de-DE"/>
        </w:rPr>
        <w:instrText>199","abstract":"Cell size is tightly controlled in healthy tissues, but it is unclear how deviations in cell size affect cell physiology. To address this, we measured how the cell's proteome changes with increasing cell size. Size-dependent protein concen</w:instrText>
      </w:r>
      <w:r>
        <w:rPr>
          <w:rFonts w:ascii="Arial" w:eastAsia="Times New Roman" w:hAnsi="Arial" w:cs="Arial"/>
          <w:color w:val="000000" w:themeColor="text1"/>
          <w:lang w:val="en-US" w:eastAsia="de-DE"/>
        </w:rPr>
        <w:instrText>tration changes are widespread and predicted by subcellular localization, size-dependent mRNA concentrations, and protein turnover. As proliferating cells grow larger, concentration changes typically associated with cellular senescence are increasingly pro</w:instrText>
      </w:r>
      <w:r>
        <w:rPr>
          <w:rFonts w:ascii="Arial" w:eastAsia="Times New Roman" w:hAnsi="Arial" w:cs="Arial"/>
          <w:color w:val="000000" w:themeColor="text1"/>
          <w:lang w:val="en-US" w:eastAsia="de-DE"/>
        </w:rPr>
        <w:instrText xml:space="preserve">nounced, suggesting that large size may be a cause rather than just a consequence of cell senescence. Consistent with this hypothesis, larger cells are prone to replicative, DNA-damage-induced, and CDK4/6i-induced senescence. Size-dependent changes to the </w:instrText>
      </w:r>
      <w:r>
        <w:rPr>
          <w:rFonts w:ascii="Arial" w:eastAsia="Times New Roman" w:hAnsi="Arial" w:cs="Arial"/>
          <w:color w:val="000000" w:themeColor="text1"/>
          <w:lang w:val="en-US" w:eastAsia="de-DE"/>
        </w:rPr>
        <w:instrText xml:space="preserve">proteome, including those associated with senescence, are not observed when an increase in cell size is accompanied by an increase in ploidy. Together, our findings show how cell size could impact many aspects of cell physiology by remodeling the proteome </w:instrText>
      </w:r>
      <w:r>
        <w:rPr>
          <w:rFonts w:ascii="Arial" w:eastAsia="Times New Roman" w:hAnsi="Arial" w:cs="Arial"/>
          <w:color w:val="000000" w:themeColor="text1"/>
          <w:lang w:val="en-US" w:eastAsia="de-DE"/>
        </w:rPr>
        <w:instrText>and provide a rationale for cell size control and polyploidization.","author":[{"dropping-particle":"","family":"Lanz","given":"Michael C.","non-dropping-particle":"","parse-names":false,"suffix":""},{"dropping-particle":"","family":"Zatulovskiy","given":"</w:instrText>
      </w:r>
      <w:r>
        <w:rPr>
          <w:rFonts w:ascii="Arial" w:eastAsia="Times New Roman" w:hAnsi="Arial" w:cs="Arial"/>
          <w:color w:val="000000" w:themeColor="text1"/>
          <w:lang w:val="en-US" w:eastAsia="de-DE"/>
        </w:rPr>
        <w:instrText>Evgeny","non-dropping-particle":"","parse-names":false,"suffix":""},{"dropping-particle":"","family":"Swaffer","given":"Matthew P.","non-dropping-particle":"","parse-names":false,"suffix":""},{"dropping-particle":"","family":"Zhang","given":"Lichao","non-d</w:instrText>
      </w:r>
      <w:r>
        <w:rPr>
          <w:rFonts w:ascii="Arial" w:eastAsia="Times New Roman" w:hAnsi="Arial" w:cs="Arial"/>
          <w:color w:val="000000" w:themeColor="text1"/>
          <w:lang w:val="en-US" w:eastAsia="de-DE"/>
        </w:rPr>
        <w:instrText>ropping-particle":"","parse-names":false,"suffix":""},{"dropping-particle":"","family":"Ilerten","given":"Ilayda","non-dropping-particle":"","parse-names":false,"suffix":""},{"dropping-particle":"","family":"Zhang","given":"Shuyuan","non-dropping-particle"</w:instrText>
      </w:r>
      <w:r>
        <w:rPr>
          <w:rFonts w:ascii="Arial" w:eastAsia="Times New Roman" w:hAnsi="Arial" w:cs="Arial"/>
          <w:color w:val="000000" w:themeColor="text1"/>
          <w:lang w:val="en-US" w:eastAsia="de-DE"/>
        </w:rPr>
        <w:instrText>:"","parse-names":false,"suffix":""},{"dropping-particle":"","family":"You","given":"Dong Shin","non-dropping-particle":"","parse-names":false,"suffix":""},{"dropping-particle":"","family":"Marinov","given":"Georgi","non-dropping-particle":"","parse-names"</w:instrText>
      </w:r>
      <w:r>
        <w:rPr>
          <w:rFonts w:ascii="Arial" w:eastAsia="Times New Roman" w:hAnsi="Arial" w:cs="Arial"/>
          <w:color w:val="000000" w:themeColor="text1"/>
          <w:lang w:val="en-US" w:eastAsia="de-DE"/>
        </w:rPr>
        <w:instrText>:false,"suffix":""},{"dropping-particle":"","family":"McAlpine","given":"Patrick","non-dropping-particle":"","parse-names":false,"suffix":""},{"dropping-particle":"","family":"Elias","given":"Joshua E.","non-dropping-particle":"","parse-names":false,"suffi</w:instrText>
      </w:r>
      <w:r>
        <w:rPr>
          <w:rFonts w:ascii="Arial" w:eastAsia="Times New Roman" w:hAnsi="Arial" w:cs="Arial"/>
          <w:color w:val="000000" w:themeColor="text1"/>
          <w:lang w:val="en-US" w:eastAsia="de-DE"/>
        </w:rPr>
        <w:instrText>x":""},{"dropping-particle":"","family":"Skotheim","given":"Jan M.","non-dropping-particle":"","parse-names":false,"suffix":""}],"container-title":"Molecular Cell","id":"ITEM-3","issue":"17","issued":{"date-parts":[["2022","9","1"]]},"page":"3255-3269.e8",</w:instrText>
      </w:r>
      <w:r>
        <w:rPr>
          <w:rFonts w:ascii="Arial" w:eastAsia="Times New Roman" w:hAnsi="Arial" w:cs="Arial"/>
          <w:color w:val="000000" w:themeColor="text1"/>
          <w:lang w:val="en-US" w:eastAsia="de-DE"/>
        </w:rPr>
        <w:instrText>"publisher":"Cell Press","title":"Increasing cell size remodels the proteome and promotes senescence","type":"article-journal","volume":"82"},"uris":["http://www.mendeley.com/documents/?uuid=8e51a3f0-6440-3670-854f-e466aa3f4159"]}],"mendeley":{"formattedCi</w:instrText>
      </w:r>
      <w:r>
        <w:rPr>
          <w:rFonts w:ascii="Arial" w:eastAsia="Times New Roman" w:hAnsi="Arial" w:cs="Arial"/>
          <w:color w:val="000000" w:themeColor="text1"/>
          <w:lang w:val="en-US" w:eastAsia="de-DE"/>
        </w:rPr>
        <w:instrText>tation":"&lt;sup&gt;3–5&lt;/sup&gt;","plainTextFormattedCitation":"3–5","previouslyFormattedCitation":"&lt;sup&gt;3–5&lt;/sup&gt;"},"properties":{"noteIndex":0},"schema":"https://github.com/citation-style-language/schema/raw/master/csl-citation.json"}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Because cell size gov</w:t>
      </w:r>
      <w:r>
        <w:rPr>
          <w:rFonts w:ascii="Arial" w:eastAsia="Times New Roman" w:hAnsi="Arial" w:cs="Arial"/>
          <w:color w:val="000000" w:themeColor="text1"/>
          <w:lang w:val="en-US" w:eastAsia="de-DE"/>
        </w:rPr>
        <w:t>erns cell function, it is not surprising that proliferating cells control their size by balancing cell growth and cell division. To achieve this, they are able to sense their own size, and use this information to modulate cell growth and cell cycle progres</w:t>
      </w:r>
      <w:r>
        <w:rPr>
          <w:rFonts w:ascii="Arial" w:eastAsia="Times New Roman" w:hAnsi="Arial" w:cs="Arial"/>
          <w:color w:val="000000" w:themeColor="text1"/>
          <w:lang w:val="en-US" w:eastAsia="de-DE"/>
        </w:rPr>
        <w:t>sion accordingly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{"citationItems":[{"id":"ITEM-1","itemData":{"DOI":"10.1016/j.ceb.2017.11.011","ISSN":"18790410","PMID":"29232627","abstract":"Cells control their size through an intricate balance of cell growth, cell division, and cell </w:instrText>
      </w:r>
      <w:r>
        <w:rPr>
          <w:rFonts w:ascii="Arial" w:eastAsia="Times New Roman" w:hAnsi="Arial" w:cs="Arial"/>
          <w:color w:val="000000" w:themeColor="text1"/>
          <w:lang w:val="en-US" w:eastAsia="de-DE"/>
        </w:rPr>
        <w:instrText>death. Extensive work on unicellular model organisms revealed that cell-size-dependent cell cycle progression accounts for major aspects of cell size regulation and provided insights into the underlying molecular mechanisms. Nevertheless, elaborate live-ce</w:instrText>
      </w:r>
      <w:r>
        <w:rPr>
          <w:rFonts w:ascii="Arial" w:eastAsia="Times New Roman" w:hAnsi="Arial" w:cs="Arial"/>
          <w:color w:val="000000" w:themeColor="text1"/>
          <w:lang w:val="en-US" w:eastAsia="de-DE"/>
        </w:rPr>
        <w:instrText>ll imaging approaches still reveal new phenomenological observations that challenge our simplified models of size regulation and raise the question of what determines optimal cell size. Here, I aim to give a conceptual overview of the many processes contri</w:instrText>
      </w:r>
      <w:r>
        <w:rPr>
          <w:rFonts w:ascii="Arial" w:eastAsia="Times New Roman" w:hAnsi="Arial" w:cs="Arial"/>
          <w:color w:val="000000" w:themeColor="text1"/>
          <w:lang w:val="en-US" w:eastAsia="de-DE"/>
        </w:rPr>
        <w:instrText xml:space="preserve">buting to cell size regulation and summarize recent developments in the field.","author":[{"dropping-particle":"","family":"Schmoller","given":"Kurt M","non-dropping-particle":"","parse-names":false,"suffix":""}],"container-title":"Current Opinion in Cell </w:instrText>
      </w:r>
      <w:r>
        <w:rPr>
          <w:rFonts w:ascii="Arial" w:eastAsia="Times New Roman" w:hAnsi="Arial" w:cs="Arial"/>
          <w:color w:val="000000" w:themeColor="text1"/>
          <w:lang w:val="en-US" w:eastAsia="de-DE"/>
        </w:rPr>
        <w:instrText>Biology","id":"ITEM-1","issued":{"date-parts":[["2017","12","1"]]},"page":"53-58","publisher":"Elsevier Current Trends","title":"The phenomenology of cell size control","type":"article","volume":"49"},"uris":["http://www.mendeley.com/documents/?uuid=c0dcf6</w:instrText>
      </w:r>
      <w:r>
        <w:rPr>
          <w:rFonts w:ascii="Arial" w:eastAsia="Times New Roman" w:hAnsi="Arial" w:cs="Arial"/>
          <w:color w:val="000000" w:themeColor="text1"/>
          <w:lang w:val="en-US" w:eastAsia="de-DE"/>
        </w:rPr>
        <w:instrText>44-e15b-3c85-bd8b-691b1ddae544"]}],"mendeley":{"formattedCitation":"&lt;sup&gt;6&lt;/sup&gt;","plainTextFormattedCitation":"6","previouslyFormattedCitation":"&lt;sup&gt;6&lt;/sup&gt;"},"properties":{"noteIndex":0},"schema":"https://github.com/citation-style-language/schema/raw/ma</w:instrText>
      </w:r>
      <w:r>
        <w:rPr>
          <w:rFonts w:ascii="Arial" w:eastAsia="Times New Roman" w:hAnsi="Arial" w:cs="Arial"/>
          <w:color w:val="000000" w:themeColor="text1"/>
          <w:lang w:val="en-US" w:eastAsia="de-DE"/>
        </w:rPr>
        <w:instrText>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16F29668" w14:textId="77777777" w:rsidR="00066D11" w:rsidRDefault="00066D11">
      <w:pPr>
        <w:spacing w:after="0" w:line="240" w:lineRule="auto"/>
        <w:jc w:val="both"/>
        <w:rPr>
          <w:rFonts w:ascii="Arial" w:eastAsia="Times New Roman" w:hAnsi="Arial" w:cs="Arial"/>
          <w:color w:val="000000"/>
          <w:lang w:val="en-US" w:eastAsia="de-DE"/>
        </w:rPr>
      </w:pPr>
    </w:p>
    <w:p w14:paraId="7380DC3C" w14:textId="77777777" w:rsidR="00066D11" w:rsidRDefault="00E55468">
      <w:pPr>
        <w:spacing w:before="240" w:after="240" w:line="240" w:lineRule="auto"/>
        <w:jc w:val="both"/>
      </w:pPr>
      <w:r>
        <w:rPr>
          <w:noProof/>
          <w:lang w:eastAsia="de-DE"/>
        </w:rPr>
        <w:drawing>
          <wp:inline distT="0" distB="0" distL="0" distR="0" wp14:anchorId="0CA73E04" wp14:editId="0702C526">
            <wp:extent cx="5680884" cy="4672808"/>
            <wp:effectExtent l="0" t="0" r="0" b="0"/>
            <wp:docPr id="234303994" name="Picture 23430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rcRect b="41833"/>
                    <a:stretch>
                      <a:fillRect/>
                    </a:stretch>
                  </pic:blipFill>
                  <pic:spPr>
                    <a:xfrm>
                      <a:off x="0" y="0"/>
                      <a:ext cx="5680884" cy="4672808"/>
                    </a:xfrm>
                    <a:prstGeom prst="rect">
                      <a:avLst/>
                    </a:prstGeom>
                  </pic:spPr>
                </pic:pic>
              </a:graphicData>
            </a:graphic>
          </wp:inline>
        </w:drawing>
      </w:r>
    </w:p>
    <w:p w14:paraId="318DDC70" w14:textId="77777777" w:rsidR="00066D11" w:rsidRDefault="00E55468">
      <w:pPr>
        <w:spacing w:before="240" w:after="240" w:line="240" w:lineRule="auto"/>
        <w:jc w:val="both"/>
        <w:rPr>
          <w:rFonts w:ascii="Arial" w:eastAsia="Times New Roman" w:hAnsi="Arial" w:cs="Arial"/>
          <w:i/>
          <w:color w:val="000000"/>
          <w:lang w:val="en-US" w:eastAsia="de-DE"/>
        </w:rPr>
      </w:pPr>
      <w:r>
        <w:rPr>
          <w:rFonts w:ascii="Arial" w:eastAsia="Times New Roman" w:hAnsi="Arial" w:cs="Arial"/>
          <w:b/>
          <w:bCs/>
          <w:i/>
          <w:color w:val="000000"/>
          <w:lang w:val="en-US" w:eastAsia="de-DE"/>
        </w:rPr>
        <w:t xml:space="preserve">Fig. 1: </w:t>
      </w:r>
      <w:r>
        <w:rPr>
          <w:rFonts w:ascii="Arial" w:eastAsia="Times New Roman" w:hAnsi="Arial" w:cs="Arial"/>
          <w:i/>
          <w:color w:val="000000"/>
          <w:lang w:val="en-US" w:eastAsia="de-DE"/>
        </w:rPr>
        <w:t xml:space="preserve">Cell size is tightly linked to biosynthesis, organelle homeostasis, cell cycle regulation and developmental processes. </w:t>
      </w:r>
      <w:proofErr w:type="spellStart"/>
      <w:r>
        <w:rPr>
          <w:rFonts w:ascii="Arial" w:eastAsia="Times New Roman" w:hAnsi="Arial" w:cs="Arial"/>
          <w:i/>
          <w:color w:val="000000"/>
          <w:lang w:val="en-US" w:eastAsia="de-DE"/>
        </w:rPr>
        <w:t>Misregulation</w:t>
      </w:r>
      <w:proofErr w:type="spellEnd"/>
      <w:r>
        <w:rPr>
          <w:rFonts w:ascii="Arial" w:eastAsia="Times New Roman" w:hAnsi="Arial" w:cs="Arial"/>
          <w:i/>
          <w:color w:val="000000"/>
          <w:lang w:val="en-US" w:eastAsia="de-DE"/>
        </w:rPr>
        <w:t xml:space="preserve"> of cell size is detrimental to cell function and associated with diseases and agin</w:t>
      </w:r>
      <w:r>
        <w:rPr>
          <w:rFonts w:ascii="Arial" w:eastAsia="Times New Roman" w:hAnsi="Arial" w:cs="Arial"/>
          <w:i/>
          <w:color w:val="000000"/>
          <w:lang w:val="en-US" w:eastAsia="de-DE"/>
        </w:rPr>
        <w:t>g.</w:t>
      </w:r>
    </w:p>
    <w:p w14:paraId="2A4E8B3B"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Changes in cell size are ubiquitous in biology. On one hand, regulation of cell function, for example during development or in response to changing environments, typically leads to cell size adaptation. On the other hand, cellular dysfunction is often a</w:t>
      </w:r>
      <w:r>
        <w:rPr>
          <w:rFonts w:ascii="Arial" w:eastAsia="Times New Roman" w:hAnsi="Arial" w:cs="Arial"/>
          <w:color w:val="000000"/>
          <w:lang w:val="en-US" w:eastAsia="de-DE"/>
        </w:rPr>
        <w:t>ccompanied by altered cell size. For example, unusual and heterogeneous cell size is typical for cancer</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{"citationItems":[{"id":"ITEM-1","itemData":{"DOI":"10.1126/science.1245075","PMID":"25977557","abstract":"Different animal cell types</w:instrText>
      </w:r>
      <w:r>
        <w:rPr>
          <w:rFonts w:ascii="Arial" w:eastAsia="Times New Roman" w:hAnsi="Arial" w:cs="Arial"/>
          <w:color w:val="000000"/>
          <w:lang w:val="en-US" w:eastAsia="de-DE"/>
        </w:rPr>
        <w:instrText xml:space="preserve"> have distinctive and characteristic sizes. How a particular cell size is specified by differentiation programs and physiology remains one of the fundamental unknowns in cell biology. In this Review, we explore the evidence that individual cells autonomous</w:instrText>
      </w:r>
      <w:r>
        <w:rPr>
          <w:rFonts w:ascii="Arial" w:eastAsia="Times New Roman" w:hAnsi="Arial" w:cs="Arial"/>
          <w:color w:val="000000"/>
          <w:lang w:val="en-US" w:eastAsia="de-DE"/>
        </w:rPr>
        <w:instrText>ly sense and specify their own size. We discuss possible mechanisms by which size-sensing and size-specification may take place. Last, we explore the physiological implications of size control: Why is it important that particular cell types maintain a part</w:instrText>
      </w:r>
      <w:r>
        <w:rPr>
          <w:rFonts w:ascii="Arial" w:eastAsia="Times New Roman" w:hAnsi="Arial" w:cs="Arial"/>
          <w:color w:val="000000"/>
          <w:lang w:val="en-US" w:eastAsia="de-DE"/>
        </w:rPr>
        <w:instrText>icular size? We develop these questions through examination of the current literature and pose the questions that we anticipate will guide this field in the upcoming years.","author":[{"dropping-particle":"","family":"Ginzberg","given":"M. B.","non-droppin</w:instrText>
      </w:r>
      <w:r>
        <w:rPr>
          <w:rFonts w:ascii="Arial" w:eastAsia="Times New Roman" w:hAnsi="Arial" w:cs="Arial"/>
          <w:color w:val="000000"/>
          <w:lang w:val="en-US" w:eastAsia="de-DE"/>
        </w:rPr>
        <w:instrText>g-particle":"","parse-names":false,"suffix":""},{"dropping-particle":"","family":"Kafri","given":"R.","non-dropping-particle":"","parse-names":false,"suffix":""},{"dropping-particle":"","family":"Kirschner","given":"M.","non-dropping-particle":"","parse-na</w:instrText>
      </w:r>
      <w:r>
        <w:rPr>
          <w:rFonts w:ascii="Arial" w:eastAsia="Times New Roman" w:hAnsi="Arial" w:cs="Arial"/>
          <w:color w:val="000000"/>
          <w:lang w:val="en-US" w:eastAsia="de-DE"/>
        </w:rPr>
        <w:instrText>mes":false,"suffix":""}],"container-title":"Science","id":"ITEM-1","issue":"6236","issued":{"date-parts":[["2015","5","15"]]},"page":"1245075-1245075","title":"On being the right (cell) size","type":"article-journal","volume":"348"},"uris":["http://www.men</w:instrText>
      </w:r>
      <w:r>
        <w:rPr>
          <w:rFonts w:ascii="Arial" w:eastAsia="Times New Roman" w:hAnsi="Arial" w:cs="Arial"/>
          <w:color w:val="000000"/>
          <w:lang w:val="en-US" w:eastAsia="de-DE"/>
        </w:rPr>
        <w:instrText>deley.com/documents/?uuid=92564f82-0fe7-3dc4-bb67-6f972f035256"]}],"mendeley":{"formattedCitation":"&lt;sup&gt;7&lt;/sup&gt;","plainTextFormattedCitation":"7","previouslyFormattedCitation":"&lt;sup&gt;7&lt;/sup&gt;"},"properties":{"noteIndex":0},"schema":"https://github.com/citat</w:instrText>
      </w:r>
      <w:r>
        <w:rPr>
          <w:rFonts w:ascii="Arial" w:eastAsia="Times New Roman" w:hAnsi="Arial" w:cs="Arial"/>
          <w:color w:val="000000"/>
          <w:lang w:val="en-US" w:eastAsia="de-DE"/>
        </w:rPr>
        <w:instrTex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and aging and cellular senescence are associated with an increase in cell size in yeast and mammals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{"citationItems":[{"id":"ITEM-1","itemData":{"DOI":"10.3389/FCELL.2022.1036602/BIBTEX","ISSN":"2296634X","abstract":"Years of important research has revealed that cells heavily invest in regulating their size. Nevertheless, it has remained unclear why accu</w:instrText>
      </w:r>
      <w:r>
        <w:rPr>
          <w:rFonts w:ascii="Arial" w:eastAsia="Times New Roman" w:hAnsi="Arial" w:cs="Arial"/>
          <w:color w:val="000000"/>
          <w:lang w:val="en-US" w:eastAsia="de-DE"/>
        </w:rPr>
        <w:instrText xml:space="preserve">rate size control is so important. Our recent study using hematopoietic stem cells (HSCs) in vivo indicates that cellular enlargement is causally associated with aging. Here, we present an overview of these findings and their implications. Furthermore, we </w:instrText>
      </w:r>
      <w:r>
        <w:rPr>
          <w:rFonts w:ascii="Arial" w:eastAsia="Times New Roman" w:hAnsi="Arial" w:cs="Arial"/>
          <w:color w:val="000000"/>
          <w:lang w:val="en-US" w:eastAsia="de-DE"/>
        </w:rPr>
        <w:instrText>performed a broad literature analysis to evaluate the potential of cellular enlargement as a new aging hallmark and to examine its connection to previously described aging hallmarks. Finally, we highlight interesting work presenting a correlation between c</w:instrText>
      </w:r>
      <w:r>
        <w:rPr>
          <w:rFonts w:ascii="Arial" w:eastAsia="Times New Roman" w:hAnsi="Arial" w:cs="Arial"/>
          <w:color w:val="000000"/>
          <w:lang w:val="en-US" w:eastAsia="de-DE"/>
        </w:rPr>
        <w:instrText>ell size and age-related diseases. Taken together, we found mounting evidence linking cellular enlargement to aging and age-related diseases. Therefore, we encourage researchers from seemingly unrelated areas to take a fresh look at their data from the per</w:instrText>
      </w:r>
      <w:r>
        <w:rPr>
          <w:rFonts w:ascii="Arial" w:eastAsia="Times New Roman" w:hAnsi="Arial" w:cs="Arial"/>
          <w:color w:val="000000"/>
          <w:lang w:val="en-US" w:eastAsia="de-DE"/>
        </w:rPr>
        <w:instrText>spective of cell size.","author":[{"dropping-particle":"","family":"Davies","given":"Daniel M.","non-dropping-particle":"","parse-names":false,"suffix":""},{"dropping-particle":"","family":"Handel","given":"Kim","non-dropping-particle":"van den","parse-nam</w:instrText>
      </w:r>
      <w:r>
        <w:rPr>
          <w:rFonts w:ascii="Arial" w:eastAsia="Times New Roman" w:hAnsi="Arial" w:cs="Arial"/>
          <w:color w:val="000000"/>
          <w:lang w:val="en-US" w:eastAsia="de-DE"/>
        </w:rPr>
        <w:instrText>es":false,"suffix":""},{"dropping-particle":"","family":"Bharadwaj","given":"Soham","non-dropping-particle":"","parse-names":false,"suffix":""},{"dropping-particle":"","family":"Lengefeld","given":"Jette","non-dropping-particle":"","parse-names":false,"suf</w:instrText>
      </w:r>
      <w:r>
        <w:rPr>
          <w:rFonts w:ascii="Arial" w:eastAsia="Times New Roman" w:hAnsi="Arial" w:cs="Arial"/>
          <w:color w:val="000000"/>
          <w:lang w:val="en-US" w:eastAsia="de-DE"/>
        </w:rPr>
        <w:instrText>fix":""}],"container-title":"Frontiers in Cell and Developmental Biology","id":"ITEM-1","issued":{"date-parts":[["2022","11","10"]]},"page":"1036602","publisher":"Frontiers Media S.A.","title":"Cellular enlargement - A new hallmark of aging?","type":"artic</w:instrText>
      </w:r>
      <w:r>
        <w:rPr>
          <w:rFonts w:ascii="Arial" w:eastAsia="Times New Roman" w:hAnsi="Arial" w:cs="Arial"/>
          <w:color w:val="000000"/>
          <w:lang w:val="en-US" w:eastAsia="de-DE"/>
        </w:rPr>
        <w:instrText>le-journal","volume":"10"},"uris":["http://www.mendeley.com/documents/?uuid=5edfc922-1c43-3828-bc12-ff5807dccf5c"]},{"id":"ITEM-2","itemData":{"DOI":"10.1111/FEBS.16983","ISSN":"1742-4658","abstract":"Cellular senescence refers to a permanent and stable st</w:instrText>
      </w:r>
      <w:r>
        <w:rPr>
          <w:rFonts w:ascii="Arial" w:eastAsia="Times New Roman" w:hAnsi="Arial" w:cs="Arial"/>
          <w:color w:val="000000"/>
          <w:lang w:val="en-US" w:eastAsia="de-DE"/>
        </w:rPr>
        <w:instrText>ate of cell cycle exit. This process plays an important role in many cellular functions, including tumor suppression. It was first noted that senescence is associated with increased cell size in the early 1960s; however, how this contributes to permanent c</w:instrText>
      </w:r>
      <w:r>
        <w:rPr>
          <w:rFonts w:ascii="Arial" w:eastAsia="Times New Roman" w:hAnsi="Arial" w:cs="Arial"/>
          <w:color w:val="000000"/>
          <w:lang w:val="en-US" w:eastAsia="de-DE"/>
        </w:rPr>
        <w:instrText>ell cycle exit was poorly understood until recently. In this review, we discuss new findings that identify increased cell size as not only a consequence but also a cause of permanent cell cycle exit. We highlight recent insights into how increased cell siz</w:instrText>
      </w:r>
      <w:r>
        <w:rPr>
          <w:rFonts w:ascii="Arial" w:eastAsia="Times New Roman" w:hAnsi="Arial" w:cs="Arial"/>
          <w:color w:val="000000"/>
          <w:lang w:val="en-US" w:eastAsia="de-DE"/>
        </w:rPr>
        <w:instrText>e alters normal cellular physiology and creates homeostatic imbalances that contribute to senescence induction. Finally, we focus on the potential clinical implications of these findings in the context of cell cycle arrest-causing cancer therapeutics and s</w:instrText>
      </w:r>
      <w:r>
        <w:rPr>
          <w:rFonts w:ascii="Arial" w:eastAsia="Times New Roman" w:hAnsi="Arial" w:cs="Arial"/>
          <w:color w:val="000000"/>
          <w:lang w:val="en-US" w:eastAsia="de-DE"/>
        </w:rPr>
        <w:instrText>peculate on how tumor cell size changes may impact outcomes in patients treated with these drugs.","author":[{"dropping-particle":"","family":"Manohar","given":"Sandhya","non-dropping-particle":"","parse-names":false,"suffix":""},{"dropping-particle":"","f</w:instrText>
      </w:r>
      <w:r>
        <w:rPr>
          <w:rFonts w:ascii="Arial" w:eastAsia="Times New Roman" w:hAnsi="Arial" w:cs="Arial"/>
          <w:color w:val="000000"/>
          <w:lang w:val="en-US" w:eastAsia="de-DE"/>
        </w:rPr>
        <w:instrText>amily":"Neurohr","given":"Gabriel E.","non-dropping-particle":"","parse-names":false,"suffix":""}],"container-title":"The FEBS Journal","id":"ITEM-2","issued":{"date-parts":[["2023"]]},"publisher":"John Wiley &amp; Sons, Ltd","title":"Too big not to fail: emer</w:instrText>
      </w:r>
      <w:r>
        <w:rPr>
          <w:rFonts w:ascii="Arial" w:eastAsia="Times New Roman" w:hAnsi="Arial" w:cs="Arial"/>
          <w:color w:val="000000"/>
          <w:lang w:val="en-US" w:eastAsia="de-DE"/>
        </w:rPr>
        <w:instrText>ging evidence for size-induced senescence","type":"article-journal"},"uris":["http://www.mendeley.com/documents/?uuid=ba8e639b-51a1-322a-87de-bf6ce9cd8865"]}],"mendeley":{"formattedCitation":"&lt;sup&gt;8,9&lt;/sup&gt;","plainTextFormattedCitation":"8,9","previouslyFo</w:instrText>
      </w:r>
      <w:r>
        <w:rPr>
          <w:rFonts w:ascii="Arial" w:eastAsia="Times New Roman" w:hAnsi="Arial" w:cs="Arial"/>
          <w:color w:val="000000"/>
          <w:lang w:val="en-US" w:eastAsia="de-DE"/>
        </w:rPr>
        <w:instrText>rmattedCitation":"&lt;sup&gt;8,9&lt;/sup&gt;"},"properties":{"noteIndex":0},"schema":"https://github.com/citation-style-language/schema/raw/master/csl-citation.json"}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principle, these changes could be downstream effects because cell size is sensitive to both</w:t>
      </w:r>
      <w:r>
        <w:rPr>
          <w:rFonts w:ascii="Arial" w:eastAsia="Times New Roman" w:hAnsi="Arial" w:cs="Arial"/>
          <w:color w:val="000000"/>
          <w:lang w:val="en-US" w:eastAsia="de-DE"/>
        </w:rPr>
        <w:t xml:space="preserve"> cell growth and cell cycle progression. For example, the large size of senescent cells was long considered to be a consequence of cells still growing despite the permanent cell cycle arrest. However, recent studies revealed that increased cell size itself</w:t>
      </w:r>
      <w:r>
        <w:rPr>
          <w:rFonts w:ascii="Arial" w:eastAsia="Times New Roman" w:hAnsi="Arial" w:cs="Arial"/>
          <w:color w:val="000000"/>
          <w:lang w:val="en-US" w:eastAsia="de-DE"/>
        </w:rPr>
        <w:t xml:space="preserve"> promotes senescence by disrupting cell function, reverting our understanding of the underlying causality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{"citationItems":[{"id":"ITEM-1","itemData":{"DOI":"10.1111/FEBS.16983","ISSN":"1742-4658","abstract":"Cellular senescence refers to</w:instrText>
      </w:r>
      <w:r>
        <w:rPr>
          <w:rFonts w:ascii="Arial" w:eastAsia="Times New Roman" w:hAnsi="Arial" w:cs="Arial"/>
          <w:color w:val="000000"/>
          <w:lang w:val="en-US" w:eastAsia="de-DE"/>
        </w:rPr>
        <w:instrText xml:space="preserve"> a permanent and stable state of cell cycle exit. This process plays an important role in many cellular functions, including tumor suppression. It was first noted that senescence is associated with increased cell size in the early 1960s; however, how this </w:instrText>
      </w:r>
      <w:r>
        <w:rPr>
          <w:rFonts w:ascii="Arial" w:eastAsia="Times New Roman" w:hAnsi="Arial" w:cs="Arial"/>
          <w:color w:val="000000"/>
          <w:lang w:val="en-US" w:eastAsia="de-DE"/>
        </w:rPr>
        <w:instrText>contributes to permanent cell cycle exit was poorly understood until recently. In this review, we discuss new findings that identify increased cell size as not only a consequence but also a cause of permanent cell cycle exit. We highlight recent insights i</w:instrText>
      </w:r>
      <w:r>
        <w:rPr>
          <w:rFonts w:ascii="Arial" w:eastAsia="Times New Roman" w:hAnsi="Arial" w:cs="Arial"/>
          <w:color w:val="000000"/>
          <w:lang w:val="en-US" w:eastAsia="de-DE"/>
        </w:rPr>
        <w:instrText>nto how increased cell size alters normal cellular physiology and creates homeostatic imbalances that contribute to senescence induction. Finally, we focus on the potential clinical implications of these findings in the context of cell cycle arrest-causing</w:instrText>
      </w:r>
      <w:r>
        <w:rPr>
          <w:rFonts w:ascii="Arial" w:eastAsia="Times New Roman" w:hAnsi="Arial" w:cs="Arial"/>
          <w:color w:val="000000"/>
          <w:lang w:val="en-US" w:eastAsia="de-DE"/>
        </w:rPr>
        <w:instrText xml:space="preserve"> cancer therapeutics and speculate on how tumor cell size changes may impact outcomes in patients treated with these drugs.","author":[{"dropping-particle":"","family":"Manohar","given":"Sandhya","non-dropping-particle":"","parse-names":false,"suffix":""},</w:instrText>
      </w:r>
      <w:r>
        <w:rPr>
          <w:rFonts w:ascii="Arial" w:eastAsia="Times New Roman" w:hAnsi="Arial" w:cs="Arial"/>
          <w:color w:val="000000"/>
          <w:lang w:val="en-US" w:eastAsia="de-DE"/>
        </w:rPr>
        <w:instrText>{"dropping-particle":"","family":"Neurohr","given":"Gabriel E.","non-dropping-particle":"","parse-names":false,"suffix":""}],"container-title":"The FEBS Journal","id":"ITEM-1","issued":{"date-parts":[["2023"]]},"publisher":"John Wiley &amp; Sons, Ltd","title":</w:instrText>
      </w:r>
      <w:r>
        <w:rPr>
          <w:rFonts w:ascii="Arial" w:eastAsia="Times New Roman" w:hAnsi="Arial" w:cs="Arial"/>
          <w:color w:val="000000"/>
          <w:lang w:val="en-US" w:eastAsia="de-DE"/>
        </w:rPr>
        <w:instrText>"Too big not to fail: emerging evidence for size-induced senescence","type":"article-journal"},"uris":["http://www.mendeley.com/documents/?uuid=ba8e639b-51a1-322a-87de-bf6ce9cd8865"]}],"mendeley":{"formattedCitation":"&lt;sup&gt;9&lt;/sup&gt;","plainTextFormattedCitat</w:instrText>
      </w:r>
      <w:r>
        <w:rPr>
          <w:rFonts w:ascii="Arial" w:eastAsia="Times New Roman" w:hAnsi="Arial" w:cs="Arial"/>
          <w:color w:val="000000"/>
          <w:lang w:val="en-US" w:eastAsia="de-DE"/>
        </w:rPr>
        <w:instrText>ion":"9","previouslyFormattedCitation":"&lt;sup&gt;9&lt;/sup&gt;"},"properties":{"noteIndex":0},"schema":"https://github.com/citation-style-language/schema/raw/master/csl-citation.json"}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22402868" w14:textId="77777777" w:rsidR="00066D11" w:rsidRDefault="00066D11">
      <w:pPr>
        <w:spacing w:after="0" w:line="240" w:lineRule="auto"/>
        <w:jc w:val="both"/>
        <w:rPr>
          <w:rFonts w:ascii="Arial" w:eastAsia="Times New Roman" w:hAnsi="Arial" w:cs="Arial"/>
          <w:lang w:val="en-US" w:eastAsia="de-DE"/>
        </w:rPr>
      </w:pPr>
    </w:p>
    <w:p w14:paraId="125AECAF"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During the last decades, cell size was studied by a small group of research</w:t>
      </w:r>
      <w:r>
        <w:rPr>
          <w:rFonts w:ascii="Arial" w:eastAsia="Times New Roman" w:hAnsi="Arial" w:cs="Arial"/>
          <w:color w:val="000000"/>
          <w:lang w:val="en-US" w:eastAsia="de-DE"/>
        </w:rPr>
        <w:t xml:space="preserve">ers interested in understanding how cells control their size, and how intracellular processes are coordinated </w:t>
      </w:r>
      <w:r>
        <w:rPr>
          <w:rFonts w:ascii="Arial" w:eastAsia="Times New Roman" w:hAnsi="Arial" w:cs="Arial"/>
          <w:color w:val="000000"/>
          <w:lang w:val="en-US" w:eastAsia="de-DE"/>
        </w:rPr>
        <w:lastRenderedPageBreak/>
        <w:t>with changes of cell size. Only recently, new insights into how changes in cell size cause a broad reorganization of the cellular transcriptome an</w:t>
      </w:r>
      <w:r>
        <w:rPr>
          <w:rFonts w:ascii="Arial" w:eastAsia="Times New Roman" w:hAnsi="Arial" w:cs="Arial"/>
          <w:color w:val="000000"/>
          <w:lang w:val="en-US" w:eastAsia="de-DE"/>
        </w:rPr>
        <w:t>d proteome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{"citationItems":[{"id":"ITEM-1","itemData":{"DOI":"10.1146/annurev-cellbio-120219-040142","ISSN":"15308995","PMID":"35562854","abstract":"The most fundamental feature of cellular form is size, which sets the scale of all cell </w:instrText>
      </w:r>
      <w:r>
        <w:rPr>
          <w:rFonts w:ascii="Arial" w:eastAsia="Times New Roman" w:hAnsi="Arial" w:cs="Arial"/>
          <w:color w:val="000000"/>
          <w:lang w:val="en-US" w:eastAsia="de-DE"/>
        </w:rPr>
        <w:instrText>biological processes. Growth, form, and function are all necessarily linked in cell biology, but we often do not understand the underlying molecular mechanisms nor their specific functions. Here, we review progress toward determining the molecular mechanis</w:instrText>
      </w:r>
      <w:r>
        <w:rPr>
          <w:rFonts w:ascii="Arial" w:eastAsia="Times New Roman" w:hAnsi="Arial" w:cs="Arial"/>
          <w:color w:val="000000"/>
          <w:lang w:val="en-US" w:eastAsia="de-DE"/>
        </w:rPr>
        <w:instrText>ms that regulate cell size in yeast, animals, and plants, as well as progress toward understanding the function of cell size regulation. It has become increasingly clear that the mechanism of cell size regulation is deeply intertwined with basic mechanisms</w:instrText>
      </w:r>
      <w:r>
        <w:rPr>
          <w:rFonts w:ascii="Arial" w:eastAsia="Times New Roman" w:hAnsi="Arial" w:cs="Arial"/>
          <w:color w:val="000000"/>
          <w:lang w:val="en-US" w:eastAsia="de-DE"/>
        </w:rPr>
        <w:instrText xml:space="preserve"> of biosynthesis, and how biosynthesis can be scaled (or not) in proportion to cell size. Finally, we highlight recent findings causally linking aberrant cell size regulation to cellular senescence and their implications for cancer therapies.","author":[{"</w:instrText>
      </w:r>
      <w:r>
        <w:rPr>
          <w:rFonts w:ascii="Arial" w:eastAsia="Times New Roman" w:hAnsi="Arial" w:cs="Arial"/>
          <w:color w:val="000000"/>
          <w:lang w:val="en-US" w:eastAsia="de-DE"/>
        </w:rPr>
        <w:instrText>dropping-particle":"","family":"Xie","given":"Shicong","non-dropping-particle":"","parse-names":false,"suffix":""},{"dropping-particle":"","family":"Swaffer","given":"Matthew","non-dropping-particle":"","parse-names":false,"suffix":""},{"dropping-particle"</w:instrText>
      </w:r>
      <w:r>
        <w:rPr>
          <w:rFonts w:ascii="Arial" w:eastAsia="Times New Roman" w:hAnsi="Arial" w:cs="Arial"/>
          <w:color w:val="000000"/>
          <w:lang w:val="en-US" w:eastAsia="de-DE"/>
        </w:rPr>
        <w:instrText>:"","family":"Skotheim","given":"Jan M.","non-dropping-particle":"","parse-names":false,"suffix":""}],"container-title":"Annual Review of Cell and Developmental Biology","id":"ITEM-1","issued":{"date-parts":[["2022","10","6"]]},"page":"291-319","publisher"</w:instrText>
      </w:r>
      <w:r>
        <w:rPr>
          <w:rFonts w:ascii="Arial" w:eastAsia="Times New Roman" w:hAnsi="Arial" w:cs="Arial"/>
          <w:color w:val="000000"/>
          <w:lang w:val="en-US" w:eastAsia="de-DE"/>
        </w:rPr>
        <w:instrText>:"Annual Reviews","title":"Eukaryotic Cell Size Control and Its Relation to Biosynthesis and Senescence","type":"article","volume":"38"},"uris":["http://www.mendeley.com/documents/?uuid=c174c0af-c9a1-3a8a-85ff-ff48610a6d49"]}],"mendeley":{"formattedCitatio</w:instrText>
      </w:r>
      <w:r>
        <w:rPr>
          <w:rFonts w:ascii="Arial" w:eastAsia="Times New Roman" w:hAnsi="Arial" w:cs="Arial"/>
          <w:color w:val="000000"/>
          <w:lang w:val="en-US" w:eastAsia="de-DE"/>
        </w:rPr>
        <w:instrText>n":"&lt;sup&gt;10&lt;/sup&gt;","plainTextFormattedCitation":"10","previouslyFormattedCitation":"&lt;sup&gt;10&lt;/sup&gt;"},"properties":{"noteIndex":0},"schema":"https://github.com/citation-style-language/schema/raw/master/csl-citation.json"}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have sparked attention (Fig. 2)</w:t>
      </w:r>
      <w:r>
        <w:rPr>
          <w:rFonts w:ascii="Arial" w:eastAsia="Times New Roman" w:hAnsi="Arial" w:cs="Arial"/>
          <w:color w:val="000000"/>
          <w:lang w:val="en-US" w:eastAsia="de-DE"/>
        </w:rPr>
        <w:t>, and have led to an increasing awareness that because cell size impacts virtually all intracellular processes, it must be considered in many biological contexts. Still, across cell biology, the role of cell size is often ignored.</w:t>
      </w:r>
    </w:p>
    <w:p w14:paraId="4536B351" w14:textId="77777777" w:rsidR="00066D11" w:rsidRDefault="00066D11">
      <w:pPr>
        <w:spacing w:after="0" w:line="240" w:lineRule="auto"/>
        <w:jc w:val="both"/>
        <w:rPr>
          <w:rFonts w:ascii="Arial" w:eastAsia="Times New Roman" w:hAnsi="Arial" w:cs="Arial"/>
          <w:lang w:val="en-US" w:eastAsia="de-DE"/>
        </w:rPr>
      </w:pPr>
    </w:p>
    <w:p w14:paraId="5E89F7AD"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Focusing on mononucleate</w:t>
      </w:r>
      <w:r>
        <w:rPr>
          <w:rFonts w:ascii="Arial" w:eastAsia="Times New Roman" w:hAnsi="Arial" w:cs="Arial"/>
          <w:color w:val="000000"/>
          <w:lang w:val="en-US" w:eastAsia="de-DE"/>
        </w:rPr>
        <w:t>d cells, we here aim to give an overview about how cell size governs the function of eukaryotic cells, how cells can control their size, and how failure to maintain the correct size leads to cellular dysfunction and disease. Note that unless clarified othe</w:t>
      </w:r>
      <w:r>
        <w:rPr>
          <w:rFonts w:ascii="Arial" w:eastAsia="Times New Roman" w:hAnsi="Arial" w:cs="Arial"/>
          <w:color w:val="000000"/>
          <w:lang w:val="en-US" w:eastAsia="de-DE"/>
        </w:rPr>
        <w:t>rwise, we use the term ‘cell size’ to interchangeably refer to cell volume, cell mass, and cellular dry mass, all of which are typically – but not always – strongly correlated.</w:t>
      </w:r>
    </w:p>
    <w:p w14:paraId="6DEF8C19"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lang w:val="en-US" w:eastAsia="de-DE"/>
        </w:rPr>
        <w:br/>
      </w:r>
    </w:p>
    <w:p w14:paraId="19DE9CA3" w14:textId="77777777" w:rsidR="00066D11" w:rsidRDefault="00E55468">
      <w:pPr>
        <w:spacing w:after="0" w:line="240" w:lineRule="auto"/>
        <w:ind w:left="360" w:hanging="360"/>
        <w:jc w:val="both"/>
        <w:textAlignment w:val="baseline"/>
        <w:rPr>
          <w:rFonts w:ascii="Arial" w:eastAsia="Times New Roman" w:hAnsi="Arial" w:cs="Arial"/>
          <w:b/>
          <w:bCs/>
          <w:color w:val="000000"/>
          <w:lang w:val="en-US" w:eastAsia="de-DE"/>
        </w:rPr>
      </w:pPr>
      <w:r>
        <w:rPr>
          <w:rFonts w:ascii="Arial" w:eastAsia="Times New Roman" w:hAnsi="Arial" w:cs="Arial"/>
          <w:b/>
          <w:bCs/>
          <w:color w:val="000000"/>
          <w:u w:val="single"/>
          <w:lang w:val="en-US" w:eastAsia="de-DE"/>
        </w:rPr>
        <w:t xml:space="preserve">2 Cell size governs biosynthesis and cellular </w:t>
      </w:r>
      <w:proofErr w:type="gramStart"/>
      <w:r>
        <w:rPr>
          <w:rFonts w:ascii="Arial" w:eastAsia="Times New Roman" w:hAnsi="Arial" w:cs="Arial"/>
          <w:b/>
          <w:bCs/>
          <w:color w:val="000000"/>
          <w:u w:val="single"/>
          <w:lang w:val="en-US" w:eastAsia="de-DE"/>
        </w:rPr>
        <w:t>composition</w:t>
      </w:r>
      <w:proofErr w:type="gramEnd"/>
    </w:p>
    <w:p w14:paraId="0C2BCEF1" w14:textId="77777777" w:rsidR="00066D11" w:rsidRDefault="00066D11">
      <w:pPr>
        <w:spacing w:after="0" w:line="240" w:lineRule="auto"/>
        <w:jc w:val="both"/>
        <w:rPr>
          <w:rFonts w:ascii="Arial" w:eastAsia="Times New Roman" w:hAnsi="Arial" w:cs="Arial"/>
          <w:lang w:val="en-US" w:eastAsia="de-DE"/>
        </w:rPr>
      </w:pPr>
    </w:p>
    <w:p w14:paraId="07AEB019"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In essence, a cell</w:t>
      </w:r>
      <w:r>
        <w:rPr>
          <w:rFonts w:ascii="Arial" w:eastAsia="Times New Roman" w:hAnsi="Arial" w:cs="Arial"/>
          <w:color w:val="000000"/>
          <w:lang w:val="en-US" w:eastAsia="de-DE"/>
        </w:rPr>
        <w:t xml:space="preserve"> is a sophisticated living machine that functions using an intricate network of biochemical reactions. The rate of these reactions is governed by the concentration of the molecules involved. If concentrations control biological function, for a cell to incr</w:t>
      </w:r>
      <w:r>
        <w:rPr>
          <w:rFonts w:ascii="Arial" w:eastAsia="Times New Roman" w:hAnsi="Arial" w:cs="Arial"/>
          <w:color w:val="000000"/>
          <w:lang w:val="en-US" w:eastAsia="de-DE"/>
        </w:rPr>
        <w:t xml:space="preserve">ease in size without compromising the efficiency of the intracellular processes, macromolecules must increase in amount with size to maintain their constant concentrations. Such a proportional increase with cell size – leading to constant concentrations </w:t>
      </w:r>
      <w:r>
        <w:rPr>
          <w:rFonts w:ascii="Arial" w:eastAsia="Times New Roman" w:hAnsi="Arial" w:cs="Arial"/>
          <w:color w:val="000000"/>
          <w:shd w:val="clear" w:color="auto" w:fill="FFFFFF"/>
          <w:lang w:val="en-US" w:eastAsia="de-DE"/>
        </w:rPr>
        <w:t>–</w:t>
      </w:r>
      <w:r>
        <w:rPr>
          <w:rFonts w:ascii="Arial" w:eastAsia="Times New Roman" w:hAnsi="Arial" w:cs="Arial"/>
          <w:color w:val="000000"/>
          <w:lang w:val="en-US" w:eastAsia="de-DE"/>
        </w:rPr>
        <w:t xml:space="preserve"> </w:t>
      </w:r>
      <w:r>
        <w:rPr>
          <w:rFonts w:ascii="Arial" w:eastAsia="Times New Roman" w:hAnsi="Arial" w:cs="Arial"/>
          <w:color w:val="000000"/>
          <w:lang w:val="en-US" w:eastAsia="de-DE"/>
        </w:rPr>
        <w:t xml:space="preserve">is often termed as </w:t>
      </w:r>
      <w:r>
        <w:rPr>
          <w:rFonts w:ascii="Arial" w:eastAsia="Times New Roman" w:hAnsi="Arial" w:cs="Arial"/>
          <w:i/>
          <w:iCs/>
          <w:color w:val="000000"/>
          <w:lang w:val="en-US" w:eastAsia="de-DE"/>
        </w:rPr>
        <w:t>scaling</w:t>
      </w:r>
      <w:r>
        <w:rPr>
          <w:rFonts w:ascii="Arial" w:eastAsia="Times New Roman" w:hAnsi="Arial" w:cs="Arial"/>
          <w:color w:val="000000"/>
          <w:lang w:val="en-US" w:eastAsia="de-DE"/>
        </w:rPr>
        <w:t xml:space="preserve">. Alternatively, if the concentration decreases, that is the molecule is diluted with size, it is called </w:t>
      </w:r>
      <w:proofErr w:type="spellStart"/>
      <w:r>
        <w:rPr>
          <w:rFonts w:ascii="Arial" w:eastAsia="Times New Roman" w:hAnsi="Arial" w:cs="Arial"/>
          <w:i/>
          <w:iCs/>
          <w:color w:val="000000"/>
          <w:lang w:val="en-US" w:eastAsia="de-DE"/>
        </w:rPr>
        <w:t>subscaling</w:t>
      </w:r>
      <w:proofErr w:type="spellEnd"/>
      <w:r>
        <w:rPr>
          <w:rFonts w:ascii="Arial" w:eastAsia="Times New Roman" w:hAnsi="Arial" w:cs="Arial"/>
          <w:color w:val="000000"/>
          <w:lang w:val="en-US" w:eastAsia="de-DE"/>
        </w:rPr>
        <w:t xml:space="preserve">. If the concentration increases, that is the molecule is concentrated with size, it is called </w:t>
      </w:r>
      <w:proofErr w:type="spellStart"/>
      <w:r>
        <w:rPr>
          <w:rFonts w:ascii="Arial" w:eastAsia="Times New Roman" w:hAnsi="Arial" w:cs="Arial"/>
          <w:i/>
          <w:iCs/>
          <w:lang w:val="en-US" w:eastAsia="de-DE"/>
        </w:rPr>
        <w:t>superscaling</w:t>
      </w:r>
      <w:proofErr w:type="spellEnd"/>
      <w:r>
        <w:rPr>
          <w:rFonts w:ascii="Arial" w:eastAsia="Times New Roman" w:hAnsi="Arial" w:cs="Arial"/>
          <w:lang w:val="en-US" w:eastAsia="de-DE"/>
        </w:rPr>
        <w:t xml:space="preserve"> (Fig. 2b). Regulating these different scaling relationships allows the cell to adjust cell function according to the new physiological state associa</w:t>
      </w:r>
      <w:r>
        <w:rPr>
          <w:rFonts w:ascii="Arial" w:eastAsia="Times New Roman" w:hAnsi="Arial" w:cs="Arial"/>
          <w:lang w:val="en-US" w:eastAsia="de-DE"/>
        </w:rPr>
        <w:t xml:space="preserve">ted with the changed cell size and account for the associated physical constraints. Emphasizing the importance of the correct scaling relationships, </w:t>
      </w:r>
      <w:proofErr w:type="spellStart"/>
      <w:r>
        <w:rPr>
          <w:rFonts w:ascii="Arial" w:eastAsia="Times New Roman" w:hAnsi="Arial" w:cs="Arial"/>
          <w:lang w:val="en-US" w:eastAsia="de-DE"/>
        </w:rPr>
        <w:t>misregulation</w:t>
      </w:r>
      <w:proofErr w:type="spellEnd"/>
      <w:r>
        <w:rPr>
          <w:rFonts w:ascii="Arial" w:eastAsia="Times New Roman" w:hAnsi="Arial" w:cs="Arial"/>
          <w:lang w:val="en-US" w:eastAsia="de-DE"/>
        </w:rPr>
        <w:t xml:space="preserve"> of size-dependent scaling in exceedingly large cells has been shown to be detrimental and rec</w:t>
      </w:r>
      <w:r>
        <w:rPr>
          <w:rFonts w:ascii="Arial" w:eastAsia="Times New Roman" w:hAnsi="Arial" w:cs="Arial"/>
          <w:lang w:val="en-US" w:eastAsia="de-DE"/>
        </w:rPr>
        <w:t>ently has been proven to be a causal driver of senescence</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{"citationItems":[{"id":"ITEM-1","itemData":{"DOI":"10.1016/J.CELL.2019.01.018","ISSN":"0092-8674","abstract":"Cell size varies greatly between cell types, yet within a specific ce</w:instrText>
      </w:r>
      <w:r>
        <w:rPr>
          <w:rFonts w:ascii="Arial" w:eastAsia="Times New Roman" w:hAnsi="Arial" w:cs="Arial"/>
          <w:lang w:val="en-US" w:eastAsia="de-DE"/>
        </w:rPr>
        <w:instrText>ll type and growth condition, cell size is narrowly distributed. Why maintenance of a cell-type specific cell size is important remains poorly understood. Here we show that growing budding yeast and primary mammalian cells beyond a certain size impairs gen</w:instrText>
      </w:r>
      <w:r>
        <w:rPr>
          <w:rFonts w:ascii="Arial" w:eastAsia="Times New Roman" w:hAnsi="Arial" w:cs="Arial"/>
          <w:lang w:val="en-US" w:eastAsia="de-DE"/>
        </w:rPr>
        <w:instrText>e induction, cell-cycle progression, and cell signaling. These defects are due to the inability of large cells to scale nucleic acid and protein biosynthesis in accordance with cell volume increase, which effectively leads to cytoplasm dilution. We further</w:instrText>
      </w:r>
      <w:r>
        <w:rPr>
          <w:rFonts w:ascii="Arial" w:eastAsia="Times New Roman" w:hAnsi="Arial" w:cs="Arial"/>
          <w:lang w:val="en-US" w:eastAsia="de-DE"/>
        </w:rPr>
        <w:instrText xml:space="preserve"> show that loss of scaling beyond a certain critical size is due to DNA becoming limiting. Based on the observation that senescent cells are large and exhibit many of the phenotypes of large cells, we propose that the range of DNA:cytoplasm ratio that supp</w:instrText>
      </w:r>
      <w:r>
        <w:rPr>
          <w:rFonts w:ascii="Arial" w:eastAsia="Times New Roman" w:hAnsi="Arial" w:cs="Arial"/>
          <w:lang w:val="en-US" w:eastAsia="de-DE"/>
        </w:rPr>
        <w:instrText>orts optimal cell function is limited and that ratios outside these bounds contribute to aging.","author":[{"dropping-particle":"","family":"Neurohr","given":"Gabriel E.","non-dropping-particle":"","parse-names":false,"suffix":""},{"dropping-particle":"","</w:instrText>
      </w:r>
      <w:r>
        <w:rPr>
          <w:rFonts w:ascii="Arial" w:eastAsia="Times New Roman" w:hAnsi="Arial" w:cs="Arial"/>
          <w:lang w:val="en-US" w:eastAsia="de-DE"/>
        </w:rPr>
        <w:instrText>family":"Terry","given":"Rachel L.","non-dropping-particle":"","parse-names":false,"suffix":""},{"dropping-particle":"","family":"Lengefeld","given":"Jette","non-dropping-particle":"","parse-names":false,"suffix":""},{"dropping-particle":"","family":"Bonne</w:instrText>
      </w:r>
      <w:r>
        <w:rPr>
          <w:rFonts w:ascii="Arial" w:eastAsia="Times New Roman" w:hAnsi="Arial" w:cs="Arial"/>
          <w:lang w:val="en-US" w:eastAsia="de-DE"/>
        </w:rPr>
        <w:instrText>y","given":"Megan","non-dropping-particle":"","parse-names":false,"suffix":""},{"dropping-particle":"","family":"Brittingham","given":"Gregory P.","non-dropping-particle":"","parse-names":false,"suffix":""},{"dropping-particle":"","family":"Moretto","given</w:instrText>
      </w:r>
      <w:r>
        <w:rPr>
          <w:rFonts w:ascii="Arial" w:eastAsia="Times New Roman" w:hAnsi="Arial" w:cs="Arial"/>
          <w:lang w:val="en-US" w:eastAsia="de-DE"/>
        </w:rPr>
        <w:instrText>":"Fabien","non-dropping-particle":"","parse-names":false,"suffix":""},{"dropping-particle":"","family":"Miettinen","given":"Teemu P.","non-dropping-particle":"","parse-names":false,"suffix":""},{"dropping-particle":"","family":"Vaites","given":"Laura Pont</w:instrText>
      </w:r>
      <w:r>
        <w:rPr>
          <w:rFonts w:ascii="Arial" w:eastAsia="Times New Roman" w:hAnsi="Arial" w:cs="Arial"/>
          <w:lang w:val="en-US" w:eastAsia="de-DE"/>
        </w:rPr>
        <w:instrText>ano","non-dropping-particle":"","parse-names":false,"suffix":""},{"dropping-particle":"","family":"Soares","given":"Luis M.","non-dropping-particle":"","parse-names":false,"suffix":""},{"dropping-particle":"","family":"Paulo","given":"Joao A.","non-droppin</w:instrText>
      </w:r>
      <w:r>
        <w:rPr>
          <w:rFonts w:ascii="Arial" w:eastAsia="Times New Roman" w:hAnsi="Arial" w:cs="Arial"/>
          <w:lang w:val="en-US" w:eastAsia="de-DE"/>
        </w:rPr>
        <w:instrText>g-particle":"","parse-names":false,"suffix":""},{"dropping-particle":"","family":"Harper","given":"J. Wade","non-dropping-particle":"","parse-names":false,"suffix":""},{"dropping-particle":"","family":"Buratowski","given":"Stephen","non-dropping-particle":</w:instrText>
      </w:r>
      <w:r>
        <w:rPr>
          <w:rFonts w:ascii="Arial" w:eastAsia="Times New Roman" w:hAnsi="Arial" w:cs="Arial"/>
          <w:lang w:val="en-US" w:eastAsia="de-DE"/>
        </w:rPr>
        <w:instrText>"","parse-names":false,"suffix":""},{"dropping-particle":"","family":"Manalis","given":"Scott","non-dropping-particle":"","parse-names":false,"suffix":""},{"dropping-particle":"","family":"Werven","given":"Folkert J.","non-dropping-particle":"van","parse-n</w:instrText>
      </w:r>
      <w:r>
        <w:rPr>
          <w:rFonts w:ascii="Arial" w:eastAsia="Times New Roman" w:hAnsi="Arial" w:cs="Arial"/>
          <w:lang w:val="en-US" w:eastAsia="de-DE"/>
        </w:rPr>
        <w:instrText>ames":false,"suffix":""},{"dropping-particle":"","family":"Holt","given":"Liam J.","non-dropping-particle":"","parse-names":false,"suffix":""},{"dropping-particle":"","family":"Amon","given":"Angelika","non-dropping-particle":"","parse-names":false,"suffix</w:instrText>
      </w:r>
      <w:r>
        <w:rPr>
          <w:rFonts w:ascii="Arial" w:eastAsia="Times New Roman" w:hAnsi="Arial" w:cs="Arial"/>
          <w:lang w:val="en-US" w:eastAsia="de-DE"/>
        </w:rPr>
        <w:instrText>":""}],"container-title":"Cell","id":"ITEM-1","issue":"5","issued":{"date-parts":[["2019","2","21"]]},"page":"1083-1097.e18","publisher":"Cell Press","title":"Excessive Cell Growth Causes Cytoplasm Dilution And Contributes to Senescence","type":"article-jo</w:instrText>
      </w:r>
      <w:r>
        <w:rPr>
          <w:rFonts w:ascii="Arial" w:eastAsia="Times New Roman" w:hAnsi="Arial" w:cs="Arial"/>
          <w:lang w:val="en-US" w:eastAsia="de-DE"/>
        </w:rPr>
        <w:instrText>urnal","volume":"176"},"uris":["http://www.mendeley.com/documents/?uuid=4833c8e1-6ce1-37ae-98d6-80963c92a809"]},{"id":"ITEM-2","itemData":{"DOI":"10.1126/SCIADV.ABK0271/SUPPL_FILE/SCIADV.ABK0271_TABLES_S1_TO_S3.ZIP","ISSN":"23752548","PMID":"34767451","abs</w:instrText>
      </w:r>
      <w:r>
        <w:rPr>
          <w:rFonts w:ascii="Arial" w:eastAsia="Times New Roman" w:hAnsi="Arial" w:cs="Arial"/>
          <w:lang w:val="en-US" w:eastAsia="de-DE"/>
        </w:rPr>
        <w:instrText xml:space="preserve">tract":"Stem cells are remarkably small. Whether small size is important for stem cell function is unknown. We find that hematopoietic stem cells (HSCs) enlarge under conditions known to decrease stem cell function. This decreased fitness of large HSCs is </w:instrText>
      </w:r>
      <w:r>
        <w:rPr>
          <w:rFonts w:ascii="Arial" w:eastAsia="Times New Roman" w:hAnsi="Arial" w:cs="Arial"/>
          <w:lang w:val="en-US" w:eastAsia="de-DE"/>
        </w:rPr>
        <w:instrText>due to reduced proliferation and was accompanied by altered metabolism. Preventing HSC enlargement or reducing large HSCs in size averts the loss of stem cell potential under conditions causing stem cell exhaustion. Last, we show that murine and human HSCs</w:instrText>
      </w:r>
      <w:r>
        <w:rPr>
          <w:rFonts w:ascii="Arial" w:eastAsia="Times New Roman" w:hAnsi="Arial" w:cs="Arial"/>
          <w:lang w:val="en-US" w:eastAsia="de-DE"/>
        </w:rPr>
        <w:instrText xml:space="preserve"> enlarge during aging. Preventing this age-dependent enlargement improves HSC function. We conclude that small cell size is important for stem cell function in vivo and propose that stem cell enlargement contributes to their functional decline during aging</w:instrText>
      </w:r>
      <w:r>
        <w:rPr>
          <w:rFonts w:ascii="Arial" w:eastAsia="Times New Roman" w:hAnsi="Arial" w:cs="Arial"/>
          <w:lang w:val="en-US" w:eastAsia="de-DE"/>
        </w:rPr>
        <w:instrText>.","author":[{"dropping-particle":"","family":"Lengefeld","given":"Jette","non-dropping-particle":"","parse-names":false,"suffix":""},{"dropping-particle":"","family":"Cheng","given":"Chia Wei","non-dropping-particle":"","parse-names":false,"suffix":""},{"</w:instrText>
      </w:r>
      <w:r>
        <w:rPr>
          <w:rFonts w:ascii="Arial" w:eastAsia="Times New Roman" w:hAnsi="Arial" w:cs="Arial"/>
          <w:lang w:val="en-US" w:eastAsia="de-DE"/>
        </w:rPr>
        <w:instrText>dropping-particle":"","family":"Maretich","given":"Pema","non-dropping-particle":"","parse-names":false,"suffix":""},{"dropping-particle":"","family":"Blair","given":"Marguerite","non-dropping-particle":"","parse-names":false,"suffix":""},{"dropping-partic</w:instrText>
      </w:r>
      <w:r>
        <w:rPr>
          <w:rFonts w:ascii="Arial" w:eastAsia="Times New Roman" w:hAnsi="Arial" w:cs="Arial"/>
          <w:lang w:val="en-US" w:eastAsia="de-DE"/>
        </w:rPr>
        <w:instrText>le":"","family":"Hagen","given":"Hannah","non-dropping-particle":"","parse-names":false,"suffix":""},{"dropping-particle":"","family":"McReynolds","given":"Melanie R.","non-dropping-particle":"","parse-names":false,"suffix":""},{"dropping-particle":"","fam</w:instrText>
      </w:r>
      <w:r>
        <w:rPr>
          <w:rFonts w:ascii="Arial" w:eastAsia="Times New Roman" w:hAnsi="Arial" w:cs="Arial"/>
          <w:lang w:val="en-US" w:eastAsia="de-DE"/>
        </w:rPr>
        <w:instrText>ily":"Sullivan","given":"Emily","non-dropping-particle":"","parse-names":false,"suffix":""},{"dropping-particle":"","family":"Majors","given":"Kyra","non-dropping-particle":"","parse-names":false,"suffix":""},{"dropping-particle":"","family":"Roberts","giv</w:instrText>
      </w:r>
      <w:r>
        <w:rPr>
          <w:rFonts w:ascii="Arial" w:eastAsia="Times New Roman" w:hAnsi="Arial" w:cs="Arial"/>
          <w:lang w:val="en-US" w:eastAsia="de-DE"/>
        </w:rPr>
        <w:instrText>en":"Christina","non-dropping-particle":"","parse-names":false,"suffix":""},{"dropping-particle":"","family":"Kang","given":"Joon Ho","non-dropping-particle":"","parse-names":false,"suffix":""},{"dropping-particle":"","family":"Steiner","given":"Joachim D.</w:instrText>
      </w:r>
      <w:r>
        <w:rPr>
          <w:rFonts w:ascii="Arial" w:eastAsia="Times New Roman" w:hAnsi="Arial" w:cs="Arial"/>
          <w:lang w:val="en-US" w:eastAsia="de-DE"/>
        </w:rPr>
        <w:instrText>","non-dropping-particle":"","parse-names":false,"suffix":""},{"dropping-particle":"","family":"Miettinen","given":"Teemu P.","non-dropping-particle":"","parse-names":false,"suffix":""},{"dropping-particle":"","family":"Manalis","given":"Scott R.","non-dro</w:instrText>
      </w:r>
      <w:r>
        <w:rPr>
          <w:rFonts w:ascii="Arial" w:eastAsia="Times New Roman" w:hAnsi="Arial" w:cs="Arial"/>
          <w:lang w:val="en-US" w:eastAsia="de-DE"/>
        </w:rPr>
        <w:instrText>pping-particle":"","parse-names":false,"suffix":""},{"dropping-particle":"","family":"Antebi","given":"Adam","non-dropping-particle":"","parse-names":false,"suffix":""},{"dropping-particle":"","family":"Morrison","given":"Sean J.","non-dropping-particle":"</w:instrText>
      </w:r>
      <w:r>
        <w:rPr>
          <w:rFonts w:ascii="Arial" w:eastAsia="Times New Roman" w:hAnsi="Arial" w:cs="Arial"/>
          <w:lang w:val="en-US" w:eastAsia="de-DE"/>
        </w:rPr>
        <w:instrText>","parse-names":false,"suffix":""},{"dropping-particle":"","family":"Lees","given":"Jacqueline A.","non-dropping-particle":"","parse-names":false,"suffix":""},{"dropping-particle":"","family":"Boyer","given":"Laurie A.","non-dropping-particle":"","parse-na</w:instrText>
      </w:r>
      <w:r>
        <w:rPr>
          <w:rFonts w:ascii="Arial" w:eastAsia="Times New Roman" w:hAnsi="Arial" w:cs="Arial"/>
          <w:lang w:val="en-US" w:eastAsia="de-DE"/>
        </w:rPr>
        <w:instrText>mes":false,"suffix":""},{"dropping-particle":"","family":"Yilmaz","given":"Ömer H.","non-dropping-particle":"","parse-names":false,"suffix":""},{"dropping-particle":"","family":"Amon","given":"Angelika","non-dropping-particle":"","parse-names":false,"suffi</w:instrText>
      </w:r>
      <w:r>
        <w:rPr>
          <w:rFonts w:ascii="Arial" w:eastAsia="Times New Roman" w:hAnsi="Arial" w:cs="Arial"/>
          <w:lang w:val="en-US" w:eastAsia="de-DE"/>
        </w:rPr>
        <w:instrText>x":""}],"container-title":"Science Advances","id":"ITEM-2","issue":"46","issued":{"date-parts":[["2021","11","1"]]},"page":"271","publisher":"American Association for the Advancement of Science","title":"Cell size is a determinant of stem cell potential du</w:instrText>
      </w:r>
      <w:r>
        <w:rPr>
          <w:rFonts w:ascii="Arial" w:eastAsia="Times New Roman" w:hAnsi="Arial" w:cs="Arial"/>
          <w:lang w:val="en-US" w:eastAsia="de-DE"/>
        </w:rPr>
        <w:instrText>ring aging","type":"article-journal","volume":"7"},"uris":["http://www.mendeley.com/documents/?uuid=c34cdf40-a099-3fc7-a713-f26e7defa245"]}],"mendeley":{"formattedCitation":"&lt;sup&gt;3,11&lt;/sup&gt;","plainTextFormattedCitation":"3,11","previouslyFormattedCitation"</w:instrText>
      </w:r>
      <w:r>
        <w:rPr>
          <w:rFonts w:ascii="Arial" w:eastAsia="Times New Roman" w:hAnsi="Arial" w:cs="Arial"/>
          <w:lang w:val="en-US" w:eastAsia="de-DE"/>
        </w:rPr>
        <w:instrText>:"&lt;sup&gt;3,11&lt;/sup&gt;"},"properties":{"noteIndex":0},"schema":"https://github.com/citation-style-language/schema/raw/master/csl-citation.json"}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3,11</w:t>
      </w:r>
      <w:r>
        <w:rPr>
          <w:rFonts w:ascii="Arial" w:eastAsia="Times New Roman" w:hAnsi="Arial" w:cs="Arial"/>
          <w:lang w:val="en-US" w:eastAsia="de-DE"/>
        </w:rPr>
        <w:fldChar w:fldCharType="end"/>
      </w:r>
      <w:r>
        <w:rPr>
          <w:rFonts w:ascii="Arial" w:eastAsia="Times New Roman" w:hAnsi="Arial" w:cs="Arial"/>
          <w:lang w:val="en-US" w:eastAsia="de-DE"/>
        </w:rPr>
        <w:t xml:space="preserve"> (see section 8). </w:t>
      </w:r>
    </w:p>
    <w:p w14:paraId="53A65991" w14:textId="77777777" w:rsidR="00066D11" w:rsidRDefault="00066D11">
      <w:pPr>
        <w:spacing w:after="0" w:line="240" w:lineRule="auto"/>
        <w:jc w:val="both"/>
        <w:rPr>
          <w:rFonts w:ascii="Arial" w:eastAsia="Times New Roman" w:hAnsi="Arial" w:cs="Arial"/>
          <w:lang w:val="en-US" w:eastAsia="de-DE"/>
        </w:rPr>
      </w:pPr>
    </w:p>
    <w:p w14:paraId="2FC6E924"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lang w:val="en-US" w:eastAsia="de-DE"/>
        </w:rPr>
        <w:t>Typically, total cellular transcript and protein amounts increase roughly proportionally w</w:t>
      </w:r>
      <w:r>
        <w:rPr>
          <w:rFonts w:ascii="Arial" w:eastAsia="Times New Roman" w:hAnsi="Arial" w:cs="Arial"/>
          <w:lang w:val="en-US" w:eastAsia="de-DE"/>
        </w:rPr>
        <w:t>ith cell size, such that their concentration is maintained</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{"citationItems":[{"id":"ITEM-1","itemData":{"DOI":"10.1083/JCB.128.4.467","ISBN":"00219525/95/02/4","ISSN":"0021-9525","PMID":"7532171","abstract":"Cell sizes can differ vastly b</w:instrText>
      </w:r>
      <w:r>
        <w:rPr>
          <w:rFonts w:ascii="Arial" w:eastAsia="Times New Roman" w:hAnsi="Arial" w:cs="Arial"/>
          <w:lang w:val="en-US" w:eastAsia="de-DE"/>
        </w:rPr>
        <w:instrText>etween cell types in individual metazoan organisms. In rat liver, spleen, and thymus, differences in average cell size roughly reflect diffrences in RNA:DNA ratios. For example, hepatocytes were found to have a cytoplasmic:nuclear volume ratio and an RNA:D</w:instrText>
      </w:r>
      <w:r>
        <w:rPr>
          <w:rFonts w:ascii="Arial" w:eastAsia="Times New Roman" w:hAnsi="Arial" w:cs="Arial"/>
          <w:lang w:val="en-US" w:eastAsia="de-DE"/>
        </w:rPr>
        <w:instrText>NA ratio which were 34- and 21-fold higher, respectively, than those in thymocytes. RNA synthesis per DNA-equivalent in the hepatocytes was 25-fold greater than that in thymocytes, suggesting that differences in overall transcriptional activity, not differ</w:instrText>
      </w:r>
      <w:r>
        <w:rPr>
          <w:rFonts w:ascii="Arial" w:eastAsia="Times New Roman" w:hAnsi="Arial" w:cs="Arial"/>
          <w:lang w:val="en-US" w:eastAsia="de-DE"/>
        </w:rPr>
        <w:instrText>ences in overall RNA stability, were primarily responsible for determining cellular RNA:DNA ratios. The mechanisms determining the capacity of large cells to synthesize and accumulate more ubiquitous cytoplasmic macromolecules, such as ribosomes, than smal</w:instrText>
      </w:r>
      <w:r>
        <w:rPr>
          <w:rFonts w:ascii="Arial" w:eastAsia="Times New Roman" w:hAnsi="Arial" w:cs="Arial"/>
          <w:lang w:val="en-US" w:eastAsia="de-DE"/>
        </w:rPr>
        <w:instrText>ler cells is entitled \"cell size regulation\". Cell size regulation may have important consequences on the tissue distribution of transcription factors. Thus, in liver, lung, kidney, spleen, and brain, cellular levels of the mRNA encoding the leucine zipp</w:instrText>
      </w:r>
      <w:r>
        <w:rPr>
          <w:rFonts w:ascii="Arial" w:eastAsia="Times New Roman" w:hAnsi="Arial" w:cs="Arial"/>
          <w:lang w:val="en-US" w:eastAsia="de-DE"/>
        </w:rPr>
        <w:instrText>er protein DBP correlate closely to cellular RNA:DNA ratios. Our results suggest that DBP mRNA levels, like RNA levels, are transcriptionally determined. Thus the dbp gene, like the ribosomal genes, may be subject to cell size regulation. As a consequence,</w:instrText>
      </w:r>
      <w:r>
        <w:rPr>
          <w:rFonts w:ascii="Arial" w:eastAsia="Times New Roman" w:hAnsi="Arial" w:cs="Arial"/>
          <w:lang w:val="en-US" w:eastAsia="de-DE"/>
        </w:rPr>
        <w:instrText xml:space="preserve"> nuclei from liver, a tissue with a very large average cell size, accumulated higher levels of DBP protein than nuclei from small-celled tissues, such as spleen or lung. In contrast to DBP, the ubiquitous transcription factors Octl and NF-Y escaped cell si</w:instrText>
      </w:r>
      <w:r>
        <w:rPr>
          <w:rFonts w:ascii="Arial" w:eastAsia="Times New Roman" w:hAnsi="Arial" w:cs="Arial"/>
          <w:lang w:val="en-US" w:eastAsia="de-DE"/>
        </w:rPr>
        <w:instrText>ze control. Nuclei from most tissues contained similar amounts of these factors irrespective of cell size. Likewise, tissues with large or small average cell sizes contained similar levels of the mRNAs encoding Octl or NF-Ya, one of the subunits of the het</w:instrText>
      </w:r>
      <w:r>
        <w:rPr>
          <w:rFonts w:ascii="Arial" w:eastAsia="Times New Roman" w:hAnsi="Arial" w:cs="Arial"/>
          <w:lang w:val="en-US" w:eastAsia="de-DE"/>
        </w:rPr>
        <w:instrText>eromeric CCAAT-binding factor NF-Y, per DNA equivalent. Interestingly, mRNA encoding NF-Yb, another subunit of NF-Y, was subject to cell size regulation. Our results suggest that NF-Yb protein escapes cell size regulation at a posttranslational level.","au</w:instrText>
      </w:r>
      <w:r>
        <w:rPr>
          <w:rFonts w:ascii="Arial" w:eastAsia="Times New Roman" w:hAnsi="Arial" w:cs="Arial"/>
          <w:lang w:val="en-US" w:eastAsia="de-DE"/>
        </w:rPr>
        <w:instrText>thor":[{"dropping-particle":"","family":"Schmidt","given":"Edward E.","non-dropping-particle":"","parse-names":false,"suffix":""},{"dropping-particle":"","family":"Schibler","given":"Ueli","non-dropping-particle":"","parse-names":false,"suffix":""}],"conta</w:instrText>
      </w:r>
      <w:r>
        <w:rPr>
          <w:rFonts w:ascii="Arial" w:eastAsia="Times New Roman" w:hAnsi="Arial" w:cs="Arial"/>
          <w:lang w:val="en-US" w:eastAsia="de-DE"/>
        </w:rPr>
        <w:instrText xml:space="preserve">iner-title":"Journal of Cell Biology","id":"ITEM-1","issue":"4","issued":{"date-parts":[["1995","2","15"]]},"page":"467-483","publisher":"The Rockefeller University Press","title":"Cell size regulation, a mechanism that controls cellular RNA accumulation: </w:instrText>
      </w:r>
      <w:r>
        <w:rPr>
          <w:rFonts w:ascii="Arial" w:eastAsia="Times New Roman" w:hAnsi="Arial" w:cs="Arial"/>
          <w:lang w:val="en-US" w:eastAsia="de-DE"/>
        </w:rPr>
        <w:instrText>consequences on regulation of the ubiquitous transcription factors Oct1 and NF-Y and the liver-enriched transcription factor DBP.","type":"article-journal","volume":"128"},"uris":["http://www.mendeley.com/documents/?uuid=f63838c5-8e5f-3c64-be98-5a2aff40ff9</w:instrText>
      </w:r>
      <w:r>
        <w:rPr>
          <w:rFonts w:ascii="Arial" w:eastAsia="Times New Roman" w:hAnsi="Arial" w:cs="Arial"/>
          <w:lang w:val="en-US" w:eastAsia="de-DE"/>
        </w:rPr>
        <w:instrText xml:space="preserve">d"]},{"id":"ITEM-2","itemData":{"DOI":"10.1111/J.1365-2443.2007.01077.X","ISSN":"1365-2443","PMID":"17535251","abstract":"Body size determination is critical for multicellular organisms; however, the mechanisms remain largely unknown. Mutations that alter </w:instrText>
      </w:r>
      <w:r>
        <w:rPr>
          <w:rFonts w:ascii="Arial" w:eastAsia="Times New Roman" w:hAnsi="Arial" w:cs="Arial"/>
          <w:lang w:val="en-US" w:eastAsia="de-DE"/>
        </w:rPr>
        <w:instrText>body size were studied to solve the mechanisms, for example, in mouse, fruit fly and the nematode Caenorhabditis elegans. In C. elegans, a large mutant and several small body size (sma) mutants are known. Of the latter, sma-2, sma-3, sma-4, sma-6, dbl-1 an</w:instrText>
      </w:r>
      <w:r>
        <w:rPr>
          <w:rFonts w:ascii="Arial" w:eastAsia="Times New Roman" w:hAnsi="Arial" w:cs="Arial"/>
          <w:lang w:val="en-US" w:eastAsia="de-DE"/>
        </w:rPr>
        <w:instrText xml:space="preserve">d daf-4 have a mutation in the components of the DBL-1/TGFβ signal pathway, and sma-5 in a MAP kinase homologue. We have constructed double mutants carrying two of such small body size mutations, sma-5 and sma-4 or sma-2. They are much smaller than either </w:instrText>
      </w:r>
      <w:r>
        <w:rPr>
          <w:rFonts w:ascii="Arial" w:eastAsia="Times New Roman" w:hAnsi="Arial" w:cs="Arial"/>
          <w:lang w:val="en-US" w:eastAsia="de-DE"/>
        </w:rPr>
        <w:instrText>of the parental single mutants, indicating that the sma-5 gene functions independently of the DBL-1/ TGFβ pathway. We show that their body volumes are as small as 1/10 of that of the wild-type, and that the sizes of major organs are much reduced, by the me</w:instrText>
      </w:r>
      <w:r>
        <w:rPr>
          <w:rFonts w:ascii="Arial" w:eastAsia="Times New Roman" w:hAnsi="Arial" w:cs="Arial"/>
          <w:lang w:val="en-US" w:eastAsia="de-DE"/>
        </w:rPr>
        <w:instrText>thods previously developed by us. But the numbers of cells are not changed, suggesting that the cells are very small. These results highlight surprising flexibility of body size and cell size in a multicellular organism, which will give a novel insight int</w:instrText>
      </w:r>
      <w:r>
        <w:rPr>
          <w:rFonts w:ascii="Arial" w:eastAsia="Times New Roman" w:hAnsi="Arial" w:cs="Arial"/>
          <w:lang w:val="en-US" w:eastAsia="de-DE"/>
        </w:rPr>
        <w:instrText>o the mechanisms of body size control. © 2007 The Authors Journal compilation © 2007 by the Molecular Biology Society of Japan/Blackwell Publishing Ltd.","author":[{"dropping-particle":"","family":"Watanabe","given":"Naoharu","non-dropping-particle":"","pa</w:instrText>
      </w:r>
      <w:r>
        <w:rPr>
          <w:rFonts w:ascii="Arial" w:eastAsia="Times New Roman" w:hAnsi="Arial" w:cs="Arial"/>
          <w:lang w:val="en-US" w:eastAsia="de-DE"/>
        </w:rPr>
        <w:instrText>rse-names":false,"suffix":""},{"dropping-particle":"","family":"Ishihara","given":"Takeshi","non-dropping-particle":"","parse-names":false,"suffix":""},{"dropping-particle":"","family":"Ohshima","given":"Yasumi","non-dropping-particle":"","parse-names":fal</w:instrText>
      </w:r>
      <w:r>
        <w:rPr>
          <w:rFonts w:ascii="Arial" w:eastAsia="Times New Roman" w:hAnsi="Arial" w:cs="Arial"/>
          <w:lang w:val="en-US" w:eastAsia="de-DE"/>
        </w:rPr>
        <w:instrText>se,"suffix":""}],"container-title":"Genes to Cells","id":"ITEM-2","issue":"5","issued":{"date-parts":[["2007","5","1"]]},"page":"603-609","publisher":"John Wiley &amp; Sons, Ltd","title":"Mutants carrying two sma mutations are super small in the nematode C. el</w:instrText>
      </w:r>
      <w:r>
        <w:rPr>
          <w:rFonts w:ascii="Arial" w:eastAsia="Times New Roman" w:hAnsi="Arial" w:cs="Arial"/>
          <w:lang w:val="en-US" w:eastAsia="de-DE"/>
        </w:rPr>
        <w:instrText>egans","type":"article-journal","volume":"12"},"uris":["http://www.mendeley.com/documents/?uuid=cb6ec255-54f0-3786-b533-bcddb1ddff25"]},{"id":"ITEM-3","itemData":{"DOI":"10.1016/j.cub.2010.10.002","ISBN":"1879-0445 (Electronic)\\r0960-9822 (Linking)","ISSN</w:instrText>
      </w:r>
      <w:r>
        <w:rPr>
          <w:rFonts w:ascii="Arial" w:eastAsia="Times New Roman" w:hAnsi="Arial" w:cs="Arial"/>
          <w:lang w:val="en-US" w:eastAsia="de-DE"/>
        </w:rPr>
        <w:instrText>":"09609822","PMID":"20970341","abstract":"Although much is known about the regulation of gene transcription in eukaryotes, it is not clear whether cells have global controls that determine overall rates of transcription. We have investigated the effects t</w:instrText>
      </w:r>
      <w:r>
        <w:rPr>
          <w:rFonts w:ascii="Arial" w:eastAsia="Times New Roman" w:hAnsi="Arial" w:cs="Arial"/>
          <w:lang w:val="en-US" w:eastAsia="de-DE"/>
        </w:rPr>
        <w:instrText>hat the DNA-to-protein ratio has on both total transcription and the transcription of individual genes in the unicellular eukaryote fission yeast. Mutants altered in cell size and those blocked in cell-cycle progression were used to vary the DNA-to-protein</w:instrText>
      </w:r>
      <w:r>
        <w:rPr>
          <w:rFonts w:ascii="Arial" w:eastAsia="Times New Roman" w:hAnsi="Arial" w:cs="Arial"/>
          <w:lang w:val="en-US" w:eastAsia="de-DE"/>
        </w:rPr>
        <w:instrText xml:space="preserve"> ratio over a 5-fold range. We found that cells of sizes within 2-fold of the wild-type value regulated global transcription to maintain similar transcription rates per protein regardless of the cellular DNA content. These changes in total transcription co</w:instrText>
      </w:r>
      <w:r>
        <w:rPr>
          <w:rFonts w:ascii="Arial" w:eastAsia="Times New Roman" w:hAnsi="Arial" w:cs="Arial"/>
          <w:lang w:val="en-US" w:eastAsia="de-DE"/>
        </w:rPr>
        <w:instrText xml:space="preserve">rrelated with coordinated changes in gene occupancy by RNA polymerase II. In cell-cycle-arrested mutants exceeding a certain size, total transcription rates plateaued as DNA became limiting for transcription at low DNA-to-protein ratios [1]. Unexpectedly, </w:instrText>
      </w:r>
      <w:r>
        <w:rPr>
          <w:rFonts w:ascii="Arial" w:eastAsia="Times New Roman" w:hAnsi="Arial" w:cs="Arial"/>
          <w:lang w:val="en-US" w:eastAsia="de-DE"/>
        </w:rPr>
        <w:instrText>expression levels of individual genes remained tightly coordinated with each other over the entire range of cell sizes. We propose that there is a coordinated, global control that determines the rate of transcription of most genes and that this control pla</w:instrText>
      </w:r>
      <w:r>
        <w:rPr>
          <w:rFonts w:ascii="Arial" w:eastAsia="Times New Roman" w:hAnsi="Arial" w:cs="Arial"/>
          <w:lang w:val="en-US" w:eastAsia="de-DE"/>
        </w:rPr>
        <w:instrText>ys a role in regulating growth rate of the cell. © 2010 Elsevier Ltd All rights reserved.","author":[{"dropping-particle":"","family":"Zhurinsky","given":"Jacob","non-dropping-particle":"","parse-names":false,"suffix":""},{"dropping-particle":"","family":"</w:instrText>
      </w:r>
      <w:r>
        <w:rPr>
          <w:rFonts w:ascii="Arial" w:eastAsia="Times New Roman" w:hAnsi="Arial" w:cs="Arial"/>
          <w:lang w:val="en-US" w:eastAsia="de-DE"/>
        </w:rPr>
        <w:instrText>Leonhard","given":"Klaus","non-dropping-particle":"","parse-names":false,"suffix":""},{"dropping-particle":"","family":"Watt","given":"Stephen","non-dropping-particle":"","parse-names":false,"suffix":""},{"dropping-particle":"","family":"Marguerat","given"</w:instrText>
      </w:r>
      <w:r>
        <w:rPr>
          <w:rFonts w:ascii="Arial" w:eastAsia="Times New Roman" w:hAnsi="Arial" w:cs="Arial"/>
          <w:lang w:val="en-US" w:eastAsia="de-DE"/>
        </w:rPr>
        <w:instrText>:"Samuel","non-dropping-particle":"","parse-names":false,"suffix":""},{"dropping-particle":"","family":"Bähler","given":"Jürg","non-dropping-particle":"","parse-names":false,"suffix":""},{"dropping-particle":"","family":"Nurse","given":"Paul","non-dropping</w:instrText>
      </w:r>
      <w:r>
        <w:rPr>
          <w:rFonts w:ascii="Arial" w:eastAsia="Times New Roman" w:hAnsi="Arial" w:cs="Arial"/>
          <w:lang w:val="en-US" w:eastAsia="de-DE"/>
        </w:rPr>
        <w:instrText>-particle":"","parse-names":false,"suffix":""}],"container-title":"Current Biology","id":"ITEM-3","issue":"22","issued":{"date-parts":[["2010"]]},"page":"2010-2015","title":"A coordinated global control over cellular transcription","type":"article-journal"</w:instrText>
      </w:r>
      <w:r>
        <w:rPr>
          <w:rFonts w:ascii="Arial" w:eastAsia="Times New Roman" w:hAnsi="Arial" w:cs="Arial"/>
          <w:lang w:val="en-US" w:eastAsia="de-DE"/>
        </w:rPr>
        <w:instrText>,"volume":"20"},"uris":["http://www.mendeley.com/documents/?uuid=adce00d7-4d17-4290-bb17-7de651ab16fa"]},{"id":"ITEM-4","itemData":{"DOI":"10.1016/j.tig.2012.07.003","ISBN":"0168-9525 (Print)\\n0168-9525 (Linking)","PMID":"22863032","abstract":"Cell size i</w:instrText>
      </w:r>
      <w:r>
        <w:rPr>
          <w:rFonts w:ascii="Arial" w:eastAsia="Times New Roman" w:hAnsi="Arial" w:cs="Arial"/>
          <w:lang w:val="en-US" w:eastAsia="de-DE"/>
        </w:rPr>
        <w:instrText>s highly variable; cells from various tissues differ in volume over orders of magnitudes, from tiny lymphocytes to giant neurons, and cells of a given type change size during the cell cycle. Larger cells need to produce and maintain higher amounts of RNA a</w:instrText>
      </w:r>
      <w:r>
        <w:rPr>
          <w:rFonts w:ascii="Arial" w:eastAsia="Times New Roman" w:hAnsi="Arial" w:cs="Arial"/>
          <w:lang w:val="en-US" w:eastAsia="de-DE"/>
        </w:rPr>
        <w:instrText>nd protein to sustain biomass and function, although the genome content often remains constant. Available data indicate that the transcriptional and translational outputs scale with cell size at a genome-wide level, but how such remarkably coordinated regu</w:instrText>
      </w:r>
      <w:r>
        <w:rPr>
          <w:rFonts w:ascii="Arial" w:eastAsia="Times New Roman" w:hAnsi="Arial" w:cs="Arial"/>
          <w:lang w:val="en-US" w:eastAsia="de-DE"/>
        </w:rPr>
        <w:instrText>lation is achieved remains largely mysterious. With global and systems-level approaches becoming more widespread and quantitative, it is worth revisiting this fascinating problem. Here, we outline current knowledge of the fundamental relations between geno</w:instrText>
      </w:r>
      <w:r>
        <w:rPr>
          <w:rFonts w:ascii="Arial" w:eastAsia="Times New Roman" w:hAnsi="Arial" w:cs="Arial"/>
          <w:lang w:val="en-US" w:eastAsia="de-DE"/>
        </w:rPr>
        <w:instrText>me regulation and cell size, and highlight the biological implications and potential mechanisms of the global tuning of gene expression to cellular volume.","author":[{"dropping-particle":"","family":"Marguerat","given":"S","non-dropping-particle":"","pars</w:instrText>
      </w:r>
      <w:r>
        <w:rPr>
          <w:rFonts w:ascii="Arial" w:eastAsia="Times New Roman" w:hAnsi="Arial" w:cs="Arial"/>
          <w:lang w:val="en-US" w:eastAsia="de-DE"/>
        </w:rPr>
        <w:instrText>e-names":false,"suffix":""},{"dropping-particle":"","family":"Bahler","given":"J","non-dropping-particle":"","parse-names":false,"suffix":""}],"container-title":"Trends Genet","id":"ITEM-4","issue":"11","issued":{"date-parts":[["2012"]]},"page":"560-565","</w:instrText>
      </w:r>
      <w:r>
        <w:rPr>
          <w:rFonts w:ascii="Arial" w:eastAsia="Times New Roman" w:hAnsi="Arial" w:cs="Arial"/>
          <w:lang w:val="en-US" w:eastAsia="de-DE"/>
        </w:rPr>
        <w:instrText>title":"Coordinating genome expression with cell size","type":"article-journal","volume":"28"},"uris":["http://www.mendeley.com/documents/?uuid=7c83bac7-b0d6-43d6-ad15-64e442adba1b"]},{"id":"ITEM-5","itemData":{"DOI":"10.1016/J.CELL.2012.09.019","ISSN":"10</w:instrText>
      </w:r>
      <w:r>
        <w:rPr>
          <w:rFonts w:ascii="Arial" w:eastAsia="Times New Roman" w:hAnsi="Arial" w:cs="Arial"/>
          <w:lang w:val="en-US" w:eastAsia="de-DE"/>
        </w:rPr>
        <w:instrText>97-4172","PMID":"23101633","abstract":"Data on absolute molecule numbers will empower the modeling, understanding, and comparison of cellular functions and biological systems. We quantified transcriptomes and proteomes in fission yeast during cellular prol</w:instrText>
      </w:r>
      <w:r>
        <w:rPr>
          <w:rFonts w:ascii="Arial" w:eastAsia="Times New Roman" w:hAnsi="Arial" w:cs="Arial"/>
          <w:lang w:val="en-US" w:eastAsia="de-DE"/>
        </w:rPr>
        <w:instrText>iferation and quiescence. This rich resource provides the first comprehensive reference for all RNA and most protein concentrations in a eukaryote under two key physiological conditions. The integrated data set supports quantitative biology and affords uni</w:instrText>
      </w:r>
      <w:r>
        <w:rPr>
          <w:rFonts w:ascii="Arial" w:eastAsia="Times New Roman" w:hAnsi="Arial" w:cs="Arial"/>
          <w:lang w:val="en-US" w:eastAsia="de-DE"/>
        </w:rPr>
        <w:instrText>que insights into cell regulation. Although mRNAs are typically expressed in a narrow range above 1 copy/cell, most long, noncoding RNAs, except for a distinct subset, are tightly repressed below 1 copy/cell. Cell-cycle-regulated transcription tunes mRNA n</w:instrText>
      </w:r>
      <w:r>
        <w:rPr>
          <w:rFonts w:ascii="Arial" w:eastAsia="Times New Roman" w:hAnsi="Arial" w:cs="Arial"/>
          <w:lang w:val="en-US" w:eastAsia="de-DE"/>
        </w:rPr>
        <w:instrText>umbers to phase-specific requirements but can also bring about more switch-like expression. Proteins greatly exceed mRNAs in abundance and dynamic range, and concentrations are regulated to functional demands. Upon transition to quiescence, the proteome ch</w:instrText>
      </w:r>
      <w:r>
        <w:rPr>
          <w:rFonts w:ascii="Arial" w:eastAsia="Times New Roman" w:hAnsi="Arial" w:cs="Arial"/>
          <w:lang w:val="en-US" w:eastAsia="de-DE"/>
        </w:rPr>
        <w:instrText>anges substantially, but, in stark contrast to mRNAs, proteins do not uniformly decrease but scale with cell volume. © 2012 Elsevier Inc.","author":[{"dropping-particle":"","family":"Marguerat","given":"Samuel","non-dropping-particle":"","parse-names":fals</w:instrText>
      </w:r>
      <w:r>
        <w:rPr>
          <w:rFonts w:ascii="Arial" w:eastAsia="Times New Roman" w:hAnsi="Arial" w:cs="Arial"/>
          <w:lang w:val="en-US" w:eastAsia="de-DE"/>
        </w:rPr>
        <w:instrText>e,"suffix":""},{"dropping-particle":"","family":"Schmidt","given":"Alexander","non-dropping-particle":"","parse-names":false,"suffix":""},{"dropping-particle":"","family":"Codlin","given":"Sandra","non-dropping-particle":"","parse-names":false,"suffix":""}</w:instrText>
      </w:r>
      <w:r>
        <w:rPr>
          <w:rFonts w:ascii="Arial" w:eastAsia="Times New Roman" w:hAnsi="Arial" w:cs="Arial"/>
          <w:lang w:val="en-US" w:eastAsia="de-DE"/>
        </w:rPr>
        <w:instrText>,{"dropping-particle":"","family":"Chen","given":"Wei","non-dropping-particle":"","parse-names":false,"suffix":""},{"dropping-particle":"","family":"Aebersold","given":"Ruedi","non-dropping-particle":"","parse-names":false,"suffix":""},{"dropping-particle"</w:instrText>
      </w:r>
      <w:r>
        <w:rPr>
          <w:rFonts w:ascii="Arial" w:eastAsia="Times New Roman" w:hAnsi="Arial" w:cs="Arial"/>
          <w:lang w:val="en-US" w:eastAsia="de-DE"/>
        </w:rPr>
        <w:instrText>:"","family":"Bähler","given":"Jürg","non-dropping-particle":"","parse-names":false,"suffix":""}],"container-title":"Cell","id":"ITEM-5","issue":"3","issued":{"date-parts":[["2012","10","26"]]},"page":"671-683","publisher":"Cell","title":"Quantitative anal</w:instrText>
      </w:r>
      <w:r>
        <w:rPr>
          <w:rFonts w:ascii="Arial" w:eastAsia="Times New Roman" w:hAnsi="Arial" w:cs="Arial"/>
          <w:lang w:val="en-US" w:eastAsia="de-DE"/>
        </w:rPr>
        <w:instrText>ysis of fission yeast transcriptomes and proteomes in proliferating and quiescent cells","type":"article-journal","volume":"151"},"uris":["http://www.mendeley.com/documents/?uuid=0cd606e0-c948-3e01-8a04-4225ad9136e5"]},{"id":"ITEM-6","itemData":{"DOI":"10.</w:instrText>
      </w:r>
      <w:r>
        <w:rPr>
          <w:rFonts w:ascii="Arial" w:eastAsia="Times New Roman" w:hAnsi="Arial" w:cs="Arial"/>
          <w:lang w:val="en-US" w:eastAsia="de-DE"/>
        </w:rPr>
        <w:instrText>1016/j.molcel.2015.03.005","ISSN":"10972765","abstract":"Individual mammalian cells exhibit large variability in cellular volume, even with the same absolute DNA content, and so must compensate for differences in DNA concentration in order to maintain cons</w:instrText>
      </w:r>
      <w:r>
        <w:rPr>
          <w:rFonts w:ascii="Arial" w:eastAsia="Times New Roman" w:hAnsi="Arial" w:cs="Arial"/>
          <w:lang w:val="en-US" w:eastAsia="de-DE"/>
        </w:rPr>
        <w:instrText>tant concentration of gene expression products. Using single-molecule counting and computational image analysis, we show that transcript abundance correlates with cellular volume at the single-cell level due to increased global transcription in larger cell</w:instrText>
      </w:r>
      <w:r>
        <w:rPr>
          <w:rFonts w:ascii="Arial" w:eastAsia="Times New Roman" w:hAnsi="Arial" w:cs="Arial"/>
          <w:lang w:val="en-US" w:eastAsia="de-DE"/>
        </w:rPr>
        <w:instrText>s. Cell fusion experiments establish that increased cellular content itself can directly increase transcription. Quantitative analysis shows that this mechanism measures the ratio of cellular volume to DNA content, most likely through sequestration of a tr</w:instrText>
      </w:r>
      <w:r>
        <w:rPr>
          <w:rFonts w:ascii="Arial" w:eastAsia="Times New Roman" w:hAnsi="Arial" w:cs="Arial"/>
          <w:lang w:val="en-US" w:eastAsia="de-DE"/>
        </w:rPr>
        <w:instrText>anscriptional factor to DNA. Analysis of transcriptional bursts reveals a separate mechanism for gene dosage compensation after DNA replication that enables proper transcriptional output during early and late S phase. Our results provide a framework for qu</w:instrText>
      </w:r>
      <w:r>
        <w:rPr>
          <w:rFonts w:ascii="Arial" w:eastAsia="Times New Roman" w:hAnsi="Arial" w:cs="Arial"/>
          <w:lang w:val="en-US" w:eastAsia="de-DE"/>
        </w:rPr>
        <w:instrText>antitatively understanding the relationships among DNA content, cell size, and gene expression variability in single cells.","author":[{"dropping-particle":"","family":"Padovan-Merhar","given":"Olivia","non-dropping-particle":"","parse-names":false,"suffix</w:instrText>
      </w:r>
      <w:r>
        <w:rPr>
          <w:rFonts w:ascii="Arial" w:eastAsia="Times New Roman" w:hAnsi="Arial" w:cs="Arial"/>
          <w:lang w:val="en-US" w:eastAsia="de-DE"/>
        </w:rPr>
        <w:instrText>":""},{"dropping-particle":"","family":"Nair","given":"Gautham P.","non-dropping-particle":"","parse-names":false,"suffix":""},{"dropping-particle":"","family":"Biaesch","given":"Andrew G.","non-dropping-particle":"","parse-names":false,"suffix":""},{"drop</w:instrText>
      </w:r>
      <w:r>
        <w:rPr>
          <w:rFonts w:ascii="Arial" w:eastAsia="Times New Roman" w:hAnsi="Arial" w:cs="Arial"/>
          <w:lang w:val="en-US" w:eastAsia="de-DE"/>
        </w:rPr>
        <w:instrText>ping-particle":"","family":"Mayer","given":"Andreas","non-dropping-particle":"","parse-names":false,"suffix":""},{"dropping-particle":"","family":"Scarfone","given":"Steven","non-dropping-particle":"","parse-names":false,"suffix":""},{"dropping-particle":"</w:instrText>
      </w:r>
      <w:r>
        <w:rPr>
          <w:rFonts w:ascii="Arial" w:eastAsia="Times New Roman" w:hAnsi="Arial" w:cs="Arial"/>
          <w:lang w:val="en-US" w:eastAsia="de-DE"/>
        </w:rPr>
        <w:instrText>","family":"Foley","given":"Shawn W.","non-dropping-particle":"","parse-names":false,"suffix":""},{"dropping-particle":"","family":"Wu","given":"Angela R.","non-dropping-particle":"","parse-names":false,"suffix":""},{"dropping-particle":"","family":"Church</w:instrText>
      </w:r>
      <w:r>
        <w:rPr>
          <w:rFonts w:ascii="Arial" w:eastAsia="Times New Roman" w:hAnsi="Arial" w:cs="Arial"/>
          <w:lang w:val="en-US" w:eastAsia="de-DE"/>
        </w:rPr>
        <w:instrText>man","given":"L. Stirling","non-dropping-particle":"","parse-names":false,"suffix":""},{"dropping-particle":"","family":"Singh","given":"Abhyudai","non-dropping-particle":"","parse-names":false,"suffix":""},{"dropping-particle":"","family":"Raj","given":"A</w:instrText>
      </w:r>
      <w:r>
        <w:rPr>
          <w:rFonts w:ascii="Arial" w:eastAsia="Times New Roman" w:hAnsi="Arial" w:cs="Arial"/>
          <w:lang w:val="en-US" w:eastAsia="de-DE"/>
        </w:rPr>
        <w:instrText>rjun","non-dropping-particle":"","parse-names":false,"suffix":""}],"container-title":"Molecular Cell","id":"ITEM-6","issue":"2","issued":{"date-parts":[["2015","4"]]},"page":"339-352","title":"Single Mammalian Cells Compensate for Differences in Cellular V</w:instrText>
      </w:r>
      <w:r>
        <w:rPr>
          <w:rFonts w:ascii="Arial" w:eastAsia="Times New Roman" w:hAnsi="Arial" w:cs="Arial"/>
          <w:lang w:val="en-US" w:eastAsia="de-DE"/>
        </w:rPr>
        <w:instrText>olume and DNA Copy Number through Independent Global Transcriptional Mechanisms","type":"article-journal","volume":"58"},"uris":["http://www.mendeley.com/documents/?uuid=5c85bab6-4d1f-4871-b740-e55b13377d17"]},{"id":"ITEM-7","itemData":{"DOI":"10.1091/mbc.</w:instrText>
      </w:r>
      <w:r>
        <w:rPr>
          <w:rFonts w:ascii="Arial" w:eastAsia="Times New Roman" w:hAnsi="Arial" w:cs="Arial"/>
          <w:lang w:val="en-US" w:eastAsia="de-DE"/>
        </w:rPr>
        <w:instrText xml:space="preserve">E14-08-1296","ISSN":"1939-4586","PMID":"25518937","abstract":"Transcriptional stochasticity can be measured by counting the number of mRNA molecules per cell. Cell-to-cell variability is best captured in terms of concentration rather than molecule counts, </w:instrText>
      </w:r>
      <w:r>
        <w:rPr>
          <w:rFonts w:ascii="Arial" w:eastAsia="Times New Roman" w:hAnsi="Arial" w:cs="Arial"/>
          <w:lang w:val="en-US" w:eastAsia="de-DE"/>
        </w:rPr>
        <w:instrText>because reaction rates depend on concentrations. We combined single-molecule mRNA counting with single-cell volume measurements to quantify the statistics of both transcript numbers and concentrations in human cells. We compared three cell clones that diff</w:instrText>
      </w:r>
      <w:r>
        <w:rPr>
          <w:rFonts w:ascii="Arial" w:eastAsia="Times New Roman" w:hAnsi="Arial" w:cs="Arial"/>
          <w:lang w:val="en-US" w:eastAsia="de-DE"/>
        </w:rPr>
        <w:instrText xml:space="preserve">er only in the genomic integration site of an identical constitutively expressed reporter gene. The transcript number per cell varied proportionally with cell volume in all three clones, indicating concentration homeostasis. We found that the cell-to-cell </w:instrText>
      </w:r>
      <w:r>
        <w:rPr>
          <w:rFonts w:ascii="Arial" w:eastAsia="Times New Roman" w:hAnsi="Arial" w:cs="Arial"/>
          <w:lang w:val="en-US" w:eastAsia="de-DE"/>
        </w:rPr>
        <w:instrText>variability in the mRNA concentration is almost exclusively due to cell-to-cell variation in gene expression activity, whereas the cell-to-cell variation in mRNA number is larger, due to a significant contribution of cell volume variability. We concluded t</w:instrText>
      </w:r>
      <w:r>
        <w:rPr>
          <w:rFonts w:ascii="Arial" w:eastAsia="Times New Roman" w:hAnsi="Arial" w:cs="Arial"/>
          <w:lang w:val="en-US" w:eastAsia="de-DE"/>
        </w:rPr>
        <w:instrText>hat the precise relationship between transcript number and cell volume sets the biological stochasticity of living cells. This study highlights the importance of the quantitative measurement of transcript concentrations in studies of cell-to-cell variabili</w:instrText>
      </w:r>
      <w:r>
        <w:rPr>
          <w:rFonts w:ascii="Arial" w:eastAsia="Times New Roman" w:hAnsi="Arial" w:cs="Arial"/>
          <w:lang w:val="en-US" w:eastAsia="de-DE"/>
        </w:rPr>
        <w:instrText>ty in biology.","author":[{"dropping-particle":"","family":"Kempe","given":"Hermannus","non-dropping-particle":"","parse-names":false,"suffix":""},{"dropping-particle":"","family":"Schwabe","given":"Anne","non-dropping-particle":"","parse-names":false,"suf</w:instrText>
      </w:r>
      <w:r>
        <w:rPr>
          <w:rFonts w:ascii="Arial" w:eastAsia="Times New Roman" w:hAnsi="Arial" w:cs="Arial"/>
          <w:lang w:val="en-US" w:eastAsia="de-DE"/>
        </w:rPr>
        <w:instrText>fix":""},{"dropping-particle":"","family":"Crémazy","given":"Frédéric","non-dropping-particle":"","parse-names":false,"suffix":""},{"dropping-particle":"","family":"Verschure","given":"Pernette J","non-dropping-particle":"","parse-names":false,"suffix":""}</w:instrText>
      </w:r>
      <w:r>
        <w:rPr>
          <w:rFonts w:ascii="Arial" w:eastAsia="Times New Roman" w:hAnsi="Arial" w:cs="Arial"/>
          <w:lang w:val="en-US" w:eastAsia="de-DE"/>
        </w:rPr>
        <w:instrText>,{"dropping-particle":"","family":"Bruggeman","given":"Frank J","non-dropping-particle":"","parse-names":false,"suffix":""}],"container-title":"Molecular biology of the cell","id":"ITEM-7","issue":"4","issued":{"date-parts":[["2015","2","15"]]},"page":"797</w:instrText>
      </w:r>
      <w:r>
        <w:rPr>
          <w:rFonts w:ascii="Arial" w:eastAsia="Times New Roman" w:hAnsi="Arial" w:cs="Arial"/>
          <w:lang w:val="en-US" w:eastAsia="de-DE"/>
        </w:rPr>
        <w:instrText>-804","title":"The volumes and transcript counts of single cells reveal concentration homeostasis and capture biological noise.","type":"article-journal","volume":"26"},"uris":["http://www.mendeley.com/documents/?uuid=acfd8cf8-c1e4-4841-a61f-a60010fa6fc0"]</w:instrText>
      </w:r>
      <w:r>
        <w:rPr>
          <w:rFonts w:ascii="Arial" w:eastAsia="Times New Roman" w:hAnsi="Arial" w:cs="Arial"/>
          <w:lang w:val="en-US" w:eastAsia="de-DE"/>
        </w:rPr>
        <w:instrText>},{"id":"ITEM-8","itemData":{"DOI":"10.1016/J.CELL.2015.11.018","ISSN":"0092-8674","PMID":"26687353","abstract":"A central question in biology is whether variability between genetically identical cells exposed to the same culture conditions is largely stoc</w:instrText>
      </w:r>
      <w:r>
        <w:rPr>
          <w:rFonts w:ascii="Arial" w:eastAsia="Times New Roman" w:hAnsi="Arial" w:cs="Arial"/>
          <w:lang w:val="en-US" w:eastAsia="de-DE"/>
        </w:rPr>
        <w:instrText>hastic or deterministic. Using image-based transcriptomics in millions of single human cells, we find that while variability of cytoplasmic transcript abundance is large, it is for most genes minimally stochastic and can be predicted with multivariate mode</w:instrText>
      </w:r>
      <w:r>
        <w:rPr>
          <w:rFonts w:ascii="Arial" w:eastAsia="Times New Roman" w:hAnsi="Arial" w:cs="Arial"/>
          <w:lang w:val="en-US" w:eastAsia="de-DE"/>
        </w:rPr>
        <w:instrText>ls of the phenotypic state and population context of single cells. Computational multiplexing of these predictive signatures across hundreds of genes revealed a complex regulatory system that controls the observed variability of transcript abundance betwee</w:instrText>
      </w:r>
      <w:r>
        <w:rPr>
          <w:rFonts w:ascii="Arial" w:eastAsia="Times New Roman" w:hAnsi="Arial" w:cs="Arial"/>
          <w:lang w:val="en-US" w:eastAsia="de-DE"/>
        </w:rPr>
        <w:instrText>n individual cells. Mathematical modeling and experimental validation show that nuclear retention and transport of transcripts between the nucleus and the cytoplasm is central to buffering stochastic transcriptional fluctuations in mammalian gene expressio</w:instrText>
      </w:r>
      <w:r>
        <w:rPr>
          <w:rFonts w:ascii="Arial" w:eastAsia="Times New Roman" w:hAnsi="Arial" w:cs="Arial"/>
          <w:lang w:val="en-US" w:eastAsia="de-DE"/>
        </w:rPr>
        <w:instrText>n. Our work indicates that cellular compartmentalization confines transcriptional noise to the nucleus, thereby preventing it from interfering with the control of single-cell transcript abundance in the cytoplasm.","author":[{"dropping-particle":"","family</w:instrText>
      </w:r>
      <w:r>
        <w:rPr>
          <w:rFonts w:ascii="Arial" w:eastAsia="Times New Roman" w:hAnsi="Arial" w:cs="Arial"/>
          <w:lang w:val="en-US" w:eastAsia="de-DE"/>
        </w:rPr>
        <w:instrText>":"Battich","given":"Nico","non-dropping-particle":"","parse-names":false,"suffix":""},{"dropping-particle":"","family":"Stoeger","given":"Thomas","non-dropping-particle":"","parse-names":false,"suffix":""},{"dropping-particle":"","family":"Pelkmans","give</w:instrText>
      </w:r>
      <w:r>
        <w:rPr>
          <w:rFonts w:ascii="Arial" w:eastAsia="Times New Roman" w:hAnsi="Arial" w:cs="Arial"/>
          <w:lang w:val="en-US" w:eastAsia="de-DE"/>
        </w:rPr>
        <w:instrText>n":"Lucas","non-dropping-particle":"","parse-names":false,"suffix":""}],"container-title":"Cell","id":"ITEM-8","issue":"7","issued":{"date-parts":[["2015","12","17"]]},"page":"1596-1610","publisher":"Cell Press","title":"Control of Transcript Variability i</w:instrText>
      </w:r>
      <w:r>
        <w:rPr>
          <w:rFonts w:ascii="Arial" w:eastAsia="Times New Roman" w:hAnsi="Arial" w:cs="Arial"/>
          <w:lang w:val="en-US" w:eastAsia="de-DE"/>
        </w:rPr>
        <w:instrText>n Single Mammalian Cells","type":"article-journal","volume":"163"},"uris":["http://www.mendeley.com/documents/?uuid=1392921a-8346-356b-a57c-1f1c672fa887"]},{"id":"ITEM-9","itemData":{"DOI":"10.1016/J.CELS.2022.04.005","ISSN":"2405-4720","PMID":"35613616","</w:instrText>
      </w:r>
      <w:r>
        <w:rPr>
          <w:rFonts w:ascii="Arial" w:eastAsia="Times New Roman" w:hAnsi="Arial" w:cs="Arial"/>
          <w:lang w:val="en-US" w:eastAsia="de-DE"/>
        </w:rPr>
        <w:instrText xml:space="preserve">abstract":"RNA concentration homeostasis involves coordinating RNA abundance and synthesis rates with cell size. Here, we study this in human cells by combining genome-wide perturbations with quantitative single-cell measurements. Despite relative ease in </w:instrText>
      </w:r>
      <w:r>
        <w:rPr>
          <w:rFonts w:ascii="Arial" w:eastAsia="Times New Roman" w:hAnsi="Arial" w:cs="Arial"/>
          <w:lang w:val="en-US" w:eastAsia="de-DE"/>
        </w:rPr>
        <w:instrText xml:space="preserve">perturbing RNA synthesis, we find that RNA concentrations generally remain highly constant. Perturbations that would be expected to increase nuclear mRNA levels, including those targeting nuclear mRNA degradation or export, result in downregulation of RNA </w:instrText>
      </w:r>
      <w:r>
        <w:rPr>
          <w:rFonts w:ascii="Arial" w:eastAsia="Times New Roman" w:hAnsi="Arial" w:cs="Arial"/>
          <w:lang w:val="en-US" w:eastAsia="de-DE"/>
        </w:rPr>
        <w:instrText xml:space="preserve">synthesis. This is associated with reduced abundance of transcription-associated proteins and protein states that are normally coordinated with RNA production in single cells, including RNA polymerase II (RNA Pol II) itself. Acute perturbations, elevation </w:instrText>
      </w:r>
      <w:r>
        <w:rPr>
          <w:rFonts w:ascii="Arial" w:eastAsia="Times New Roman" w:hAnsi="Arial" w:cs="Arial"/>
          <w:lang w:val="en-US" w:eastAsia="de-DE"/>
        </w:rPr>
        <w:instrText>of nuclear mRNA levels, and mathematical modeling indicate that mammalian cells achieve robust mRNA concentration homeostasis by the mRNA-based negative feedback on transcriptional activity in the nucleus. This ultimately acts to coordinate RNA Pol II abun</w:instrText>
      </w:r>
      <w:r>
        <w:rPr>
          <w:rFonts w:ascii="Arial" w:eastAsia="Times New Roman" w:hAnsi="Arial" w:cs="Arial"/>
          <w:lang w:val="en-US" w:eastAsia="de-DE"/>
        </w:rPr>
        <w:instrText>dance with nuclear mRNA degradation and export rates and may underpin the scaling of mRNA abundance with cell size.","author":[{"dropping-particle":"","family":"Berry","given":"Scott","non-dropping-particle":"","parse-names":false,"suffix":""},{"dropping-p</w:instrText>
      </w:r>
      <w:r>
        <w:rPr>
          <w:rFonts w:ascii="Arial" w:eastAsia="Times New Roman" w:hAnsi="Arial" w:cs="Arial"/>
          <w:lang w:val="en-US" w:eastAsia="de-DE"/>
        </w:rPr>
        <w:instrText>article":"","family":"Müller","given":"Micha","non-dropping-particle":"","parse-names":false,"suffix":""},{"dropping-particle":"","family":"Rai","given":"Arpan","non-dropping-particle":"","parse-names":false,"suffix":""},{"dropping-particle":"","family":"P</w:instrText>
      </w:r>
      <w:r>
        <w:rPr>
          <w:rFonts w:ascii="Arial" w:eastAsia="Times New Roman" w:hAnsi="Arial" w:cs="Arial"/>
          <w:lang w:val="en-US" w:eastAsia="de-DE"/>
        </w:rPr>
        <w:instrText>elkmans","given":"Lucas","non-dropping-particle":"","parse-names":false,"suffix":""}],"container-title":"Cell systems","id":"ITEM-9","issue":"6","issued":{"date-parts":[["2022","6","15"]]},"page":"454-470.e15","publisher":"Cell Syst","title":"Feedback from</w:instrText>
      </w:r>
      <w:r>
        <w:rPr>
          <w:rFonts w:ascii="Arial" w:eastAsia="Times New Roman" w:hAnsi="Arial" w:cs="Arial"/>
          <w:lang w:val="en-US" w:eastAsia="de-DE"/>
        </w:rPr>
        <w:instrText xml:space="preserve"> nuclear RNA on transcription promotes robust RNA concentration homeostasis in human cells","type":"article-journal","volume":"13"},"uris":["http://www.mendeley.com/documents/?uuid=de4fed49-e202-36ed-96e0-2ddf9ba22412"]}],"mendeley":{"formattedCitation":"&lt;</w:instrText>
      </w:r>
      <w:r>
        <w:rPr>
          <w:rFonts w:ascii="Arial" w:eastAsia="Times New Roman" w:hAnsi="Arial" w:cs="Arial"/>
          <w:lang w:val="en-US" w:eastAsia="de-DE"/>
        </w:rPr>
        <w:instrText>sup&gt;1,12–19&lt;/sup&gt;","plainTextFormattedCitation":"1,12–19","previouslyFormattedCitation":"&lt;sup&gt;1,12–19&lt;/sup&gt;"},"properties":{"noteIndex":0},"schema":"https://github.com/citation-style-language/schema/raw/master/csl-citation.json"}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1,12–19</w:t>
      </w:r>
      <w:r>
        <w:rPr>
          <w:rFonts w:ascii="Arial" w:eastAsia="Times New Roman" w:hAnsi="Arial" w:cs="Arial"/>
          <w:lang w:val="en-US" w:eastAsia="de-DE"/>
        </w:rPr>
        <w:fldChar w:fldCharType="end"/>
      </w:r>
      <w:r>
        <w:rPr>
          <w:rFonts w:ascii="Arial" w:eastAsia="Times New Roman" w:hAnsi="Arial" w:cs="Arial"/>
          <w:lang w:val="en-US" w:eastAsia="de-DE"/>
        </w:rPr>
        <w:t>.The absolute lev</w:t>
      </w:r>
      <w:r>
        <w:rPr>
          <w:rFonts w:ascii="Arial" w:eastAsia="Times New Roman" w:hAnsi="Arial" w:cs="Arial"/>
          <w:lang w:val="en-US" w:eastAsia="de-DE"/>
        </w:rPr>
        <w:t>els of transcripts and proteins depend on the rates of their synthesis and degradation, and in principle, both processes may be regulated with cell size (Fig. 2a). Studies spanning across four decades show larger cells to have higher transcription</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w:instrText>
      </w:r>
      <w:r>
        <w:rPr>
          <w:rFonts w:ascii="Arial" w:eastAsia="Times New Roman" w:hAnsi="Arial" w:cs="Arial"/>
          <w:lang w:val="en-US" w:eastAsia="de-DE"/>
        </w:rPr>
        <w:instrText xml:space="preserve">_CITATION {"citationItems":[{"id":"ITEM-1","itemData":{"DOI":"10.1073/pnas.75.9.4384","ISSN":"0027-8424","abstract":"Centrifugal elutriation was used to separate cells of Saccharomyces cerevisiae in balanced exponential growth according to position in the </w:instrText>
      </w:r>
      <w:r>
        <w:rPr>
          <w:rFonts w:ascii="Arial" w:eastAsia="Times New Roman" w:hAnsi="Arial" w:cs="Arial"/>
          <w:lang w:val="en-US" w:eastAsia="de-DE"/>
        </w:rPr>
        <w:instrText>cell cycle. Macromolecular synthesis was examined. DNA synthesis was found to be periodic, but RNA and protein synthesis showed an exponential increase in rate. Two-dimensional electrophoresis was used to determine the rate of synthesis of individual prote</w:instrText>
      </w:r>
      <w:r>
        <w:rPr>
          <w:rFonts w:ascii="Arial" w:eastAsia="Times New Roman" w:hAnsi="Arial" w:cs="Arial"/>
          <w:lang w:val="en-US" w:eastAsia="de-DE"/>
        </w:rPr>
        <w:instrText>ins, with 111 of the more abundant cellular proteins selected for analysis from among the more than 1000 proteins that migrate in the system. All the examined proteins showed an exponentially increasing rate of synthesis.","author":[{"dropping-particle":""</w:instrText>
      </w:r>
      <w:r>
        <w:rPr>
          <w:rFonts w:ascii="Arial" w:eastAsia="Times New Roman" w:hAnsi="Arial" w:cs="Arial"/>
          <w:lang w:val="en-US" w:eastAsia="de-DE"/>
        </w:rPr>
        <w:instrText>,"family":"Elliott","given":"S. G.","non-dropping-particle":"","parse-names":false,"suffix":""},{"dropping-particle":"","family":"McLaughlin","given":"C. S.","non-dropping-particle":"","parse-names":false,"suffix":""}],"container-title":"Proceedings of the</w:instrText>
      </w:r>
      <w:r>
        <w:rPr>
          <w:rFonts w:ascii="Arial" w:eastAsia="Times New Roman" w:hAnsi="Arial" w:cs="Arial"/>
          <w:lang w:val="en-US" w:eastAsia="de-DE"/>
        </w:rPr>
        <w:instrText xml:space="preserve"> National Academy of Sciences","id":"ITEM-1","issue":"9","issued":{"date-parts":[["1978","9","1"]]},"page":"4384-4388","title":"Rate of macromolecular synthesis through the cell cycle of the yeast Saccharomyces cerevisiae.","type":"article-journal","volume</w:instrText>
      </w:r>
      <w:r>
        <w:rPr>
          <w:rFonts w:ascii="Arial" w:eastAsia="Times New Roman" w:hAnsi="Arial" w:cs="Arial"/>
          <w:lang w:val="en-US" w:eastAsia="de-DE"/>
        </w:rPr>
        <w:instrText>":"75"},"uris":["http://www.mendeley.com/documents/?uuid=7f252caf-dc34-49d4-9518-917324274d4f"]},{"id":"ITEM-2","itemData":{"DOI":"10.1038/271726a0","ISSN":"1476-4687","PMID":"625340","abstract":"During the fission yeast cell cycle, the rate of polyadenyla</w:instrText>
      </w:r>
      <w:r>
        <w:rPr>
          <w:rFonts w:ascii="Arial" w:eastAsia="Times New Roman" w:hAnsi="Arial" w:cs="Arial"/>
          <w:lang w:val="en-US" w:eastAsia="de-DE"/>
        </w:rPr>
        <w:instrText>ted messenger RNA synthesis doubles when the cell reaches a critical size. This size-related control maintains average mRNA content in balance with total cell mass during exponential growth, even in cells growing at different absolute growth rates per cell</w:instrText>
      </w:r>
      <w:r>
        <w:rPr>
          <w:rFonts w:ascii="Arial" w:eastAsia="Times New Roman" w:hAnsi="Arial" w:cs="Arial"/>
          <w:lang w:val="en-US" w:eastAsia="de-DE"/>
        </w:rPr>
        <w:instrText>.","author":[{"dropping-particle":"","family":"Fraser","given":"R. S.S.","non-dropping-particle":"","parse-names":false,"suffix":""},{"dropping-particle":"","family":"Nurse","given":"Paul","non-dropping-particle":"","parse-names":false,"suffix":""}],"conta</w:instrText>
      </w:r>
      <w:r>
        <w:rPr>
          <w:rFonts w:ascii="Arial" w:eastAsia="Times New Roman" w:hAnsi="Arial" w:cs="Arial"/>
          <w:lang w:val="en-US" w:eastAsia="de-DE"/>
        </w:rPr>
        <w:instrText>iner-title":"Nature 1978 271:5647","id":"ITEM-2","issue":"5647","issued":{"date-parts":[["1978","2","1"]]},"page":"726-730","publisher":"Nature Publishing Group","title":"Novel cell cycle control of RNA synthesis in yeast","type":"article-journal","volume"</w:instrText>
      </w:r>
      <w:r>
        <w:rPr>
          <w:rFonts w:ascii="Arial" w:eastAsia="Times New Roman" w:hAnsi="Arial" w:cs="Arial"/>
          <w:lang w:val="en-US" w:eastAsia="de-DE"/>
        </w:rPr>
        <w:instrText xml:space="preserve">:"271"},"uris":["http://www.mendeley.com/documents/?uuid=5386667b-52cc-3905-8212-537e174d285b"]},{"id":"ITEM-3","itemData":{"DOI":"10.1242/JCS.35.1.25","ISSN":"0021-9533","PMID":"370130","abstract":"In the fission yeast Schizosaccharomyces pombe, a series </w:instrText>
      </w:r>
      <w:r>
        <w:rPr>
          <w:rFonts w:ascii="Arial" w:eastAsia="Times New Roman" w:hAnsi="Arial" w:cs="Arial"/>
          <w:lang w:val="en-US" w:eastAsia="de-DE"/>
        </w:rPr>
        <w:instrText>of diploid mutants divides at smaller cell sizes than wild type. In these smaller strains, the mean gene concentration (defined by previous authors as the DNA to protein ratio) is higher than in wild type. Such an increase in gene concentration should also</w:instrText>
      </w:r>
      <w:r>
        <w:rPr>
          <w:rFonts w:ascii="Arial" w:eastAsia="Times New Roman" w:hAnsi="Arial" w:cs="Arial"/>
          <w:lang w:val="en-US" w:eastAsia="de-DE"/>
        </w:rPr>
        <w:instrText xml:space="preserve"> increase the concentration of those components such as messenger and ribosomal RNA, whose rate of synthesis is determined by gene dosage. We show that the mean concentrations of these 2 RNA species in the small cells are not increased, but are the same as</w:instrText>
      </w:r>
      <w:r>
        <w:rPr>
          <w:rFonts w:ascii="Arial" w:eastAsia="Times New Roman" w:hAnsi="Arial" w:cs="Arial"/>
          <w:lang w:val="en-US" w:eastAsia="de-DE"/>
        </w:rPr>
        <w:instrText xml:space="preserve"> in wild type. The small mutant cells are thus able to compensate for changes in gene concentration. This compensation is shown to operate through differences in the patterns of synthesis of RNA during the cell cycle. In all the strains of the diploid seri</w:instrText>
      </w:r>
      <w:r>
        <w:rPr>
          <w:rFonts w:ascii="Arial" w:eastAsia="Times New Roman" w:hAnsi="Arial" w:cs="Arial"/>
          <w:lang w:val="en-US" w:eastAsia="de-DE"/>
        </w:rPr>
        <w:instrText>es, the rates of synthesis of messenger and ribosomal RNA double as steps once in each cell cycle. The timings of the steps in the cell cycle appear to be cell-size related, since the smaller the cell at division, the later are the steps in the cell cycle.</w:instrText>
      </w:r>
      <w:r>
        <w:rPr>
          <w:rFonts w:ascii="Arial" w:eastAsia="Times New Roman" w:hAnsi="Arial" w:cs="Arial"/>
          <w:lang w:val="en-US" w:eastAsia="de-DE"/>
        </w:rPr>
        <w:instrText xml:space="preserve"> In contrast, there is comparatively little variation in the timing of DNA replication in the cycles of cells of different sizes. We propose that after DNA replication, there is a delay before doubling in the rate of transcription. Such a cell mass-related</w:instrText>
      </w:r>
      <w:r>
        <w:rPr>
          <w:rFonts w:ascii="Arial" w:eastAsia="Times New Roman" w:hAnsi="Arial" w:cs="Arial"/>
          <w:lang w:val="en-US" w:eastAsia="de-DE"/>
        </w:rPr>
        <w:instrText xml:space="preserve"> delay is all that is required to compensate for increased gene concentration, and results in the same mean functional DNA concentration in all strains. This mechanism will maintain the same mean messenger and ribosomal RNA concentrations in cells dividing</w:instrText>
      </w:r>
      <w:r>
        <w:rPr>
          <w:rFonts w:ascii="Arial" w:eastAsia="Times New Roman" w:hAnsi="Arial" w:cs="Arial"/>
          <w:lang w:val="en-US" w:eastAsia="de-DE"/>
        </w:rPr>
        <w:instrText xml:space="preserve"> at different sizes. Ways in which the cell size-related control over transcription may operate are discussed.","author":[{"dropping-particle":"","family":"Fraser","given":"R. S.S.","non-dropping-particle":"","parse-names":false,"suffix":""},{"dropping-par</w:instrText>
      </w:r>
      <w:r>
        <w:rPr>
          <w:rFonts w:ascii="Arial" w:eastAsia="Times New Roman" w:hAnsi="Arial" w:cs="Arial"/>
          <w:lang w:val="en-US" w:eastAsia="de-DE"/>
        </w:rPr>
        <w:instrText>ticle":"","family":"Nurse","given":"P.","non-dropping-particle":"","parse-names":false,"suffix":""}],"container-title":"Journal of Cell Science","id":"ITEM-3","issue":"1","issued":{"date-parts":[["1979","2","1"]]},"page":"25-40","publisher":"The Company of</w:instrText>
      </w:r>
      <w:r>
        <w:rPr>
          <w:rFonts w:ascii="Arial" w:eastAsia="Times New Roman" w:hAnsi="Arial" w:cs="Arial"/>
          <w:lang w:val="en-US" w:eastAsia="de-DE"/>
        </w:rPr>
        <w:instrText xml:space="preserve"> Biologists","title":"Altered patterns of ribonucleic acid synthesis during the cell cycle: a mechanism compensating for variation in gene concentration","type":"article-journal","volume":"35"},"uris":["http://www.mendeley.com/documents/?uuid=fa47613b-37f6</w:instrText>
      </w:r>
      <w:r>
        <w:rPr>
          <w:rFonts w:ascii="Arial" w:eastAsia="Times New Roman" w:hAnsi="Arial" w:cs="Arial"/>
          <w:lang w:val="en-US" w:eastAsia="de-DE"/>
        </w:rPr>
        <w:instrText>-3f5b-bef2-c7144377f27d"]},{"id":"ITEM-4","itemData":{"DOI":"10.1007/BF00382269","ISSN":"0026-8925","author":[{"dropping-particle":"","family":"Elliott","given":"Steven G.","non-dropping-particle":"","parse-names":false,"suffix":""},{"dropping-particle":""</w:instrText>
      </w:r>
      <w:r>
        <w:rPr>
          <w:rFonts w:ascii="Arial" w:eastAsia="Times New Roman" w:hAnsi="Arial" w:cs="Arial"/>
          <w:lang w:val="en-US" w:eastAsia="de-DE"/>
        </w:rPr>
        <w:instrText>,"family":"McLaughlin","given":"Calvin S.","non-dropping-particle":"","parse-names":false,"suffix":""}],"container-title":"MGG Molecular &amp; General Genetics","id":"ITEM-4","issue":"3","issued":{"date-parts":[["1979"]]},"page":"237-243","title":"Regulation o</w:instrText>
      </w:r>
      <w:r>
        <w:rPr>
          <w:rFonts w:ascii="Arial" w:eastAsia="Times New Roman" w:hAnsi="Arial" w:cs="Arial"/>
          <w:lang w:val="en-US" w:eastAsia="de-DE"/>
        </w:rPr>
        <w:instrText>f RNA synthesis in yeast III","type":"article-journal","volume":"169"},"uris":["http://www.mendeley.com/documents/?uuid=093e82f4-befb-4226-98fb-6426d0d717c3"]},{"id":"ITEM-5","itemData":{"DOI":"10.1007/BF00327667/METRICS","ISSN":"00268925","PMID":"6580523"</w:instrText>
      </w:r>
      <w:r>
        <w:rPr>
          <w:rFonts w:ascii="Arial" w:eastAsia="Times New Roman" w:hAnsi="Arial" w:cs="Arial"/>
          <w:lang w:val="en-US" w:eastAsia="de-DE"/>
        </w:rPr>
        <w:instrText>,"abstract":"In the fission yeast Schizosaccharomyces pombe the rate of RNA synthesis, as determined by pulse labeling, increases in a step-like manner in synchronous cultures prepared by centrifugal elutriation. Cultures prepared in this way show marked r</w:instrText>
      </w:r>
      <w:r>
        <w:rPr>
          <w:rFonts w:ascii="Arial" w:eastAsia="Times New Roman" w:hAnsi="Arial" w:cs="Arial"/>
          <w:lang w:val="en-US" w:eastAsia="de-DE"/>
        </w:rPr>
        <w:instrText xml:space="preserve">eductions in perturbations which can be caused by many synchrony techniques. Kinetic evidence indicates that alterations in pool metabolism are not responsible for the step pattern. The long period of increase in the rate doubling (relative to cell number </w:instrText>
      </w:r>
      <w:r>
        <w:rPr>
          <w:rFonts w:ascii="Arial" w:eastAsia="Times New Roman" w:hAnsi="Arial" w:cs="Arial"/>
          <w:lang w:val="en-US" w:eastAsia="de-DE"/>
        </w:rPr>
        <w:instrText>increase) indicates that the period of increasing rate may be due to a growth period and not a sudden transition between a slow and a fast rate. An analysis of synchronous cultures of cells of different cell size and synchronous cultures of temperature sen</w:instrText>
      </w:r>
      <w:r>
        <w:rPr>
          <w:rFonts w:ascii="Arial" w:eastAsia="Times New Roman" w:hAnsi="Arial" w:cs="Arial"/>
          <w:lang w:val="en-US" w:eastAsia="de-DE"/>
        </w:rPr>
        <w:instrText xml:space="preserve">sitive mutants blocked in cell cycle progress indicated that neither size control, changes in DNA content nor septation are directly responsible for the steps in RNA synthesis. Instead the time of the rate change is associated with a specific point in the </w:instrText>
      </w:r>
      <w:r>
        <w:rPr>
          <w:rFonts w:ascii="Arial" w:eastAsia="Times New Roman" w:hAnsi="Arial" w:cs="Arial"/>
          <w:lang w:val="en-US" w:eastAsia="de-DE"/>
        </w:rPr>
        <w:instrText xml:space="preserve">cell cycle, probably an event associated with nuclear division. © 1983 Springer-Verlag.","author":[{"dropping-particle":"","family":"Elliott","given":"Steven G.","non-dropping-particle":"","parse-names":false,"suffix":""}],"container-title":"MGG Molecular </w:instrText>
      </w:r>
      <w:r>
        <w:rPr>
          <w:rFonts w:ascii="Arial" w:eastAsia="Times New Roman" w:hAnsi="Arial" w:cs="Arial"/>
          <w:lang w:val="en-US" w:eastAsia="de-DE"/>
        </w:rPr>
        <w:instrText>&amp; General Genetics","id":"ITEM-5","issue":"1-2","issued":{"date-parts":[["1983","10"]]},"page":"204-211","publisher":"Springer-Verlag","title":"Coordination of growth with cell division: Regulation of synthesis of RNA during the cell cycle of the fission y</w:instrText>
      </w:r>
      <w:r>
        <w:rPr>
          <w:rFonts w:ascii="Arial" w:eastAsia="Times New Roman" w:hAnsi="Arial" w:cs="Arial"/>
          <w:lang w:val="en-US" w:eastAsia="de-DE"/>
        </w:rPr>
        <w:instrText>east Schizosaccharomyces pombe","type":"article-journal","volume":"192"},"uris":["http://www.mendeley.com/documents/?uuid=1f1c59a6-78d9-388a-b04d-0e46843f97c3"]},{"id":"ITEM-6","itemData":{"DOI":"10.1083/JCB.128.4.467","ISBN":"00219525/95/02/4","ISSN":"002</w:instrText>
      </w:r>
      <w:r>
        <w:rPr>
          <w:rFonts w:ascii="Arial" w:eastAsia="Times New Roman" w:hAnsi="Arial" w:cs="Arial"/>
          <w:lang w:val="en-US" w:eastAsia="de-DE"/>
        </w:rPr>
        <w:instrText>1-9525","PMID":"7532171","abstract":"Cell sizes can differ vastly between cell types in individual metazoan organisms. In rat liver, spleen, and thymus, differences in average cell size roughly reflect diffrences in RNA:DNA ratios. For example, hepatocytes</w:instrText>
      </w:r>
      <w:r>
        <w:rPr>
          <w:rFonts w:ascii="Arial" w:eastAsia="Times New Roman" w:hAnsi="Arial" w:cs="Arial"/>
          <w:lang w:val="en-US" w:eastAsia="de-DE"/>
        </w:rPr>
        <w:instrText xml:space="preserve"> were found to have a cytoplasmic:nuclear volume ratio and an RNA:DNA ratio which were 34- and 21-fold higher, respectively, than those in thymocytes. RNA synthesis per DNA-equivalent in the hepatocytes was 25-fold greater than that in thymocytes, suggesti</w:instrText>
      </w:r>
      <w:r>
        <w:rPr>
          <w:rFonts w:ascii="Arial" w:eastAsia="Times New Roman" w:hAnsi="Arial" w:cs="Arial"/>
          <w:lang w:val="en-US" w:eastAsia="de-DE"/>
        </w:rPr>
        <w:instrText xml:space="preserve">ng that differences in overall transcriptional activity, not differences in overall RNA stability, were primarily responsible for determining cellular RNA:DNA ratios. The mechanisms determining the capacity of large cells to synthesize and accumulate more </w:instrText>
      </w:r>
      <w:r>
        <w:rPr>
          <w:rFonts w:ascii="Arial" w:eastAsia="Times New Roman" w:hAnsi="Arial" w:cs="Arial"/>
          <w:lang w:val="en-US" w:eastAsia="de-DE"/>
        </w:rPr>
        <w:instrText>ubiquitous cytoplasmic macromolecules, such as ribosomes, than smaller cells is entitled \"cell size regulation\". Cell size regulation may have important consequences on the tissue distribution of transcription factors. Thus, in liver, lung, kidney, splee</w:instrText>
      </w:r>
      <w:r>
        <w:rPr>
          <w:rFonts w:ascii="Arial" w:eastAsia="Times New Roman" w:hAnsi="Arial" w:cs="Arial"/>
          <w:lang w:val="en-US" w:eastAsia="de-DE"/>
        </w:rPr>
        <w:instrText>n, and brain, cellular levels of the mRNA encoding the leucine zipper protein DBP correlate closely to cellular RNA:DNA ratios. Our results suggest that DBP mRNA levels, like RNA levels, are transcriptionally determined. Thus the dbp gene, like the ribosom</w:instrText>
      </w:r>
      <w:r>
        <w:rPr>
          <w:rFonts w:ascii="Arial" w:eastAsia="Times New Roman" w:hAnsi="Arial" w:cs="Arial"/>
          <w:lang w:val="en-US" w:eastAsia="de-DE"/>
        </w:rPr>
        <w:instrText>al genes, may be subject to cell size regulation. As a consequence, nuclei from liver, a tissue with a very large average cell size, accumulated higher levels of DBP protein than nuclei from small-celled tissues, such as spleen or lung. In contrast to DBP,</w:instrText>
      </w:r>
      <w:r>
        <w:rPr>
          <w:rFonts w:ascii="Arial" w:eastAsia="Times New Roman" w:hAnsi="Arial" w:cs="Arial"/>
          <w:lang w:val="en-US" w:eastAsia="de-DE"/>
        </w:rPr>
        <w:instrText xml:space="preserve"> the ubiquitous transcription factors Octl and NF-Y escaped cell size control. Nuclei from most tissues contained similar amounts of these factors irrespective of cell size. Likewise, tissues with large or small average cell sizes contained similar levels </w:instrText>
      </w:r>
      <w:r>
        <w:rPr>
          <w:rFonts w:ascii="Arial" w:eastAsia="Times New Roman" w:hAnsi="Arial" w:cs="Arial"/>
          <w:lang w:val="en-US" w:eastAsia="de-DE"/>
        </w:rPr>
        <w:instrText>of the mRNAs encoding Octl or NF-Ya, one of the subunits of the heteromeric CCAAT-binding factor NF-Y, per DNA equivalent. Interestingly, mRNA encoding NF-Yb, another subunit of NF-Y, was subject to cell size regulation. Our results suggest that NF-Yb prot</w:instrText>
      </w:r>
      <w:r>
        <w:rPr>
          <w:rFonts w:ascii="Arial" w:eastAsia="Times New Roman" w:hAnsi="Arial" w:cs="Arial"/>
          <w:lang w:val="en-US" w:eastAsia="de-DE"/>
        </w:rPr>
        <w:instrText>ein escapes cell size regulation at a posttranslational level.","author":[{"dropping-particle":"","family":"Schmidt","given":"Edward E.","non-dropping-particle":"","parse-names":false,"suffix":""},{"dropping-particle":"","family":"Schibler","given":"Ueli",</w:instrText>
      </w:r>
      <w:r>
        <w:rPr>
          <w:rFonts w:ascii="Arial" w:eastAsia="Times New Roman" w:hAnsi="Arial" w:cs="Arial"/>
          <w:lang w:val="en-US" w:eastAsia="de-DE"/>
        </w:rPr>
        <w:instrText>"non-dropping-particle":"","parse-names":false,"suffix":""}],"container-title":"Journal of Cell Biology","id":"ITEM-6","issue":"4","issued":{"date-parts":[["1995","2","15"]]},"page":"467-483","publisher":"The Rockefeller University Press","title":"Cell siz</w:instrText>
      </w:r>
      <w:r>
        <w:rPr>
          <w:rFonts w:ascii="Arial" w:eastAsia="Times New Roman" w:hAnsi="Arial" w:cs="Arial"/>
          <w:lang w:val="en-US" w:eastAsia="de-DE"/>
        </w:rPr>
        <w:instrText>e regulation, a mechanism that controls cellular RNA accumulation: consequences on regulation of the ubiquitous transcription factors Oct1 and NF-Y and the liver-enriched transcription factor DBP.","type":"article-journal","volume":"128"},"uris":["http://w</w:instrText>
      </w:r>
      <w:r>
        <w:rPr>
          <w:rFonts w:ascii="Arial" w:eastAsia="Times New Roman" w:hAnsi="Arial" w:cs="Arial"/>
          <w:lang w:val="en-US" w:eastAsia="de-DE"/>
        </w:rPr>
        <w:instrText>ww.mendeley.com/documents/?uuid=f63838c5-8e5f-3c64-be98-5a2aff40ff9d"]},{"id":"ITEM-7","itemData":{"DOI":"10.1016/j.cub.2010.10.002","ISBN":"1879-0445 (Electronic)\\r0960-9822 (Linking)","ISSN":"09609822","PMID":"20970341","abstract":"Although much is know</w:instrText>
      </w:r>
      <w:r>
        <w:rPr>
          <w:rFonts w:ascii="Arial" w:eastAsia="Times New Roman" w:hAnsi="Arial" w:cs="Arial"/>
          <w:lang w:val="en-US" w:eastAsia="de-DE"/>
        </w:rPr>
        <w:instrText>n about the regulation of gene transcription in eukaryotes, it is not clear whether cells have global controls that determine overall rates of transcription. We have investigated the effects that the DNA-to-protein ratio has on both total transcription and</w:instrText>
      </w:r>
      <w:r>
        <w:rPr>
          <w:rFonts w:ascii="Arial" w:eastAsia="Times New Roman" w:hAnsi="Arial" w:cs="Arial"/>
          <w:lang w:val="en-US" w:eastAsia="de-DE"/>
        </w:rPr>
        <w:instrText xml:space="preserve"> the transcription of individual genes in the unicellular eukaryote fission yeast. Mutants altered in cell size and those blocked in cell-cycle progression were used to vary the DNA-to-protein ratio over a 5-fold range. We found that cells of sizes within </w:instrText>
      </w:r>
      <w:r>
        <w:rPr>
          <w:rFonts w:ascii="Arial" w:eastAsia="Times New Roman" w:hAnsi="Arial" w:cs="Arial"/>
          <w:lang w:val="en-US" w:eastAsia="de-DE"/>
        </w:rPr>
        <w:instrText>2-fold of the wild-type value regulated global transcription to maintain similar transcription rates per protein regardless of the cellular DNA content. These changes in total transcription correlated with coordinated changes in gene occupancy by RNA polym</w:instrText>
      </w:r>
      <w:r>
        <w:rPr>
          <w:rFonts w:ascii="Arial" w:eastAsia="Times New Roman" w:hAnsi="Arial" w:cs="Arial"/>
          <w:lang w:val="en-US" w:eastAsia="de-DE"/>
        </w:rPr>
        <w:instrText>erase II. In cell-cycle-arrested mutants exceeding a certain size, total transcription rates plateaued as DNA became limiting for transcription at low DNA-to-protein ratios [1]. Unexpectedly, expression levels of individual genes remained tightly coordinat</w:instrText>
      </w:r>
      <w:r>
        <w:rPr>
          <w:rFonts w:ascii="Arial" w:eastAsia="Times New Roman" w:hAnsi="Arial" w:cs="Arial"/>
          <w:lang w:val="en-US" w:eastAsia="de-DE"/>
        </w:rPr>
        <w:instrText>ed with each other over the entire range of cell sizes. We propose that there is a coordinated, global control that determines the rate of transcription of most genes and that this control plays a role in regulating growth rate of the cell. © 2010 Elsevier</w:instrText>
      </w:r>
      <w:r>
        <w:rPr>
          <w:rFonts w:ascii="Arial" w:eastAsia="Times New Roman" w:hAnsi="Arial" w:cs="Arial"/>
          <w:lang w:val="en-US" w:eastAsia="de-DE"/>
        </w:rPr>
        <w:instrText xml:space="preserve"> Ltd All rights reserved.","author":[{"dropping-particle":"","family":"Zhurinsky","given":"Jacob","non-dropping-particle":"","parse-names":false,"suffix":""},{"dropping-particle":"","family":"Leonhard","given":"Klaus","non-dropping-particle":"","parse-name</w:instrText>
      </w:r>
      <w:r>
        <w:rPr>
          <w:rFonts w:ascii="Arial" w:eastAsia="Times New Roman" w:hAnsi="Arial" w:cs="Arial"/>
          <w:lang w:val="en-US" w:eastAsia="de-DE"/>
        </w:rPr>
        <w:instrText>s":false,"suffix":""},{"dropping-particle":"","family":"Watt","given":"Stephen","non-dropping-particle":"","parse-names":false,"suffix":""},{"dropping-particle":"","family":"Marguerat","given":"Samuel","non-dropping-particle":"","parse-names":false,"suffix</w:instrText>
      </w:r>
      <w:r>
        <w:rPr>
          <w:rFonts w:ascii="Arial" w:eastAsia="Times New Roman" w:hAnsi="Arial" w:cs="Arial"/>
          <w:lang w:val="en-US" w:eastAsia="de-DE"/>
        </w:rPr>
        <w:instrText>":""},{"dropping-particle":"","family":"Bähler","given":"Jürg","non-dropping-particle":"","parse-names":false,"suffix":""},{"dropping-particle":"","family":"Nurse","given":"Paul","non-dropping-particle":"","parse-names":false,"suffix":""}],"container-title</w:instrText>
      </w:r>
      <w:r>
        <w:rPr>
          <w:rFonts w:ascii="Arial" w:eastAsia="Times New Roman" w:hAnsi="Arial" w:cs="Arial"/>
          <w:lang w:val="en-US" w:eastAsia="de-DE"/>
        </w:rPr>
        <w:instrText>":"Current Biology","id":"ITEM-7","issue":"22","issued":{"date-parts":[["2010"]]},"page":"2010-2015","title":"A coordinated global control over cellular transcription","type":"article-journal","volume":"20"},"uris":["http://www.mendeley.com/documents/?uuid</w:instrText>
      </w:r>
      <w:r>
        <w:rPr>
          <w:rFonts w:ascii="Arial" w:eastAsia="Times New Roman" w:hAnsi="Arial" w:cs="Arial"/>
          <w:lang w:val="en-US" w:eastAsia="de-DE"/>
        </w:rPr>
        <w:instrText xml:space="preserve">=adce00d7-4d17-4290-bb17-7de651ab16fa"]},{"id":"ITEM-8","itemData":{"DOI":"10.1016/j.molcel.2015.03.005","ISSN":"10972765","abstract":"Individual mammalian cells exhibit large variability in cellular volume, even with the same absolute DNA content, and so </w:instrText>
      </w:r>
      <w:r>
        <w:rPr>
          <w:rFonts w:ascii="Arial" w:eastAsia="Times New Roman" w:hAnsi="Arial" w:cs="Arial"/>
          <w:lang w:val="en-US" w:eastAsia="de-DE"/>
        </w:rPr>
        <w:instrText>must compensate for differences in DNA concentration in order to maintain constant concentration of gene expression products. Using single-molecule counting and computational image analysis, we show that transcript abundance correlates with cellular volume</w:instrText>
      </w:r>
      <w:r>
        <w:rPr>
          <w:rFonts w:ascii="Arial" w:eastAsia="Times New Roman" w:hAnsi="Arial" w:cs="Arial"/>
          <w:lang w:val="en-US" w:eastAsia="de-DE"/>
        </w:rPr>
        <w:instrText xml:space="preserve"> at the single-cell level due to increased global transcription in larger cells. Cell fusion experiments establish that increased cellular content itself can directly increase transcription. Quantitative analysis shows that this mechanism measures the rati</w:instrText>
      </w:r>
      <w:r>
        <w:rPr>
          <w:rFonts w:ascii="Arial" w:eastAsia="Times New Roman" w:hAnsi="Arial" w:cs="Arial"/>
          <w:lang w:val="en-US" w:eastAsia="de-DE"/>
        </w:rPr>
        <w:instrText>o of cellular volume to DNA content, most likely through sequestration of a transcriptional factor to DNA. Analysis of transcriptional bursts reveals a separate mechanism for gene dosage compensation after DNA replication that enables proper transcriptiona</w:instrText>
      </w:r>
      <w:r>
        <w:rPr>
          <w:rFonts w:ascii="Arial" w:eastAsia="Times New Roman" w:hAnsi="Arial" w:cs="Arial"/>
          <w:lang w:val="en-US" w:eastAsia="de-DE"/>
        </w:rPr>
        <w:instrText>l output during early and late S phase. Our results provide a framework for quantitatively understanding the relationships among DNA content, cell size, and gene expression variability in single cells.","author":[{"dropping-particle":"","family":"Padovan-M</w:instrText>
      </w:r>
      <w:r>
        <w:rPr>
          <w:rFonts w:ascii="Arial" w:eastAsia="Times New Roman" w:hAnsi="Arial" w:cs="Arial"/>
          <w:lang w:val="en-US" w:eastAsia="de-DE"/>
        </w:rPr>
        <w:instrText>erhar","given":"Olivia","non-dropping-particle":"","parse-names":false,"suffix":""},{"dropping-particle":"","family":"Nair","given":"Gautham P.","non-dropping-particle":"","parse-names":false,"suffix":""},{"dropping-particle":"","family":"Biaesch","given":</w:instrText>
      </w:r>
      <w:r>
        <w:rPr>
          <w:rFonts w:ascii="Arial" w:eastAsia="Times New Roman" w:hAnsi="Arial" w:cs="Arial"/>
          <w:lang w:val="en-US" w:eastAsia="de-DE"/>
        </w:rPr>
        <w:instrText>"Andrew G.","non-dropping-particle":"","parse-names":false,"suffix":""},{"dropping-particle":"","family":"Mayer","given":"Andreas","non-dropping-particle":"","parse-names":false,"suffix":""},{"dropping-particle":"","family":"Scarfone","given":"Steven","non</w:instrText>
      </w:r>
      <w:r>
        <w:rPr>
          <w:rFonts w:ascii="Arial" w:eastAsia="Times New Roman" w:hAnsi="Arial" w:cs="Arial"/>
          <w:lang w:val="en-US" w:eastAsia="de-DE"/>
        </w:rPr>
        <w:instrText>-dropping-particle":"","parse-names":false,"suffix":""},{"dropping-particle":"","family":"Foley","given":"Shawn W.","non-dropping-particle":"","parse-names":false,"suffix":""},{"dropping-particle":"","family":"Wu","given":"Angela R.","non-dropping-particle</w:instrText>
      </w:r>
      <w:r>
        <w:rPr>
          <w:rFonts w:ascii="Arial" w:eastAsia="Times New Roman" w:hAnsi="Arial" w:cs="Arial"/>
          <w:lang w:val="en-US" w:eastAsia="de-DE"/>
        </w:rPr>
        <w:instrText>":"","parse-names":false,"suffix":""},{"dropping-particle":"","family":"Churchman","given":"L. Stirling","non-dropping-particle":"","parse-names":false,"suffix":""},{"dropping-particle":"","family":"Singh","given":"Abhyudai","non-dropping-particle":"","par</w:instrText>
      </w:r>
      <w:r>
        <w:rPr>
          <w:rFonts w:ascii="Arial" w:eastAsia="Times New Roman" w:hAnsi="Arial" w:cs="Arial"/>
          <w:lang w:val="en-US" w:eastAsia="de-DE"/>
        </w:rPr>
        <w:instrText>se-names":false,"suffix":""},{"dropping-particle":"","family":"Raj","given":"Arjun","non-dropping-particle":"","parse-names":false,"suffix":""}],"container-title":"Molecular Cell","id":"ITEM-8","issue":"2","issued":{"date-parts":[["2015","4"]]},"page":"339</w:instrText>
      </w:r>
      <w:r>
        <w:rPr>
          <w:rFonts w:ascii="Arial" w:eastAsia="Times New Roman" w:hAnsi="Arial" w:cs="Arial"/>
          <w:lang w:val="en-US" w:eastAsia="de-DE"/>
        </w:rPr>
        <w:instrText>-352","title":"Single Mammalian Cells Compensate for Differences in Cellular Volume and DNA Copy Number through Independent Global Transcriptional Mechanisms","type":"article-journal","volume":"58"},"uris":["http://www.mendeley.com/documents/?uuid=5c85bab6</w:instrText>
      </w:r>
      <w:r>
        <w:rPr>
          <w:rFonts w:ascii="Arial" w:eastAsia="Times New Roman" w:hAnsi="Arial" w:cs="Arial"/>
          <w:lang w:val="en-US" w:eastAsia="de-DE"/>
        </w:rPr>
        <w:instrText xml:space="preserve">-4d1f-4871-b740-e55b13377d17"]},{"id":"ITEM-9","itemData":{"DOI":"10.15252/EMBJ.2022113333","ISSN":"1460-2075","PMID":"36951016","abstract":"How the production of biomass is controlled as cells increase in size and proceed through the cell cycle events is </w:instrText>
      </w:r>
      <w:r>
        <w:rPr>
          <w:rFonts w:ascii="Arial" w:eastAsia="Times New Roman" w:hAnsi="Arial" w:cs="Arial"/>
          <w:lang w:val="en-US" w:eastAsia="de-DE"/>
        </w:rPr>
        <w:instrText>important for understanding the regulation of global cellular growth. This has been studied for decades but has not yielded consistent results, probably due to perturbations induced by the synchronisation methods used in most previous studies. To avoid thi</w:instrText>
      </w:r>
      <w:r>
        <w:rPr>
          <w:rFonts w:ascii="Arial" w:eastAsia="Times New Roman" w:hAnsi="Arial" w:cs="Arial"/>
          <w:lang w:val="en-US" w:eastAsia="de-DE"/>
        </w:rPr>
        <w:instrText>s problem, we have developed a system to analyse unperturbed exponentially growing populations of fission yeast cells. We generated thousands of fixed single</w:instrText>
      </w:r>
      <w:r>
        <w:rPr>
          <w:rFonts w:ascii="Cambria Math" w:eastAsia="Times New Roman" w:hAnsi="Cambria Math" w:cs="Cambria Math"/>
          <w:lang w:val="en-US" w:eastAsia="de-DE"/>
        </w:rPr>
        <w:instrText>‐</w:instrText>
      </w:r>
      <w:r>
        <w:rPr>
          <w:rFonts w:ascii="Arial" w:eastAsia="Times New Roman" w:hAnsi="Arial" w:cs="Arial"/>
          <w:lang w:val="en-US" w:eastAsia="de-DE"/>
        </w:rPr>
        <w:instrText>cell measurements of cell size, cell cycle stage and the levels of global cellular translation and</w:instrText>
      </w:r>
      <w:r>
        <w:rPr>
          <w:rFonts w:ascii="Arial" w:eastAsia="Times New Roman" w:hAnsi="Arial" w:cs="Arial"/>
          <w:lang w:val="en-US" w:eastAsia="de-DE"/>
        </w:rPr>
        <w:instrText xml:space="preserve"> transcription. We show that translation scales with size, and additionally, increases at late S</w:instrText>
      </w:r>
      <w:r>
        <w:rPr>
          <w:rFonts w:ascii="Cambria Math" w:eastAsia="Times New Roman" w:hAnsi="Cambria Math" w:cs="Cambria Math"/>
          <w:lang w:val="en-US" w:eastAsia="de-DE"/>
        </w:rPr>
        <w:instrText>‐</w:instrText>
      </w:r>
      <w:r>
        <w:rPr>
          <w:rFonts w:ascii="Arial" w:eastAsia="Times New Roman" w:hAnsi="Arial" w:cs="Arial"/>
          <w:lang w:val="en-US" w:eastAsia="de-DE"/>
        </w:rPr>
        <w:instrText>phase/early G2 and early in mitosis and decreases later in mitosis, suggesting that cell cycle controls are also operative over global cellular translation. Tr</w:instrText>
      </w:r>
      <w:r>
        <w:rPr>
          <w:rFonts w:ascii="Arial" w:eastAsia="Times New Roman" w:hAnsi="Arial" w:cs="Arial"/>
          <w:lang w:val="en-US" w:eastAsia="de-DE"/>
        </w:rPr>
        <w:instrText>anscription increases with both size and the amount of DNA, suggesting that the level of transcription of a cell may be the result of a dynamic equilibrium between the number of RNA polymerases associating and disassociating from DNA.   image    Perturbati</w:instrText>
      </w:r>
      <w:r>
        <w:rPr>
          <w:rFonts w:ascii="Arial" w:eastAsia="Times New Roman" w:hAnsi="Arial" w:cs="Arial"/>
          <w:lang w:val="en-US" w:eastAsia="de-DE"/>
        </w:rPr>
        <w:instrText>ons induced by synchronization procedures have hampered the study of how biomass production is linked to the cell cycle and cell growth. Here, an assay using exponentially growing populations of fission yeast is developed to understand the influences of th</w:instrText>
      </w:r>
      <w:r>
        <w:rPr>
          <w:rFonts w:ascii="Arial" w:eastAsia="Times New Roman" w:hAnsi="Arial" w:cs="Arial"/>
          <w:lang w:val="en-US" w:eastAsia="de-DE"/>
        </w:rPr>
        <w:instrText>e cell cycle and cell size on the global rates of production of proteins and RNA in unperturbed cells.   Both global transcription and translation increase with cell size.   In large cells, global translation becomes limited by cell size earlier than trans</w:instrText>
      </w:r>
      <w:r>
        <w:rPr>
          <w:rFonts w:ascii="Arial" w:eastAsia="Times New Roman" w:hAnsi="Arial" w:cs="Arial"/>
          <w:lang w:val="en-US" w:eastAsia="de-DE"/>
        </w:rPr>
        <w:instrText>cription does.   Global translation is regulated by cell cycle events, increasing at the S/G2 transition and early in mitosis, and deceasing later in mitosis.   Global transcription appears to increase through S phase.   ","author":[{"dropping-particle":""</w:instrText>
      </w:r>
      <w:r>
        <w:rPr>
          <w:rFonts w:ascii="Arial" w:eastAsia="Times New Roman" w:hAnsi="Arial" w:cs="Arial"/>
          <w:lang w:val="en-US" w:eastAsia="de-DE"/>
        </w:rPr>
        <w:instrText>,"family":"Basier","given":"Clovis","non-dropping-particle":"","parse-names":false,"suffix":""},{"dropping-particle":"","family":"Nurse","given":"Paul","non-dropping-particle":"","parse-names":false,"suffix":""}],"container-title":"The EMBO Journal","id":"</w:instrText>
      </w:r>
      <w:r>
        <w:rPr>
          <w:rFonts w:ascii="Arial" w:eastAsia="Times New Roman" w:hAnsi="Arial" w:cs="Arial"/>
          <w:lang w:val="en-US" w:eastAsia="de-DE"/>
        </w:rPr>
        <w:instrText>ITEM-9","issue":"9","issued":{"date-parts":[["2023","5","2"]]},"page":"e113333","publisher":"John Wiley &amp; Sons, Ltd","title":"The cell cycle and cell size influence the rates of global cellular translation and transcription in fission yeast","type":"articl</w:instrText>
      </w:r>
      <w:r>
        <w:rPr>
          <w:rFonts w:ascii="Arial" w:eastAsia="Times New Roman" w:hAnsi="Arial" w:cs="Arial"/>
          <w:lang w:val="en-US" w:eastAsia="de-DE"/>
        </w:rPr>
        <w:instrText>e-journal","volume":"42"},"uris":["http://www.mendeley.com/documents/?uuid=a00f0cb6-2ffe-3010-bed8-c6465a70d8b5"]}],"mendeley":{"formattedCitation":"&lt;sup&gt;12,14,16,20–25&lt;/sup&gt;","plainTextFormattedCitation":"12,14,16,20–25","previouslyFormattedCitation":"&lt;su</w:instrText>
      </w:r>
      <w:r>
        <w:rPr>
          <w:rFonts w:ascii="Arial" w:eastAsia="Times New Roman" w:hAnsi="Arial" w:cs="Arial"/>
          <w:lang w:val="en-US" w:eastAsia="de-DE"/>
        </w:rPr>
        <w:instrText>p&gt;12,14,16,20–25&lt;/sup&gt;"},"properties":{"noteIndex":0},"schema":"https://github.com/citation-style-language/schema/raw/master/csl-citation.json"}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12,14,16,20–25</w:t>
      </w:r>
      <w:r>
        <w:rPr>
          <w:rFonts w:ascii="Arial" w:eastAsia="Times New Roman" w:hAnsi="Arial" w:cs="Arial"/>
          <w:lang w:val="en-US" w:eastAsia="de-DE"/>
        </w:rPr>
        <w:fldChar w:fldCharType="end"/>
      </w:r>
      <w:r>
        <w:rPr>
          <w:rFonts w:ascii="Arial" w:eastAsia="Times New Roman" w:hAnsi="Arial" w:cs="Arial"/>
          <w:lang w:val="en-US" w:eastAsia="de-DE"/>
        </w:rPr>
        <w:t xml:space="preserve"> and translation rates</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w:instrText>
      </w:r>
      <w:r>
        <w:rPr>
          <w:rFonts w:ascii="Arial" w:eastAsia="Times New Roman" w:hAnsi="Arial" w:cs="Arial"/>
          <w:lang w:val="en-US" w:eastAsia="de-DE"/>
        </w:rPr>
        <w:instrText>.1073/pnas.75.9.4384","ISSN":"0027-8424","abstract":"Centrifugal elutriation was used to separate cells of Saccharomyces cerevisiae in balanced exponential growth according to position in the cell cycle. Macromolecular synthesis was examined. DNA synthesis</w:instrText>
      </w:r>
      <w:r>
        <w:rPr>
          <w:rFonts w:ascii="Arial" w:eastAsia="Times New Roman" w:hAnsi="Arial" w:cs="Arial"/>
          <w:lang w:val="en-US" w:eastAsia="de-DE"/>
        </w:rPr>
        <w:instrText xml:space="preserve"> was found to be periodic, but RNA and protein synthesis showed an exponential increase in rate. Two-dimensional electrophoresis was used to determine the rate of synthesis of individual proteins, with 111 of the more abundant cellular proteins selected fo</w:instrText>
      </w:r>
      <w:r>
        <w:rPr>
          <w:rFonts w:ascii="Arial" w:eastAsia="Times New Roman" w:hAnsi="Arial" w:cs="Arial"/>
          <w:lang w:val="en-US" w:eastAsia="de-DE"/>
        </w:rPr>
        <w:instrText>r analysis from among the more than 1000 proteins that migrate in the system. All the examined proteins showed an exponentially increasing rate of synthesis.","author":[{"dropping-particle":"","family":"Elliott","given":"S. G.","non-dropping-particle":"","</w:instrText>
      </w:r>
      <w:r>
        <w:rPr>
          <w:rFonts w:ascii="Arial" w:eastAsia="Times New Roman" w:hAnsi="Arial" w:cs="Arial"/>
          <w:lang w:val="en-US" w:eastAsia="de-DE"/>
        </w:rPr>
        <w:instrText>parse-names":false,"suffix":""},{"dropping-particle":"","family":"McLaughlin","given":"C. S.","non-dropping-particle":"","parse-names":false,"suffix":""}],"container-title":"Proceedings of the National Academy of Sciences","id":"ITEM-1","issue":"9","issued</w:instrText>
      </w:r>
      <w:r>
        <w:rPr>
          <w:rFonts w:ascii="Arial" w:eastAsia="Times New Roman" w:hAnsi="Arial" w:cs="Arial"/>
          <w:lang w:val="en-US" w:eastAsia="de-DE"/>
        </w:rPr>
        <w:instrText>":{"date-parts":[["1978","9","1"]]},"page":"4384-4388","title":"Rate of macromolecular synthesis through the cell cycle of the yeast Saccharomyces cerevisiae.","type":"article-journal","volume":"75"},"uris":["http://www.mendeley.com/documents/?uuid=7f252ca</w:instrText>
      </w:r>
      <w:r>
        <w:rPr>
          <w:rFonts w:ascii="Arial" w:eastAsia="Times New Roman" w:hAnsi="Arial" w:cs="Arial"/>
          <w:lang w:val="en-US" w:eastAsia="de-DE"/>
        </w:rPr>
        <w:instrText xml:space="preserve">f-dc34-49d4-9518-917324274d4f"]},{"id":"ITEM-2","itemData":{"ISSN":"0021-9193","PMID":"370092","abstract":"Centrifugal elutriation was used to separate yeast cells by their cell cycle position. The rate of synthesis of ribosomal proteins showed a constant </w:instrText>
      </w:r>
      <w:r>
        <w:rPr>
          <w:rFonts w:ascii="Arial" w:eastAsia="Times New Roman" w:hAnsi="Arial" w:cs="Arial"/>
          <w:lang w:val="en-US" w:eastAsia="de-DE"/>
        </w:rPr>
        <w:instrText>exponential increase through the cell cycle.","author":[{"dropping-particle":"","family":"Elliott","given":"S G","non-dropping-particle":"","parse-names":false,"suffix":""},{"dropping-particle":"","family":"Warner","given":"J R","non-dropping-particle":"",</w:instrText>
      </w:r>
      <w:r>
        <w:rPr>
          <w:rFonts w:ascii="Arial" w:eastAsia="Times New Roman" w:hAnsi="Arial" w:cs="Arial"/>
          <w:lang w:val="en-US" w:eastAsia="de-DE"/>
        </w:rPr>
        <w:instrText>"parse-names":false,"suffix":""},{"dropping-particle":"","family":"McLaughlin","given":"C S","non-dropping-particle":"","parse-names":false,"suffix":""}],"container-title":"Journal of bacteriology","id":"ITEM-2","issue":"2","issued":{"date-parts":[["1979",</w:instrText>
      </w:r>
      <w:r>
        <w:rPr>
          <w:rFonts w:ascii="Arial" w:eastAsia="Times New Roman" w:hAnsi="Arial" w:cs="Arial"/>
          <w:lang w:val="en-US" w:eastAsia="de-DE"/>
        </w:rPr>
        <w:instrText>"2"]]},"page":"1048-50","title":"Synthesis of ribosomal proteins during the cell cycle of the yeast Saccharomyces cerevisiae.","type":"article-journal","volume":"137"},"uris":["http://www.mendeley.com/documents/?uuid=36d40820-0aba-4333-b4ae-a386fd1b5b24"]}</w:instrText>
      </w:r>
      <w:r>
        <w:rPr>
          <w:rFonts w:ascii="Arial" w:eastAsia="Times New Roman" w:hAnsi="Arial" w:cs="Arial"/>
          <w:lang w:val="en-US" w:eastAsia="de-DE"/>
        </w:rPr>
        <w:instrText>,{"id":"ITEM-3","itemData":{"DOI":"10.1242/JCS.58.1.263","ISSN":"0021-9533","PMID":"7183688","abstract":"The rate of protein synthesis through the cell cycle of Schizosaccharomyces pombe has been determined from the incorporation of pulses of [ J H]tryptop</w:instrText>
      </w:r>
      <w:r>
        <w:rPr>
          <w:rFonts w:ascii="Arial" w:eastAsia="Times New Roman" w:hAnsi="Arial" w:cs="Arial"/>
          <w:lang w:val="en-US" w:eastAsia="de-DE"/>
        </w:rPr>
        <w:instrText xml:space="preserve">han in synchronous cultures prepared by selection in an elutriating rotor. This selection procedure caused minimal perturbations as judged by asynchronous control cultures, which had also been put through the rotor. The rate of synthesis showed a periodic </w:instrText>
      </w:r>
      <w:r>
        <w:rPr>
          <w:rFonts w:ascii="Arial" w:eastAsia="Times New Roman" w:hAnsi="Arial" w:cs="Arial"/>
          <w:lang w:val="en-US" w:eastAsia="de-DE"/>
        </w:rPr>
        <w:instrText>pattern rather than a smooth exponential increase. There was a sharp increase in the rate at an 'acceleration point' at about 0-9 of the cycle. Model-fitting by a novel procedure suggests that the average single cell has an increasing rate of protein synth</w:instrText>
      </w:r>
      <w:r>
        <w:rPr>
          <w:rFonts w:ascii="Arial" w:eastAsia="Times New Roman" w:hAnsi="Arial" w:cs="Arial"/>
          <w:lang w:val="en-US" w:eastAsia="de-DE"/>
        </w:rPr>
        <w:instrText>esis for the first 60 % of the cycle and a constant rate for the remaining 40 %. The same pattern was shown in less extensive experiments with PHjleucine and [ 3 H]phenyl-alanine. It was also shown in a series of size mutants, which indicates that the patt</w:instrText>
      </w:r>
      <w:r>
        <w:rPr>
          <w:rFonts w:ascii="Arial" w:eastAsia="Times New Roman" w:hAnsi="Arial" w:cs="Arial"/>
          <w:lang w:val="en-US" w:eastAsia="de-DE"/>
        </w:rPr>
        <w:instrText>ern is not size-related, in contrast to earlier work on the rates of synthesis of messenger RNA. However, one large mutant (ede 2.M35T2O) had a significantly earlier acceleration point. Care was taken to justify the assumption that the rate of incorporatio</w:instrText>
      </w:r>
      <w:r>
        <w:rPr>
          <w:rFonts w:ascii="Arial" w:eastAsia="Times New Roman" w:hAnsi="Arial" w:cs="Arial"/>
          <w:lang w:val="en-US" w:eastAsia="de-DE"/>
        </w:rPr>
        <w:instrText>n of tryptophan was a valid measure of the rate of protein synthesis. A tryptophan auxotroph was used to eliminate the problem of endogenous supply and the size of the metabolic pool was measured through th; cycle. This pool did not show cell-cycle related</w:instrText>
      </w:r>
      <w:r>
        <w:rPr>
          <w:rFonts w:ascii="Arial" w:eastAsia="Times New Roman" w:hAnsi="Arial" w:cs="Arial"/>
          <w:lang w:val="en-US" w:eastAsia="de-DE"/>
        </w:rPr>
        <w:instrText xml:space="preserve"> fluctuations. An operational model of the pools is presented.","author":[{"dropping-particle":"","family":"Creanor","given":"J.","non-dropping-particle":"","parse-names":false,"suffix":""},{"dropping-particle":"","family":"Mitchison","given":"J. M.","non-</w:instrText>
      </w:r>
      <w:r>
        <w:rPr>
          <w:rFonts w:ascii="Arial" w:eastAsia="Times New Roman" w:hAnsi="Arial" w:cs="Arial"/>
          <w:lang w:val="en-US" w:eastAsia="de-DE"/>
        </w:rPr>
        <w:instrText xml:space="preserve">dropping-particle":"","parse-names":false,"suffix":""}],"container-title":"Journal of Cell Science","id":"ITEM-3","issue":"1","issued":{"date-parts":[["1982","12","1"]]},"page":"263-285","publisher":"The Company of Biologists","title":"Patterns of protein </w:instrText>
      </w:r>
      <w:r>
        <w:rPr>
          <w:rFonts w:ascii="Arial" w:eastAsia="Times New Roman" w:hAnsi="Arial" w:cs="Arial"/>
          <w:lang w:val="en-US" w:eastAsia="de-DE"/>
        </w:rPr>
        <w:instrText>synthesis during the cell cycle of the fission yeast Schizosaccharomyces pombe","type":"article-journal","volume":"58"},"uris":["http://www.mendeley.com/documents/?uuid=70ebe4d8-8c84-37df-9b3c-40306de0a165"]},{"id":"ITEM-4","itemData":{"DOI":"10.1007/BF003</w:instrText>
      </w:r>
      <w:r>
        <w:rPr>
          <w:rFonts w:ascii="Arial" w:eastAsia="Times New Roman" w:hAnsi="Arial" w:cs="Arial"/>
          <w:lang w:val="en-US" w:eastAsia="de-DE"/>
        </w:rPr>
        <w:instrText>27667/METRICS","ISSN":"00268925","PMID":"6580523","abstract":"In the fission yeast Schizosaccharomyces pombe the rate of RNA synthesis, as determined by pulse labeling, increases in a step-like manner in synchronous cultures prepared by centrifugal elutria</w:instrText>
      </w:r>
      <w:r>
        <w:rPr>
          <w:rFonts w:ascii="Arial" w:eastAsia="Times New Roman" w:hAnsi="Arial" w:cs="Arial"/>
          <w:lang w:val="en-US" w:eastAsia="de-DE"/>
        </w:rPr>
        <w:instrText>tion. Cultures prepared in this way show marked reductions in perturbations which can be caused by many synchrony techniques. Kinetic evidence indicates that alterations in pool metabolism are not responsible for the step pattern. The long period of increa</w:instrText>
      </w:r>
      <w:r>
        <w:rPr>
          <w:rFonts w:ascii="Arial" w:eastAsia="Times New Roman" w:hAnsi="Arial" w:cs="Arial"/>
          <w:lang w:val="en-US" w:eastAsia="de-DE"/>
        </w:rPr>
        <w:instrText>se in the rate doubling (relative to cell number increase) indicates that the period of increasing rate may be due to a growth period and not a sudden transition between a slow and a fast rate. An analysis of synchronous cultures of cells of different cell</w:instrText>
      </w:r>
      <w:r>
        <w:rPr>
          <w:rFonts w:ascii="Arial" w:eastAsia="Times New Roman" w:hAnsi="Arial" w:cs="Arial"/>
          <w:lang w:val="en-US" w:eastAsia="de-DE"/>
        </w:rPr>
        <w:instrText xml:space="preserve"> size and synchronous cultures of temperature sensitive mutants blocked in cell cycle progress indicated that neither size control, changes in DNA content nor septation are directly responsible for the steps in RNA synthesis. Instead the time of the rate c</w:instrText>
      </w:r>
      <w:r>
        <w:rPr>
          <w:rFonts w:ascii="Arial" w:eastAsia="Times New Roman" w:hAnsi="Arial" w:cs="Arial"/>
          <w:lang w:val="en-US" w:eastAsia="de-DE"/>
        </w:rPr>
        <w:instrText>hange is associated with a specific point in the cell cycle, probably an event associated with nuclear division. © 1983 Springer-Verlag.","author":[{"dropping-particle":"","family":"Elliott","given":"Steven G.","non-dropping-particle":"","parse-names":fals</w:instrText>
      </w:r>
      <w:r>
        <w:rPr>
          <w:rFonts w:ascii="Arial" w:eastAsia="Times New Roman" w:hAnsi="Arial" w:cs="Arial"/>
          <w:lang w:val="en-US" w:eastAsia="de-DE"/>
        </w:rPr>
        <w:instrText>e,"suffix":""}],"container-title":"MGG Molecular &amp; General Genetics","id":"ITEM-4","issue":"1-2","issued":{"date-parts":[["1983","10"]]},"page":"204-211","publisher":"Springer-Verlag","title":"Coordination of growth with cell division: Regulation of synthe</w:instrText>
      </w:r>
      <w:r>
        <w:rPr>
          <w:rFonts w:ascii="Arial" w:eastAsia="Times New Roman" w:hAnsi="Arial" w:cs="Arial"/>
          <w:lang w:val="en-US" w:eastAsia="de-DE"/>
        </w:rPr>
        <w:instrText>sis of RNA during the cell cycle of the fission yeast Schizosaccharomyces pombe","type":"article-journal","volume":"192"},"uris":["http://www.mendeley.com/documents/?uuid=1f1c59a6-78d9-388a-b04d-0e46843f97c3"]},{"id":"ITEM-5","itemData":{"DOI":"10.15252/EM</w:instrText>
      </w:r>
      <w:r>
        <w:rPr>
          <w:rFonts w:ascii="Arial" w:eastAsia="Times New Roman" w:hAnsi="Arial" w:cs="Arial"/>
          <w:lang w:val="en-US" w:eastAsia="de-DE"/>
        </w:rPr>
        <w:instrText>BJ.2022113333","ISSN":"1460-2075","PMID":"36951016","abstract":"How the production of biomass is controlled as cells increase in size and proceed through the cell cycle events is important for understanding the regulation of global cellular growth. This ha</w:instrText>
      </w:r>
      <w:r>
        <w:rPr>
          <w:rFonts w:ascii="Arial" w:eastAsia="Times New Roman" w:hAnsi="Arial" w:cs="Arial"/>
          <w:lang w:val="en-US" w:eastAsia="de-DE"/>
        </w:rPr>
        <w:instrText>s been studied for decades but has not yielded consistent results, probably due to perturbations induced by the synchronisation methods used in most previous studies. To avoid this problem, we have developed a system to analyse unperturbed exponentially gr</w:instrText>
      </w:r>
      <w:r>
        <w:rPr>
          <w:rFonts w:ascii="Arial" w:eastAsia="Times New Roman" w:hAnsi="Arial" w:cs="Arial"/>
          <w:lang w:val="en-US" w:eastAsia="de-DE"/>
        </w:rPr>
        <w:instrText>owing populations of fission yeast cells. We generated thousands of fixed single</w:instrText>
      </w:r>
      <w:r>
        <w:rPr>
          <w:rFonts w:ascii="Cambria Math" w:eastAsia="Times New Roman" w:hAnsi="Cambria Math" w:cs="Cambria Math"/>
          <w:lang w:val="en-US" w:eastAsia="de-DE"/>
        </w:rPr>
        <w:instrText>‐</w:instrText>
      </w:r>
      <w:r>
        <w:rPr>
          <w:rFonts w:ascii="Arial" w:eastAsia="Times New Roman" w:hAnsi="Arial" w:cs="Arial"/>
          <w:lang w:val="en-US" w:eastAsia="de-DE"/>
        </w:rPr>
        <w:instrText xml:space="preserve">cell measurements of cell size, cell cycle stage and the levels of global cellular translation and transcription. We show that translation scales with size, and additionally, </w:instrText>
      </w:r>
      <w:r>
        <w:rPr>
          <w:rFonts w:ascii="Arial" w:eastAsia="Times New Roman" w:hAnsi="Arial" w:cs="Arial"/>
          <w:lang w:val="en-US" w:eastAsia="de-DE"/>
        </w:rPr>
        <w:instrText>increases at late S</w:instrText>
      </w:r>
      <w:r>
        <w:rPr>
          <w:rFonts w:ascii="Cambria Math" w:eastAsia="Times New Roman" w:hAnsi="Cambria Math" w:cs="Cambria Math"/>
          <w:lang w:val="en-US" w:eastAsia="de-DE"/>
        </w:rPr>
        <w:instrText>‐</w:instrText>
      </w:r>
      <w:r>
        <w:rPr>
          <w:rFonts w:ascii="Arial" w:eastAsia="Times New Roman" w:hAnsi="Arial" w:cs="Arial"/>
          <w:lang w:val="en-US" w:eastAsia="de-DE"/>
        </w:rPr>
        <w:instrText>phase/early G2 and early in mitosis and decreases later in mitosis, suggesting that cell cycle controls are also operative over global cellular translation. Transcription increases with both size and the amount of DNA, suggesting that t</w:instrText>
      </w:r>
      <w:r>
        <w:rPr>
          <w:rFonts w:ascii="Arial" w:eastAsia="Times New Roman" w:hAnsi="Arial" w:cs="Arial"/>
          <w:lang w:val="en-US" w:eastAsia="de-DE"/>
        </w:rPr>
        <w:instrText>he level of transcription of a cell may be the result of a dynamic equilibrium between the number of RNA polymerases associating and disassociating from DNA.   image    Perturbations induced by synchronization procedures have hampered the study of how biom</w:instrText>
      </w:r>
      <w:r>
        <w:rPr>
          <w:rFonts w:ascii="Arial" w:eastAsia="Times New Roman" w:hAnsi="Arial" w:cs="Arial"/>
          <w:lang w:val="en-US" w:eastAsia="de-DE"/>
        </w:rPr>
        <w:instrText xml:space="preserve">ass production is linked to the cell cycle and cell growth. Here, an assay using exponentially growing populations of fission yeast is developed to understand the influences of the cell cycle and cell size on the global rates of production of proteins and </w:instrText>
      </w:r>
      <w:r>
        <w:rPr>
          <w:rFonts w:ascii="Arial" w:eastAsia="Times New Roman" w:hAnsi="Arial" w:cs="Arial"/>
          <w:lang w:val="en-US" w:eastAsia="de-DE"/>
        </w:rPr>
        <w:instrText>RNA in unperturbed cells.   Both global transcription and translation increase with cell size.   In large cells, global translation becomes limited by cell size earlier than transcription does.   Global translation is regulated by cell cycle events, increa</w:instrText>
      </w:r>
      <w:r>
        <w:rPr>
          <w:rFonts w:ascii="Arial" w:eastAsia="Times New Roman" w:hAnsi="Arial" w:cs="Arial"/>
          <w:lang w:val="en-US" w:eastAsia="de-DE"/>
        </w:rPr>
        <w:instrText>sing at the S/G2 transition and early in mitosis, and deceasing later in mitosis.   Global transcription appears to increase through S phase.   ","author":[{"dropping-particle":"","family":"Basier","given":"Clovis","non-dropping-particle":"","parse-names":</w:instrText>
      </w:r>
      <w:r>
        <w:rPr>
          <w:rFonts w:ascii="Arial" w:eastAsia="Times New Roman" w:hAnsi="Arial" w:cs="Arial"/>
          <w:lang w:val="en-US" w:eastAsia="de-DE"/>
        </w:rPr>
        <w:instrText>false,"suffix":""},{"dropping-particle":"","family":"Nurse","given":"Paul","non-dropping-particle":"","parse-names":false,"suffix":""}],"container-title":"The EMBO Journal","id":"ITEM-5","issue":"9","issued":{"date-parts":[["2023","5","2"]]},"page":"e11333</w:instrText>
      </w:r>
      <w:r>
        <w:rPr>
          <w:rFonts w:ascii="Arial" w:eastAsia="Times New Roman" w:hAnsi="Arial" w:cs="Arial"/>
          <w:lang w:val="en-US" w:eastAsia="de-DE"/>
        </w:rPr>
        <w:instrText>3","publisher":"John Wiley &amp; Sons, Ltd","title":"The cell cycle and cell size influence the rates of global cellular translation and transcription in fission yeast","type":"article-journal","volume":"42"},"uris":["http://www.mendeley.com/documents/?uuid=a0</w:instrText>
      </w:r>
      <w:r>
        <w:rPr>
          <w:rFonts w:ascii="Arial" w:eastAsia="Times New Roman" w:hAnsi="Arial" w:cs="Arial"/>
          <w:lang w:val="en-US" w:eastAsia="de-DE"/>
        </w:rPr>
        <w:instrText>0f0cb6-2ffe-3010-bed8-c6465a70d8b5"]}],"mendeley":{"formattedCitation":"&lt;sup&gt;20,24–27&lt;/sup&gt;","plainTextFormattedCitation":"20,24–27","previouslyFormattedCitation":"&lt;sup&gt;20,24–27&lt;/sup&gt;"},"properties":{"noteIndex":0},"schema":"https://github.com/citation-sty</w:instrText>
      </w:r>
      <w:r>
        <w:rPr>
          <w:rFonts w:ascii="Arial" w:eastAsia="Times New Roman" w:hAnsi="Arial" w:cs="Arial"/>
          <w:lang w:val="en-US" w:eastAsia="de-DE"/>
        </w:rPr>
        <w:instrText>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20,24–27</w:t>
      </w:r>
      <w:r>
        <w:rPr>
          <w:rFonts w:ascii="Arial" w:eastAsia="Times New Roman" w:hAnsi="Arial" w:cs="Arial"/>
          <w:lang w:val="en-US" w:eastAsia="de-DE"/>
        </w:rPr>
        <w:fldChar w:fldCharType="end"/>
      </w:r>
      <w:r>
        <w:rPr>
          <w:rFonts w:ascii="Arial" w:eastAsia="Times New Roman" w:hAnsi="Arial" w:cs="Arial"/>
          <w:lang w:val="en-US" w:eastAsia="de-DE"/>
        </w:rPr>
        <w:t>. The relationship between global mRNA and protein degradation rates and cell size is less clear, but early evidence indicated that it plays a less prominent role in achieving the proportional sca</w:t>
      </w:r>
      <w:r>
        <w:rPr>
          <w:rFonts w:ascii="Arial" w:eastAsia="Times New Roman" w:hAnsi="Arial" w:cs="Arial"/>
          <w:lang w:val="en-US" w:eastAsia="de-DE"/>
        </w:rPr>
        <w:t>ling</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{"citationItems":[{"id":"ITEM-1","itemData":{"ISSN":"0021-9193","PMID":"370092","abstract":"Centrifugal elutriation was used to separate yeast cells by their cell cycle position. The rate of synthesis of ribosomal proteins showed a c</w:instrText>
      </w:r>
      <w:r>
        <w:rPr>
          <w:rFonts w:ascii="Arial" w:eastAsia="Times New Roman" w:hAnsi="Arial" w:cs="Arial"/>
          <w:lang w:val="en-US" w:eastAsia="de-DE"/>
        </w:rPr>
        <w:instrText>onstant exponential increase through the cell cycle.","author":[{"dropping-particle":"","family":"Elliott","given":"S G","non-dropping-particle":"","parse-names":false,"suffix":""},{"dropping-particle":"","family":"Warner","given":"J R","non-dropping-parti</w:instrText>
      </w:r>
      <w:r>
        <w:rPr>
          <w:rFonts w:ascii="Arial" w:eastAsia="Times New Roman" w:hAnsi="Arial" w:cs="Arial"/>
          <w:lang w:val="en-US" w:eastAsia="de-DE"/>
        </w:rPr>
        <w:instrText>cle":"","parse-names":false,"suffix":""},{"dropping-particle":"","family":"McLaughlin","given":"C S","non-dropping-particle":"","parse-names":false,"suffix":""}],"container-title":"Journal of bacteriology","id":"ITEM-1","issue":"2","issued":{"date-parts":[</w:instrText>
      </w:r>
      <w:r>
        <w:rPr>
          <w:rFonts w:ascii="Arial" w:eastAsia="Times New Roman" w:hAnsi="Arial" w:cs="Arial"/>
          <w:lang w:val="en-US" w:eastAsia="de-DE"/>
        </w:rPr>
        <w:instrText>["1979","2"]]},"page":"1048-50","title":"Synthesis of ribosomal proteins during the cell cycle of the yeast Saccharomyces cerevisiae.","type":"article-journal","volume":"137"},"uris":["http://www.mendeley.com/documents/?uuid=36d40820-0aba-4333-b4ae-a386fd1</w:instrText>
      </w:r>
      <w:r>
        <w:rPr>
          <w:rFonts w:ascii="Arial" w:eastAsia="Times New Roman" w:hAnsi="Arial" w:cs="Arial"/>
          <w:lang w:val="en-US" w:eastAsia="de-DE"/>
        </w:rPr>
        <w:instrText>b5b24"]},{"id":"ITEM-2","itemData":{"DOI":"10.1007/BF00327667/METRICS","ISSN":"00268925","PMID":"6580523","abstract":"In the fission yeast Schizosaccharomyces pombe the rate of RNA synthesis, as determined by pulse labeling, increases in a step-like manner</w:instrText>
      </w:r>
      <w:r>
        <w:rPr>
          <w:rFonts w:ascii="Arial" w:eastAsia="Times New Roman" w:hAnsi="Arial" w:cs="Arial"/>
          <w:lang w:val="en-US" w:eastAsia="de-DE"/>
        </w:rPr>
        <w:instrText xml:space="preserve"> in synchronous cultures prepared by centrifugal elutriation. Cultures prepared in this way show marked reductions in perturbations which can be caused by many synchrony techniques. Kinetic evidence indicates that alterations in pool metabolism are not res</w:instrText>
      </w:r>
      <w:r>
        <w:rPr>
          <w:rFonts w:ascii="Arial" w:eastAsia="Times New Roman" w:hAnsi="Arial" w:cs="Arial"/>
          <w:lang w:val="en-US" w:eastAsia="de-DE"/>
        </w:rPr>
        <w:instrText>ponsible for the step pattern. The long period of increase in the rate doubling (relative to cell number increase) indicates that the period of increasing rate may be due to a growth period and not a sudden transition between a slow and a fast rate. An ana</w:instrText>
      </w:r>
      <w:r>
        <w:rPr>
          <w:rFonts w:ascii="Arial" w:eastAsia="Times New Roman" w:hAnsi="Arial" w:cs="Arial"/>
          <w:lang w:val="en-US" w:eastAsia="de-DE"/>
        </w:rPr>
        <w:instrText>lysis of synchronous cultures of cells of different cell size and synchronous cultures of temperature sensitive mutants blocked in cell cycle progress indicated that neither size control, changes in DNA content nor septation are directly responsible for th</w:instrText>
      </w:r>
      <w:r>
        <w:rPr>
          <w:rFonts w:ascii="Arial" w:eastAsia="Times New Roman" w:hAnsi="Arial" w:cs="Arial"/>
          <w:lang w:val="en-US" w:eastAsia="de-DE"/>
        </w:rPr>
        <w:instrText>e steps in RNA synthesis. Instead the time of the rate change is associated with a specific point in the cell cycle, probably an event associated with nuclear division. © 1983 Springer-Verlag.","author":[{"dropping-particle":"","family":"Elliott","given":"</w:instrText>
      </w:r>
      <w:r>
        <w:rPr>
          <w:rFonts w:ascii="Arial" w:eastAsia="Times New Roman" w:hAnsi="Arial" w:cs="Arial"/>
          <w:lang w:val="en-US" w:eastAsia="de-DE"/>
        </w:rPr>
        <w:instrText>Steven G.","non-dropping-particle":"","parse-names":false,"suffix":""}],"container-title":"MGG Molecular &amp; General Genetics","id":"ITEM-2","issue":"1-2","issued":{"date-parts":[["1983","10"]]},"page":"204-211","publisher":"Springer-Verlag","title":"Coordin</w:instrText>
      </w:r>
      <w:r>
        <w:rPr>
          <w:rFonts w:ascii="Arial" w:eastAsia="Times New Roman" w:hAnsi="Arial" w:cs="Arial"/>
          <w:lang w:val="en-US" w:eastAsia="de-DE"/>
        </w:rPr>
        <w:instrText>ation of growth with cell division: Regulation of synthesis of RNA during the cell cycle of the fission yeast Schizosaccharomyces pombe","type":"article-journal","volume":"192"},"uris":["http://www.mendeley.com/documents/?uuid=1f1c59a6-78d9-388a-b04d-0e468</w:instrText>
      </w:r>
      <w:r>
        <w:rPr>
          <w:rFonts w:ascii="Arial" w:eastAsia="Times New Roman" w:hAnsi="Arial" w:cs="Arial"/>
          <w:lang w:val="en-US" w:eastAsia="de-DE"/>
        </w:rPr>
        <w:instrText>43f97c3"]},{"id":"ITEM-3","itemData":{"DOI":"10.1016/j.molcel.2015.03.005","ISSN":"10972765","abstract":"Individual mammalian cells exhibit large variability in cellular volume, even with the same absolute DNA content, and so must compensate for difference</w:instrText>
      </w:r>
      <w:r>
        <w:rPr>
          <w:rFonts w:ascii="Arial" w:eastAsia="Times New Roman" w:hAnsi="Arial" w:cs="Arial"/>
          <w:lang w:val="en-US" w:eastAsia="de-DE"/>
        </w:rPr>
        <w:instrText xml:space="preserve">s in DNA concentration in order to maintain constant concentration of gene expression products. Using single-molecule counting and computational image analysis, we show that transcript abundance correlates with cellular volume at the single-cell level due </w:instrText>
      </w:r>
      <w:r>
        <w:rPr>
          <w:rFonts w:ascii="Arial" w:eastAsia="Times New Roman" w:hAnsi="Arial" w:cs="Arial"/>
          <w:lang w:val="en-US" w:eastAsia="de-DE"/>
        </w:rPr>
        <w:instrText>to increased global transcription in larger cells. Cell fusion experiments establish that increased cellular content itself can directly increase transcription. Quantitative analysis shows that this mechanism measures the ratio of cellular volume to DNA co</w:instrText>
      </w:r>
      <w:r>
        <w:rPr>
          <w:rFonts w:ascii="Arial" w:eastAsia="Times New Roman" w:hAnsi="Arial" w:cs="Arial"/>
          <w:lang w:val="en-US" w:eastAsia="de-DE"/>
        </w:rPr>
        <w:instrText>ntent, most likely through sequestration of a transcriptional factor to DNA. Analysis of transcriptional bursts reveals a separate mechanism for gene dosage compensation after DNA replication that enables proper transcriptional output during early and late</w:instrText>
      </w:r>
      <w:r>
        <w:rPr>
          <w:rFonts w:ascii="Arial" w:eastAsia="Times New Roman" w:hAnsi="Arial" w:cs="Arial"/>
          <w:lang w:val="en-US" w:eastAsia="de-DE"/>
        </w:rPr>
        <w:instrText xml:space="preserve"> S phase. Our results provide a framework for quantitatively understanding the relationships among DNA content, cell size, and gene expression variability in single cells.","author":[{"dropping-particle":"","family":"Padovan-Merhar","given":"Olivia","non-d</w:instrText>
      </w:r>
      <w:r>
        <w:rPr>
          <w:rFonts w:ascii="Arial" w:eastAsia="Times New Roman" w:hAnsi="Arial" w:cs="Arial"/>
          <w:lang w:val="en-US" w:eastAsia="de-DE"/>
        </w:rPr>
        <w:instrText>ropping-particle":"","parse-names":false,"suffix":""},{"dropping-particle":"","family":"Nair","given":"Gautham P.","non-dropping-particle":"","parse-names":false,"suffix":""},{"dropping-particle":"","family":"Biaesch","given":"Andrew G.","non-dropping-part</w:instrText>
      </w:r>
      <w:r>
        <w:rPr>
          <w:rFonts w:ascii="Arial" w:eastAsia="Times New Roman" w:hAnsi="Arial" w:cs="Arial"/>
          <w:lang w:val="en-US" w:eastAsia="de-DE"/>
        </w:rPr>
        <w:instrText>icle":"","parse-names":false,"suffix":""},{"dropping-particle":"","family":"Mayer","given":"Andreas","non-dropping-particle":"","parse-names":false,"suffix":""},{"dropping-particle":"","family":"Scarfone","given":"Steven","non-dropping-particle":"","parse-</w:instrText>
      </w:r>
      <w:r>
        <w:rPr>
          <w:rFonts w:ascii="Arial" w:eastAsia="Times New Roman" w:hAnsi="Arial" w:cs="Arial"/>
          <w:lang w:val="en-US" w:eastAsia="de-DE"/>
        </w:rPr>
        <w:instrText>names":false,"suffix":""},{"dropping-particle":"","family":"Foley","given":"Shawn W.","non-dropping-particle":"","parse-names":false,"suffix":""},{"dropping-particle":"","family":"Wu","given":"Angela R.","non-dropping-particle":"","parse-names":false,"suff</w:instrText>
      </w:r>
      <w:r>
        <w:rPr>
          <w:rFonts w:ascii="Arial" w:eastAsia="Times New Roman" w:hAnsi="Arial" w:cs="Arial"/>
          <w:lang w:val="en-US" w:eastAsia="de-DE"/>
        </w:rPr>
        <w:instrText>ix":""},{"dropping-particle":"","family":"Churchman","given":"L. Stirling","non-dropping-particle":"","parse-names":false,"suffix":""},{"dropping-particle":"","family":"Singh","given":"Abhyudai","non-dropping-particle":"","parse-names":false,"suffix":""},{</w:instrText>
      </w:r>
      <w:r>
        <w:rPr>
          <w:rFonts w:ascii="Arial" w:eastAsia="Times New Roman" w:hAnsi="Arial" w:cs="Arial"/>
          <w:lang w:val="en-US" w:eastAsia="de-DE"/>
        </w:rPr>
        <w:instrText>"dropping-particle":"","family":"Raj","given":"Arjun","non-dropping-particle":"","parse-names":false,"suffix":""}],"container-title":"Molecular Cell","id":"ITEM-3","issue":"2","issued":{"date-parts":[["2015","4"]]},"page":"339-352","title":"Single Mammalia</w:instrText>
      </w:r>
      <w:r>
        <w:rPr>
          <w:rFonts w:ascii="Arial" w:eastAsia="Times New Roman" w:hAnsi="Arial" w:cs="Arial"/>
          <w:lang w:val="en-US" w:eastAsia="de-DE"/>
        </w:rPr>
        <w:instrText>n Cells Compensate for Differences in Cellular Volume and DNA Copy Number through Independent Global Transcriptional Mechanisms","type":"article-journal","volume":"58"},"uris":["http://www.mendeley.com/documents/?uuid=5c85bab6-4d1f-4871-b740-e55b13377d17"]</w:instrText>
      </w:r>
      <w:r>
        <w:rPr>
          <w:rFonts w:ascii="Arial" w:eastAsia="Times New Roman" w:hAnsi="Arial" w:cs="Arial"/>
          <w:lang w:val="en-US" w:eastAsia="de-DE"/>
        </w:rPr>
        <w:instrText>},{"id":"ITEM-4","itemData":{"DOI":"10.1016/J.CELS.2017.05.010","ISSN":"24054720","PMID":"28624615","abstract":"Single-cell quantification of transcription kinetics and variability promotes a mechanistic understanding of gene regulation. Here, using single</w:instrText>
      </w:r>
      <w:r>
        <w:rPr>
          <w:rFonts w:ascii="Arial" w:eastAsia="Times New Roman" w:hAnsi="Arial" w:cs="Arial"/>
          <w:lang w:val="en-US" w:eastAsia="de-DE"/>
        </w:rPr>
        <w:instrText>-molecule RNA fluorescence in situ hybridization and mathematical modeling, we dissect cellular RNA dynamics for Arabidopsis FLOWERING LOCUS C (FLC). FLC expression quantitatively determines flowering time and is regulated by antisense (COOLAIR) transcript</w:instrText>
      </w:r>
      <w:r>
        <w:rPr>
          <w:rFonts w:ascii="Arial" w:eastAsia="Times New Roman" w:hAnsi="Arial" w:cs="Arial"/>
          <w:lang w:val="en-US" w:eastAsia="de-DE"/>
        </w:rPr>
        <w:instrText>ion. In cells without observable COOLAIR expression, we quantify FLC transcription initiation, elongation, intron processing, and lariat degradation, as well as mRNA release from the locus and degradation. In these heterogeneously sized cells, FLC mRNA num</w:instrText>
      </w:r>
      <w:r>
        <w:rPr>
          <w:rFonts w:ascii="Arial" w:eastAsia="Times New Roman" w:hAnsi="Arial" w:cs="Arial"/>
          <w:lang w:val="en-US" w:eastAsia="de-DE"/>
        </w:rPr>
        <w:instrText>ber increases linearly with cell size, resulting in a large cell-to-cell variability in transcript level. This variation is accounted for by cell-size-dependent, Poissonian FLC mRNA production, but not by large transcriptional bursts. In COOLAIR-expressing</w:instrText>
      </w:r>
      <w:r>
        <w:rPr>
          <w:rFonts w:ascii="Arial" w:eastAsia="Times New Roman" w:hAnsi="Arial" w:cs="Arial"/>
          <w:lang w:val="en-US" w:eastAsia="de-DE"/>
        </w:rPr>
        <w:instrText xml:space="preserve"> cells, however, antisense transcription increases with cell size and contributes to FLC transcription decreasing with cell size. Our analysis therefore reveals an unexpected role for antisense transcription in modulating the scaling of transcription with </w:instrText>
      </w:r>
      <w:r>
        <w:rPr>
          <w:rFonts w:ascii="Arial" w:eastAsia="Times New Roman" w:hAnsi="Arial" w:cs="Arial"/>
          <w:lang w:val="en-US" w:eastAsia="de-DE"/>
        </w:rPr>
        <w:instrText>cell size.","author":[{"dropping-particle":"","family":"Ietswaart","given":"Robert","non-dropping-particle":"","parse-names":false,"suffix":""},{"dropping-particle":"","family":"Rosa","given":"Stefanie","non-dropping-particle":"","parse-names":false,"suffi</w:instrText>
      </w:r>
      <w:r>
        <w:rPr>
          <w:rFonts w:ascii="Arial" w:eastAsia="Times New Roman" w:hAnsi="Arial" w:cs="Arial"/>
          <w:lang w:val="en-US" w:eastAsia="de-DE"/>
        </w:rPr>
        <w:instrText>x":""},{"dropping-particle":"","family":"Wu","given":"Zhe","non-dropping-particle":"","parse-names":false,"suffix":""},{"dropping-particle":"","family":"Dean","given":"Caroline","non-dropping-particle":"","parse-names":false,"suffix":""},{"dropping-particl</w:instrText>
      </w:r>
      <w:r>
        <w:rPr>
          <w:rFonts w:ascii="Arial" w:eastAsia="Times New Roman" w:hAnsi="Arial" w:cs="Arial"/>
          <w:lang w:val="en-US" w:eastAsia="de-DE"/>
        </w:rPr>
        <w:instrText>e":"","family":"Howard","given":"Martin","non-dropping-particle":"","parse-names":false,"suffix":""}],"container-title":"Cell Systems","id":"ITEM-4","issue":"6","issued":{"date-parts":[["2017","6","6"]]},"page":"622","publisher":"Elsevier","title":"Cell-Si</w:instrText>
      </w:r>
      <w:r>
        <w:rPr>
          <w:rFonts w:ascii="Arial" w:eastAsia="Times New Roman" w:hAnsi="Arial" w:cs="Arial"/>
          <w:lang w:val="en-US" w:eastAsia="de-DE"/>
        </w:rPr>
        <w:instrText>ze-Dependent Transcription of FLC and Its Antisense Long Non-coding RNA COOLAIR Explain Cell-to-Cell Expression Variation","type":"article-journal","volume":"4"},"uris":["http://www.mendeley.com/documents/?uuid=ddec1345-11dd-3bae-9ce1-3df16b1e8a1b"]}],"men</w:instrText>
      </w:r>
      <w:r>
        <w:rPr>
          <w:rFonts w:ascii="Arial" w:eastAsia="Times New Roman" w:hAnsi="Arial" w:cs="Arial"/>
          <w:lang w:val="en-US" w:eastAsia="de-DE"/>
        </w:rPr>
        <w:instrText>deley":{"formattedCitation":"&lt;sup&gt;16,24,26,28&lt;/sup&gt;","plainTextFormattedCitation":"16,24,26,28","previouslyFormattedCitation":"&lt;sup&gt;16,24,26,28&lt;/sup&gt;"},"properties":{"noteIndex":0},"schema":"https://github.com/citation-style-language/schema/raw/master/csl-</w:instrText>
      </w:r>
      <w:r>
        <w:rPr>
          <w:rFonts w:ascii="Arial" w:eastAsia="Times New Roman" w:hAnsi="Arial" w:cs="Arial"/>
          <w:lang w:val="en-US" w:eastAsia="de-DE"/>
        </w:rPr>
        <w:instrText>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16,24,26,28</w:t>
      </w:r>
      <w:r>
        <w:rPr>
          <w:rFonts w:ascii="Arial" w:eastAsia="Times New Roman" w:hAnsi="Arial" w:cs="Arial"/>
          <w:lang w:val="en-US" w:eastAsia="de-DE"/>
        </w:rPr>
        <w:fldChar w:fldCharType="end"/>
      </w:r>
      <w:r>
        <w:rPr>
          <w:rFonts w:ascii="Arial" w:eastAsia="Times New Roman" w:hAnsi="Arial" w:cs="Arial"/>
          <w:lang w:val="en-US" w:eastAsia="de-DE"/>
        </w:rPr>
        <w:t>. However, as discussed in more detail below, recent evidence in budding yeast demonstrates that at least for mRNA, degradation rates decrease with cell size, which especially for large cells is necessary to maintain constant m</w:t>
      </w:r>
      <w:r>
        <w:rPr>
          <w:rFonts w:ascii="Arial" w:eastAsia="Times New Roman" w:hAnsi="Arial" w:cs="Arial"/>
          <w:lang w:val="en-US" w:eastAsia="de-DE"/>
        </w:rPr>
        <w:t>RNA concentrations</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{"citationItems":[{"id":"ITEM-1","itemData":{"DOI":"10.1016/j.cell.2023.10.012","author":[{"dropping-particle":"","family":"Swaffer","given":"Matthew P","non-dropping-particle":"","parse-names":false,"suffix":""},{"drop</w:instrText>
      </w:r>
      <w:r>
        <w:rPr>
          <w:rFonts w:ascii="Arial" w:eastAsia="Times New Roman" w:hAnsi="Arial" w:cs="Arial"/>
          <w:lang w:val="en-US" w:eastAsia="de-DE"/>
        </w:rPr>
        <w:instrText>ping-particle":"","family":"Marinov","given":"Georgi K","non-dropping-particle":"","parse-names":false,"suffix":""},{"dropping-particle":"","family":"Zheng","given":"Huan","non-dropping-particle":"","parse-names":false,"suffix":""},{"dropping-particle":"",</w:instrText>
      </w:r>
      <w:r>
        <w:rPr>
          <w:rFonts w:ascii="Arial" w:eastAsia="Times New Roman" w:hAnsi="Arial" w:cs="Arial"/>
          <w:lang w:val="en-US" w:eastAsia="de-DE"/>
        </w:rPr>
        <w:instrText>"family":"Fuentes Valenzuela","given":"Lucas","non-dropping-particle":"","parse-names":false,"suffix":""},{"dropping-particle":"","family":"Yee Tsui","given":"Crystal","non-dropping-particle":"","parse-names":false,"suffix":""},{"dropping-particle":"","fam</w:instrText>
      </w:r>
      <w:r>
        <w:rPr>
          <w:rFonts w:ascii="Arial" w:eastAsia="Times New Roman" w:hAnsi="Arial" w:cs="Arial"/>
          <w:lang w:val="en-US" w:eastAsia="de-DE"/>
        </w:rPr>
        <w:instrText>ily":"Jones","given":"Andrew W","non-dropping-particle":"","parse-names":false,"suffix":""},{"dropping-particle":"","family":"Greenwood","given":"Jessica","non-dropping-particle":"","parse-names":false,"suffix":""},{"dropping-particle":"","family":"Kundaje</w:instrText>
      </w:r>
      <w:r>
        <w:rPr>
          <w:rFonts w:ascii="Arial" w:eastAsia="Times New Roman" w:hAnsi="Arial" w:cs="Arial"/>
          <w:lang w:val="en-US" w:eastAsia="de-DE"/>
        </w:rPr>
        <w:instrText>","given":"Anshul","non-dropping-particle":"","parse-names":false,"suffix":""},{"dropping-particle":"","family":"Greenleaf","given":"William J","non-dropping-particle":"","parse-names":false,"suffix":""},{"dropping-particle":"","family":"Reyes-Lamothe","gi</w:instrText>
      </w:r>
      <w:r>
        <w:rPr>
          <w:rFonts w:ascii="Arial" w:eastAsia="Times New Roman" w:hAnsi="Arial" w:cs="Arial"/>
          <w:lang w:val="en-US" w:eastAsia="de-DE"/>
        </w:rPr>
        <w:instrText>ven":"Rodrigo","non-dropping-particle":"","parse-names":false,"suffix":""},{"dropping-particle":"","family":"Skotheim","given":"Jan M","non-dropping-particle":"","parse-names":false,"suffix":""}],"container-title":"Cell","id":"ITEM-1","issued":{"date-parts</w:instrText>
      </w:r>
      <w:r>
        <w:rPr>
          <w:rFonts w:ascii="Arial" w:eastAsia="Times New Roman" w:hAnsi="Arial" w:cs="Arial"/>
          <w:lang w:val="en-US" w:eastAsia="de-DE"/>
        </w:rPr>
        <w:instrText>":[["2023"]]},"title":"RNA polymerase II dynamics and mRNA stability feedback scale mRNA amounts with cell size","type":"article-journal"},"uris":["http://www.mendeley.com/documents/?uuid=90d7390d-c1af-355e-ae58-d20591ab9167"]}],"mendeley":{"formattedCitat</w:instrText>
      </w:r>
      <w:r>
        <w:rPr>
          <w:rFonts w:ascii="Arial" w:eastAsia="Times New Roman" w:hAnsi="Arial" w:cs="Arial"/>
          <w:lang w:val="en-US" w:eastAsia="de-DE"/>
        </w:rPr>
        <w:instrText>ion":"&lt;sup&gt;29&lt;/sup&gt;","plainTextFormattedCitation":"29","previouslyFormattedCitation":"&lt;sup&gt;29&lt;/sup&gt;"},"properties":{"noteIndex":0},"schema":"https://github.com/citation-style-language/schema/raw/master/csl-citation.json"}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29</w:t>
      </w:r>
      <w:r>
        <w:rPr>
          <w:rFonts w:ascii="Arial" w:eastAsia="Times New Roman" w:hAnsi="Arial" w:cs="Arial"/>
          <w:lang w:val="en-US" w:eastAsia="de-DE"/>
        </w:rPr>
        <w:fldChar w:fldCharType="end"/>
      </w:r>
      <w:r>
        <w:rPr>
          <w:rFonts w:ascii="Arial" w:eastAsia="Times New Roman" w:hAnsi="Arial" w:cs="Arial"/>
          <w:lang w:val="en-US" w:eastAsia="de-DE"/>
        </w:rPr>
        <w:t xml:space="preserve"> (Fig. 2d).</w:t>
      </w:r>
    </w:p>
    <w:p w14:paraId="7CEADF45" w14:textId="77777777" w:rsidR="00066D11" w:rsidRDefault="00066D11">
      <w:pPr>
        <w:spacing w:after="0" w:line="240" w:lineRule="auto"/>
        <w:jc w:val="both"/>
        <w:rPr>
          <w:rFonts w:ascii="Arial" w:eastAsia="Times New Roman" w:hAnsi="Arial" w:cs="Arial"/>
          <w:lang w:val="en-US" w:eastAsia="de-DE"/>
        </w:rPr>
      </w:pPr>
    </w:p>
    <w:p w14:paraId="5984480F"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2.1 Limiting poly</w:t>
      </w:r>
      <w:r>
        <w:rPr>
          <w:rFonts w:ascii="Arial" w:eastAsia="Times New Roman" w:hAnsi="Arial" w:cs="Arial"/>
          <w:b/>
          <w:bCs/>
          <w:color w:val="000000"/>
          <w:lang w:val="en-US" w:eastAsia="de-DE"/>
        </w:rPr>
        <w:t xml:space="preserve">merase and degradation couple mRNA amounts to cell </w:t>
      </w:r>
      <w:proofErr w:type="gramStart"/>
      <w:r>
        <w:rPr>
          <w:rFonts w:ascii="Arial" w:eastAsia="Times New Roman" w:hAnsi="Arial" w:cs="Arial"/>
          <w:b/>
          <w:bCs/>
          <w:color w:val="000000"/>
          <w:lang w:val="en-US" w:eastAsia="de-DE"/>
        </w:rPr>
        <w:t>size</w:t>
      </w:r>
      <w:proofErr w:type="gramEnd"/>
    </w:p>
    <w:p w14:paraId="42CD5A2A" w14:textId="77777777" w:rsidR="00066D11" w:rsidRDefault="00066D11">
      <w:pPr>
        <w:spacing w:after="0" w:line="240" w:lineRule="auto"/>
        <w:jc w:val="both"/>
        <w:rPr>
          <w:rFonts w:ascii="Arial" w:eastAsia="Times New Roman" w:hAnsi="Arial" w:cs="Arial"/>
          <w:lang w:val="en-US" w:eastAsia="de-DE"/>
        </w:rPr>
      </w:pPr>
    </w:p>
    <w:p w14:paraId="5B08DA9E" w14:textId="77777777" w:rsidR="00066D11" w:rsidRDefault="00E55468">
      <w:pPr>
        <w:spacing w:after="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 xml:space="preserve">Total transcript amounts scale with cell size at least in part because transcription rate increases with size. This raises the question of how transcription rate increases with cell size even if </w:t>
      </w:r>
      <w:r>
        <w:rPr>
          <w:rFonts w:ascii="Arial" w:eastAsia="Times New Roman" w:hAnsi="Arial" w:cs="Arial"/>
          <w:color w:val="000000" w:themeColor="text1"/>
          <w:lang w:val="en-US" w:eastAsia="de-DE"/>
        </w:rPr>
        <w:t>the genomic DNA content, which is the template for transcription, remains constant. The observation that the cellular content, not just the genome, determines the transcriptional output, together with the fact that also components of the transcriptional ma</w:t>
      </w:r>
      <w:r>
        <w:rPr>
          <w:rFonts w:ascii="Arial" w:eastAsia="Times New Roman" w:hAnsi="Arial" w:cs="Arial"/>
          <w:color w:val="000000" w:themeColor="text1"/>
          <w:lang w:val="en-US" w:eastAsia="de-DE"/>
        </w:rPr>
        <w:t>chinery scale with cell size, led to the hypothesis that transcription rate is limited by a component of the transcriptional machinery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{"citationItems":[{"id":"ITEM-1","itemData":{"DOI":"10.1016/j.cub.2010.10.002","ISBN":"1879-0445 (Elect</w:instrText>
      </w:r>
      <w:r>
        <w:rPr>
          <w:rFonts w:ascii="Arial" w:eastAsia="Times New Roman" w:hAnsi="Arial" w:cs="Arial"/>
          <w:color w:val="000000" w:themeColor="text1"/>
          <w:lang w:val="en-US" w:eastAsia="de-DE"/>
        </w:rPr>
        <w:instrText>ronic)\\r0960-9822 (Linking)","ISSN":"09609822","PMID":"20970341","abstract":"Although much is known about the regulation of gene transcription in eukaryotes, it is not clear whether cells have global controls that determine overall rates of transcription.</w:instrText>
      </w:r>
      <w:r>
        <w:rPr>
          <w:rFonts w:ascii="Arial" w:eastAsia="Times New Roman" w:hAnsi="Arial" w:cs="Arial"/>
          <w:color w:val="000000" w:themeColor="text1"/>
          <w:lang w:val="en-US" w:eastAsia="de-DE"/>
        </w:rPr>
        <w:instrText xml:space="preserve"> We have investigated the effects that the DNA-to-protein ratio has on both total transcription and the transcription of individual genes in the unicellular eukaryote fission yeast. Mutants altered in cell size and those blocked in cell-cycle progression w</w:instrText>
      </w:r>
      <w:r>
        <w:rPr>
          <w:rFonts w:ascii="Arial" w:eastAsia="Times New Roman" w:hAnsi="Arial" w:cs="Arial"/>
          <w:color w:val="000000" w:themeColor="text1"/>
          <w:lang w:val="en-US" w:eastAsia="de-DE"/>
        </w:rPr>
        <w:instrText>ere used to vary the DNA-to-protein ratio over a 5-fold range. We found that cells of sizes within 2-fold of the wild-type value regulated global transcription to maintain similar transcription rates per protein regardless of the cellular DNA content. Thes</w:instrText>
      </w:r>
      <w:r>
        <w:rPr>
          <w:rFonts w:ascii="Arial" w:eastAsia="Times New Roman" w:hAnsi="Arial" w:cs="Arial"/>
          <w:color w:val="000000" w:themeColor="text1"/>
          <w:lang w:val="en-US" w:eastAsia="de-DE"/>
        </w:rPr>
        <w:instrText>e changes in total transcription correlated with coordinated changes in gene occupancy by RNA polymerase II. In cell-cycle-arrested mutants exceeding a certain size, total transcription rates plateaued as DNA became limiting for transcription at low DNA-to</w:instrText>
      </w:r>
      <w:r>
        <w:rPr>
          <w:rFonts w:ascii="Arial" w:eastAsia="Times New Roman" w:hAnsi="Arial" w:cs="Arial"/>
          <w:color w:val="000000" w:themeColor="text1"/>
          <w:lang w:val="en-US" w:eastAsia="de-DE"/>
        </w:rPr>
        <w:instrText>-protein ratios [1]. Unexpectedly, expression levels of individual genes remained tightly coordinated with each other over the entire range of cell sizes. We propose that there is a coordinated, global control that determines the rate of transcription of m</w:instrText>
      </w:r>
      <w:r>
        <w:rPr>
          <w:rFonts w:ascii="Arial" w:eastAsia="Times New Roman" w:hAnsi="Arial" w:cs="Arial"/>
          <w:color w:val="000000" w:themeColor="text1"/>
          <w:lang w:val="en-US" w:eastAsia="de-DE"/>
        </w:rPr>
        <w:instrText>ost genes and that this control plays a role in regulating growth rate of the cell. © 2010 Elsevier Ltd All rights reserved.","author":[{"dropping-particle":"","family":"Zhurinsky","given":"Jacob","non-dropping-particle":"","parse-names":false,"suffix":""}</w:instrText>
      </w:r>
      <w:r>
        <w:rPr>
          <w:rFonts w:ascii="Arial" w:eastAsia="Times New Roman" w:hAnsi="Arial" w:cs="Arial"/>
          <w:color w:val="000000" w:themeColor="text1"/>
          <w:lang w:val="en-US" w:eastAsia="de-DE"/>
        </w:rPr>
        <w:instrText>,{"dropping-particle":"","family":"Leonhard","given":"Klaus","non-dropping-particle":"","parse-names":false,"suffix":""},{"dropping-particle":"","family":"Watt","given":"Stephen","non-dropping-particle":"","parse-names":false,"suffix":""},{"dropping-partic</w:instrText>
      </w:r>
      <w:r>
        <w:rPr>
          <w:rFonts w:ascii="Arial" w:eastAsia="Times New Roman" w:hAnsi="Arial" w:cs="Arial"/>
          <w:color w:val="000000" w:themeColor="text1"/>
          <w:lang w:val="en-US" w:eastAsia="de-DE"/>
        </w:rPr>
        <w:instrText>le":"","family":"Marguerat","given":"Samuel","non-dropping-particle":"","parse-names":false,"suffix":""},{"dropping-particle":"","family":"Bähler","given":"Jürg","non-dropping-particle":"","parse-names":false,"suffix":""},{"dropping-particle":"","family":"</w:instrText>
      </w:r>
      <w:r>
        <w:rPr>
          <w:rFonts w:ascii="Arial" w:eastAsia="Times New Roman" w:hAnsi="Arial" w:cs="Arial"/>
          <w:color w:val="000000" w:themeColor="text1"/>
          <w:lang w:val="en-US" w:eastAsia="de-DE"/>
        </w:rPr>
        <w:instrText>Nurse","given":"Paul","non-dropping-particle":"","parse-names":false,"suffix":""}],"container-title":"Current Biology","id":"ITEM-1","issue":"22","issued":{"date-parts":[["2010"]]},"page":"2010-2015","title":"A coordinated global control over cellular tran</w:instrText>
      </w:r>
      <w:r>
        <w:rPr>
          <w:rFonts w:ascii="Arial" w:eastAsia="Times New Roman" w:hAnsi="Arial" w:cs="Arial"/>
          <w:color w:val="000000" w:themeColor="text1"/>
          <w:lang w:val="en-US" w:eastAsia="de-DE"/>
        </w:rPr>
        <w:instrText>scription","type":"article-journal","volume":"20"},"uris":["http://www.mendeley.com/documents/?uuid=adce00d7-4d17-4290-bb17-7de651ab16fa"]},{"id":"ITEM-2","itemData":{"DOI":"10.1016/j.tig.2012.07.003","ISBN":"0168-9525 (Print)\\n0168-9525 (Linking)","PMID"</w:instrText>
      </w:r>
      <w:r>
        <w:rPr>
          <w:rFonts w:ascii="Arial" w:eastAsia="Times New Roman" w:hAnsi="Arial" w:cs="Arial"/>
          <w:color w:val="000000" w:themeColor="text1"/>
          <w:lang w:val="en-US" w:eastAsia="de-DE"/>
        </w:rPr>
        <w:instrText>:"22863032","abstract":"Cell size is highly variable; cells from various tissues differ in volume over orders of magnitudes, from tiny lymphocytes to giant neurons, and cells of a given type change size during the cell cycle. Larger cells need to produce a</w:instrText>
      </w:r>
      <w:r>
        <w:rPr>
          <w:rFonts w:ascii="Arial" w:eastAsia="Times New Roman" w:hAnsi="Arial" w:cs="Arial"/>
          <w:color w:val="000000" w:themeColor="text1"/>
          <w:lang w:val="en-US" w:eastAsia="de-DE"/>
        </w:rPr>
        <w:instrText>nd maintain higher amounts of RNA and protein to sustain biomass and function, although the genome content often remains constant. Available data indicate that the transcriptional and translational outputs scale with cell size at a genome-wide level, but h</w:instrText>
      </w:r>
      <w:r>
        <w:rPr>
          <w:rFonts w:ascii="Arial" w:eastAsia="Times New Roman" w:hAnsi="Arial" w:cs="Arial"/>
          <w:color w:val="000000" w:themeColor="text1"/>
          <w:lang w:val="en-US" w:eastAsia="de-DE"/>
        </w:rPr>
        <w:instrText>ow such remarkably coordinated regulation is achieved remains largely mysterious. With global and systems-level approaches becoming more widespread and quantitative, it is worth revisiting this fascinating problem. Here, we outline current knowledge of the</w:instrText>
      </w:r>
      <w:r>
        <w:rPr>
          <w:rFonts w:ascii="Arial" w:eastAsia="Times New Roman" w:hAnsi="Arial" w:cs="Arial"/>
          <w:color w:val="000000" w:themeColor="text1"/>
          <w:lang w:val="en-US" w:eastAsia="de-DE"/>
        </w:rPr>
        <w:instrText xml:space="preserve"> fundamental relations between genome regulation and cell size, and highlight the biological implications and potential mechanisms of the global tuning of gene expression to cellular volume.","author":[{"dropping-particle":"","family":"Marguerat","given":"</w:instrText>
      </w:r>
      <w:r>
        <w:rPr>
          <w:rFonts w:ascii="Arial" w:eastAsia="Times New Roman" w:hAnsi="Arial" w:cs="Arial"/>
          <w:color w:val="000000" w:themeColor="text1"/>
          <w:lang w:val="en-US" w:eastAsia="de-DE"/>
        </w:rPr>
        <w:instrText>S","non-dropping-particle":"","parse-names":false,"suffix":""},{"dropping-particle":"","family":"Bahler","given":"J","non-dropping-particle":"","parse-names":false,"suffix":""}],"container-title":"Trends Genet","id":"ITEM-2","issue":"11","issued":{"date-pa</w:instrText>
      </w:r>
      <w:r>
        <w:rPr>
          <w:rFonts w:ascii="Arial" w:eastAsia="Times New Roman" w:hAnsi="Arial" w:cs="Arial"/>
          <w:color w:val="000000" w:themeColor="text1"/>
          <w:lang w:val="en-US" w:eastAsia="de-DE"/>
        </w:rPr>
        <w:instrText>rts":[["2012"]]},"page":"560-565","title":"Coordinating genome expression with cell size","type":"article-journal","volume":"28"},"uris":["http://www.mendeley.com/documents/?uuid=7c83bac7-b0d6-43d6-ad15-64e442adba1b"]},{"id":"ITEM-3","itemData":{"DOI":"10.</w:instrText>
      </w:r>
      <w:r>
        <w:rPr>
          <w:rFonts w:ascii="Arial" w:eastAsia="Times New Roman" w:hAnsi="Arial" w:cs="Arial"/>
          <w:color w:val="000000" w:themeColor="text1"/>
          <w:lang w:val="en-US" w:eastAsia="de-DE"/>
        </w:rPr>
        <w:instrText>1016/j.molcel.2015.03.005","ISSN":"10972765","abstract":"Individual mammalian cells exhibit large variability in cellular volume, even with the same absolute DNA content, and so must compensate for differences in DNA concentration in order to maintain cons</w:instrText>
      </w:r>
      <w:r>
        <w:rPr>
          <w:rFonts w:ascii="Arial" w:eastAsia="Times New Roman" w:hAnsi="Arial" w:cs="Arial"/>
          <w:color w:val="000000" w:themeColor="text1"/>
          <w:lang w:val="en-US" w:eastAsia="de-DE"/>
        </w:rPr>
        <w:instrText>tant concentration of gene expression products. Using single-molecule counting and computational image analysis, we show that transcript abundance correlates with cellular volume at the single-cell level due to increased global transcription in larger cell</w:instrText>
      </w:r>
      <w:r>
        <w:rPr>
          <w:rFonts w:ascii="Arial" w:eastAsia="Times New Roman" w:hAnsi="Arial" w:cs="Arial"/>
          <w:color w:val="000000" w:themeColor="text1"/>
          <w:lang w:val="en-US" w:eastAsia="de-DE"/>
        </w:rPr>
        <w:instrText>s. Cell fusion experiments establish that increased cellular content itself can directly increase transcription. Quantitative analysis shows that this mechanism measures the ratio of cellular volume to DNA content, most likely through sequestration of a tr</w:instrText>
      </w:r>
      <w:r>
        <w:rPr>
          <w:rFonts w:ascii="Arial" w:eastAsia="Times New Roman" w:hAnsi="Arial" w:cs="Arial"/>
          <w:color w:val="000000" w:themeColor="text1"/>
          <w:lang w:val="en-US" w:eastAsia="de-DE"/>
        </w:rPr>
        <w:instrText>anscriptional factor to DNA. Analysis of transcriptional bursts reveals a separate mechanism for gene dosage compensation after DNA replication that enables proper transcriptional output during early and late S phase. Our results provide a framework for qu</w:instrText>
      </w:r>
      <w:r>
        <w:rPr>
          <w:rFonts w:ascii="Arial" w:eastAsia="Times New Roman" w:hAnsi="Arial" w:cs="Arial"/>
          <w:color w:val="000000" w:themeColor="text1"/>
          <w:lang w:val="en-US" w:eastAsia="de-DE"/>
        </w:rPr>
        <w:instrText>antitatively understanding the relationships among DNA content, cell size, and gene expression variability in single cells.","author":[{"dropping-particle":"","family":"Padovan-Merhar","given":"Olivia","non-dropping-particle":"","parse-names":false,"suffix</w:instrText>
      </w:r>
      <w:r>
        <w:rPr>
          <w:rFonts w:ascii="Arial" w:eastAsia="Times New Roman" w:hAnsi="Arial" w:cs="Arial"/>
          <w:color w:val="000000" w:themeColor="text1"/>
          <w:lang w:val="en-US" w:eastAsia="de-DE"/>
        </w:rPr>
        <w:instrText>":""},{"dropping-particle":"","family":"Nair","given":"Gautham P.","non-dropping-particle":"","parse-names":false,"suffix":""},{"dropping-particle":"","family":"Biaesch","given":"Andrew G.","non-dropping-particle":"","parse-names":false,"suffix":""},{"drop</w:instrText>
      </w:r>
      <w:r>
        <w:rPr>
          <w:rFonts w:ascii="Arial" w:eastAsia="Times New Roman" w:hAnsi="Arial" w:cs="Arial"/>
          <w:color w:val="000000" w:themeColor="text1"/>
          <w:lang w:val="en-US" w:eastAsia="de-DE"/>
        </w:rPr>
        <w:instrText>ping-particle":"","family":"Mayer","given":"Andreas","non-dropping-particle":"","parse-names":false,"suffix":""},{"dropping-particle":"","family":"Scarfone","given":"Steven","non-dropping-particle":"","parse-names":false,"suffix":""},{"dropping-particle":"</w:instrText>
      </w:r>
      <w:r>
        <w:rPr>
          <w:rFonts w:ascii="Arial" w:eastAsia="Times New Roman" w:hAnsi="Arial" w:cs="Arial"/>
          <w:color w:val="000000" w:themeColor="text1"/>
          <w:lang w:val="en-US" w:eastAsia="de-DE"/>
        </w:rPr>
        <w:instrText>","family":"Foley","given":"Shawn W.","non-dropping-particle":"","parse-names":false,"suffix":""},{"dropping-particle":"","family":"Wu","given":"Angela R.","non-dropping-particle":"","parse-names":false,"suffix":""},{"dropping-particle":"","family":"Church</w:instrText>
      </w:r>
      <w:r>
        <w:rPr>
          <w:rFonts w:ascii="Arial" w:eastAsia="Times New Roman" w:hAnsi="Arial" w:cs="Arial"/>
          <w:color w:val="000000" w:themeColor="text1"/>
          <w:lang w:val="en-US" w:eastAsia="de-DE"/>
        </w:rPr>
        <w:instrText>man","given":"L. Stirling","non-dropping-particle":"","parse-names":false,"suffix":""},{"dropping-particle":"","family":"Singh","given":"Abhyudai","non-dropping-particle":"","parse-names":false,"suffix":""},{"dropping-particle":"","family":"Raj","given":"A</w:instrText>
      </w:r>
      <w:r>
        <w:rPr>
          <w:rFonts w:ascii="Arial" w:eastAsia="Times New Roman" w:hAnsi="Arial" w:cs="Arial"/>
          <w:color w:val="000000" w:themeColor="text1"/>
          <w:lang w:val="en-US" w:eastAsia="de-DE"/>
        </w:rPr>
        <w:instrText>rjun","non-dropping-particle":"","parse-names":false,"suffix":""}],"container-title":"Molecular Cell","id":"ITEM-3","issue":"2","issued":{"date-parts":[["2015","4"]]},"page":"339-352","title":"Single Mammalian Cells Compensate for Differences in Cellular V</w:instrText>
      </w:r>
      <w:r>
        <w:rPr>
          <w:rFonts w:ascii="Arial" w:eastAsia="Times New Roman" w:hAnsi="Arial" w:cs="Arial"/>
          <w:color w:val="000000" w:themeColor="text1"/>
          <w:lang w:val="en-US" w:eastAsia="de-DE"/>
        </w:rPr>
        <w:instrText>olume and DNA Copy Number through Independent Global Transcriptional Mechanisms","type":"article-journal","volume":"58"},"uris":["http://www.mendeley.com/documents/?uuid=5c85bab6-4d1f-4871-b740-e55b13377d17"]},{"id":"ITEM-4","itemData":{"DOI":"10.1016/j.tc</w:instrText>
      </w:r>
      <w:r>
        <w:rPr>
          <w:rFonts w:ascii="Arial" w:eastAsia="Times New Roman" w:hAnsi="Arial" w:cs="Arial"/>
          <w:color w:val="000000" w:themeColor="text1"/>
          <w:lang w:val="en-US" w:eastAsia="de-DE"/>
        </w:rPr>
        <w:instrText>b.2015.10.006","ISSN":"09628924","abstract":"Cell size is an important physiological trait that sets the scale of all biosynthetic processes. Although physiological studies have revealed that cells actively regulate their size, the molecular mechanisms und</w:instrText>
      </w:r>
      <w:r>
        <w:rPr>
          <w:rFonts w:ascii="Arial" w:eastAsia="Times New Roman" w:hAnsi="Arial" w:cs="Arial"/>
          <w:color w:val="000000" w:themeColor="text1"/>
          <w:lang w:val="en-US" w:eastAsia="de-DE"/>
        </w:rPr>
        <w:instrText>erlying this regulation have remained unclear. Here we review recent progress in identifying the molecular mechanisms of cell size control. We focus on budding yeast, where cell growth dilutes a cell cycle inhibitor to couple growth and division. We discus</w:instrText>
      </w:r>
      <w:r>
        <w:rPr>
          <w:rFonts w:ascii="Arial" w:eastAsia="Times New Roman" w:hAnsi="Arial" w:cs="Arial"/>
          <w:color w:val="000000" w:themeColor="text1"/>
          <w:lang w:val="en-US" w:eastAsia="de-DE"/>
        </w:rPr>
        <w:instrText>s a new model for size control based on the titration of activator and inhibitor molecules whose synthesis rates are differentially dependent on cell size.","author":[{"dropping-particle":"","family":"Schmoller","given":"Kurt M.","non-dropping-particle":""</w:instrText>
      </w:r>
      <w:r>
        <w:rPr>
          <w:rFonts w:ascii="Arial" w:eastAsia="Times New Roman" w:hAnsi="Arial" w:cs="Arial"/>
          <w:color w:val="000000" w:themeColor="text1"/>
          <w:lang w:val="en-US" w:eastAsia="de-DE"/>
        </w:rPr>
        <w:instrText>,"parse-names":false,"suffix":""},{"dropping-particle":"","family":"Skotheim","given":"Jan M.","non-dropping-particle":"","parse-names":false,"suffix":""}],"container-title":"Trends in Cell Biology","id":"ITEM-4","issue":"12","issued":{"date-parts":[["2015</w:instrText>
      </w:r>
      <w:r>
        <w:rPr>
          <w:rFonts w:ascii="Arial" w:eastAsia="Times New Roman" w:hAnsi="Arial" w:cs="Arial"/>
          <w:color w:val="000000" w:themeColor="text1"/>
          <w:lang w:val="en-US" w:eastAsia="de-DE"/>
        </w:rPr>
        <w:instrText>","11"]]},"page":"793-802","title":"The Biosynthetic Basis of Cell Size Control","type":"article-journal","volume":"25"},"uris":["http://www.mendeley.com/documents/?uuid=2f87658a-a1aa-4c7f-bb46-c7c336e37d35"]},{"id":"ITEM-5","itemData":{"DOI":"10.1038/s414</w:instrText>
      </w:r>
      <w:r>
        <w:rPr>
          <w:rFonts w:ascii="Arial" w:eastAsia="Times New Roman" w:hAnsi="Arial" w:cs="Arial"/>
          <w:color w:val="000000" w:themeColor="text1"/>
          <w:lang w:val="en-US" w:eastAsia="de-DE"/>
        </w:rPr>
        <w:instrText>67-018-06714-z","ISSN":"2041-1723","PMID":"30374016","abstract":"Many experiments show that the numbers of mRNA and protein are proportional to the cell volume in growing cells. However, models of stochastic gene expression often assume constant transcript</w:instrText>
      </w:r>
      <w:r>
        <w:rPr>
          <w:rFonts w:ascii="Arial" w:eastAsia="Times New Roman" w:hAnsi="Arial" w:cs="Arial"/>
          <w:color w:val="000000" w:themeColor="text1"/>
          <w:lang w:val="en-US" w:eastAsia="de-DE"/>
        </w:rPr>
        <w:instrText>ion rate per gene and constant translation rate per mRNA, which are incompatible with these experiments. Here, we construct a minimal gene expression model to fill this gap. Assuming ribosomes and RNA polymerases are limiting in gene expression, we show th</w:instrText>
      </w:r>
      <w:r>
        <w:rPr>
          <w:rFonts w:ascii="Arial" w:eastAsia="Times New Roman" w:hAnsi="Arial" w:cs="Arial"/>
          <w:color w:val="000000" w:themeColor="text1"/>
          <w:lang w:val="en-US" w:eastAsia="de-DE"/>
        </w:rPr>
        <w:instrText>at the numbers of proteins and mRNAs both grow exponentially during the cell cycle and that the concentrations of all mRNAs and proteins achieve cellular homeostasis; the competition between genes for the RNA polymerases makes the transcription rate indepe</w:instrText>
      </w:r>
      <w:r>
        <w:rPr>
          <w:rFonts w:ascii="Arial" w:eastAsia="Times New Roman" w:hAnsi="Arial" w:cs="Arial"/>
          <w:color w:val="000000" w:themeColor="text1"/>
          <w:lang w:val="en-US" w:eastAsia="de-DE"/>
        </w:rPr>
        <w:instrText>ndent of the genome number. Furthermore, by extending the model to situations in which DNA (mRNA) can be saturated by RNA polymerases (ribosomes) and becomes limiting, we predict a transition from exponential to linear growth of cell volume as the protein-</w:instrText>
      </w:r>
      <w:r>
        <w:rPr>
          <w:rFonts w:ascii="Arial" w:eastAsia="Times New Roman" w:hAnsi="Arial" w:cs="Arial"/>
          <w:color w:val="000000" w:themeColor="text1"/>
          <w:lang w:val="en-US" w:eastAsia="de-DE"/>
        </w:rPr>
        <w:instrText xml:space="preserve">to-DNA ratio increases. For various organisms, mRNA and protein copy numbers scale with cell volume. Here, the authors show that this result emerges naturally when ribosomes and RNAPs limit expression. Furthermore, the authors show that within their model </w:instrText>
      </w:r>
      <w:r>
        <w:rPr>
          <w:rFonts w:ascii="Arial" w:eastAsia="Times New Roman" w:hAnsi="Arial" w:cs="Arial"/>
          <w:color w:val="000000" w:themeColor="text1"/>
          <w:lang w:val="en-US" w:eastAsia="de-DE"/>
        </w:rPr>
        <w:instrText>this result breaks down for a sufficiently high volume/DNA ratio.","author":[{"dropping-particle":"","family":"Lin","given":"Jie","non-dropping-particle":"","parse-names":false,"suffix":""},{"dropping-particle":"","family":"Amir","given":"Ariel","non-dropp</w:instrText>
      </w:r>
      <w:r>
        <w:rPr>
          <w:rFonts w:ascii="Arial" w:eastAsia="Times New Roman" w:hAnsi="Arial" w:cs="Arial"/>
          <w:color w:val="000000" w:themeColor="text1"/>
          <w:lang w:val="en-US" w:eastAsia="de-DE"/>
        </w:rPr>
        <w:instrText>ing-particle":"","parse-names":false,"suffix":""}],"container-title":"Nature Communications 2018 9:1","id":"ITEM-5","issue":"1","issued":{"date-parts":[["2018","10","29"]]},"page":"1-11","publisher":"Nature Publishing Group","title":"Homeostasis of protein</w:instrText>
      </w:r>
      <w:r>
        <w:rPr>
          <w:rFonts w:ascii="Arial" w:eastAsia="Times New Roman" w:hAnsi="Arial" w:cs="Arial"/>
          <w:color w:val="000000" w:themeColor="text1"/>
          <w:lang w:val="en-US" w:eastAsia="de-DE"/>
        </w:rPr>
        <w:instrText xml:space="preserve"> and mRNA concentrations in growing cells","type":"article-journal","volume":"9"},"uris":["http://www.mendeley.com/documents/?uuid=451e6831-657d-3fac-977a-4c30fdff0d5d"]},{"id":"ITEM-6","itemData":{"DOI":"10.1101/754788","author":[{"dropping-particle":"","</w:instrText>
      </w:r>
      <w:r>
        <w:rPr>
          <w:rFonts w:ascii="Arial" w:eastAsia="Times New Roman" w:hAnsi="Arial" w:cs="Arial"/>
          <w:color w:val="000000" w:themeColor="text1"/>
          <w:lang w:val="en-US" w:eastAsia="de-DE"/>
        </w:rPr>
        <w:instrText>family":"Sun","given":"Xi Ming","non-dropping-particle":"","parse-names":false,"suffix":""},{"dropping-particle":"","family":"Bowman","given":"Anthony","non-dropping-particle":"","parse-names":false,"suffix":""},{"dropping-particle":"","family":"Priestman"</w:instrText>
      </w:r>
      <w:r>
        <w:rPr>
          <w:rFonts w:ascii="Arial" w:eastAsia="Times New Roman" w:hAnsi="Arial" w:cs="Arial"/>
          <w:color w:val="000000" w:themeColor="text1"/>
          <w:lang w:val="en-US" w:eastAsia="de-DE"/>
        </w:rPr>
        <w:instrText>,"given":"Miles","non-dropping-particle":"","parse-names":false,"suffix":""},{"dropping-particle":"","family":"Bertaux","given":"Francois","non-dropping-particle":"","parse-names":false,"suffix":""},{"dropping-particle":"","family":"Martinez-Segura","given</w:instrText>
      </w:r>
      <w:r>
        <w:rPr>
          <w:rFonts w:ascii="Arial" w:eastAsia="Times New Roman" w:hAnsi="Arial" w:cs="Arial"/>
          <w:color w:val="000000" w:themeColor="text1"/>
          <w:lang w:val="en-US" w:eastAsia="de-DE"/>
        </w:rPr>
        <w:instrText>":"Amalia","non-dropping-particle":"","parse-names":false,"suffix":""},{"dropping-particle":"","family":"Tang","given":"Wenhao","non-dropping-particle":"","parse-names":false,"suffix":""},{"dropping-particle":"","family":"Whilding","given":"Chad","non-drop</w:instrText>
      </w:r>
      <w:r>
        <w:rPr>
          <w:rFonts w:ascii="Arial" w:eastAsia="Times New Roman" w:hAnsi="Arial" w:cs="Arial"/>
          <w:color w:val="000000" w:themeColor="text1"/>
          <w:lang w:val="en-US" w:eastAsia="de-DE"/>
        </w:rPr>
        <w:instrText>ping-particle":"","parse-names":false,"suffix":""},{"dropping-particle":"","family":"Dormann","given":"Dirk","non-dropping-particle":"","parse-names":false,"suffix":""},{"dropping-particle":"","family":"Shahrezaei","given":"Vahid","non-dropping-particle":"</w:instrText>
      </w:r>
      <w:r>
        <w:rPr>
          <w:rFonts w:ascii="Arial" w:eastAsia="Times New Roman" w:hAnsi="Arial" w:cs="Arial"/>
          <w:color w:val="000000" w:themeColor="text1"/>
          <w:lang w:val="en-US" w:eastAsia="de-DE"/>
        </w:rPr>
        <w:instrText>","parse-names":false,"suffix":""},{"dropping-particle":"","family":"Marguerat","given":"Samuel","non-dropping-particle":"","parse-names":false,"suffix":""}],"container-title":"Current Biology","id":"ITEM-6","issue":"7","issued":{"date-parts":[["2020"]]},"</w:instrText>
      </w:r>
      <w:r>
        <w:rPr>
          <w:rFonts w:ascii="Arial" w:eastAsia="Times New Roman" w:hAnsi="Arial" w:cs="Arial"/>
          <w:color w:val="000000" w:themeColor="text1"/>
          <w:lang w:val="en-US" w:eastAsia="de-DE"/>
        </w:rPr>
        <w:instrText>page":"1217-1230.e7","title":"Size-dependent increase in RNA Polymerase II initiation rates mediates gene expression scaling with cell size","type":"article-journal","volume":"30"},"uris":["http://www.mendeley.com/documents/?uuid=bec2a5b5-4bed-348a-9358-66</w:instrText>
      </w:r>
      <w:r>
        <w:rPr>
          <w:rFonts w:ascii="Arial" w:eastAsia="Times New Roman" w:hAnsi="Arial" w:cs="Arial"/>
          <w:color w:val="000000" w:themeColor="text1"/>
          <w:lang w:val="en-US" w:eastAsia="de-DE"/>
        </w:rPr>
        <w:instrText>a4668a61f6"]}],"mendeley":{"formattedCitation":"&lt;sup&gt;1,14,16,30–32&lt;/sup&gt;","plainTextFormattedCitation":"1,14,16,30–32","previouslyFormattedCitation":"&lt;sup&gt;1,14,16,30–32&lt;/sup&gt;"},"properties":{"noteIndex":0},"schema":"https://github.com/citation-style-langua</w:instrText>
      </w:r>
      <w:r>
        <w:rPr>
          <w:rFonts w:ascii="Arial" w:eastAsia="Times New Roman" w:hAnsi="Arial" w:cs="Arial"/>
          <w:color w:val="000000" w:themeColor="text1"/>
          <w:lang w:val="en-US" w:eastAsia="de-DE"/>
        </w:rPr>
        <w:instrText>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1,14,16,30–32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Consistent with this idea, the scaling of transcription rate breaks down at large cell sizes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{"citationItems":[{"id":"ITEM-1","itemData":{"DOI":"10.1016/j.cell.2023.10.012","author</w:instrText>
      </w:r>
      <w:r>
        <w:rPr>
          <w:rFonts w:ascii="Arial" w:eastAsia="Times New Roman" w:hAnsi="Arial" w:cs="Arial"/>
          <w:color w:val="000000" w:themeColor="text1"/>
          <w:lang w:val="en-US" w:eastAsia="de-DE"/>
        </w:rPr>
        <w:instrText>":[{"dropping-particle":"","family":"Swaffer","given":"Matthew P","non-dropping-particle":"","parse-names":false,"suffix":""},{"dropping-particle":"","family":"Marinov","given":"Georgi K","non-dropping-particle":"","parse-names":false,"suffix":""},{"droppi</w:instrText>
      </w:r>
      <w:r>
        <w:rPr>
          <w:rFonts w:ascii="Arial" w:eastAsia="Times New Roman" w:hAnsi="Arial" w:cs="Arial"/>
          <w:color w:val="000000" w:themeColor="text1"/>
          <w:lang w:val="en-US" w:eastAsia="de-DE"/>
        </w:rPr>
        <w:instrText>ng-particle":"","family":"Zheng","given":"Huan","non-dropping-particle":"","parse-names":false,"suffix":""},{"dropping-particle":"","family":"Fuentes Valenzuela","given":"Lucas","non-dropping-particle":"","parse-names":false,"suffix":""},{"dropping-particl</w:instrText>
      </w:r>
      <w:r>
        <w:rPr>
          <w:rFonts w:ascii="Arial" w:eastAsia="Times New Roman" w:hAnsi="Arial" w:cs="Arial"/>
          <w:color w:val="000000" w:themeColor="text1"/>
          <w:lang w:val="en-US" w:eastAsia="de-DE"/>
        </w:rPr>
        <w:instrText>e":"","family":"Yee Tsui","given":"Crystal","non-dropping-particle":"","parse-names":false,"suffix":""},{"dropping-particle":"","family":"Jones","given":"Andrew W","non-dropping-particle":"","parse-names":false,"suffix":""},{"dropping-particle":"","family"</w:instrText>
      </w:r>
      <w:r>
        <w:rPr>
          <w:rFonts w:ascii="Arial" w:eastAsia="Times New Roman" w:hAnsi="Arial" w:cs="Arial"/>
          <w:color w:val="000000" w:themeColor="text1"/>
          <w:lang w:val="en-US" w:eastAsia="de-DE"/>
        </w:rPr>
        <w:instrText>:"Greenwood","given":"Jessica","non-dropping-particle":"","parse-names":false,"suffix":""},{"dropping-particle":"","family":"Kundaje","given":"Anshul","non-dropping-particle":"","parse-names":false,"suffix":""},{"dropping-particle":"","family":"Greenleaf",</w:instrText>
      </w:r>
      <w:r>
        <w:rPr>
          <w:rFonts w:ascii="Arial" w:eastAsia="Times New Roman" w:hAnsi="Arial" w:cs="Arial"/>
          <w:color w:val="000000" w:themeColor="text1"/>
          <w:lang w:val="en-US" w:eastAsia="de-DE"/>
        </w:rPr>
        <w:instrText>"given":"William J","non-dropping-particle":"","parse-names":false,"suffix":""},{"dropping-particle":"","family":"Reyes-Lamothe","given":"Rodrigo","non-dropping-particle":"","parse-names":false,"suffix":""},{"dropping-particle":"","family":"Skotheim","give</w:instrText>
      </w:r>
      <w:r>
        <w:rPr>
          <w:rFonts w:ascii="Arial" w:eastAsia="Times New Roman" w:hAnsi="Arial" w:cs="Arial"/>
          <w:color w:val="000000" w:themeColor="text1"/>
          <w:lang w:val="en-US" w:eastAsia="de-DE"/>
        </w:rPr>
        <w:instrText>n":"Jan M","non-dropping-particle":"","parse-names":false,"suffix":""}],"container-title":"Cell","id":"ITEM-1","issued":{"date-parts":[["2023"]]},"title":"RNA polymerase II dynamics and mRNA stability feedback scale mRNA amounts with cell size","type":"art</w:instrText>
      </w:r>
      <w:r>
        <w:rPr>
          <w:rFonts w:ascii="Arial" w:eastAsia="Times New Roman" w:hAnsi="Arial" w:cs="Arial"/>
          <w:color w:val="000000" w:themeColor="text1"/>
          <w:lang w:val="en-US" w:eastAsia="de-DE"/>
        </w:rPr>
        <w:instrText>icle-journal"},"uris":["http://www.mendeley.com/documents/?uuid=90d7390d-c1af-355e-ae58-d20591ab9167"]}],"mendeley":{"formattedCitation":"&lt;sup&gt;29&lt;/sup&gt;","plainTextFormattedCitation":"29","previouslyFormattedCitation":"&lt;sup&gt;29&lt;/sup&gt;"},"properties":{"noteInd</w:instrText>
      </w:r>
      <w:r>
        <w:rPr>
          <w:rFonts w:ascii="Arial" w:eastAsia="Times New Roman" w:hAnsi="Arial" w:cs="Arial"/>
          <w:color w:val="000000" w:themeColor="text1"/>
          <w:lang w:val="en-US" w:eastAsia="de-DE"/>
        </w:rPr>
        <w:instrText>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because at this point, the DNA template for transcription, </w:t>
      </w:r>
      <w:r>
        <w:rPr>
          <w:rFonts w:ascii="Arial" w:eastAsia="Times New Roman" w:hAnsi="Arial" w:cs="Arial"/>
          <w:i/>
          <w:iCs/>
          <w:color w:val="000000" w:themeColor="text1"/>
          <w:lang w:val="en-US" w:eastAsia="de-DE"/>
        </w:rPr>
        <w:t>i.e.</w:t>
      </w:r>
      <w:r>
        <w:rPr>
          <w:rFonts w:ascii="Arial" w:eastAsia="Times New Roman" w:hAnsi="Arial" w:cs="Arial"/>
          <w:color w:val="000000" w:themeColor="text1"/>
          <w:lang w:val="en-US" w:eastAsia="de-DE"/>
        </w:rPr>
        <w:t xml:space="preserve"> the genes, becomes limiting. Accordingly, in this cell size regime, transcription rate pe</w:t>
      </w:r>
      <w:r>
        <w:rPr>
          <w:rFonts w:ascii="Arial" w:eastAsia="Times New Roman" w:hAnsi="Arial" w:cs="Arial"/>
          <w:color w:val="000000" w:themeColor="text1"/>
          <w:lang w:val="en-US" w:eastAsia="de-DE"/>
        </w:rPr>
        <w:t>r cell can be further increased by an increase of ploidy. </w:t>
      </w:r>
    </w:p>
    <w:p w14:paraId="7DB7C5AC" w14:textId="77777777" w:rsidR="00066D11" w:rsidRDefault="00E55468">
      <w:pPr>
        <w:jc w:val="center"/>
      </w:pPr>
      <w:r>
        <w:rPr>
          <w:noProof/>
          <w:lang w:eastAsia="de-DE"/>
        </w:rPr>
        <w:lastRenderedPageBreak/>
        <w:drawing>
          <wp:inline distT="0" distB="0" distL="0" distR="0" wp14:anchorId="1051F4ED" wp14:editId="332DE02C">
            <wp:extent cx="4633337" cy="6553200"/>
            <wp:effectExtent l="0" t="0" r="0" b="0"/>
            <wp:docPr id="940447000" name="Picture 1" descr="A diagram of a cel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47000" name="Picture 1" descr="A diagram of a cell line&#10;&#10;Description automatically generated"/>
                    <pic:cNvPicPr/>
                  </pic:nvPicPr>
                  <pic:blipFill>
                    <a:blip r:embed="rId9"/>
                    <a:stretch>
                      <a:fillRect/>
                    </a:stretch>
                  </pic:blipFill>
                  <pic:spPr>
                    <a:xfrm>
                      <a:off x="0" y="0"/>
                      <a:ext cx="4643557" cy="6567655"/>
                    </a:xfrm>
                    <a:prstGeom prst="rect">
                      <a:avLst/>
                    </a:prstGeom>
                  </pic:spPr>
                </pic:pic>
              </a:graphicData>
            </a:graphic>
          </wp:inline>
        </w:drawing>
      </w:r>
    </w:p>
    <w:p w14:paraId="0E27555E" w14:textId="77777777" w:rsidR="00066D11" w:rsidRDefault="00E55468">
      <w:pPr>
        <w:spacing w:before="240" w:after="240" w:line="240" w:lineRule="auto"/>
        <w:jc w:val="both"/>
        <w:rPr>
          <w:rFonts w:ascii="Arial" w:eastAsia="Times New Roman" w:hAnsi="Arial" w:cs="Arial"/>
          <w:i/>
          <w:color w:val="000000"/>
          <w:lang w:val="en-US" w:eastAsia="de-DE"/>
        </w:rPr>
      </w:pPr>
      <w:r>
        <w:rPr>
          <w:rFonts w:ascii="Arial" w:eastAsia="Times New Roman" w:hAnsi="Arial" w:cs="Arial"/>
          <w:b/>
          <w:bCs/>
          <w:i/>
          <w:iCs/>
          <w:color w:val="000000" w:themeColor="text1"/>
          <w:lang w:val="en-US" w:eastAsia="de-DE"/>
        </w:rPr>
        <w:t xml:space="preserve">Fig. 2: </w:t>
      </w:r>
      <w:r>
        <w:rPr>
          <w:rFonts w:ascii="Arial" w:eastAsia="Times New Roman" w:hAnsi="Arial" w:cs="Arial"/>
          <w:i/>
          <w:iCs/>
          <w:color w:val="000000" w:themeColor="text1"/>
          <w:lang w:val="en-US" w:eastAsia="de-DE"/>
        </w:rPr>
        <w:t xml:space="preserve">a) Cell size can affect protein homeostasis at the steps of transcription, translation, and transcript or protein degradation. b) This can lead to scaling, </w:t>
      </w:r>
      <w:proofErr w:type="spellStart"/>
      <w:r>
        <w:rPr>
          <w:rFonts w:ascii="Arial" w:eastAsia="Times New Roman" w:hAnsi="Arial" w:cs="Arial"/>
          <w:i/>
          <w:iCs/>
          <w:color w:val="000000" w:themeColor="text1"/>
          <w:lang w:val="en-US" w:eastAsia="de-DE"/>
        </w:rPr>
        <w:t>subscaling</w:t>
      </w:r>
      <w:proofErr w:type="spellEnd"/>
      <w:r>
        <w:rPr>
          <w:rFonts w:ascii="Arial" w:eastAsia="Times New Roman" w:hAnsi="Arial" w:cs="Arial"/>
          <w:i/>
          <w:iCs/>
          <w:color w:val="000000" w:themeColor="text1"/>
          <w:lang w:val="en-US" w:eastAsia="de-DE"/>
        </w:rPr>
        <w:t xml:space="preserve">, or </w:t>
      </w:r>
      <w:proofErr w:type="spellStart"/>
      <w:r>
        <w:rPr>
          <w:rFonts w:ascii="Arial" w:eastAsia="Times New Roman" w:hAnsi="Arial" w:cs="Arial"/>
          <w:i/>
          <w:iCs/>
          <w:color w:val="000000" w:themeColor="text1"/>
          <w:lang w:val="en-US" w:eastAsia="de-DE"/>
        </w:rPr>
        <w:t>superscaling</w:t>
      </w:r>
      <w:proofErr w:type="spellEnd"/>
      <w:r>
        <w:rPr>
          <w:rFonts w:ascii="Arial" w:eastAsia="Times New Roman" w:hAnsi="Arial" w:cs="Arial"/>
          <w:i/>
          <w:iCs/>
          <w:color w:val="000000" w:themeColor="text1"/>
          <w:lang w:val="en-US" w:eastAsia="de-DE"/>
        </w:rPr>
        <w:t xml:space="preserve"> beh</w:t>
      </w:r>
      <w:r>
        <w:rPr>
          <w:rFonts w:ascii="Arial" w:eastAsia="Times New Roman" w:hAnsi="Arial" w:cs="Arial"/>
          <w:i/>
          <w:iCs/>
          <w:color w:val="000000" w:themeColor="text1"/>
          <w:lang w:val="en-US" w:eastAsia="de-DE"/>
        </w:rPr>
        <w:t>avior of individual transcripts or proteins. c) A broad range of scaling behavior is observed in human lung fibroblasts cells</w:t>
      </w:r>
      <w:r>
        <w:rPr>
          <w:rFonts w:ascii="Arial" w:eastAsia="Times New Roman" w:hAnsi="Arial" w:cs="Arial"/>
          <w:i/>
          <w:iCs/>
          <w:color w:val="000000" w:themeColor="text1"/>
          <w:lang w:val="en-US" w:eastAsia="de-DE"/>
        </w:rPr>
        <w:fldChar w:fldCharType="begin" w:fldLock="1"/>
      </w:r>
      <w:r>
        <w:rPr>
          <w:rFonts w:ascii="Arial" w:eastAsia="Times New Roman" w:hAnsi="Arial" w:cs="Arial"/>
          <w:i/>
          <w:iCs/>
          <w:color w:val="000000" w:themeColor="text1"/>
          <w:lang w:val="en-US" w:eastAsia="de-DE"/>
        </w:rPr>
        <w:instrText>ADDIN CSL_CITATION {"citationItems":[{"id":"ITEM-1","itemData":{"DOI":"10.1016/J.MOLCEL.2022.07.017","ISSN":"1097-2765","PMID":"359</w:instrText>
      </w:r>
      <w:r>
        <w:rPr>
          <w:rFonts w:ascii="Arial" w:eastAsia="Times New Roman" w:hAnsi="Arial" w:cs="Arial"/>
          <w:i/>
          <w:iCs/>
          <w:color w:val="000000" w:themeColor="text1"/>
          <w:lang w:val="en-US" w:eastAsia="de-DE"/>
        </w:rPr>
        <w:instrText>87199","abstract":"Cell size is tightly controlled in healthy tissues, but it is unclear how deviations in cell size affect cell physiology. To address this, we measured how the cell's proteome changes with increasing cell size. Size-dependent protein conc</w:instrText>
      </w:r>
      <w:r>
        <w:rPr>
          <w:rFonts w:ascii="Arial" w:eastAsia="Times New Roman" w:hAnsi="Arial" w:cs="Arial"/>
          <w:i/>
          <w:iCs/>
          <w:color w:val="000000" w:themeColor="text1"/>
          <w:lang w:val="en-US" w:eastAsia="de-DE"/>
        </w:rPr>
        <w:instrText>entration changes are widespread and predicted by subcellular localization, size-dependent mRNA concentrations, and protein turnover. As proliferating cells grow larger, concentration changes typically associated with cellular senescence are increasingly p</w:instrText>
      </w:r>
      <w:r>
        <w:rPr>
          <w:rFonts w:ascii="Arial" w:eastAsia="Times New Roman" w:hAnsi="Arial" w:cs="Arial"/>
          <w:i/>
          <w:iCs/>
          <w:color w:val="000000" w:themeColor="text1"/>
          <w:lang w:val="en-US" w:eastAsia="de-DE"/>
        </w:rPr>
        <w:instrText>ronounced, suggesting that large size may be a cause rather than just a consequence of cell senescence. Consistent with this hypothesis, larger cells are prone to replicative, DNA-damage-induced, and CDK4/6i-induced senescence. Size-dependent changes to th</w:instrText>
      </w:r>
      <w:r>
        <w:rPr>
          <w:rFonts w:ascii="Arial" w:eastAsia="Times New Roman" w:hAnsi="Arial" w:cs="Arial"/>
          <w:i/>
          <w:iCs/>
          <w:color w:val="000000" w:themeColor="text1"/>
          <w:lang w:val="en-US" w:eastAsia="de-DE"/>
        </w:rPr>
        <w:instrText>e proteome, including those associated with senescence, are not observed when an increase in cell size is accompanied by an increase in ploidy. Together, our findings show how cell size could impact many aspects of cell physiology by remodeling the proteom</w:instrText>
      </w:r>
      <w:r>
        <w:rPr>
          <w:rFonts w:ascii="Arial" w:eastAsia="Times New Roman" w:hAnsi="Arial" w:cs="Arial"/>
          <w:i/>
          <w:iCs/>
          <w:color w:val="000000" w:themeColor="text1"/>
          <w:lang w:val="en-US" w:eastAsia="de-DE"/>
        </w:rPr>
        <w:instrText>e and provide a rationale for cell size control and polyploidization.","author":[{"dropping-particle":"","family":"Lanz","given":"Michael C.","non-dropping-particle":"","parse-names":false,"suffix":""},{"dropping-particle":"","family":"Zatulovskiy","given"</w:instrText>
      </w:r>
      <w:r>
        <w:rPr>
          <w:rFonts w:ascii="Arial" w:eastAsia="Times New Roman" w:hAnsi="Arial" w:cs="Arial"/>
          <w:i/>
          <w:iCs/>
          <w:color w:val="000000" w:themeColor="text1"/>
          <w:lang w:val="en-US" w:eastAsia="de-DE"/>
        </w:rPr>
        <w:instrText>:"Evgeny","non-dropping-particle":"","parse-names":false,"suffix":""},{"dropping-particle":"","family":"Swaffer","given":"Matthew P.","non-dropping-particle":"","parse-names":false,"suffix":""},{"dropping-particle":"","family":"Zhang","given":"Lichao","non</w:instrText>
      </w:r>
      <w:r>
        <w:rPr>
          <w:rFonts w:ascii="Arial" w:eastAsia="Times New Roman" w:hAnsi="Arial" w:cs="Arial"/>
          <w:i/>
          <w:iCs/>
          <w:color w:val="000000" w:themeColor="text1"/>
          <w:lang w:val="en-US" w:eastAsia="de-DE"/>
        </w:rPr>
        <w:instrText>-dropping-particle":"","parse-names":false,"suffix":""},{"dropping-particle":"","family":"Ilerten","given":"Ilayda","non-dropping-particle":"","parse-names":false,"suffix":""},{"dropping-particle":"","family":"Zhang","given":"Shuyuan","non-dropping-particl</w:instrText>
      </w:r>
      <w:r>
        <w:rPr>
          <w:rFonts w:ascii="Arial" w:eastAsia="Times New Roman" w:hAnsi="Arial" w:cs="Arial"/>
          <w:i/>
          <w:iCs/>
          <w:color w:val="000000" w:themeColor="text1"/>
          <w:lang w:val="en-US" w:eastAsia="de-DE"/>
        </w:rPr>
        <w:instrText>e":"","parse-names":false,"suffix":""},{"dropping-particle":"","family":"You","given":"Dong Shin","non-dropping-particle":"","parse-names":false,"suffix":""},{"dropping-particle":"","family":"Marinov","given":"Georgi","non-dropping-particle":"","parse-name</w:instrText>
      </w:r>
      <w:r>
        <w:rPr>
          <w:rFonts w:ascii="Arial" w:eastAsia="Times New Roman" w:hAnsi="Arial" w:cs="Arial"/>
          <w:i/>
          <w:iCs/>
          <w:color w:val="000000" w:themeColor="text1"/>
          <w:lang w:val="en-US" w:eastAsia="de-DE"/>
        </w:rPr>
        <w:instrText>s":false,"suffix":""},{"dropping-particle":"","family":"McAlpine","given":"Patrick","non-dropping-particle":"","parse-names":false,"suffix":""},{"dropping-particle":"","family":"Elias","given":"Joshua E.","non-dropping-particle":"","parse-names":false,"suf</w:instrText>
      </w:r>
      <w:r>
        <w:rPr>
          <w:rFonts w:ascii="Arial" w:eastAsia="Times New Roman" w:hAnsi="Arial" w:cs="Arial"/>
          <w:i/>
          <w:iCs/>
          <w:color w:val="000000" w:themeColor="text1"/>
          <w:lang w:val="en-US" w:eastAsia="de-DE"/>
        </w:rPr>
        <w:instrText>fix":""},{"dropping-particle":"","family":"Skotheim","given":"Jan M.","non-dropping-particle":"","parse-names":false,"suffix":""}],"container-title":"Molecular Cell","id":"ITEM-1","issue":"17","issued":{"date-parts":[["2022","9","1"]]},"page":"3255-3269.e8</w:instrText>
      </w:r>
      <w:r>
        <w:rPr>
          <w:rFonts w:ascii="Arial" w:eastAsia="Times New Roman" w:hAnsi="Arial" w:cs="Arial"/>
          <w:i/>
          <w:iCs/>
          <w:color w:val="000000" w:themeColor="text1"/>
          <w:lang w:val="en-US" w:eastAsia="de-DE"/>
        </w:rPr>
        <w:instrText>","publisher":"Cell Press","title":"Increasing cell size remodels the proteome and promotes senescence","type":"article-journal","volume":"82"},"uris":["http://www.mendeley.com/documents/?uuid=8e51a3f0-6440-3670-854f-e466aa3f4159"]}],"mendeley":{"formatted</w:instrText>
      </w:r>
      <w:r>
        <w:rPr>
          <w:rFonts w:ascii="Arial" w:eastAsia="Times New Roman" w:hAnsi="Arial" w:cs="Arial"/>
          <w:i/>
          <w:iCs/>
          <w:color w:val="000000" w:themeColor="text1"/>
          <w:lang w:val="en-US" w:eastAsia="de-DE"/>
        </w:rPr>
        <w:instrText>Citation":"&lt;sup&gt;5&lt;/sup&gt;","plainTextFormattedCitation":"5","previouslyFormattedCitation":"&lt;sup&gt;5&lt;/sup&gt;"},"properties":{"noteIndex":0},"schema":"https://github.com/citation-style-language/schema/raw/master/csl-citation.json"}</w:instrText>
      </w:r>
      <w:r>
        <w:rPr>
          <w:rFonts w:ascii="Arial" w:eastAsia="Times New Roman" w:hAnsi="Arial" w:cs="Arial"/>
          <w:i/>
          <w:iCs/>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5</w:t>
      </w:r>
      <w:r>
        <w:rPr>
          <w:rFonts w:ascii="Arial" w:eastAsia="Times New Roman" w:hAnsi="Arial" w:cs="Arial"/>
          <w:i/>
          <w:iCs/>
          <w:color w:val="000000" w:themeColor="text1"/>
          <w:lang w:val="en-US" w:eastAsia="de-DE"/>
        </w:rPr>
        <w:fldChar w:fldCharType="end"/>
      </w:r>
      <w:r>
        <w:rPr>
          <w:rFonts w:ascii="Arial" w:eastAsia="Times New Roman" w:hAnsi="Arial" w:cs="Arial"/>
          <w:i/>
          <w:iCs/>
          <w:color w:val="000000" w:themeColor="text1"/>
          <w:lang w:val="en-US" w:eastAsia="de-DE"/>
        </w:rPr>
        <w:t>. d) Scaling of global transc</w:t>
      </w:r>
      <w:r>
        <w:rPr>
          <w:rFonts w:ascii="Arial" w:eastAsia="Times New Roman" w:hAnsi="Arial" w:cs="Arial"/>
          <w:i/>
          <w:iCs/>
          <w:color w:val="000000" w:themeColor="text1"/>
          <w:lang w:val="en-US" w:eastAsia="de-DE"/>
        </w:rPr>
        <w:t>ript amounts in budding yeast is achieved through a combination of a cell size dependent increase of transcription due to limiting Pol II, and a size-dependent decrease of mRNA degradation.</w:t>
      </w:r>
    </w:p>
    <w:p w14:paraId="1602B09F"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One obvious candidate for the limiting factor coupling </w:t>
      </w:r>
      <w:r>
        <w:rPr>
          <w:rFonts w:ascii="Arial" w:eastAsia="Times New Roman" w:hAnsi="Arial" w:cs="Arial"/>
          <w:color w:val="000000"/>
          <w:lang w:val="en-US" w:eastAsia="de-DE"/>
        </w:rPr>
        <w:t>transcription to cell size is the polymerase itself, because RNA polymerase II (Pol II) abundance increases with cell size across organisms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{"citationItems":[{"id":"ITEM-1","itemData":{"DOI":"10.1016/j.molcel.2015.03.005","ISSN":"10972765</w:instrText>
      </w:r>
      <w:r>
        <w:rPr>
          <w:rFonts w:ascii="Arial" w:eastAsia="Times New Roman" w:hAnsi="Arial" w:cs="Arial"/>
          <w:color w:val="000000"/>
          <w:lang w:val="en-US" w:eastAsia="de-DE"/>
        </w:rPr>
        <w:instrText>","abstract":"Individual mammalian cells exhibit large variability in cellular volume, even with the same absolute DNA content, and so must compensate for differences in DNA concentration in order to maintain constant concentration of gene expression produ</w:instrText>
      </w:r>
      <w:r>
        <w:rPr>
          <w:rFonts w:ascii="Arial" w:eastAsia="Times New Roman" w:hAnsi="Arial" w:cs="Arial"/>
          <w:color w:val="000000"/>
          <w:lang w:val="en-US" w:eastAsia="de-DE"/>
        </w:rPr>
        <w:instrText>cts. Using single-molecule counting and computational image analysis, we show that transcript abundance correlates with cellular volume at the single-cell level due to increased global transcription in larger cells. Cell fusion experiments establish that i</w:instrText>
      </w:r>
      <w:r>
        <w:rPr>
          <w:rFonts w:ascii="Arial" w:eastAsia="Times New Roman" w:hAnsi="Arial" w:cs="Arial"/>
          <w:color w:val="000000"/>
          <w:lang w:val="en-US" w:eastAsia="de-DE"/>
        </w:rPr>
        <w:instrText>ncreased cellular content itself can directly increase transcription. Quantitative analysis shows that this mechanism measures the ratio of cellular volume to DNA content, most likely through sequestration of a transcriptional factor to DNA. Analysis of tr</w:instrText>
      </w:r>
      <w:r>
        <w:rPr>
          <w:rFonts w:ascii="Arial" w:eastAsia="Times New Roman" w:hAnsi="Arial" w:cs="Arial"/>
          <w:color w:val="000000"/>
          <w:lang w:val="en-US" w:eastAsia="de-DE"/>
        </w:rPr>
        <w:instrText>anscriptional bursts reveals a separate mechanism for gene dosage compensation after DNA replication that enables proper transcriptional output during early and late S phase. Our results provide a framework for quantitatively understanding the relationship</w:instrText>
      </w:r>
      <w:r>
        <w:rPr>
          <w:rFonts w:ascii="Arial" w:eastAsia="Times New Roman" w:hAnsi="Arial" w:cs="Arial"/>
          <w:color w:val="000000"/>
          <w:lang w:val="en-US" w:eastAsia="de-DE"/>
        </w:rPr>
        <w:instrText>s among DNA content, cell size, and gene expression variability in single cells.","author":[{"dropping-particle":"","family":"Padovan-Merhar","given":"Olivia","non-dropping-particle":"","parse-names":false,"suffix":""},{"dropping-particle":"","family":"Nai</w:instrText>
      </w:r>
      <w:r>
        <w:rPr>
          <w:rFonts w:ascii="Arial" w:eastAsia="Times New Roman" w:hAnsi="Arial" w:cs="Arial"/>
          <w:color w:val="000000"/>
          <w:lang w:val="en-US" w:eastAsia="de-DE"/>
        </w:rPr>
        <w:instrText>r","given":"Gautham P.","non-dropping-particle":"","parse-names":false,"suffix":""},{"dropping-particle":"","family":"Biaesch","given":"Andrew G.","non-dropping-particle":"","parse-names":false,"suffix":""},{"dropping-particle":"","family":"Mayer","given":</w:instrText>
      </w:r>
      <w:r>
        <w:rPr>
          <w:rFonts w:ascii="Arial" w:eastAsia="Times New Roman" w:hAnsi="Arial" w:cs="Arial"/>
          <w:color w:val="000000"/>
          <w:lang w:val="en-US" w:eastAsia="de-DE"/>
        </w:rPr>
        <w:instrText>"Andreas","non-dropping-particle":"","parse-names":false,"suffix":""},{"dropping-particle":"","family":"Scarfone","given":"Steven","non-dropping-particle":"","parse-names":false,"suffix":""},{"dropping-particle":"","family":"Foley","given":"Shawn W.","non-</w:instrText>
      </w:r>
      <w:r>
        <w:rPr>
          <w:rFonts w:ascii="Arial" w:eastAsia="Times New Roman" w:hAnsi="Arial" w:cs="Arial"/>
          <w:color w:val="000000"/>
          <w:lang w:val="en-US" w:eastAsia="de-DE"/>
        </w:rPr>
        <w:instrText>dropping-particle":"","parse-names":false,"suffix":""},{"dropping-particle":"","family":"Wu","given":"Angela R.","non-dropping-particle":"","parse-names":false,"suffix":""},{"dropping-particle":"","family":"Churchman","given":"L. Stirling","non-dropping-pa</w:instrText>
      </w:r>
      <w:r>
        <w:rPr>
          <w:rFonts w:ascii="Arial" w:eastAsia="Times New Roman" w:hAnsi="Arial" w:cs="Arial"/>
          <w:color w:val="000000"/>
          <w:lang w:val="en-US" w:eastAsia="de-DE"/>
        </w:rPr>
        <w:instrText>rticle":"","parse-names":false,"suffix":""},{"dropping-particle":"","family":"Singh","given":"Abhyudai","non-dropping-particle":"","parse-names":false,"suffix":""},{"dropping-particle":"","family":"Raj","given":"Arjun","non-dropping-particle":"","parse-nam</w:instrText>
      </w:r>
      <w:r>
        <w:rPr>
          <w:rFonts w:ascii="Arial" w:eastAsia="Times New Roman" w:hAnsi="Arial" w:cs="Arial"/>
          <w:color w:val="000000"/>
          <w:lang w:val="en-US" w:eastAsia="de-DE"/>
        </w:rPr>
        <w:instrText>es":false,"suffix":""}],"container-title":"Molecular Cell","id":"ITEM-1","issue":"2","issued":{"date-parts":[["2015","4"]]},"page":"339-352","title":"Single Mammalian Cells Compensate for Differences in Cellular Volume and DNA Copy Number through Independe</w:instrText>
      </w:r>
      <w:r>
        <w:rPr>
          <w:rFonts w:ascii="Arial" w:eastAsia="Times New Roman" w:hAnsi="Arial" w:cs="Arial"/>
          <w:color w:val="000000"/>
          <w:lang w:val="en-US" w:eastAsia="de-DE"/>
        </w:rPr>
        <w:instrText>nt Global Transcriptional Mechanisms","type":"article-journal","volume":"58"},"uris":["http://www.mendeley.com/documents/?uuid=5c85bab6-4d1f-4871-b740-e55b13377d17"]},{"id":"ITEM-2","itemData":{"DOI":"10.1101/754788","author":[{"dropping-particle":"","fami</w:instrText>
      </w:r>
      <w:r>
        <w:rPr>
          <w:rFonts w:ascii="Arial" w:eastAsia="Times New Roman" w:hAnsi="Arial" w:cs="Arial"/>
          <w:color w:val="000000"/>
          <w:lang w:val="en-US" w:eastAsia="de-DE"/>
        </w:rPr>
        <w:instrText>ly":"Sun","given":"Xi Ming","non-dropping-particle":"","parse-names":false,"suffix":""},{"dropping-particle":"","family":"Bowman","given":"Anthony","non-dropping-particle":"","parse-names":false,"suffix":""},{"dropping-particle":"","family":"Priestman","gi</w:instrText>
      </w:r>
      <w:r>
        <w:rPr>
          <w:rFonts w:ascii="Arial" w:eastAsia="Times New Roman" w:hAnsi="Arial" w:cs="Arial"/>
          <w:color w:val="000000"/>
          <w:lang w:val="en-US" w:eastAsia="de-DE"/>
        </w:rPr>
        <w:instrText>ven":"Miles","non-dropping-particle":"","parse-names":false,"suffix":""},{"dropping-particle":"","family":"Bertaux","given":"Francois","non-dropping-particle":"","parse-names":false,"suffix":""},{"dropping-particle":"","family":"Martinez-Segura","given":"A</w:instrText>
      </w:r>
      <w:r>
        <w:rPr>
          <w:rFonts w:ascii="Arial" w:eastAsia="Times New Roman" w:hAnsi="Arial" w:cs="Arial"/>
          <w:color w:val="000000"/>
          <w:lang w:val="en-US" w:eastAsia="de-DE"/>
        </w:rPr>
        <w:instrText>malia","non-dropping-particle":"","parse-names":false,"suffix":""},{"dropping-particle":"","family":"Tang","given":"Wenhao","non-dropping-particle":"","parse-names":false,"suffix":""},{"dropping-particle":"","family":"Whilding","given":"Chad","non-dropping</w:instrText>
      </w:r>
      <w:r>
        <w:rPr>
          <w:rFonts w:ascii="Arial" w:eastAsia="Times New Roman" w:hAnsi="Arial" w:cs="Arial"/>
          <w:color w:val="000000"/>
          <w:lang w:val="en-US" w:eastAsia="de-DE"/>
        </w:rPr>
        <w:instrText>-particle":"","parse-names":false,"suffix":""},{"dropping-particle":"","family":"Dormann","given":"Dirk","non-dropping-particle":"","parse-names":false,"suffix":""},{"dropping-particle":"","family":"Shahrezaei","given":"Vahid","non-dropping-particle":"","p</w:instrText>
      </w:r>
      <w:r>
        <w:rPr>
          <w:rFonts w:ascii="Arial" w:eastAsia="Times New Roman" w:hAnsi="Arial" w:cs="Arial"/>
          <w:color w:val="000000"/>
          <w:lang w:val="en-US" w:eastAsia="de-DE"/>
        </w:rPr>
        <w:instrText>arse-names":false,"suffix":""},{"dropping-particle":"","family":"Marguerat","given":"Samuel","non-dropping-particle":"","parse-names":false,"suffix":""}],"container-title":"Current Biology","id":"ITEM-2","issue":"7","issued":{"date-parts":[["2020"]]},"page</w:instrText>
      </w:r>
      <w:r>
        <w:rPr>
          <w:rFonts w:ascii="Arial" w:eastAsia="Times New Roman" w:hAnsi="Arial" w:cs="Arial"/>
          <w:color w:val="000000"/>
          <w:lang w:val="en-US" w:eastAsia="de-DE"/>
        </w:rPr>
        <w:instrText>":"1217-1230.e7","title":"Size-dependent increase in RNA Polymerase II initiation rates mediates gene expression scaling with cell size","type":"article-journal","volume":"30"},"uris":["http://www.mendeley.com/documents/?uuid=bec2a5b5-4bed-348a-9358-66a466</w:instrText>
      </w:r>
      <w:r>
        <w:rPr>
          <w:rFonts w:ascii="Arial" w:eastAsia="Times New Roman" w:hAnsi="Arial" w:cs="Arial"/>
          <w:color w:val="000000"/>
          <w:lang w:val="en-US" w:eastAsia="de-DE"/>
        </w:rPr>
        <w:instrText>8a61f6"]},{"id":"ITEM-3","itemData":{"DOI":"10.1016/J.CELS.2022.04.005","ISSN":"2405-4720","PMID":"35613616","abstract":"RNA concentration homeostasis involves coordinating RNA abundance and synthesis rates with cell size. Here, we study this in human cell</w:instrText>
      </w:r>
      <w:r>
        <w:rPr>
          <w:rFonts w:ascii="Arial" w:eastAsia="Times New Roman" w:hAnsi="Arial" w:cs="Arial"/>
          <w:color w:val="000000"/>
          <w:lang w:val="en-US" w:eastAsia="de-DE"/>
        </w:rPr>
        <w:instrText>s by combining genome-wide perturbations with quantitative single-cell measurements. Despite relative ease in perturbing RNA synthesis, we find that RNA concentrations generally remain highly constant. Perturbations that would be expected to increase nucle</w:instrText>
      </w:r>
      <w:r>
        <w:rPr>
          <w:rFonts w:ascii="Arial" w:eastAsia="Times New Roman" w:hAnsi="Arial" w:cs="Arial"/>
          <w:color w:val="000000"/>
          <w:lang w:val="en-US" w:eastAsia="de-DE"/>
        </w:rPr>
        <w:instrText>ar mRNA levels, including those targeting nuclear mRNA degradation or export, result in downregulation of RNA synthesis. This is associated with reduced abundance of transcription-associated proteins and protein states that are normally coordinated with RN</w:instrText>
      </w:r>
      <w:r>
        <w:rPr>
          <w:rFonts w:ascii="Arial" w:eastAsia="Times New Roman" w:hAnsi="Arial" w:cs="Arial"/>
          <w:color w:val="000000"/>
          <w:lang w:val="en-US" w:eastAsia="de-DE"/>
        </w:rPr>
        <w:instrText>A production in single cells, including RNA polymerase II (RNA Pol II) itself. Acute perturbations, elevation of nuclear mRNA levels, and mathematical modeling indicate that mammalian cells achieve robust mRNA concentration homeostasis by the mRNA-based ne</w:instrText>
      </w:r>
      <w:r>
        <w:rPr>
          <w:rFonts w:ascii="Arial" w:eastAsia="Times New Roman" w:hAnsi="Arial" w:cs="Arial"/>
          <w:color w:val="000000"/>
          <w:lang w:val="en-US" w:eastAsia="de-DE"/>
        </w:rPr>
        <w:instrText>gative feedback on transcriptional activity in the nucleus. This ultimately acts to coordinate RNA Pol II abundance with nuclear mRNA degradation and export rates and may underpin the scaling of mRNA abundance with cell size.","author":[{"dropping-particle</w:instrText>
      </w:r>
      <w:r>
        <w:rPr>
          <w:rFonts w:ascii="Arial" w:eastAsia="Times New Roman" w:hAnsi="Arial" w:cs="Arial"/>
          <w:color w:val="000000"/>
          <w:lang w:val="en-US" w:eastAsia="de-DE"/>
        </w:rPr>
        <w:instrText>":"","family":"Berry","given":"Scott","non-dropping-particle":"","parse-names":false,"suffix":""},{"dropping-particle":"","family":"Müller","given":"Micha","non-dropping-particle":"","parse-names":false,"suffix":""},{"dropping-particle":"","family":"Rai","</w:instrText>
      </w:r>
      <w:r>
        <w:rPr>
          <w:rFonts w:ascii="Arial" w:eastAsia="Times New Roman" w:hAnsi="Arial" w:cs="Arial"/>
          <w:color w:val="000000"/>
          <w:lang w:val="en-US" w:eastAsia="de-DE"/>
        </w:rPr>
        <w:instrText>given":"Arpan","non-dropping-particle":"","parse-names":false,"suffix":""},{"dropping-particle":"","family":"Pelkmans","given":"Lucas","non-dropping-particle":"","parse-names":false,"suffix":""}],"container-title":"Cell systems","id":"ITEM-3","issue":"6","</w:instrText>
      </w:r>
      <w:r>
        <w:rPr>
          <w:rFonts w:ascii="Arial" w:eastAsia="Times New Roman" w:hAnsi="Arial" w:cs="Arial"/>
          <w:color w:val="000000"/>
          <w:lang w:val="en-US" w:eastAsia="de-DE"/>
        </w:rPr>
        <w:instrText>issued":{"date-parts":[["2022","6","15"]]},"page":"454-470.e15","publisher":"Cell Syst","title":"Feedback from nuclear RNA on transcription promotes robust RNA concentration homeostasis in human cells","type":"article-journal","volume":"13"},"uris":["http:</w:instrText>
      </w:r>
      <w:r>
        <w:rPr>
          <w:rFonts w:ascii="Arial" w:eastAsia="Times New Roman" w:hAnsi="Arial" w:cs="Arial"/>
          <w:color w:val="000000"/>
          <w:lang w:val="en-US" w:eastAsia="de-DE"/>
        </w:rPr>
        <w:instrText>//www.mendeley.com/documents/?uuid=de4fed49-e202-36ed-96e0-2ddf9ba22412"]},{"id":"ITEM-4","itemData":{"DOI":"10.1016/j.cell.2023.10.012","author":[{"dropping-particle":"","family":"Swaffer","given":"Matthew P","non-dropping-particle":"","parse-names":false</w:instrText>
      </w:r>
      <w:r>
        <w:rPr>
          <w:rFonts w:ascii="Arial" w:eastAsia="Times New Roman" w:hAnsi="Arial" w:cs="Arial"/>
          <w:color w:val="000000"/>
          <w:lang w:val="en-US" w:eastAsia="de-DE"/>
        </w:rPr>
        <w:instrText>,"suffix":""},{"dropping-particle":"","family":"Marinov","given":"Georgi K","non-dropping-particle":"","parse-names":false,"suffix":""},{"dropping-particle":"","family":"Zheng","given":"Huan","non-dropping-particle":"","parse-names":false,"suffix":""},{"dr</w:instrText>
      </w:r>
      <w:r>
        <w:rPr>
          <w:rFonts w:ascii="Arial" w:eastAsia="Times New Roman" w:hAnsi="Arial" w:cs="Arial"/>
          <w:color w:val="000000"/>
          <w:lang w:val="en-US" w:eastAsia="de-DE"/>
        </w:rPr>
        <w:instrText>opping-particle":"","family":"Fuentes Valenzuela","given":"Lucas","non-dropping-particle":"","parse-names":false,"suffix":""},{"dropping-particle":"","family":"Yee Tsui","given":"Crystal","non-dropping-particle":"","parse-names":false,"suffix":""},{"droppi</w:instrText>
      </w:r>
      <w:r>
        <w:rPr>
          <w:rFonts w:ascii="Arial" w:eastAsia="Times New Roman" w:hAnsi="Arial" w:cs="Arial"/>
          <w:color w:val="000000"/>
          <w:lang w:val="en-US" w:eastAsia="de-DE"/>
        </w:rPr>
        <w:instrText>ng-particle":"","family":"Jones","given":"Andrew W","non-dropping-particle":"","parse-names":false,"suffix":""},{"dropping-particle":"","family":"Greenwood","given":"Jessica","non-dropping-particle":"","parse-names":false,"suffix":""},{"dropping-particle":</w:instrText>
      </w:r>
      <w:r>
        <w:rPr>
          <w:rFonts w:ascii="Arial" w:eastAsia="Times New Roman" w:hAnsi="Arial" w:cs="Arial"/>
          <w:color w:val="000000"/>
          <w:lang w:val="en-US" w:eastAsia="de-DE"/>
        </w:rPr>
        <w:instrText>"","family":"Kundaje","given":"Anshul","non-dropping-particle":"","parse-names":false,"suffix":""},{"dropping-particle":"","family":"Greenleaf","given":"William J","non-dropping-particle":"","parse-names":false,"suffix":""},{"dropping-particle":"","family"</w:instrText>
      </w:r>
      <w:r>
        <w:rPr>
          <w:rFonts w:ascii="Arial" w:eastAsia="Times New Roman" w:hAnsi="Arial" w:cs="Arial"/>
          <w:color w:val="000000"/>
          <w:lang w:val="en-US" w:eastAsia="de-DE"/>
        </w:rPr>
        <w:instrText>:"Reyes-Lamothe","given":"Rodrigo","non-dropping-particle":"","parse-names":false,"suffix":""},{"dropping-particle":"","family":"Skotheim","given":"Jan M","non-dropping-particle":"","parse-names":false,"suffix":""}],"container-title":"Cell","id":"ITEM-4","</w:instrText>
      </w:r>
      <w:r>
        <w:rPr>
          <w:rFonts w:ascii="Arial" w:eastAsia="Times New Roman" w:hAnsi="Arial" w:cs="Arial"/>
          <w:color w:val="000000"/>
          <w:lang w:val="en-US" w:eastAsia="de-DE"/>
        </w:rPr>
        <w:instrText>issued":{"date-parts":[["2023"]]},"title":"RNA polymerase II dynamics and mRNA stability feedback scale mRNA amounts with cell size","type":"article-journal"},"uris":["http://www.mendeley.com/documents/?uuid=90d7390d-c1af-355e-ae58-d20591ab9167"]}],"mendel</w:instrText>
      </w:r>
      <w:r>
        <w:rPr>
          <w:rFonts w:ascii="Arial" w:eastAsia="Times New Roman" w:hAnsi="Arial" w:cs="Arial"/>
          <w:color w:val="000000"/>
          <w:lang w:val="en-US" w:eastAsia="de-DE"/>
        </w:rPr>
        <w:instrText>ey":{"formattedCitation":"&lt;sup&gt;16,19,29,32&lt;/sup&gt;","plainTextFormattedCitation":"16,19,29,32","previouslyFormattedCitation":"&lt;sup&gt;16,19,29,32&lt;/sup&gt;"},"properties":{"noteIndex":0},"schema":"https://github.com/citation-style-language/schema/raw/master/csl-cit</w:instrText>
      </w:r>
      <w:r>
        <w:rPr>
          <w:rFonts w:ascii="Arial" w:eastAsia="Times New Roman" w:hAnsi="Arial" w:cs="Arial"/>
          <w:color w:val="000000"/>
          <w:lang w:val="en-US" w:eastAsia="de-DE"/>
        </w:rPr>
        <w:instrTex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16,19,29,32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its genome occupancy has been shown to increase with cell size in budding and fission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{"citationItems":[{"id":"ITEM-1","itemData":{"DOI":"10.1101/754788","author":[{"dropping-particle":"","family":"Sun</w:instrText>
      </w:r>
      <w:r>
        <w:rPr>
          <w:rFonts w:ascii="Arial" w:eastAsia="Times New Roman" w:hAnsi="Arial" w:cs="Arial"/>
          <w:color w:val="000000"/>
          <w:lang w:val="en-US" w:eastAsia="de-DE"/>
        </w:rPr>
        <w:instrText>","given":"Xi Ming","non-dropping-particle":"","parse-names":false,"suffix":""},{"dropping-particle":"","family":"Bowman","given":"Anthony","non-dropping-particle":"","parse-names":false,"suffix":""},{"dropping-particle":"","family":"Priestman","given":"Mi</w:instrText>
      </w:r>
      <w:r>
        <w:rPr>
          <w:rFonts w:ascii="Arial" w:eastAsia="Times New Roman" w:hAnsi="Arial" w:cs="Arial"/>
          <w:color w:val="000000"/>
          <w:lang w:val="en-US" w:eastAsia="de-DE"/>
        </w:rPr>
        <w:instrText>les","non-dropping-particle":"","parse-names":false,"suffix":""},{"dropping-particle":"","family":"Bertaux","given":"Francois","non-dropping-particle":"","parse-names":false,"suffix":""},{"dropping-particle":"","family":"Martinez-Segura","given":"Amalia","</w:instrText>
      </w:r>
      <w:r>
        <w:rPr>
          <w:rFonts w:ascii="Arial" w:eastAsia="Times New Roman" w:hAnsi="Arial" w:cs="Arial"/>
          <w:color w:val="000000"/>
          <w:lang w:val="en-US" w:eastAsia="de-DE"/>
        </w:rPr>
        <w:instrText>non-dropping-particle":"","parse-names":false,"suffix":""},{"dropping-particle":"","family":"Tang","given":"Wenhao","non-dropping-particle":"","parse-names":false,"suffix":""},{"dropping-particle":"","family":"Whilding","given":"Chad","non-dropping-particl</w:instrText>
      </w:r>
      <w:r>
        <w:rPr>
          <w:rFonts w:ascii="Arial" w:eastAsia="Times New Roman" w:hAnsi="Arial" w:cs="Arial"/>
          <w:color w:val="000000"/>
          <w:lang w:val="en-US" w:eastAsia="de-DE"/>
        </w:rPr>
        <w:instrText>e":"","parse-names":false,"suffix":""},{"dropping-particle":"","family":"Dormann","given":"Dirk","non-dropping-particle":"","parse-names":false,"suffix":""},{"dropping-particle":"","family":"Shahrezaei","given":"Vahid","non-dropping-particle":"","parse-nam</w:instrText>
      </w:r>
      <w:r>
        <w:rPr>
          <w:rFonts w:ascii="Arial" w:eastAsia="Times New Roman" w:hAnsi="Arial" w:cs="Arial"/>
          <w:color w:val="000000"/>
          <w:lang w:val="en-US" w:eastAsia="de-DE"/>
        </w:rPr>
        <w:instrText>es":false,"suffix":""},{"dropping-particle":"","family":"Marguerat","given":"Samuel","non-dropping-particle":"","parse-names":false,"suffix":""}],"container-title":"Current Biology","id":"ITEM-1","issue":"7","issued":{"date-parts":[["2020"]]},"page":"1217-</w:instrText>
      </w:r>
      <w:r>
        <w:rPr>
          <w:rFonts w:ascii="Arial" w:eastAsia="Times New Roman" w:hAnsi="Arial" w:cs="Arial"/>
          <w:color w:val="000000"/>
          <w:lang w:val="en-US" w:eastAsia="de-DE"/>
        </w:rPr>
        <w:instrText>1230.e7","title":"Size-dependent increase in RNA Polymerase II initiation rates mediates gene expression scaling with cell size","type":"article-journal","volume":"30"},"uris":["http://www.mendeley.com/documents/?uuid=bec2a5b5-4bed-348a-9358-66a4668a61f6"]</w:instrText>
      </w:r>
      <w:r>
        <w:rPr>
          <w:rFonts w:ascii="Arial" w:eastAsia="Times New Roman" w:hAnsi="Arial" w:cs="Arial"/>
          <w:color w:val="000000"/>
          <w:lang w:val="en-US" w:eastAsia="de-DE"/>
        </w:rPr>
        <w:instrText xml:space="preserve">},{"id":"ITEM-2","itemData":{"DOI":"10.1016/j.cell.2023.10.012","author":[{"dropping-particle":"","family":"Swaffer","given":"Matthew P","non-dropping-particle":"","parse-names":false,"suffix":""},{"dropping-particle":"","family":"Marinov","given":"Georgi </w:instrText>
      </w:r>
      <w:r>
        <w:rPr>
          <w:rFonts w:ascii="Arial" w:eastAsia="Times New Roman" w:hAnsi="Arial" w:cs="Arial"/>
          <w:color w:val="000000"/>
          <w:lang w:val="en-US" w:eastAsia="de-DE"/>
        </w:rPr>
        <w:instrText>K","non-dropping-particle":"","parse-names":false,"suffix":""},{"dropping-particle":"","family":"Zheng","given":"Huan","non-dropping-particle":"","parse-names":false,"suffix":""},{"dropping-particle":"","family":"Fuentes Valenzuela","given":"Lucas","non-dr</w:instrText>
      </w:r>
      <w:r>
        <w:rPr>
          <w:rFonts w:ascii="Arial" w:eastAsia="Times New Roman" w:hAnsi="Arial" w:cs="Arial"/>
          <w:color w:val="000000"/>
          <w:lang w:val="en-US" w:eastAsia="de-DE"/>
        </w:rPr>
        <w:instrText>opping-particle":"","parse-names":false,"suffix":""},{"dropping-particle":"","family":"Yee Tsui","given":"Crystal","non-dropping-particle":"","parse-names":false,"suffix":""},{"dropping-particle":"","family":"Jones","given":"Andrew W","non-dropping-particl</w:instrText>
      </w:r>
      <w:r>
        <w:rPr>
          <w:rFonts w:ascii="Arial" w:eastAsia="Times New Roman" w:hAnsi="Arial" w:cs="Arial"/>
          <w:color w:val="000000"/>
          <w:lang w:val="en-US" w:eastAsia="de-DE"/>
        </w:rPr>
        <w:instrText>e":"","parse-names":false,"suffix":""},{"dropping-particle":"","family":"Greenwood","given":"Jessica","non-dropping-particle":"","parse-names":false,"suffix":""},{"dropping-particle":"","family":"Kundaje","given":"Anshul","non-dropping-particle":"","parse-</w:instrText>
      </w:r>
      <w:r>
        <w:rPr>
          <w:rFonts w:ascii="Arial" w:eastAsia="Times New Roman" w:hAnsi="Arial" w:cs="Arial"/>
          <w:color w:val="000000"/>
          <w:lang w:val="en-US" w:eastAsia="de-DE"/>
        </w:rPr>
        <w:instrText>names":false,"suffix":""},{"dropping-particle":"","family":"Greenleaf","given":"William J","non-dropping-particle":"","parse-names":false,"suffix":""},{"dropping-particle":"","family":"Reyes-Lamothe","given":"Rodrigo","non-dropping-particle":"","parse-name</w:instrText>
      </w:r>
      <w:r>
        <w:rPr>
          <w:rFonts w:ascii="Arial" w:eastAsia="Times New Roman" w:hAnsi="Arial" w:cs="Arial"/>
          <w:color w:val="000000"/>
          <w:lang w:val="en-US" w:eastAsia="de-DE"/>
        </w:rPr>
        <w:instrText>s":false,"suffix":""},{"dropping-particle":"","family":"Skotheim","given":"Jan M","non-dropping-particle":"","parse-names":false,"suffix":""}],"container-title":"Cell","id":"ITEM-2","issued":{"date-parts":[["2023"]]},"title":"RNA polymerase II dynamics and</w:instrText>
      </w:r>
      <w:r>
        <w:rPr>
          <w:rFonts w:ascii="Arial" w:eastAsia="Times New Roman" w:hAnsi="Arial" w:cs="Arial"/>
          <w:color w:val="000000"/>
          <w:lang w:val="en-US" w:eastAsia="de-DE"/>
        </w:rPr>
        <w:instrText xml:space="preserve"> mRNA stability feedback scale mRNA amounts with cell size","type":"article-journal"},"uris":["http://www.mendeley.com/documents/?uuid=90d7390d-c1af-355e-ae58-d20591ab9167"]}],"mendeley":{"formattedCitation":"&lt;sup&gt;29,32&lt;/sup&gt;","plainTextFormattedCitation":</w:instrText>
      </w:r>
      <w:r>
        <w:rPr>
          <w:rFonts w:ascii="Arial" w:eastAsia="Times New Roman" w:hAnsi="Arial" w:cs="Arial"/>
          <w:color w:val="000000"/>
          <w:lang w:val="en-US" w:eastAsia="de-DE"/>
        </w:rPr>
        <w:instrText>"29,32","previouslyFormattedCitation":"&lt;sup&gt;29,32&lt;/sup&gt;"},"properties":{"noteIndex":0},"schema":"https://github.com/citation-style-language/schema/raw/master/csl-citation.json"}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29,32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Indeed, Swaffer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w:instrText>
      </w:r>
      <w:r>
        <w:rPr>
          <w:rFonts w:ascii="Arial" w:eastAsia="Times New Roman" w:hAnsi="Arial" w:cs="Arial"/>
          <w:color w:val="000000"/>
          <w:lang w:val="en-US" w:eastAsia="de-DE"/>
        </w:rPr>
        <w:instrText>M-1","itemData":{"DOI":"10.1016/j.cell.2023.10.012","author":[{"dropping-particle":"","family":"Swaffer","given":"Matthew P","non-dropping-particle":"","parse-names":false,"suffix":""},{"dropping-particle":"","family":"Marinov","given":"Georgi K","non-drop</w:instrText>
      </w:r>
      <w:r>
        <w:rPr>
          <w:rFonts w:ascii="Arial" w:eastAsia="Times New Roman" w:hAnsi="Arial" w:cs="Arial"/>
          <w:color w:val="000000"/>
          <w:lang w:val="en-US" w:eastAsia="de-DE"/>
        </w:rPr>
        <w:instrText>ping-particle":"","parse-names":false,"suffix":""},{"dropping-particle":"","family":"Zheng","given":"Huan","non-dropping-particle":"","parse-names":false,"suffix":""},{"dropping-particle":"","family":"Fuentes Valenzuela","given":"Lucas","non-dropping-parti</w:instrText>
      </w:r>
      <w:r>
        <w:rPr>
          <w:rFonts w:ascii="Arial" w:eastAsia="Times New Roman" w:hAnsi="Arial" w:cs="Arial"/>
          <w:color w:val="000000"/>
          <w:lang w:val="en-US" w:eastAsia="de-DE"/>
        </w:rPr>
        <w:instrText>cle":"","parse-names":false,"suffix":""},{"dropping-particle":"","family":"Yee Tsui","given":"Crystal","non-dropping-particle":"","parse-names":false,"suffix":""},{"dropping-particle":"","family":"Jones","given":"Andrew W","non-dropping-particle":"","parse</w:instrText>
      </w:r>
      <w:r>
        <w:rPr>
          <w:rFonts w:ascii="Arial" w:eastAsia="Times New Roman" w:hAnsi="Arial" w:cs="Arial"/>
          <w:color w:val="000000"/>
          <w:lang w:val="en-US" w:eastAsia="de-DE"/>
        </w:rPr>
        <w:instrText>-names":false,"suffix":""},{"dropping-particle":"","family":"Greenwood","given":"Jessica","non-dropping-particle":"","parse-names":false,"suffix":""},{"dropping-particle":"","family":"Kundaje","given":"Anshul","non-dropping-particle":"","parse-names":false</w:instrText>
      </w:r>
      <w:r>
        <w:rPr>
          <w:rFonts w:ascii="Arial" w:eastAsia="Times New Roman" w:hAnsi="Arial" w:cs="Arial"/>
          <w:color w:val="000000"/>
          <w:lang w:val="en-US" w:eastAsia="de-DE"/>
        </w:rPr>
        <w:instrText>,"suffix":""},{"dropping-particle":"","family":"Greenleaf","given":"William J","non-dropping-particle":"","parse-names":false,"suffix":""},{"dropping-particle":"","family":"Reyes-Lamothe","given":"Rodrigo","non-dropping-particle":"","parse-names":false,"su</w:instrText>
      </w:r>
      <w:r>
        <w:rPr>
          <w:rFonts w:ascii="Arial" w:eastAsia="Times New Roman" w:hAnsi="Arial" w:cs="Arial"/>
          <w:color w:val="000000"/>
          <w:lang w:val="en-US" w:eastAsia="de-DE"/>
        </w:rPr>
        <w:instrText>ffix":""},{"dropping-particle":"","family":"Skotheim","given":"Jan M","non-dropping-particle":"","parse-names":false,"suffix":""}],"container-title":"Cell","id":"ITEM-1","issued":{"date-parts":[["2023"]]},"title":"RNA polymerase II dynamics and mRNA stabil</w:instrText>
      </w:r>
      <w:r>
        <w:rPr>
          <w:rFonts w:ascii="Arial" w:eastAsia="Times New Roman" w:hAnsi="Arial" w:cs="Arial"/>
          <w:color w:val="000000"/>
          <w:lang w:val="en-US" w:eastAsia="de-DE"/>
        </w:rPr>
        <w:instrText>ity feedback scale mRNA amounts with cell size","type":"article-journal"},"uris":["http://www.mendeley.com/documents/?uuid=90d7390d-c1af-355e-ae58-d20591ab9167"]}],"mendeley":{"formattedCitation":"&lt;sup&gt;29&lt;/sup&gt;","plainTextFormattedCitation":"29","previousl</w:instrText>
      </w:r>
      <w:r>
        <w:rPr>
          <w:rFonts w:ascii="Arial" w:eastAsia="Times New Roman" w:hAnsi="Arial" w:cs="Arial"/>
          <w:color w:val="000000"/>
          <w:lang w:val="en-US" w:eastAsia="de-DE"/>
        </w:rPr>
        <w:instrText>yFormattedCitation":"&lt;sup&gt;29&lt;/sup&gt;"},"properties":{"noteIndex":0},"schema":"https://github.com/citation-style-language/schema/raw/master/csl-citation.json"}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recently established Pol II as the key limiting factor in budding yeast by manipulating the co</w:t>
      </w:r>
      <w:r>
        <w:rPr>
          <w:rFonts w:ascii="Arial" w:eastAsia="Times New Roman" w:hAnsi="Arial" w:cs="Arial"/>
          <w:color w:val="000000"/>
          <w:lang w:val="en-US" w:eastAsia="de-DE"/>
        </w:rPr>
        <w:t>ncentration of Pol II subunits. Specifically, consistent with the haploinsufficiency of RNA Pol II genes in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{"citationItems":[{"id":"ITEM-1","itemData":{"DOI":"10.1038/nbt.1628","ISSN":"1546-1696","PMID":"20473289","abstract":"Genom</w:instrText>
      </w:r>
      <w:r>
        <w:rPr>
          <w:rFonts w:ascii="Arial" w:eastAsia="Times New Roman" w:hAnsi="Arial" w:cs="Arial"/>
          <w:color w:val="000000"/>
          <w:lang w:val="en-US" w:eastAsia="de-DE"/>
        </w:rPr>
        <w:instrText>e-wide single-gene deletion libraries can be important tools for understanding the molecular workings of an organism, but have only been created for a single eukaryotic species, Saccharomyces cerevisiae. Now, Kim et al. present a second collection of delet</w:instrText>
      </w:r>
      <w:r>
        <w:rPr>
          <w:rFonts w:ascii="Arial" w:eastAsia="Times New Roman" w:hAnsi="Arial" w:cs="Arial"/>
          <w:color w:val="000000"/>
          <w:lang w:val="en-US" w:eastAsia="de-DE"/>
        </w:rPr>
        <w:instrText>ion mutants that covers 98.4% of the genes of Schizosaccharomyces pombe, allowing a systematic comparison of gene essentiality and knockout phenotypes between two eukaryotic species. We report the construction and analysis of 4,836 heterozygous diploid del</w:instrText>
      </w:r>
      <w:r>
        <w:rPr>
          <w:rFonts w:ascii="Arial" w:eastAsia="Times New Roman" w:hAnsi="Arial" w:cs="Arial"/>
          <w:color w:val="000000"/>
          <w:lang w:val="en-US" w:eastAsia="de-DE"/>
        </w:rPr>
        <w:instrText xml:space="preserve">etion mutants covering 98.4% of the fission yeast genome providing a tool for studying eukaryotic biology. Comprehensive gene dispensability comparisons with budding yeast—the only other eukaryote for which a comprehensive knockout library exists—revealed </w:instrText>
      </w:r>
      <w:r>
        <w:rPr>
          <w:rFonts w:ascii="Arial" w:eastAsia="Times New Roman" w:hAnsi="Arial" w:cs="Arial"/>
          <w:color w:val="000000"/>
          <w:lang w:val="en-US" w:eastAsia="de-DE"/>
        </w:rPr>
        <w:instrText>that 83% of single-copy orthologs in the two yeasts had conserved dispensability. Gene dispensability differed for certain pathways between the two yeasts, including mitochondrial translation and cell cycle checkpoint control. We show that fission yeast ha</w:instrText>
      </w:r>
      <w:r>
        <w:rPr>
          <w:rFonts w:ascii="Arial" w:eastAsia="Times New Roman" w:hAnsi="Arial" w:cs="Arial"/>
          <w:color w:val="000000"/>
          <w:lang w:val="en-US" w:eastAsia="de-DE"/>
        </w:rPr>
        <w:instrText>s more essential genes than budding yeast and that essential genes are more likely than nonessential genes to be present in a single copy, to be broadly conserved and to contain introns. Growth fitness analyses determined sets of haploinsufficient and hapl</w:instrText>
      </w:r>
      <w:r>
        <w:rPr>
          <w:rFonts w:ascii="Arial" w:eastAsia="Times New Roman" w:hAnsi="Arial" w:cs="Arial"/>
          <w:color w:val="000000"/>
          <w:lang w:val="en-US" w:eastAsia="de-DE"/>
        </w:rPr>
        <w:instrText>oproficient genes for fission yeast, and comparisons with budding yeast identified specific ribosomal proteins and RNA polymerase subunits, which may act more generally to regulate eukaryotic cell growth.","author":[{"dropping-particle":"","family":"Kim","</w:instrText>
      </w:r>
      <w:r>
        <w:rPr>
          <w:rFonts w:ascii="Arial" w:eastAsia="Times New Roman" w:hAnsi="Arial" w:cs="Arial"/>
          <w:color w:val="000000"/>
          <w:lang w:val="en-US" w:eastAsia="de-DE"/>
        </w:rPr>
        <w:instrText>given":"Dong Uk","non-dropping-particle":"","parse-names":false,"suffix":""},{"dropping-particle":"","family":"Hayles","given":"Jacqueline","non-dropping-particle":"","parse-names":false,"suffix":""},{"dropping-particle":"","family":"Kim","given":"Dongsup"</w:instrText>
      </w:r>
      <w:r>
        <w:rPr>
          <w:rFonts w:ascii="Arial" w:eastAsia="Times New Roman" w:hAnsi="Arial" w:cs="Arial"/>
          <w:color w:val="000000"/>
          <w:lang w:val="en-US" w:eastAsia="de-DE"/>
        </w:rPr>
        <w:instrText>,"non-dropping-particle":"","parse-names":false,"suffix":""},{"dropping-particle":"","family":"Wood","given":"Valerie","non-dropping-particle":"","parse-names":false,"suffix":""},{"dropping-particle":"","family":"Park","given":"Han Oh","non-dropping-partic</w:instrText>
      </w:r>
      <w:r>
        <w:rPr>
          <w:rFonts w:ascii="Arial" w:eastAsia="Times New Roman" w:hAnsi="Arial" w:cs="Arial"/>
          <w:color w:val="000000"/>
          <w:lang w:val="en-US" w:eastAsia="de-DE"/>
        </w:rPr>
        <w:instrText>le":"","parse-names":false,"suffix":""},{"dropping-particle":"","family":"Won","given":"Misun","non-dropping-particle":"","parse-names":false,"suffix":""},{"dropping-particle":"","family":"Yoo","given":"Hyang Sook","non-dropping-particle":"","parse-names":</w:instrText>
      </w:r>
      <w:r>
        <w:rPr>
          <w:rFonts w:ascii="Arial" w:eastAsia="Times New Roman" w:hAnsi="Arial" w:cs="Arial"/>
          <w:color w:val="000000"/>
          <w:lang w:val="en-US" w:eastAsia="de-DE"/>
        </w:rPr>
        <w:instrText>false,"suffix":""},{"dropping-particle":"","family":"Duhig","given":"Trevor","non-dropping-particle":"","parse-names":false,"suffix":""},{"dropping-particle":"","family":"Nam","given":"Miyoung","non-dropping-particle":"","parse-names":false,"suffix":""},{"</w:instrText>
      </w:r>
      <w:r>
        <w:rPr>
          <w:rFonts w:ascii="Arial" w:eastAsia="Times New Roman" w:hAnsi="Arial" w:cs="Arial"/>
          <w:color w:val="000000"/>
          <w:lang w:val="en-US" w:eastAsia="de-DE"/>
        </w:rPr>
        <w:instrText>dropping-particle":"","family":"Palmer","given":"Georgia","non-dropping-particle":"","parse-names":false,"suffix":""},{"dropping-particle":"","family":"Han","given":"Sangjo","non-dropping-particle":"","parse-names":false,"suffix":""},{"dropping-particle":"</w:instrText>
      </w:r>
      <w:r>
        <w:rPr>
          <w:rFonts w:ascii="Arial" w:eastAsia="Times New Roman" w:hAnsi="Arial" w:cs="Arial"/>
          <w:color w:val="000000"/>
          <w:lang w:val="en-US" w:eastAsia="de-DE"/>
        </w:rPr>
        <w:instrText>","family":"Jeffery","given":"Linda","non-dropping-particle":"","parse-names":false,"suffix":""},{"dropping-particle":"","family":"Baek","given":"Seung Tae","non-dropping-particle":"","parse-names":false,"suffix":""},{"dropping-particle":"","family":"Lee",</w:instrText>
      </w:r>
      <w:r>
        <w:rPr>
          <w:rFonts w:ascii="Arial" w:eastAsia="Times New Roman" w:hAnsi="Arial" w:cs="Arial"/>
          <w:color w:val="000000"/>
          <w:lang w:val="en-US" w:eastAsia="de-DE"/>
        </w:rPr>
        <w:instrText>"given":"Hyemi","non-dropping-particle":"","parse-names":false,"suffix":""},{"dropping-particle":"","family":"Shim","given":"Young Sam","non-dropping-particle":"","parse-names":false,"suffix":""},{"dropping-particle":"","family":"Lee","given":"Minho","non-</w:instrText>
      </w:r>
      <w:r>
        <w:rPr>
          <w:rFonts w:ascii="Arial" w:eastAsia="Times New Roman" w:hAnsi="Arial" w:cs="Arial"/>
          <w:color w:val="000000"/>
          <w:lang w:val="en-US" w:eastAsia="de-DE"/>
        </w:rPr>
        <w:instrText>dropping-particle":"","parse-names":false,"suffix":""},{"dropping-particle":"","family":"Kim","given":"Lila","non-dropping-particle":"","parse-names":false,"suffix":""},{"dropping-particle":"","family":"Heo","given":"Kyung Sun","non-dropping-particle":"","</w:instrText>
      </w:r>
      <w:r>
        <w:rPr>
          <w:rFonts w:ascii="Arial" w:eastAsia="Times New Roman" w:hAnsi="Arial" w:cs="Arial"/>
          <w:color w:val="000000"/>
          <w:lang w:val="en-US" w:eastAsia="de-DE"/>
        </w:rPr>
        <w:instrText>parse-names":false,"suffix":""},{"dropping-particle":"","family":"Noh","given":"Eun Joo","non-dropping-particle":"","parse-names":false,"suffix":""},{"dropping-particle":"","family":"Lee","given":"Ah Reum","non-dropping-particle":"","parse-names":false,"su</w:instrText>
      </w:r>
      <w:r>
        <w:rPr>
          <w:rFonts w:ascii="Arial" w:eastAsia="Times New Roman" w:hAnsi="Arial" w:cs="Arial"/>
          <w:color w:val="000000"/>
          <w:lang w:val="en-US" w:eastAsia="de-DE"/>
        </w:rPr>
        <w:instrText>ffix":""},{"dropping-particle":"","family":"Jang","given":"Young Joo","non-dropping-particle":"","parse-names":false,"suffix":""},{"dropping-particle":"","family":"Chung","given":"Kyung Sook","non-dropping-particle":"","parse-names":false,"suffix":""},{"dr</w:instrText>
      </w:r>
      <w:r>
        <w:rPr>
          <w:rFonts w:ascii="Arial" w:eastAsia="Times New Roman" w:hAnsi="Arial" w:cs="Arial"/>
          <w:color w:val="000000"/>
          <w:lang w:val="en-US" w:eastAsia="de-DE"/>
        </w:rPr>
        <w:instrText>opping-particle":"","family":"Choi","given":"Shin Jung","non-dropping-particle":"","parse-names":false,"suffix":""},{"dropping-particle":"","family":"Park","given":"Jo Young","non-dropping-particle":"","parse-names":false,"suffix":""},{"dropping-particle":</w:instrText>
      </w:r>
      <w:r>
        <w:rPr>
          <w:rFonts w:ascii="Arial" w:eastAsia="Times New Roman" w:hAnsi="Arial" w:cs="Arial"/>
          <w:color w:val="000000"/>
          <w:lang w:val="en-US" w:eastAsia="de-DE"/>
        </w:rPr>
        <w:instrText>"","family":"Park","given":"Youngwoo","non-dropping-particle":"","parse-names":false,"suffix":""},{"dropping-particle":"","family":"Kim","given":"Hwan Mook","non-dropping-particle":"","parse-names":false,"suffix":""},{"dropping-particle":"","family":"Park"</w:instrText>
      </w:r>
      <w:r>
        <w:rPr>
          <w:rFonts w:ascii="Arial" w:eastAsia="Times New Roman" w:hAnsi="Arial" w:cs="Arial"/>
          <w:color w:val="000000"/>
          <w:lang w:val="en-US" w:eastAsia="de-DE"/>
        </w:rPr>
        <w:instrText>,"given":"Song Kyu","non-dropping-particle":"","parse-names":false,"suffix":""},{"dropping-particle":"","family":"Park","given":"Hae Joon","non-dropping-particle":"","parse-names":false,"suffix":""},{"dropping-particle":"","family":"Kang","given":"Eun Jung</w:instrText>
      </w:r>
      <w:r>
        <w:rPr>
          <w:rFonts w:ascii="Arial" w:eastAsia="Times New Roman" w:hAnsi="Arial" w:cs="Arial"/>
          <w:color w:val="000000"/>
          <w:lang w:val="en-US" w:eastAsia="de-DE"/>
        </w:rPr>
        <w:instrText>","non-dropping-particle":"","parse-names":false,"suffix":""},{"dropping-particle":"","family":"Kim","given":"Hyong Bai","non-dropping-particle":"","parse-names":false,"suffix":""},{"dropping-particle":"","family":"Kang","given":"Hyun Sam","non-dropping-pa</w:instrText>
      </w:r>
      <w:r>
        <w:rPr>
          <w:rFonts w:ascii="Arial" w:eastAsia="Times New Roman" w:hAnsi="Arial" w:cs="Arial"/>
          <w:color w:val="000000"/>
          <w:lang w:val="en-US" w:eastAsia="de-DE"/>
        </w:rPr>
        <w:instrText>rticle":"","parse-names":false,"suffix":""},{"dropping-particle":"","family":"Park","given":"Hee Moon","non-dropping-particle":"","parse-names":false,"suffix":""},{"dropping-particle":"","family":"Kim","given":"Kyunghoon","non-dropping-particle":"","parse-</w:instrText>
      </w:r>
      <w:r>
        <w:rPr>
          <w:rFonts w:ascii="Arial" w:eastAsia="Times New Roman" w:hAnsi="Arial" w:cs="Arial"/>
          <w:color w:val="000000"/>
          <w:lang w:val="en-US" w:eastAsia="de-DE"/>
        </w:rPr>
        <w:instrText>names":false,"suffix":""},{"dropping-particle":"","family":"Song","given":"Kiwon","non-dropping-particle":"","parse-names":false,"suffix":""},{"dropping-particle":"Bin","family":"Song","given":"Kyung","non-dropping-particle":"","parse-names":false,"suffix"</w:instrText>
      </w:r>
      <w:r>
        <w:rPr>
          <w:rFonts w:ascii="Arial" w:eastAsia="Times New Roman" w:hAnsi="Arial" w:cs="Arial"/>
          <w:color w:val="000000"/>
          <w:lang w:val="en-US" w:eastAsia="de-DE"/>
        </w:rPr>
        <w:instrText>:""},{"dropping-particle":"","family":"Nurse","given":"Paul","non-dropping-particle":"","parse-names":false,"suffix":""},{"dropping-particle":"","family":"Hoe","given":"Kwang Lae","non-dropping-particle":"","parse-names":false,"suffix":""}],"container-titl</w:instrText>
      </w:r>
      <w:r>
        <w:rPr>
          <w:rFonts w:ascii="Arial" w:eastAsia="Times New Roman" w:hAnsi="Arial" w:cs="Arial"/>
          <w:color w:val="000000"/>
          <w:lang w:val="en-US" w:eastAsia="de-DE"/>
        </w:rPr>
        <w:instrText>e":"Nature Biotechnology 2010 28:6","id":"ITEM-1","issue":"6","issued":{"date-parts":[["2010","5","16"]]},"page":"617-623","publisher":"Nature Publishing Group","title":"Analysis of a genome-wide set of gene deletions in the fission yeast Schizosaccharomyc</w:instrText>
      </w:r>
      <w:r>
        <w:rPr>
          <w:rFonts w:ascii="Arial" w:eastAsia="Times New Roman" w:hAnsi="Arial" w:cs="Arial"/>
          <w:color w:val="000000"/>
          <w:lang w:val="en-US" w:eastAsia="de-DE"/>
        </w:rPr>
        <w:instrText>es pombe","type":"article-journal","volume":"28"},"uris":["http://www.mendeley.com/documents/?uuid=f03dbcd5-905f-3203-ab7f-82e23d1ab956"]}],"mendeley":{"formattedCitation":"&lt;sup&gt;33&lt;/sup&gt;","plainTextFormattedCitation":"33","previouslyFormattedCitation":"&lt;su</w:instrText>
      </w:r>
      <w:r>
        <w:rPr>
          <w:rFonts w:ascii="Arial" w:eastAsia="Times New Roman" w:hAnsi="Arial" w:cs="Arial"/>
          <w:color w:val="000000"/>
          <w:lang w:val="en-US" w:eastAsia="de-DE"/>
        </w:rPr>
        <w:instrText>p&gt;33&lt;/sup&gt;"},"properties":{"noteIndex":0},"schema":"https://github.com/citation-style-language/schema/raw/master/csl-citation.json"}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they show </w:t>
      </w:r>
      <w:r>
        <w:rPr>
          <w:rFonts w:ascii="Arial" w:eastAsia="Times New Roman" w:hAnsi="Arial" w:cs="Arial"/>
          <w:color w:val="000000"/>
          <w:lang w:val="en-US" w:eastAsia="de-DE"/>
        </w:rPr>
        <w:lastRenderedPageBreak/>
        <w:t>that reducing the amount of the catalytic RNA Pol II subunit Rpb1 (encoded by POLR2A in humans) proportiona</w:t>
      </w:r>
      <w:r>
        <w:rPr>
          <w:rFonts w:ascii="Arial" w:eastAsia="Times New Roman" w:hAnsi="Arial" w:cs="Arial"/>
          <w:color w:val="000000"/>
          <w:lang w:val="en-US" w:eastAsia="de-DE"/>
        </w:rPr>
        <w:t>lly decreased the RNA Pol II bound to the genome, strongly suggesting that also transcription rate decreases accordingly. Similarly, overexpressing RNA Pol II subunits was sufficient to increase the RNA Pol II genome occupancy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w:instrText>
      </w:r>
      <w:r>
        <w:rPr>
          <w:rFonts w:ascii="Arial" w:eastAsia="Times New Roman" w:hAnsi="Arial" w:cs="Arial"/>
          <w:color w:val="000000"/>
          <w:lang w:val="en-US" w:eastAsia="de-DE"/>
        </w:rPr>
        <w:instrText>tems":[{"id":"ITEM-1","itemData":{"DOI":"10.1016/j.cell.2023.10.012","author":[{"dropping-particle":"","family":"Swaffer","given":"Matthew P","non-dropping-particle":"","parse-names":false,"suffix":""},{"dropping-particle":"","family":"Marinov","given":"Ge</w:instrText>
      </w:r>
      <w:r>
        <w:rPr>
          <w:rFonts w:ascii="Arial" w:eastAsia="Times New Roman" w:hAnsi="Arial" w:cs="Arial"/>
          <w:color w:val="000000"/>
          <w:lang w:val="en-US" w:eastAsia="de-DE"/>
        </w:rPr>
        <w:instrText>orgi K","non-dropping-particle":"","parse-names":false,"suffix":""},{"dropping-particle":"","family":"Zheng","given":"Huan","non-dropping-particle":"","parse-names":false,"suffix":""},{"dropping-particle":"","family":"Fuentes Valenzuela","given":"Lucas","n</w:instrText>
      </w:r>
      <w:r>
        <w:rPr>
          <w:rFonts w:ascii="Arial" w:eastAsia="Times New Roman" w:hAnsi="Arial" w:cs="Arial"/>
          <w:color w:val="000000"/>
          <w:lang w:val="en-US" w:eastAsia="de-DE"/>
        </w:rPr>
        <w:instrText>on-dropping-particle":"","parse-names":false,"suffix":""},{"dropping-particle":"","family":"Yee Tsui","given":"Crystal","non-dropping-particle":"","parse-names":false,"suffix":""},{"dropping-particle":"","family":"Jones","given":"Andrew W","non-dropping-pa</w:instrText>
      </w:r>
      <w:r>
        <w:rPr>
          <w:rFonts w:ascii="Arial" w:eastAsia="Times New Roman" w:hAnsi="Arial" w:cs="Arial"/>
          <w:color w:val="000000"/>
          <w:lang w:val="en-US" w:eastAsia="de-DE"/>
        </w:rPr>
        <w:instrText>rticle":"","parse-names":false,"suffix":""},{"dropping-particle":"","family":"Greenwood","given":"Jessica","non-dropping-particle":"","parse-names":false,"suffix":""},{"dropping-particle":"","family":"Kundaje","given":"Anshul","non-dropping-particle":"","p</w:instrText>
      </w:r>
      <w:r>
        <w:rPr>
          <w:rFonts w:ascii="Arial" w:eastAsia="Times New Roman" w:hAnsi="Arial" w:cs="Arial"/>
          <w:color w:val="000000"/>
          <w:lang w:val="en-US" w:eastAsia="de-DE"/>
        </w:rPr>
        <w:instrText>arse-names":false,"suffix":""},{"dropping-particle":"","family":"Greenleaf","given":"William J","non-dropping-particle":"","parse-names":false,"suffix":""},{"dropping-particle":"","family":"Reyes-Lamothe","given":"Rodrigo","non-dropping-particle":"","parse</w:instrText>
      </w:r>
      <w:r>
        <w:rPr>
          <w:rFonts w:ascii="Arial" w:eastAsia="Times New Roman" w:hAnsi="Arial" w:cs="Arial"/>
          <w:color w:val="000000"/>
          <w:lang w:val="en-US" w:eastAsia="de-DE"/>
        </w:rPr>
        <w:instrText>-names":false,"suffix":""},{"dropping-particle":"","family":"Skotheim","given":"Jan M","non-dropping-particle":"","parse-names":false,"suffix":""}],"container-title":"Cell","id":"ITEM-1","issued":{"date-parts":[["2023"]]},"title":"RNA polymerase II dynamic</w:instrText>
      </w:r>
      <w:r>
        <w:rPr>
          <w:rFonts w:ascii="Arial" w:eastAsia="Times New Roman" w:hAnsi="Arial" w:cs="Arial"/>
          <w:color w:val="000000"/>
          <w:lang w:val="en-US" w:eastAsia="de-DE"/>
        </w:rPr>
        <w:instrText>s and mRNA stability feedback scale mRNA amounts with cell size","type":"article-journal"},"uris":["http://www.mendeley.com/documents/?uuid=90d7390d-c1af-355e-ae58-d20591ab9167"]}],"mendeley":{"formattedCitation":"&lt;sup&gt;29&lt;/sup&gt;","plainTextFormattedCitation</w:instrText>
      </w:r>
      <w:r>
        <w:rPr>
          <w:rFonts w:ascii="Arial" w:eastAsia="Times New Roman" w:hAnsi="Arial" w:cs="Arial"/>
          <w:color w:val="000000"/>
          <w:lang w:val="en-US" w:eastAsia="de-DE"/>
        </w:rPr>
        <w:instrText>":"29","previouslyFormattedCitation":"&lt;sup&gt;29&lt;/sup&gt;"},"properties":{"noteIndex":0},"schema":"https://github.com/citation-style-language/schema/raw/master/csl-citation.json"}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Importantly, in contrast to a simple model where almost all RNA Pol II is bo</w:t>
      </w:r>
      <w:r>
        <w:rPr>
          <w:rFonts w:ascii="Arial" w:eastAsia="Times New Roman" w:hAnsi="Arial" w:cs="Arial"/>
          <w:color w:val="000000"/>
          <w:lang w:val="en-US" w:eastAsia="de-DE"/>
        </w:rPr>
        <w:t xml:space="preserve">und to the genome, Swaffer et al. demonstrated that only about half of the RNA Pol II is loaded onto the genome, and – </w:t>
      </w:r>
      <w:proofErr w:type="gramStart"/>
      <w:r>
        <w:rPr>
          <w:rFonts w:ascii="Arial" w:eastAsia="Times New Roman" w:hAnsi="Arial" w:cs="Arial"/>
          <w:color w:val="000000"/>
          <w:lang w:val="en-US" w:eastAsia="de-DE"/>
        </w:rPr>
        <w:t>as a consequence of</w:t>
      </w:r>
      <w:proofErr w:type="gramEnd"/>
      <w:r>
        <w:rPr>
          <w:rFonts w:ascii="Arial" w:eastAsia="Times New Roman" w:hAnsi="Arial" w:cs="Arial"/>
          <w:color w:val="000000"/>
          <w:lang w:val="en-US" w:eastAsia="de-DE"/>
        </w:rPr>
        <w:t xml:space="preserve"> mass action kinetic – its loading to DNA increases sub-linearly with size. To compensate for the sub-linear cell-size</w:t>
      </w:r>
      <w:r>
        <w:rPr>
          <w:rFonts w:ascii="Arial" w:eastAsia="Times New Roman" w:hAnsi="Arial" w:cs="Arial"/>
          <w:color w:val="000000"/>
          <w:lang w:val="en-US" w:eastAsia="de-DE"/>
        </w:rPr>
        <w:t>-scaling of the transcription rate, the mRNA degradation rate decreases with cell size to maintain constant concentrations of total transcript (Fig. 2d).</w:t>
      </w:r>
    </w:p>
    <w:p w14:paraId="003E8374" w14:textId="77777777" w:rsidR="00066D11" w:rsidRDefault="00066D11">
      <w:pPr>
        <w:spacing w:after="0" w:line="240" w:lineRule="auto"/>
        <w:jc w:val="both"/>
        <w:rPr>
          <w:rFonts w:ascii="Arial" w:eastAsia="Times New Roman" w:hAnsi="Arial" w:cs="Arial"/>
          <w:lang w:val="en-US" w:eastAsia="de-DE"/>
        </w:rPr>
      </w:pPr>
    </w:p>
    <w:p w14:paraId="7945BBC0"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In summary, while the proportional increase of Pol II amounts with cell size explains an </w:t>
      </w:r>
      <w:r>
        <w:rPr>
          <w:rFonts w:ascii="Arial" w:eastAsia="Times New Roman" w:hAnsi="Arial" w:cs="Arial"/>
          <w:color w:val="000000"/>
          <w:lang w:val="en-US" w:eastAsia="de-DE"/>
        </w:rPr>
        <w:t>increase of transcription rates, it also becomes clear that both transcription and degradation contribute to the global scaling of mRNA amounts with cell size. Since mRNA degradation and transcription are coupled via feedback mechanisms in yeast and humans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{"citationItems":[{"id":"ITEM-1","itemData":{"DOI":"10.1016/J.CELS.2022.04.005","ISSN":"2405-4720","PMID":"35613616","abstract":"RNA concentration homeostasis involves coordinating RNA abundance and synthesis rates with cell size. Here, </w:instrText>
      </w:r>
      <w:r>
        <w:rPr>
          <w:rFonts w:ascii="Arial" w:eastAsia="Times New Roman" w:hAnsi="Arial" w:cs="Arial"/>
          <w:color w:val="000000"/>
          <w:lang w:val="en-US" w:eastAsia="de-DE"/>
        </w:rPr>
        <w:instrText>we study this in human cells by combining genome-wide perturbations with quantitative single-cell measurements. Despite relative ease in perturbing RNA synthesis, we find that RNA concentrations generally remain highly constant. Perturbations that would be</w:instrText>
      </w:r>
      <w:r>
        <w:rPr>
          <w:rFonts w:ascii="Arial" w:eastAsia="Times New Roman" w:hAnsi="Arial" w:cs="Arial"/>
          <w:color w:val="000000"/>
          <w:lang w:val="en-US" w:eastAsia="de-DE"/>
        </w:rPr>
        <w:instrText xml:space="preserve"> expected to increase nuclear mRNA levels, including those targeting nuclear mRNA degradation or export, result in downregulation of RNA synthesis. This is associated with reduced abundance of transcription-associated proteins and protein states that are n</w:instrText>
      </w:r>
      <w:r>
        <w:rPr>
          <w:rFonts w:ascii="Arial" w:eastAsia="Times New Roman" w:hAnsi="Arial" w:cs="Arial"/>
          <w:color w:val="000000"/>
          <w:lang w:val="en-US" w:eastAsia="de-DE"/>
        </w:rPr>
        <w:instrText>ormally coordinated with RNA production in single cells, including RNA polymerase II (RNA Pol II) itself. Acute perturbations, elevation of nuclear mRNA levels, and mathematical modeling indicate that mammalian cells achieve robust mRNA concentration homeo</w:instrText>
      </w:r>
      <w:r>
        <w:rPr>
          <w:rFonts w:ascii="Arial" w:eastAsia="Times New Roman" w:hAnsi="Arial" w:cs="Arial"/>
          <w:color w:val="000000"/>
          <w:lang w:val="en-US" w:eastAsia="de-DE"/>
        </w:rPr>
        <w:instrText>stasis by the mRNA-based negative feedback on transcriptional activity in the nucleus. This ultimately acts to coordinate RNA Pol II abundance with nuclear mRNA degradation and export rates and may underpin the scaling of mRNA abundance with cell size.","a</w:instrText>
      </w:r>
      <w:r>
        <w:rPr>
          <w:rFonts w:ascii="Arial" w:eastAsia="Times New Roman" w:hAnsi="Arial" w:cs="Arial"/>
          <w:color w:val="000000"/>
          <w:lang w:val="en-US" w:eastAsia="de-DE"/>
        </w:rPr>
        <w:instrText>uthor":[{"dropping-particle":"","family":"Berry","given":"Scott","non-dropping-particle":"","parse-names":false,"suffix":""},{"dropping-particle":"","family":"Müller","given":"Micha","non-dropping-particle":"","parse-names":false,"suffix":""},{"dropping-pa</w:instrText>
      </w:r>
      <w:r>
        <w:rPr>
          <w:rFonts w:ascii="Arial" w:eastAsia="Times New Roman" w:hAnsi="Arial" w:cs="Arial"/>
          <w:color w:val="000000"/>
          <w:lang w:val="en-US" w:eastAsia="de-DE"/>
        </w:rPr>
        <w:instrText>rticle":"","family":"Rai","given":"Arpan","non-dropping-particle":"","parse-names":false,"suffix":""},{"dropping-particle":"","family":"Pelkmans","given":"Lucas","non-dropping-particle":"","parse-names":false,"suffix":""}],"container-title":"Cell systems",</w:instrText>
      </w:r>
      <w:r>
        <w:rPr>
          <w:rFonts w:ascii="Arial" w:eastAsia="Times New Roman" w:hAnsi="Arial" w:cs="Arial"/>
          <w:color w:val="000000"/>
          <w:lang w:val="en-US" w:eastAsia="de-DE"/>
        </w:rPr>
        <w:instrText>"id":"ITEM-1","issue":"6","issued":{"date-parts":[["2022","6","15"]]},"page":"454-470.e15","publisher":"Cell Syst","title":"Feedback from nuclear RNA on transcription promotes robust RNA concentration homeostasis in human cells","type":"article-journal","v</w:instrText>
      </w:r>
      <w:r>
        <w:rPr>
          <w:rFonts w:ascii="Arial" w:eastAsia="Times New Roman" w:hAnsi="Arial" w:cs="Arial"/>
          <w:color w:val="000000"/>
          <w:lang w:val="en-US" w:eastAsia="de-DE"/>
        </w:rPr>
        <w:instrText>olume":"13"},"uris":["http://www.mendeley.com/documents/?uuid=de4fed49-e202-36ed-96e0-2ddf9ba22412"]},{"id":"ITEM-2","itemData":{"DOI":"10.1016/J.TCB.2022.05.003","ISSN":"0962-8924","PMID":"35660047","abstract":"For most genes, mRNA transcript abundance sc</w:instrText>
      </w:r>
      <w:r>
        <w:rPr>
          <w:rFonts w:ascii="Arial" w:eastAsia="Times New Roman" w:hAnsi="Arial" w:cs="Arial"/>
          <w:color w:val="000000"/>
          <w:lang w:val="en-US" w:eastAsia="de-DE"/>
        </w:rPr>
        <w:instrText>ales with cell size to ensure a constant concentration. Scaling of mRNA synthesis rates with cell size plays an important role, with regulation of the activity and abundance of RNA polymerase II (Pol II) now emerging as a key point of control. However, the</w:instrText>
      </w:r>
      <w:r>
        <w:rPr>
          <w:rFonts w:ascii="Arial" w:eastAsia="Times New Roman" w:hAnsi="Arial" w:cs="Arial"/>
          <w:color w:val="000000"/>
          <w:lang w:val="en-US" w:eastAsia="de-DE"/>
        </w:rPr>
        <w:instrText>re is also considerable evidence for feedback mechanisms that kinetically couple the rates of mRNA synthesis, nuclear export, and degradation to allow cells to compensate for changes in one by adjusting the others. Researchers are beginning to integrate re</w:instrText>
      </w:r>
      <w:r>
        <w:rPr>
          <w:rFonts w:ascii="Arial" w:eastAsia="Times New Roman" w:hAnsi="Arial" w:cs="Arial"/>
          <w:color w:val="000000"/>
          <w:lang w:val="en-US" w:eastAsia="de-DE"/>
        </w:rPr>
        <w:instrText xml:space="preserve">sults from these different fields to reveal the mechanisms underlying transcript homeostasis. This will be crucial for moving beyond our current understanding of relative gene expression towards an appreciation of how absolute transcript levels are linked </w:instrText>
      </w:r>
      <w:r>
        <w:rPr>
          <w:rFonts w:ascii="Arial" w:eastAsia="Times New Roman" w:hAnsi="Arial" w:cs="Arial"/>
          <w:color w:val="000000"/>
          <w:lang w:val="en-US" w:eastAsia="de-DE"/>
        </w:rPr>
        <w:instrText>to other aspects of the cellular phenotype.","author":[{"dropping-particle":"","family":"Berry","given":"Scott","non-dropping-particle":"","parse-names":false,"suffix":""},{"dropping-particle":"","family":"Pelkmans","given":"Lucas","non-dropping-particle":</w:instrText>
      </w:r>
      <w:r>
        <w:rPr>
          <w:rFonts w:ascii="Arial" w:eastAsia="Times New Roman" w:hAnsi="Arial" w:cs="Arial"/>
          <w:color w:val="000000"/>
          <w:lang w:val="en-US" w:eastAsia="de-DE"/>
        </w:rPr>
        <w:instrText>"","parse-names":false,"suffix":""}],"container-title":"Trends in Cell Biology","id":"ITEM-2","issue":"8","issued":{"date-parts":[["2022","8","1"]]},"page":"655-668","publisher":"Elsevier Current Trends","title":"Mechanisms of cellular mRNA transcript home</w:instrText>
      </w:r>
      <w:r>
        <w:rPr>
          <w:rFonts w:ascii="Arial" w:eastAsia="Times New Roman" w:hAnsi="Arial" w:cs="Arial"/>
          <w:color w:val="000000"/>
          <w:lang w:val="en-US" w:eastAsia="de-DE"/>
        </w:rPr>
        <w:instrText>ostasis","type":"article-journal","volume":"32"},"uris":["http://www.mendeley.com/documents/?uuid=33d83ab8-1f58-3a0f-a7f8-8e0295f763c4"]},{"id":"ITEM-3","itemData":{"DOI":"10.1101/GR.130161.111","ISSN":"1088-9051","PMID":"22466169","abstract":"To monitor e</w:instrText>
      </w:r>
      <w:r>
        <w:rPr>
          <w:rFonts w:ascii="Arial" w:eastAsia="Times New Roman" w:hAnsi="Arial" w:cs="Arial"/>
          <w:color w:val="000000"/>
          <w:lang w:val="en-US" w:eastAsia="de-DE"/>
        </w:rPr>
        <w:instrText>ukaryotic mRNA metabolism, we developed comparative dynamic transcriptome analysis (cDTA). cDTA provides absolute rates of mRNA synthesis and decay in Saccharomyces cerevisiae (Sc) cells with the use of Schizosaccharomyces pombe (Sp) as an internal standar</w:instrText>
      </w:r>
      <w:r>
        <w:rPr>
          <w:rFonts w:ascii="Arial" w:eastAsia="Times New Roman" w:hAnsi="Arial" w:cs="Arial"/>
          <w:color w:val="000000"/>
          <w:lang w:val="en-US" w:eastAsia="de-DE"/>
        </w:rPr>
        <w:instrText xml:space="preserve">d. cDTA uses nonperturbing metabolic labeling that supersedes conventional methods for mRNA turnover analysis. cDTA reveals that Sc and Sp transcripts that encode orthologous proteins have similar synthesis rates, whereas decay rates are fivefold lower in </w:instrText>
      </w:r>
      <w:r>
        <w:rPr>
          <w:rFonts w:ascii="Arial" w:eastAsia="Times New Roman" w:hAnsi="Arial" w:cs="Arial"/>
          <w:color w:val="000000"/>
          <w:lang w:val="en-US" w:eastAsia="de-DE"/>
        </w:rPr>
        <w:instrText>Sp, resulting in similar mRNA concentrations despite the larger Sp cell volume. cDTA of Sc mutants reveals that a eukaryote can buffer mRNA levels. Impairing transcription with a point mutation in RNA polymerase (Pol) II causes decreased mRNA synthesis rat</w:instrText>
      </w:r>
      <w:r>
        <w:rPr>
          <w:rFonts w:ascii="Arial" w:eastAsia="Times New Roman" w:hAnsi="Arial" w:cs="Arial"/>
          <w:color w:val="000000"/>
          <w:lang w:val="en-US" w:eastAsia="de-DE"/>
        </w:rPr>
        <w:instrText>es as expected, but also decreased decay rates. Impairing mRNA degradation by deleting deadenylase subunits of the Ccr4-Not complex causes decreased decay rates as expected, but also decreased synthesis rates. Extended kinetic modeling reveals mutual feedb</w:instrText>
      </w:r>
      <w:r>
        <w:rPr>
          <w:rFonts w:ascii="Arial" w:eastAsia="Times New Roman" w:hAnsi="Arial" w:cs="Arial"/>
          <w:color w:val="000000"/>
          <w:lang w:val="en-US" w:eastAsia="de-DE"/>
        </w:rPr>
        <w:instrText>ack between mRNA synthesis and degradation that may be achieved by a factor that inhibits synthesis and enhances degradation. © 2012, Published by Cold Spring Harbor Laboratory Press.","author":[{"dropping-particle":"","family":"Sun","given":"Mai","non-dro</w:instrText>
      </w:r>
      <w:r>
        <w:rPr>
          <w:rFonts w:ascii="Arial" w:eastAsia="Times New Roman" w:hAnsi="Arial" w:cs="Arial"/>
          <w:color w:val="000000"/>
          <w:lang w:val="en-US" w:eastAsia="de-DE"/>
        </w:rPr>
        <w:instrText>pping-particle":"","parse-names":false,"suffix":""},{"dropping-particle":"","family":"Schwalb","given":"Björn","non-dropping-particle":"","parse-names":false,"suffix":""},{"dropping-particle":"","family":"Schulz","given":"Daniel","non-dropping-particle":""</w:instrText>
      </w:r>
      <w:r>
        <w:rPr>
          <w:rFonts w:ascii="Arial" w:eastAsia="Times New Roman" w:hAnsi="Arial" w:cs="Arial"/>
          <w:color w:val="000000"/>
          <w:lang w:val="en-US" w:eastAsia="de-DE"/>
        </w:rPr>
        <w:instrText>,"parse-names":false,"suffix":""},{"dropping-particle":"","family":"Pirkl","given":"Nicole","non-dropping-particle":"","parse-names":false,"suffix":""},{"dropping-particle":"","family":"Etzold","given":"Stefanie","non-dropping-particle":"","parse-names":fa</w:instrText>
      </w:r>
      <w:r>
        <w:rPr>
          <w:rFonts w:ascii="Arial" w:eastAsia="Times New Roman" w:hAnsi="Arial" w:cs="Arial"/>
          <w:color w:val="000000"/>
          <w:lang w:val="en-US" w:eastAsia="de-DE"/>
        </w:rPr>
        <w:instrText>lse,"suffix":""},{"dropping-particle":"","family":"Larivière","given":"Laurent","non-dropping-particle":"","parse-names":false,"suffix":""},{"dropping-particle":"","family":"Maier","given":"Kerstin C.","non-dropping-particle":"","parse-names":false,"suffix</w:instrText>
      </w:r>
      <w:r>
        <w:rPr>
          <w:rFonts w:ascii="Arial" w:eastAsia="Times New Roman" w:hAnsi="Arial" w:cs="Arial"/>
          <w:color w:val="000000"/>
          <w:lang w:val="en-US" w:eastAsia="de-DE"/>
        </w:rPr>
        <w:instrText>":""},{"dropping-particle":"","family":"Seizl","given":"Martin","non-dropping-particle":"","parse-names":false,"suffix":""},{"dropping-particle":"","family":"Tresch","given":"Achim","non-dropping-particle":"","parse-names":false,"suffix":""},{"dropping-par</w:instrText>
      </w:r>
      <w:r>
        <w:rPr>
          <w:rFonts w:ascii="Arial" w:eastAsia="Times New Roman" w:hAnsi="Arial" w:cs="Arial"/>
          <w:color w:val="000000"/>
          <w:lang w:val="en-US" w:eastAsia="de-DE"/>
        </w:rPr>
        <w:instrText xml:space="preserve">ticle":"","family":"Cramer","given":"Patrick","non-dropping-particle":"","parse-names":false,"suffix":""}],"container-title":"Genome Research","id":"ITEM-3","issue":"7","issued":{"date-parts":[["2012","7","1"]]},"page":"1350-1359","publisher":"Cold Spring </w:instrText>
      </w:r>
      <w:r>
        <w:rPr>
          <w:rFonts w:ascii="Arial" w:eastAsia="Times New Roman" w:hAnsi="Arial" w:cs="Arial"/>
          <w:color w:val="000000"/>
          <w:lang w:val="en-US" w:eastAsia="de-DE"/>
        </w:rPr>
        <w:instrText>Harbor Laboratory Press","title":"Comparative dynamic transcriptome analysis (cDTA) reveals mutual feedback between mRNA synthesis and degradation","type":"article-journal","volume":"22"},"uris":["http://www.mendeley.com/documents/?uuid=6a6bad5f-731b-35f1-</w:instrText>
      </w:r>
      <w:r>
        <w:rPr>
          <w:rFonts w:ascii="Arial" w:eastAsia="Times New Roman" w:hAnsi="Arial" w:cs="Arial"/>
          <w:color w:val="000000"/>
          <w:lang w:val="en-US" w:eastAsia="de-DE"/>
        </w:rPr>
        <w:instrText>9f6e-2a344dd66a39"]},{"id":"ITEM-4","itemData":{"DOI":"10.1016/J.MOLCEL.2013.09.010","ISSN":"1097-2765","abstract":"The rates of mRNA synthesis and degradation determine cellular mRNA levels and can be monitored by comparative dynamic transcriptome analysi</w:instrText>
      </w:r>
      <w:r>
        <w:rPr>
          <w:rFonts w:ascii="Arial" w:eastAsia="Times New Roman" w:hAnsi="Arial" w:cs="Arial"/>
          <w:color w:val="000000"/>
          <w:lang w:val="en-US" w:eastAsia="de-DE"/>
        </w:rPr>
        <w:instrText>s (cDTA) that uses nonperturbing metabolic RNA labeling. Here we present cDTA data for 46 yeast strains lacking genes involved in mRNA degradation and metabolism. In these strains, changes in mRNA degradation rates are generally compensated by changes in m</w:instrText>
      </w:r>
      <w:r>
        <w:rPr>
          <w:rFonts w:ascii="Arial" w:eastAsia="Times New Roman" w:hAnsi="Arial" w:cs="Arial"/>
          <w:color w:val="000000"/>
          <w:lang w:val="en-US" w:eastAsia="de-DE"/>
        </w:rPr>
        <w:instrText>RNA synthesis rates, resulting in a buffering of mRNA levels. We show that buffering of mRNA levels requires the RNA exonuclease Xrn1. The buffering is rapidly established when mRNA synthesis is impaired, but is delayed when mRNA degradation is impaired, a</w:instrText>
      </w:r>
      <w:r>
        <w:rPr>
          <w:rFonts w:ascii="Arial" w:eastAsia="Times New Roman" w:hAnsi="Arial" w:cs="Arial"/>
          <w:color w:val="000000"/>
          <w:lang w:val="en-US" w:eastAsia="de-DE"/>
        </w:rPr>
        <w:instrText>pparently due to Xrn1-dependent transcription repressor induction. Cluster analysis of the data defines the general mRNA degradation machinery, reveals different substrate preferences for the two mRNA deadenylase complexes Ccr4-Not and Pan2-Pan3, and unvei</w:instrText>
      </w:r>
      <w:r>
        <w:rPr>
          <w:rFonts w:ascii="Arial" w:eastAsia="Times New Roman" w:hAnsi="Arial" w:cs="Arial"/>
          <w:color w:val="000000"/>
          <w:lang w:val="en-US" w:eastAsia="de-DE"/>
        </w:rPr>
        <w:instrText>ls an interwoven cellular mRNA surveillance network.","author":[{"dropping-particle":"","family":"Sun","given":"Mai","non-dropping-particle":"","parse-names":false,"suffix":""},{"dropping-particle":"","family":"Schwalb","given":"Björn","non-dropping-partic</w:instrText>
      </w:r>
      <w:r>
        <w:rPr>
          <w:rFonts w:ascii="Arial" w:eastAsia="Times New Roman" w:hAnsi="Arial" w:cs="Arial"/>
          <w:color w:val="000000"/>
          <w:lang w:val="en-US" w:eastAsia="de-DE"/>
        </w:rPr>
        <w:instrText>le":"","parse-names":false,"suffix":""},{"dropping-particle":"","family":"Pirkl","given":"Nicole","non-dropping-particle":"","parse-names":false,"suffix":""},{"dropping-particle":"","family":"Maier","given":"Kerstin C.","non-dropping-particle":"","parse-na</w:instrText>
      </w:r>
      <w:r>
        <w:rPr>
          <w:rFonts w:ascii="Arial" w:eastAsia="Times New Roman" w:hAnsi="Arial" w:cs="Arial"/>
          <w:color w:val="000000"/>
          <w:lang w:val="en-US" w:eastAsia="de-DE"/>
        </w:rPr>
        <w:instrText>mes":false,"suffix":""},{"dropping-particle":"","family":"Schenk","given":"Arne","non-dropping-particle":"","parse-names":false,"suffix":""},{"dropping-particle":"","family":"Failmezger","given":"Henrik","non-dropping-particle":"","parse-names":false,"suff</w:instrText>
      </w:r>
      <w:r>
        <w:rPr>
          <w:rFonts w:ascii="Arial" w:eastAsia="Times New Roman" w:hAnsi="Arial" w:cs="Arial"/>
          <w:color w:val="000000"/>
          <w:lang w:val="en-US" w:eastAsia="de-DE"/>
        </w:rPr>
        <w:instrText>ix":""},{"dropping-particle":"","family":"Tresch","given":"Achim","non-dropping-particle":"","parse-names":false,"suffix":""},{"dropping-particle":"","family":"Cramer","given":"Patrick","non-dropping-particle":"","parse-names":false,"suffix":""}],"containe</w:instrText>
      </w:r>
      <w:r>
        <w:rPr>
          <w:rFonts w:ascii="Arial" w:eastAsia="Times New Roman" w:hAnsi="Arial" w:cs="Arial"/>
          <w:color w:val="000000"/>
          <w:lang w:val="en-US" w:eastAsia="de-DE"/>
        </w:rPr>
        <w:instrText>r-title":"Molecular Cell","id":"ITEM-4","issue":"1","issued":{"date-parts":[["2013","10","10"]]},"page":"52-62","publisher":"Cell Press","title":"Global Analysis of Eukaryotic mRNA Degradation Reveals Xrn1-Dependent Buffering of Transcript Levels","type":"</w:instrText>
      </w:r>
      <w:r>
        <w:rPr>
          <w:rFonts w:ascii="Arial" w:eastAsia="Times New Roman" w:hAnsi="Arial" w:cs="Arial"/>
          <w:color w:val="000000"/>
          <w:lang w:val="en-US" w:eastAsia="de-DE"/>
        </w:rPr>
        <w:instrText>article-journal","volume":"52"},"uris":["http://www.mendeley.com/documents/?uuid=cf267d90-0319-3406-93b8-e79ab5111f5a"]}],"mendeley":{"formattedCitation":"&lt;sup&gt;19,34–36&lt;/sup&gt;","plainTextFormattedCitation":"19,34–36","previouslyFormattedCitation":"&lt;sup&gt;19,3</w:instrText>
      </w:r>
      <w:r>
        <w:rPr>
          <w:rFonts w:ascii="Arial" w:eastAsia="Times New Roman" w:hAnsi="Arial" w:cs="Arial"/>
          <w:color w:val="000000"/>
          <w:lang w:val="en-US" w:eastAsia="de-DE"/>
        </w:rPr>
        <w:instrText>4–36&lt;/sup&gt;"},"properties":{"noteIndex":0},"schema":"https://github.com/citation-style-language/schema/raw/master/csl-citation.json"}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19,34–36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it seems likely that in addition to the limiting-machinery mechanisms, additional layers of regulation are in p</w:t>
      </w:r>
      <w:r>
        <w:rPr>
          <w:rFonts w:ascii="Arial" w:eastAsia="Times New Roman" w:hAnsi="Arial" w:cs="Arial"/>
          <w:color w:val="000000"/>
          <w:lang w:val="en-US" w:eastAsia="de-DE"/>
        </w:rPr>
        <w:t>lace to ensure robust scaling of transcript amounts with cell size.</w:t>
      </w:r>
    </w:p>
    <w:p w14:paraId="0340A0F4" w14:textId="77777777" w:rsidR="00066D11" w:rsidRDefault="00066D11">
      <w:pPr>
        <w:spacing w:after="0" w:line="240" w:lineRule="auto"/>
        <w:jc w:val="both"/>
        <w:rPr>
          <w:rFonts w:ascii="Arial" w:eastAsia="Times New Roman" w:hAnsi="Arial" w:cs="Arial"/>
          <w:lang w:val="en-US" w:eastAsia="de-DE"/>
        </w:rPr>
      </w:pPr>
    </w:p>
    <w:p w14:paraId="616B573A" w14:textId="77777777" w:rsidR="00066D11" w:rsidRDefault="00E55468">
      <w:pPr>
        <w:spacing w:after="0" w:line="240" w:lineRule="auto"/>
        <w:jc w:val="both"/>
        <w:rPr>
          <w:rFonts w:ascii="Arial" w:eastAsia="Times New Roman" w:hAnsi="Arial" w:cs="Arial"/>
          <w:color w:val="000000" w:themeColor="text1"/>
          <w:lang w:val="en-US" w:eastAsia="de-DE"/>
        </w:rPr>
      </w:pPr>
      <w:r>
        <w:rPr>
          <w:rFonts w:ascii="Arial" w:eastAsia="Times New Roman" w:hAnsi="Arial" w:cs="Arial"/>
          <w:color w:val="000000" w:themeColor="text1"/>
          <w:lang w:val="en-US" w:eastAsia="de-DE"/>
        </w:rPr>
        <w:t>Akin to total mRNA, total rRNA (18 S, 26 S, and 5 S) and tRNA (4 S) amounts per cell also roughly scale with cell size in budding and fission yeast</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w:instrText>
      </w:r>
      <w:r>
        <w:rPr>
          <w:rFonts w:ascii="Arial" w:eastAsia="Times New Roman" w:hAnsi="Arial" w:cs="Arial"/>
          <w:color w:val="000000" w:themeColor="text1"/>
          <w:lang w:val="en-US" w:eastAsia="de-DE"/>
        </w:rPr>
        <w:instrText>d":"ITEM-1","itemData":{"author":[{"dropping-particle":"","family":"Tauro","given":"Patric","non-dropping-particle":"","parse-names":false,"suffix":""},{"dropping-particle":"","family":"Schweizer","given":"Eckhart","non-dropping-particle":"","parse-names":</w:instrText>
      </w:r>
      <w:r>
        <w:rPr>
          <w:rFonts w:ascii="Arial" w:eastAsia="Times New Roman" w:hAnsi="Arial" w:cs="Arial"/>
          <w:color w:val="000000" w:themeColor="text1"/>
          <w:lang w:val="en-US" w:eastAsia="de-DE"/>
        </w:rPr>
        <w:instrText>false,"suffix":""},{"dropping-particle":"","family":"Epstein","given":"Ray","non-dropping-particle":"","parse-names":false,"suffix":""},{"dropping-particle":"","family":"Halvorson","given":"Harlyn O","non-dropping-particle":"","parse-names":false,"suffix":</w:instrText>
      </w:r>
      <w:r>
        <w:rPr>
          <w:rFonts w:ascii="Arial" w:eastAsia="Times New Roman" w:hAnsi="Arial" w:cs="Arial"/>
          <w:color w:val="000000" w:themeColor="text1"/>
          <w:lang w:val="en-US" w:eastAsia="de-DE"/>
        </w:rPr>
        <w:instrText>""}],"id":"ITEM-1","issued":{"date-parts":[["1969"]]},"number-of-pages":"101-118","publisher":"Academic Press","title":"The Cell Cycle: Gene-Enzyme Interactions","type":"book"},"uris":["http://www.mendeley.com/documents/?uuid=494cb395-f2ec-38da-8ce7-60f71a</w:instrText>
      </w:r>
      <w:r>
        <w:rPr>
          <w:rFonts w:ascii="Arial" w:eastAsia="Times New Roman" w:hAnsi="Arial" w:cs="Arial"/>
          <w:color w:val="000000" w:themeColor="text1"/>
          <w:lang w:val="en-US" w:eastAsia="de-DE"/>
        </w:rPr>
        <w:instrText>94cd43"]},{"id":"ITEM-2","itemData":{"DOI":"10.1016/0014-4827(74)90195-5","ISSN":"0014-4827","PMID":"4611777","abstract":"In Saccharomyces cerevisiae DNA is synthesized discontinuously during the cell cycle. To determine further the effect on RNA synthesis</w:instrText>
      </w:r>
      <w:r>
        <w:rPr>
          <w:rFonts w:ascii="Arial" w:eastAsia="Times New Roman" w:hAnsi="Arial" w:cs="Arial"/>
          <w:color w:val="000000" w:themeColor="text1"/>
          <w:lang w:val="en-US" w:eastAsia="de-DE"/>
        </w:rPr>
        <w:instrText xml:space="preserve"> of the doubling of the ribosomal gene cistrons, the rate of ribosomal RNA (rRNA) synthesis at different stages of the cell cycle was examined. Exponential cultures of 14C-adenine labelled cells of S. cerevisiae were labelled with 32P-phosphate for 10 min.</w:instrText>
      </w:r>
      <w:r>
        <w:rPr>
          <w:rFonts w:ascii="Arial" w:eastAsia="Times New Roman" w:hAnsi="Arial" w:cs="Arial"/>
          <w:color w:val="000000" w:themeColor="text1"/>
          <w:lang w:val="en-US" w:eastAsia="de-DE"/>
        </w:rPr>
        <w:instrText xml:space="preserve"> The cells were chilled, fractionated on a zonal rotor according to cell age, the RNA extracted, different RNA species isolated by SDS polyacrylamide gel electrophoresis, and counted for 14C and 32P. 32P incorporation was lowest in the early stages of the </w:instrText>
      </w:r>
      <w:r>
        <w:rPr>
          <w:rFonts w:ascii="Arial" w:eastAsia="Times New Roman" w:hAnsi="Arial" w:cs="Arial"/>
          <w:color w:val="000000" w:themeColor="text1"/>
          <w:lang w:val="en-US" w:eastAsia="de-DE"/>
        </w:rPr>
        <w:instrText>cell cycle and increased with cell age. Labelled RNA precursors (35S, 27S, and 20S) were readily detected in the early stages of the cell cycle. These results suggest that transcription and processing of ribosomal RNA varies throughout the cell cycle and i</w:instrText>
      </w:r>
      <w:r>
        <w:rPr>
          <w:rFonts w:ascii="Arial" w:eastAsia="Times New Roman" w:hAnsi="Arial" w:cs="Arial"/>
          <w:color w:val="000000" w:themeColor="text1"/>
          <w:lang w:val="en-US" w:eastAsia="de-DE"/>
        </w:rPr>
        <w:instrText>s not directly related to gene dosage. An apparent increase in the rate of rRNA synthesis (as measured by isotope incorporation) could be a result of either a true increase or an increase in the specific activities of the immediate precursors of RNA synthe</w:instrText>
      </w:r>
      <w:r>
        <w:rPr>
          <w:rFonts w:ascii="Arial" w:eastAsia="Times New Roman" w:hAnsi="Arial" w:cs="Arial"/>
          <w:color w:val="000000" w:themeColor="text1"/>
          <w:lang w:val="en-US" w:eastAsia="de-DE"/>
        </w:rPr>
        <w:instrText>sis. Measurements of the XTP intracellular pools indicated that the specific activities of these RNA precursors did not change during the cell cycle. © 1974.","author":[{"dropping-particle":"","family":"Sogin","given":"S. J.","non-dropping-particle":"","pa</w:instrText>
      </w:r>
      <w:r>
        <w:rPr>
          <w:rFonts w:ascii="Arial" w:eastAsia="Times New Roman" w:hAnsi="Arial" w:cs="Arial"/>
          <w:color w:val="000000" w:themeColor="text1"/>
          <w:lang w:val="en-US" w:eastAsia="de-DE"/>
        </w:rPr>
        <w:instrText>rse-names":false,"suffix":""},{"dropping-particle":"","family":"Carter","given":"B. L.A.","non-dropping-particle":"","parse-names":false,"suffix":""},{"dropping-particle":"","family":"Halvorson","given":"H. O.","non-dropping-particle":"","parse-names":fals</w:instrText>
      </w:r>
      <w:r>
        <w:rPr>
          <w:rFonts w:ascii="Arial" w:eastAsia="Times New Roman" w:hAnsi="Arial" w:cs="Arial"/>
          <w:color w:val="000000" w:themeColor="text1"/>
          <w:lang w:val="en-US" w:eastAsia="de-DE"/>
        </w:rPr>
        <w:instrText>e,"suffix":""}],"container-title":"Experimental Cell Research","id":"ITEM-2","issue":"1","issued":{"date-parts":[["1974","11","1"]]},"page":"127-138","publisher":"Academic Press","title":"Changes in the rate of ribosomal RNA synthesis during the cell cycle</w:instrText>
      </w:r>
      <w:r>
        <w:rPr>
          <w:rFonts w:ascii="Arial" w:eastAsia="Times New Roman" w:hAnsi="Arial" w:cs="Arial"/>
          <w:color w:val="000000" w:themeColor="text1"/>
          <w:lang w:val="en-US" w:eastAsia="de-DE"/>
        </w:rPr>
        <w:instrText xml:space="preserve"> in Saccharomyces cerevisiae","type":"article-journal","volume":"89"},"uris":["http://www.mendeley.com/documents/?uuid=4b91c34d-056e-349e-aa4f-076ba1301eb1"]},{"id":"ITEM-3","itemData":{"DOI":"10.1007/BF00382269/METRICS","ISSN":"00268925","PMID":"372745","</w:instrText>
      </w:r>
      <w:r>
        <w:rPr>
          <w:rFonts w:ascii="Arial" w:eastAsia="Times New Roman" w:hAnsi="Arial" w:cs="Arial"/>
          <w:color w:val="000000" w:themeColor="text1"/>
          <w:lang w:val="en-US" w:eastAsia="de-DE"/>
        </w:rPr>
        <w:instrText>abstract":"Centrifugal elutriation was used to separate cells in different stages of the cell cycle from a culture of Saccharomyces cerevisiae in balanced exponential growth. The rate of DNA and RNA synthesis was determined using a pulse-long-term label te</w:instrText>
      </w:r>
      <w:r>
        <w:rPr>
          <w:rFonts w:ascii="Arial" w:eastAsia="Times New Roman" w:hAnsi="Arial" w:cs="Arial"/>
          <w:color w:val="000000" w:themeColor="text1"/>
          <w:lang w:val="en-US" w:eastAsia="de-DE"/>
        </w:rPr>
        <w:instrText>chnique that is capable of distinguishing between exponential, linear, and periodic variations in the rate of synthesis through the cell cycle. It was found that while the rate of DNA synthesis varies periodically through the cell cycle, the rate of synthe</w:instrText>
      </w:r>
      <w:r>
        <w:rPr>
          <w:rFonts w:ascii="Arial" w:eastAsia="Times New Roman" w:hAnsi="Arial" w:cs="Arial"/>
          <w:color w:val="000000" w:themeColor="text1"/>
          <w:lang w:val="en-US" w:eastAsia="de-DE"/>
        </w:rPr>
        <w:instrText>sis of mRNA, rRNA, and tRNA increases exponentially through the cell cycle. The implications of these findings for the control of RNA synthesis are discussed. © 1979 Springer-Verlag.","author":[{"dropping-particle":"","family":"Elliott","given":"Steven G."</w:instrText>
      </w:r>
      <w:r>
        <w:rPr>
          <w:rFonts w:ascii="Arial" w:eastAsia="Times New Roman" w:hAnsi="Arial" w:cs="Arial"/>
          <w:color w:val="000000" w:themeColor="text1"/>
          <w:lang w:val="en-US" w:eastAsia="de-DE"/>
        </w:rPr>
        <w:instrText>,"non-dropping-particle":"","parse-names":false,"suffix":""},{"dropping-particle":"","family":"McLaughlin","given":"Calvin S.","non-dropping-particle":"","parse-names":false,"suffix":""}],"container-title":"MGG Molecular &amp; General Genetics","id":"ITEM-3","</w:instrText>
      </w:r>
      <w:r>
        <w:rPr>
          <w:rFonts w:ascii="Arial" w:eastAsia="Times New Roman" w:hAnsi="Arial" w:cs="Arial"/>
          <w:color w:val="000000" w:themeColor="text1"/>
          <w:lang w:val="en-US" w:eastAsia="de-DE"/>
        </w:rPr>
        <w:instrText>issue":"3","issued":{"date-parts":[["1979","1"]]},"page":"237-243","publisher":"Springer-Verlag","title":"Regulation of RNA synthesis in yeast III - Synthesis during the cell cycle","type":"article-journal","volume":"169"},"uris":["http://www.mendeley.com/</w:instrText>
      </w:r>
      <w:r>
        <w:rPr>
          <w:rFonts w:ascii="Arial" w:eastAsia="Times New Roman" w:hAnsi="Arial" w:cs="Arial"/>
          <w:color w:val="000000" w:themeColor="text1"/>
          <w:lang w:val="en-US" w:eastAsia="de-DE"/>
        </w:rPr>
        <w:instrText>documents/?uuid=39232bdf-d370-325b-898b-cd41e7595709"]}],"mendeley":{"formattedCitation":"&lt;sup&gt;37–39&lt;/sup&gt;","plainTextFormattedCitation":"37–39","previouslyFormattedCitation":"&lt;sup&gt;37–39&lt;/sup&gt;"},"properties":{"noteIndex":0},"schema":"https://github.com/cit</w:instrText>
      </w:r>
      <w:r>
        <w:rPr>
          <w:rFonts w:ascii="Arial" w:eastAsia="Times New Roman" w:hAnsi="Arial" w:cs="Arial"/>
          <w:color w:val="000000" w:themeColor="text1"/>
          <w:lang w:val="en-US" w:eastAsia="de-DE"/>
        </w:rPr>
        <w:instrTex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37–39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The amount of rRNA and tRNA per cell as well as the promoter occupancy of RNA Pol III also increase during the hypertrophic growth of cardiomyocytes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w:instrText>
      </w:r>
      <w:r>
        <w:rPr>
          <w:rFonts w:ascii="Arial" w:eastAsia="Times New Roman" w:hAnsi="Arial" w:cs="Arial"/>
          <w:color w:val="000000" w:themeColor="text1"/>
          <w:lang w:val="en-US" w:eastAsia="de-DE"/>
        </w:rPr>
        <w:instrText>d":"ITEM-1","itemData":{"DOI":"10.1038/SJ.EMBOJ.7601040/SUPPL_FILE/EMBJ7601040-SUP-0002.PDF","ISSN":"02614189","PMID":"16541106","abstract":"The cell division-independent growth of terminally differentiated cardiomyocytes is commonly associated with cardio</w:instrText>
      </w:r>
      <w:r>
        <w:rPr>
          <w:rFonts w:ascii="Arial" w:eastAsia="Times New Roman" w:hAnsi="Arial" w:cs="Arial"/>
          <w:color w:val="000000" w:themeColor="text1"/>
          <w:lang w:val="en-US" w:eastAsia="de-DE"/>
        </w:rPr>
        <w:instrText>vascular disease. We demonstrate that it is accompanied by a substantial rise in transcription by RNA polymerase (pol) III, which produces essential components of the biosynthetic apparatus, including 5S rRNA and tRNAs. This increase in transcription is ac</w:instrText>
      </w:r>
      <w:r>
        <w:rPr>
          <w:rFonts w:ascii="Arial" w:eastAsia="Times New Roman" w:hAnsi="Arial" w:cs="Arial"/>
          <w:color w:val="000000" w:themeColor="text1"/>
          <w:lang w:val="en-US" w:eastAsia="de-DE"/>
        </w:rPr>
        <w:instrText>hieved by changes in both the activity and level of the essential pol III-specific transcription factor TFIIIB. Erk and c-Myc, which directly activate TFIIIB in proliferating fibroblasts, also induce pol III transcription in growing cardiomyocytes. Further</w:instrText>
      </w:r>
      <w:r>
        <w:rPr>
          <w:rFonts w:ascii="Arial" w:eastAsia="Times New Roman" w:hAnsi="Arial" w:cs="Arial"/>
          <w:color w:val="000000" w:themeColor="text1"/>
          <w:lang w:val="en-US" w:eastAsia="de-DE"/>
        </w:rPr>
        <w:instrText>more, hypertrophic stimulation increases expression of the essential TFIIIB subunit Brf1, an effect not seen when fibroblasts proliferate. Erk mediates this induction of Brf1 expression and therefore contributes in at least two ways to pol III transcriptio</w:instrText>
      </w:r>
      <w:r>
        <w:rPr>
          <w:rFonts w:ascii="Arial" w:eastAsia="Times New Roman" w:hAnsi="Arial" w:cs="Arial"/>
          <w:color w:val="000000" w:themeColor="text1"/>
          <w:lang w:val="en-US" w:eastAsia="de-DE"/>
        </w:rPr>
        <w:instrText>nal activation during hypertrophy. Increased production of tRNA and 5S rRNA will contribute to the enhanced translational capacity required to sustain hypertrophic growth. © 2006 European Molecular Biology Organization | All Rights Reserved.","author":[{"d</w:instrText>
      </w:r>
      <w:r>
        <w:rPr>
          <w:rFonts w:ascii="Arial" w:eastAsia="Times New Roman" w:hAnsi="Arial" w:cs="Arial"/>
          <w:color w:val="000000" w:themeColor="text1"/>
          <w:lang w:val="en-US" w:eastAsia="de-DE"/>
        </w:rPr>
        <w:instrText>ropping-particle":"","family":"Goodfellow","given":"Sarah J.","non-dropping-particle":"","parse-names":false,"suffix":""},{"dropping-particle":"","family":"Innes","given":"Fiona","non-dropping-particle":"","parse-names":false,"suffix":""},{"dropping-partic</w:instrText>
      </w:r>
      <w:r>
        <w:rPr>
          <w:rFonts w:ascii="Arial" w:eastAsia="Times New Roman" w:hAnsi="Arial" w:cs="Arial"/>
          <w:color w:val="000000" w:themeColor="text1"/>
          <w:lang w:val="en-US" w:eastAsia="de-DE"/>
        </w:rPr>
        <w:instrText>le":"","family":"Derblay","given":"Louise E.","non-dropping-particle":"","parse-names":false,"suffix":""},{"dropping-particle":"","family":"MacLellan","given":"W. Robb","non-dropping-particle":"","parse-names":false,"suffix":""},{"dropping-particle":"","fa</w:instrText>
      </w:r>
      <w:r>
        <w:rPr>
          <w:rFonts w:ascii="Arial" w:eastAsia="Times New Roman" w:hAnsi="Arial" w:cs="Arial"/>
          <w:color w:val="000000" w:themeColor="text1"/>
          <w:lang w:val="en-US" w:eastAsia="de-DE"/>
        </w:rPr>
        <w:instrText>mily":"Scott","given":"Pamela H.","non-dropping-particle":"","parse-names":false,"suffix":""},{"dropping-particle":"","family":"White","given":"Robert J.","non-dropping-particle":"","parse-names":false,"suffix":""}],"container-title":"EMBO Journal","id":"I</w:instrText>
      </w:r>
      <w:r>
        <w:rPr>
          <w:rFonts w:ascii="Arial" w:eastAsia="Times New Roman" w:hAnsi="Arial" w:cs="Arial"/>
          <w:color w:val="000000" w:themeColor="text1"/>
          <w:lang w:val="en-US" w:eastAsia="de-DE"/>
        </w:rPr>
        <w:instrText>TEM-1","issue":"7","issued":{"date-parts":[["2006","4","5"]]},"page":"1522-1533","publisher":"John Wiley &amp; Sons, LtdChichester, UK","title":"Regulation of RNA polymerase III transcription during hypertrophic growth","type":"article-journal","volume":"25"},</w:instrText>
      </w:r>
      <w:r>
        <w:rPr>
          <w:rFonts w:ascii="Arial" w:eastAsia="Times New Roman" w:hAnsi="Arial" w:cs="Arial"/>
          <w:color w:val="000000" w:themeColor="text1"/>
          <w:lang w:val="en-US" w:eastAsia="de-DE"/>
        </w:rPr>
        <w:instrText>"uris":["http://www.mendeley.com/documents/?uuid=d1b46c15-5967-3c80-9500-e958b50d43a8"]}],"mendeley":{"formattedCitation":"&lt;sup&gt;40&lt;/sup&gt;","plainTextFormattedCitation":"40","previouslyFormattedCitation":"&lt;sup&gt;40&lt;/sup&gt;"},"properties":{"noteIndex":0},"schema"</w:instrText>
      </w:r>
      <w:r>
        <w:rPr>
          <w:rFonts w:ascii="Arial" w:eastAsia="Times New Roman" w:hAnsi="Arial" w:cs="Arial"/>
          <w:color w:val="000000" w:themeColor="text1"/>
          <w:lang w:val="en-US" w:eastAsia="de-DE"/>
        </w:rPr>
        <w:instrText>:"https://github.com/citation-style-language/schema/raw/master/csl-citation.json"}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40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indicating that this trend may also hold true for animal cells. The scaling behavior of other non-coding RNAs is largely unknown. Furthermore, whether RNA Pol I and RN</w:t>
      </w:r>
      <w:r>
        <w:rPr>
          <w:rFonts w:ascii="Arial" w:eastAsia="Times New Roman" w:hAnsi="Arial" w:cs="Arial"/>
          <w:color w:val="000000" w:themeColor="text1"/>
          <w:lang w:val="en-US" w:eastAsia="de-DE"/>
        </w:rPr>
        <w:t>A Pol III limit the transcription of their respective transcripts and thereby control their size-scaling remains to be investigated.</w:t>
      </w:r>
    </w:p>
    <w:p w14:paraId="6DFE3AD0" w14:textId="77777777" w:rsidR="00066D11" w:rsidRDefault="00066D11">
      <w:pPr>
        <w:spacing w:after="0" w:line="240" w:lineRule="auto"/>
        <w:jc w:val="both"/>
        <w:rPr>
          <w:rFonts w:ascii="Arial" w:eastAsia="Times New Roman" w:hAnsi="Arial" w:cs="Arial"/>
          <w:color w:val="000000" w:themeColor="text1"/>
          <w:lang w:val="en-US" w:eastAsia="de-DE"/>
        </w:rPr>
      </w:pPr>
    </w:p>
    <w:p w14:paraId="4D23403D"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2.2 Translational capacity increases with cell size</w:t>
      </w:r>
    </w:p>
    <w:p w14:paraId="5C64359B" w14:textId="77777777" w:rsidR="00066D11" w:rsidRDefault="00E55468">
      <w:pPr>
        <w:spacing w:after="0" w:line="240" w:lineRule="auto"/>
        <w:jc w:val="both"/>
        <w:rPr>
          <w:rFonts w:ascii="Arial" w:eastAsia="Times New Roman" w:hAnsi="Arial" w:cs="Arial"/>
          <w:lang w:val="en-US" w:eastAsia="de-DE"/>
        </w:rPr>
      </w:pPr>
      <w:r>
        <w:rPr>
          <w:lang w:val="en-US"/>
        </w:rPr>
        <w:br/>
      </w:r>
      <w:r>
        <w:rPr>
          <w:rFonts w:ascii="Arial" w:eastAsia="Times New Roman" w:hAnsi="Arial" w:cs="Arial"/>
          <w:color w:val="000000" w:themeColor="text1"/>
          <w:lang w:val="en-US" w:eastAsia="de-DE"/>
        </w:rPr>
        <w:t>Since both mRNA and ribosome amounts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w:instrText>
      </w:r>
      <w:r>
        <w:rPr>
          <w:rFonts w:ascii="Arial" w:eastAsia="Times New Roman" w:hAnsi="Arial" w:cs="Arial"/>
          <w:color w:val="000000" w:themeColor="text1"/>
          <w:lang w:val="en-US" w:eastAsia="de-DE"/>
        </w:rPr>
        <w:instrText>{"citationItems":[{"id":"ITEM-1","itemData":{"DOI":"10.1007/BF00382269/METRICS","ISSN":"00268925","PMID":"372745","abstract":"Centrifugal elutriation was used to separate cells in different stages of the cell cycle from a culture of Saccharomyces cerevisia</w:instrText>
      </w:r>
      <w:r>
        <w:rPr>
          <w:rFonts w:ascii="Arial" w:eastAsia="Times New Roman" w:hAnsi="Arial" w:cs="Arial"/>
          <w:color w:val="000000" w:themeColor="text1"/>
          <w:lang w:val="en-US" w:eastAsia="de-DE"/>
        </w:rPr>
        <w:instrText>e in balanced exponential growth. The rate of DNA and RNA synthesis was determined using a pulse-long-term label technique that is capable of distinguishing between exponential, linear, and periodic variations in the rate of synthesis through the cell cycl</w:instrText>
      </w:r>
      <w:r>
        <w:rPr>
          <w:rFonts w:ascii="Arial" w:eastAsia="Times New Roman" w:hAnsi="Arial" w:cs="Arial"/>
          <w:color w:val="000000" w:themeColor="text1"/>
          <w:lang w:val="en-US" w:eastAsia="de-DE"/>
        </w:rPr>
        <w:instrText>e. It was found that while the rate of DNA synthesis varies periodically through the cell cycle, the rate of synthesis of mRNA, rRNA, and tRNA increases exponentially through the cell cycle. The implications of these findings for the control of RNA synthes</w:instrText>
      </w:r>
      <w:r>
        <w:rPr>
          <w:rFonts w:ascii="Arial" w:eastAsia="Times New Roman" w:hAnsi="Arial" w:cs="Arial"/>
          <w:color w:val="000000" w:themeColor="text1"/>
          <w:lang w:val="en-US" w:eastAsia="de-DE"/>
        </w:rPr>
        <w:instrText>is are discussed. © 1979 Springer-Verlag.","author":[{"dropping-particle":"","family":"Elliott","given":"Steven G.","non-dropping-particle":"","parse-names":false,"suffix":""},{"dropping-particle":"","family":"McLaughlin","given":"Calvin S.","non-dropping-</w:instrText>
      </w:r>
      <w:r>
        <w:rPr>
          <w:rFonts w:ascii="Arial" w:eastAsia="Times New Roman" w:hAnsi="Arial" w:cs="Arial"/>
          <w:color w:val="000000" w:themeColor="text1"/>
          <w:lang w:val="en-US" w:eastAsia="de-DE"/>
        </w:rPr>
        <w:instrText>particle":"","parse-names":false,"suffix":""}],"container-title":"MGG Molecular &amp; General Genetics","id":"ITEM-1","issue":"3","issued":{"date-parts":[["1979","1"]]},"page":"237-243","publisher":"Springer-Verlag","title":"Regulation of RNA synthesis in yeas</w:instrText>
      </w:r>
      <w:r>
        <w:rPr>
          <w:rFonts w:ascii="Arial" w:eastAsia="Times New Roman" w:hAnsi="Arial" w:cs="Arial"/>
          <w:color w:val="000000" w:themeColor="text1"/>
          <w:lang w:val="en-US" w:eastAsia="de-DE"/>
        </w:rPr>
        <w:instrText>t III - Synthesis during the cell cycle","type":"article-journal","volume":"169"},"uris":["http://www.mendeley.com/documents/?uuid=39232bdf-d370-325b-898b-cd41e7595709"]},{"id":"ITEM-2","itemData":{"DOI":"10.1073/PNAS.1310377110/SUPPL_FILE/PNAS.201310377SI</w:instrText>
      </w:r>
      <w:r>
        <w:rPr>
          <w:rFonts w:ascii="Arial" w:eastAsia="Times New Roman" w:hAnsi="Arial" w:cs="Arial"/>
          <w:color w:val="000000" w:themeColor="text1"/>
          <w:lang w:val="en-US" w:eastAsia="de-DE"/>
        </w:rPr>
        <w:instrText>.PDF","ISSN":"00278424","PMID":"24082144","abstract":"Bacterial growth is crucially dependent on protein synthesis and thus on the cellular abundance of ribosomes and related proteins. Here, we show that the slow diffusion of the bulky tRNA complexes in th</w:instrText>
      </w:r>
      <w:r>
        <w:rPr>
          <w:rFonts w:ascii="Arial" w:eastAsia="Times New Roman" w:hAnsi="Arial" w:cs="Arial"/>
          <w:color w:val="000000" w:themeColor="text1"/>
          <w:lang w:val="en-US" w:eastAsia="de-DE"/>
        </w:rPr>
        <w:instrText>e crowded cytoplasm imposes a physical limit on the speed of translation, which ultimately limits the rate of cell growth. To study the required allocation of ancillary translational proteins to alleviate the effect of molecular crowding, we develop a mode</w:instrText>
      </w:r>
      <w:r>
        <w:rPr>
          <w:rFonts w:ascii="Arial" w:eastAsia="Times New Roman" w:hAnsi="Arial" w:cs="Arial"/>
          <w:color w:val="000000" w:themeColor="text1"/>
          <w:lang w:val="en-US" w:eastAsia="de-DE"/>
        </w:rPr>
        <w:instrText xml:space="preserve">l for cell growth based on a coarse-grained partitioning of the proteome. We find that coregulation of ribosome- and tRNA-affiliated proteins is consistent with measured growth-rate dependencies and results in near-optimal allocation over a broad range of </w:instrText>
      </w:r>
      <w:r>
        <w:rPr>
          <w:rFonts w:ascii="Arial" w:eastAsia="Times New Roman" w:hAnsi="Arial" w:cs="Arial"/>
          <w:color w:val="000000" w:themeColor="text1"/>
          <w:lang w:val="en-US" w:eastAsia="de-DE"/>
        </w:rPr>
        <w:instrText>growth rates. The analysis further resolves a long-standing controversy in bacterial growth physiology concerning the growth-rate dependence of translation speed and serves as a caution against premature identification of phenomenological parameters with m</w:instrText>
      </w:r>
      <w:r>
        <w:rPr>
          <w:rFonts w:ascii="Arial" w:eastAsia="Times New Roman" w:hAnsi="Arial" w:cs="Arial"/>
          <w:color w:val="000000" w:themeColor="text1"/>
          <w:lang w:val="en-US" w:eastAsia="de-DE"/>
        </w:rPr>
        <w:instrText>echanistic processes.","author":[{"dropping-particle":"","family":"Klumpp","given":"Stefan","non-dropping-particle":"","parse-names":false,"suffix":""},{"dropping-particle":"","family":"Scott","given":"Matthew","non-dropping-particle":"","parse-names":fals</w:instrText>
      </w:r>
      <w:r>
        <w:rPr>
          <w:rFonts w:ascii="Arial" w:eastAsia="Times New Roman" w:hAnsi="Arial" w:cs="Arial"/>
          <w:color w:val="000000" w:themeColor="text1"/>
          <w:lang w:val="en-US" w:eastAsia="de-DE"/>
        </w:rPr>
        <w:instrText>e,"suffix":""},{"dropping-particle":"","family":"Pedersen","given":"Steen","non-dropping-particle":"","parse-names":false,"suffix":""},{"dropping-particle":"","family":"Hwa","given":"Terence","non-dropping-particle":"","parse-names":false,"suffix":""}],"co</w:instrText>
      </w:r>
      <w:r>
        <w:rPr>
          <w:rFonts w:ascii="Arial" w:eastAsia="Times New Roman" w:hAnsi="Arial" w:cs="Arial"/>
          <w:color w:val="000000" w:themeColor="text1"/>
          <w:lang w:val="en-US" w:eastAsia="de-DE"/>
        </w:rPr>
        <w:instrText>ntainer-title":"Proceedings of the National Academy of Sciences of the United States of America","id":"ITEM-2","issue":"42","issued":{"date-parts":[["2013","10","15"]]},"page":"16754-16759","publisher":"National Academy of Sciences","title":"Molecular crow</w:instrText>
      </w:r>
      <w:r>
        <w:rPr>
          <w:rFonts w:ascii="Arial" w:eastAsia="Times New Roman" w:hAnsi="Arial" w:cs="Arial"/>
          <w:color w:val="000000" w:themeColor="text1"/>
          <w:lang w:val="en-US" w:eastAsia="de-DE"/>
        </w:rPr>
        <w:instrText>ding limits translation and cell growth","type":"article-journal","volume":"110"},"uris":["http://www.mendeley.com/documents/?uuid=6850483c-b4cb-3e63-b2f0-ff8d99324224"]},{"id":"ITEM-3","itemData":{"author":[{"dropping-particle":"","family":"Swaffer","give</w:instrText>
      </w:r>
      <w:r>
        <w:rPr>
          <w:rFonts w:ascii="Arial" w:eastAsia="Times New Roman" w:hAnsi="Arial" w:cs="Arial"/>
          <w:color w:val="000000" w:themeColor="text1"/>
          <w:lang w:val="en-US" w:eastAsia="de-DE"/>
        </w:rPr>
        <w:instrText>n":"Matthew P","non-dropping-particle":"","parse-names":false,"suffix":""},{"dropping-particle":"","family":"Kim","given":"Jacob","non-dropping-particle":"","parse-names":false,"suffix":""},{"dropping-particle":"","family":"Chandler-Brown","given":"Devon",</w:instrText>
      </w:r>
      <w:r>
        <w:rPr>
          <w:rFonts w:ascii="Arial" w:eastAsia="Times New Roman" w:hAnsi="Arial" w:cs="Arial"/>
          <w:color w:val="000000" w:themeColor="text1"/>
          <w:lang w:val="en-US" w:eastAsia="de-DE"/>
        </w:rPr>
        <w:instrText>"non-dropping-particle":"","parse-names":false,"suffix":""},{"dropping-particle":"","family":"Langhinrichs","given":"Maurice","non-dropping-particle":"","parse-names":false,"suffix":""},{"dropping-particle":"","family":"Marinov","given":"Georgi","non-dropp</w:instrText>
      </w:r>
      <w:r>
        <w:rPr>
          <w:rFonts w:ascii="Arial" w:eastAsia="Times New Roman" w:hAnsi="Arial" w:cs="Arial"/>
          <w:color w:val="000000" w:themeColor="text1"/>
          <w:lang w:val="en-US" w:eastAsia="de-DE"/>
        </w:rPr>
        <w:instrText>ing-particle":"","parse-names":false,"suffix":""},{"dropping-particle":"","family":"Greenleaf","given":"William J","non-dropping-particle":"","parse-names":false,"suffix":""},{"dropping-particle":"","family":"Kundaje","given":"Anshul","non-dropping-particl</w:instrText>
      </w:r>
      <w:r>
        <w:rPr>
          <w:rFonts w:ascii="Arial" w:eastAsia="Times New Roman" w:hAnsi="Arial" w:cs="Arial"/>
          <w:color w:val="000000" w:themeColor="text1"/>
          <w:lang w:val="en-US" w:eastAsia="de-DE"/>
        </w:rPr>
        <w:instrText>e":"","parse-names":false,"suffix":""},{"dropping-particle":"","family":"Schmoller","given":"Kurt M","non-dropping-particle":"","parse-names":false,"suffix":""},{"dropping-particle":"","family":"Skotheim","given":"Jan M","non-dropping-particle":"","parse-n</w:instrText>
      </w:r>
      <w:r>
        <w:rPr>
          <w:rFonts w:ascii="Arial" w:eastAsia="Times New Roman" w:hAnsi="Arial" w:cs="Arial"/>
          <w:color w:val="000000" w:themeColor="text1"/>
          <w:lang w:val="en-US" w:eastAsia="de-DE"/>
        </w:rPr>
        <w:instrText>ames":false,"suffix":""}],"container-title":"Molecular cell","id":"ITEM-3","issued":{"date-parts":[["2021"]]},"page":"4861-4875","title":"Transcriptional and chromatin-based partitioning mechanisms uncouple protein scaling from cell size","type":"article-j</w:instrText>
      </w:r>
      <w:r>
        <w:rPr>
          <w:rFonts w:ascii="Arial" w:eastAsia="Times New Roman" w:hAnsi="Arial" w:cs="Arial"/>
          <w:color w:val="000000" w:themeColor="text1"/>
          <w:lang w:val="en-US" w:eastAsia="de-DE"/>
        </w:rPr>
        <w:instrText>ournal","volume":"81"},"uris":["http://www.mendeley.com/documents/?uuid=1fdceeb1-8ea8-46cd-97f8-5f08dbc8e2bf"]},{"id":"ITEM-4","itemData":{"DOI":"10.1016/J.MOLCEL.2022.07.017","ISSN":"1097-2765","PMID":"35987199","abstract":"Cell size is tightly controlled</w:instrText>
      </w:r>
      <w:r>
        <w:rPr>
          <w:rFonts w:ascii="Arial" w:eastAsia="Times New Roman" w:hAnsi="Arial" w:cs="Arial"/>
          <w:color w:val="000000" w:themeColor="text1"/>
          <w:lang w:val="en-US" w:eastAsia="de-DE"/>
        </w:rPr>
        <w:instrText xml:space="preserve"> in healthy tissues, but it is unclear how deviations in cell size affect cell physiology. To address this, we measured how the cell's proteome changes with increasing cell size. Size-dependent protein concentration changes are widespread and predicted by </w:instrText>
      </w:r>
      <w:r>
        <w:rPr>
          <w:rFonts w:ascii="Arial" w:eastAsia="Times New Roman" w:hAnsi="Arial" w:cs="Arial"/>
          <w:color w:val="000000" w:themeColor="text1"/>
          <w:lang w:val="en-US" w:eastAsia="de-DE"/>
        </w:rPr>
        <w:instrText>subcellular localization, size-dependent mRNA concentrations, and protein turnover. As proliferating cells grow larger, concentration changes typically associated with cellular senescence are increasingly pronounced, suggesting that large size may be a cau</w:instrText>
      </w:r>
      <w:r>
        <w:rPr>
          <w:rFonts w:ascii="Arial" w:eastAsia="Times New Roman" w:hAnsi="Arial" w:cs="Arial"/>
          <w:color w:val="000000" w:themeColor="text1"/>
          <w:lang w:val="en-US" w:eastAsia="de-DE"/>
        </w:rPr>
        <w:instrText>se rather than just a consequence of cell senescence. Consistent with this hypothesis, larger cells are prone to replicative, DNA-damage-induced, and CDK4/6i-induced senescence. Size-dependent changes to the proteome, including those associated with senesc</w:instrText>
      </w:r>
      <w:r>
        <w:rPr>
          <w:rFonts w:ascii="Arial" w:eastAsia="Times New Roman" w:hAnsi="Arial" w:cs="Arial"/>
          <w:color w:val="000000" w:themeColor="text1"/>
          <w:lang w:val="en-US" w:eastAsia="de-DE"/>
        </w:rPr>
        <w:instrText>ence, are not observed when an increase in cell size is accompanied by an increase in ploidy. Together, our findings show how cell size could impact many aspects of cell physiology by remodeling the proteome and provide a rationale for cell size control an</w:instrText>
      </w:r>
      <w:r>
        <w:rPr>
          <w:rFonts w:ascii="Arial" w:eastAsia="Times New Roman" w:hAnsi="Arial" w:cs="Arial"/>
          <w:color w:val="000000" w:themeColor="text1"/>
          <w:lang w:val="en-US" w:eastAsia="de-DE"/>
        </w:rPr>
        <w:instrText>d polyploidization.","author":[{"dropping-particle":"","family":"Lanz","given":"Michael C.","non-dropping-particle":"","parse-names":false,"suffix":""},{"dropping-particle":"","family":"Zatulovskiy","given":"Evgeny","non-dropping-particle":"","parse-names"</w:instrText>
      </w:r>
      <w:r>
        <w:rPr>
          <w:rFonts w:ascii="Arial" w:eastAsia="Times New Roman" w:hAnsi="Arial" w:cs="Arial"/>
          <w:color w:val="000000" w:themeColor="text1"/>
          <w:lang w:val="en-US" w:eastAsia="de-DE"/>
        </w:rPr>
        <w:instrText>:false,"suffix":""},{"dropping-particle":"","family":"Swaffer","given":"Matthew P.","non-dropping-particle":"","parse-names":false,"suffix":""},{"dropping-particle":"","family":"Zhang","given":"Lichao","non-dropping-particle":"","parse-names":false,"suffix</w:instrText>
      </w:r>
      <w:r>
        <w:rPr>
          <w:rFonts w:ascii="Arial" w:eastAsia="Times New Roman" w:hAnsi="Arial" w:cs="Arial"/>
          <w:color w:val="000000" w:themeColor="text1"/>
          <w:lang w:val="en-US" w:eastAsia="de-DE"/>
        </w:rPr>
        <w:instrText>":""},{"dropping-particle":"","family":"Ilerten","given":"Ilayda","non-dropping-particle":"","parse-names":false,"suffix":""},{"dropping-particle":"","family":"Zhang","given":"Shuyuan","non-dropping-particle":"","parse-names":false,"suffix":""},{"dropping-</w:instrText>
      </w:r>
      <w:r>
        <w:rPr>
          <w:rFonts w:ascii="Arial" w:eastAsia="Times New Roman" w:hAnsi="Arial" w:cs="Arial"/>
          <w:color w:val="000000" w:themeColor="text1"/>
          <w:lang w:val="en-US" w:eastAsia="de-DE"/>
        </w:rPr>
        <w:instrText>particle":"","family":"You","given":"Dong Shin","non-dropping-particle":"","parse-names":false,"suffix":""},{"dropping-particle":"","family":"Marinov","given":"Georgi","non-dropping-particle":"","parse-names":false,"suffix":""},{"dropping-particle":"","fam</w:instrText>
      </w:r>
      <w:r>
        <w:rPr>
          <w:rFonts w:ascii="Arial" w:eastAsia="Times New Roman" w:hAnsi="Arial" w:cs="Arial"/>
          <w:color w:val="000000" w:themeColor="text1"/>
          <w:lang w:val="en-US" w:eastAsia="de-DE"/>
        </w:rPr>
        <w:instrText>ily":"McAlpine","given":"Patrick","non-dropping-particle":"","parse-names":false,"suffix":""},{"dropping-particle":"","family":"Elias","given":"Joshua E.","non-dropping-particle":"","parse-names":false,"suffix":""},{"dropping-particle":"","family":"Skothei</w:instrText>
      </w:r>
      <w:r>
        <w:rPr>
          <w:rFonts w:ascii="Arial" w:eastAsia="Times New Roman" w:hAnsi="Arial" w:cs="Arial"/>
          <w:color w:val="000000" w:themeColor="text1"/>
          <w:lang w:val="en-US" w:eastAsia="de-DE"/>
        </w:rPr>
        <w:instrText>m","given":"Jan M.","non-dropping-particle":"","parse-names":false,"suffix":""}],"container-title":"Molecular Cell","id":"ITEM-4","issue":"17","issued":{"date-parts":[["2022","9","1"]]},"page":"3255-3269.e8","publisher":"Cell Press","title":"Increasing cel</w:instrText>
      </w:r>
      <w:r>
        <w:rPr>
          <w:rFonts w:ascii="Arial" w:eastAsia="Times New Roman" w:hAnsi="Arial" w:cs="Arial"/>
          <w:color w:val="000000" w:themeColor="text1"/>
          <w:lang w:val="en-US" w:eastAsia="de-DE"/>
        </w:rPr>
        <w:instrText>l size remodels the proteome and promotes senescence","type":"article-journal","volume":"82"},"uris":["http://www.mendeley.com/documents/?uuid=8e51a3f0-6440-3670-854f-e466aa3f4159"]},{"id":"ITEM-5","itemData":{"DOI":"10.1101/2023.10.16.562558","abstract":"</w:instrText>
      </w:r>
      <w:r>
        <w:rPr>
          <w:rFonts w:ascii="Arial" w:eastAsia="Times New Roman" w:hAnsi="Arial" w:cs="Arial"/>
          <w:color w:val="000000" w:themeColor="text1"/>
          <w:lang w:val="en-US" w:eastAsia="de-DE"/>
        </w:rPr>
        <w:instrText>Cell size is tightly controlled in healthy tissues and single-celled organisms, but it remains unclear how size influences cell physiology. Increasing cell size was recently shown to remodel the proteomes of cultured human cells, demonstrating that large a</w:instrText>
      </w:r>
      <w:r>
        <w:rPr>
          <w:rFonts w:ascii="Arial" w:eastAsia="Times New Roman" w:hAnsi="Arial" w:cs="Arial"/>
          <w:color w:val="000000" w:themeColor="text1"/>
          <w:lang w:val="en-US" w:eastAsia="de-DE"/>
        </w:rPr>
        <w:instrText>nd small cells of the same type can be biochemically different. Here, we corroborate these results in mouse hepatocytes and extend our analysis using yeast. We find that size-dependent proteome changes are highly conserved and mostly independent of metabol</w:instrText>
      </w:r>
      <w:r>
        <w:rPr>
          <w:rFonts w:ascii="Arial" w:eastAsia="Times New Roman" w:hAnsi="Arial" w:cs="Arial"/>
          <w:color w:val="000000" w:themeColor="text1"/>
          <w:lang w:val="en-US" w:eastAsia="de-DE"/>
        </w:rPr>
        <w:instrText>ic state. As eukaryotic cells grow larger, the dilution of the genome elicits a starvation-like proteome phenotype, suggesting that growth in large cells is limited by the genome in a manner analogous to a limiting nutrient. We also demonstrate that the pr</w:instrText>
      </w:r>
      <w:r>
        <w:rPr>
          <w:rFonts w:ascii="Arial" w:eastAsia="Times New Roman" w:hAnsi="Arial" w:cs="Arial"/>
          <w:color w:val="000000" w:themeColor="text1"/>
          <w:lang w:val="en-US" w:eastAsia="de-DE"/>
        </w:rPr>
        <w:instrText>oteomes of replicatively-aged yeast are primarily determined by their large size. Overall, our data suggest that genome concentration is a universal determinant of proteome content in growing cells.\n\n### Competing Interest Statement\n\nThe authors have d</w:instrText>
      </w:r>
      <w:r>
        <w:rPr>
          <w:rFonts w:ascii="Arial" w:eastAsia="Times New Roman" w:hAnsi="Arial" w:cs="Arial"/>
          <w:color w:val="000000" w:themeColor="text1"/>
          <w:lang w:val="en-US" w:eastAsia="de-DE"/>
        </w:rPr>
        <w:instrText>eclared no competing interest.","author":[{"dropping-particle":"","family":"Lanz","given":"Michael C","non-dropping-particle":"","parse-names":false,"suffix":""},{"dropping-particle":"","family":"Zhang","given":"Shuyuan","non-dropping-particle":"","parse-n</w:instrText>
      </w:r>
      <w:r>
        <w:rPr>
          <w:rFonts w:ascii="Arial" w:eastAsia="Times New Roman" w:hAnsi="Arial" w:cs="Arial"/>
          <w:color w:val="000000" w:themeColor="text1"/>
          <w:lang w:val="en-US" w:eastAsia="de-DE"/>
        </w:rPr>
        <w:instrText>ames":false,"suffix":""},{"dropping-particle":"","family":"Swaffer","given":"Matthew P","non-dropping-particle":"","parse-names":false,"suffix":""},{"dropping-particle":"","family":"Ziv-Uziel","given":"Inbal","non-dropping-particle":"","parse-names":false,</w:instrText>
      </w:r>
      <w:r>
        <w:rPr>
          <w:rFonts w:ascii="Arial" w:eastAsia="Times New Roman" w:hAnsi="Arial" w:cs="Arial"/>
          <w:color w:val="000000" w:themeColor="text1"/>
          <w:lang w:val="en-US" w:eastAsia="de-DE"/>
        </w:rPr>
        <w:instrText>"suffix":""},{"dropping-particle":"","family":"Hernendez-Gotz","given":"Luisa","non-dropping-particle":"","parse-names":false,"suffix":""},{"dropping-particle":"","family":"Jaroz","given":"Dan F","non-dropping-particle":"","parse-names":false,"suffix":""},</w:instrText>
      </w:r>
      <w:r>
        <w:rPr>
          <w:rFonts w:ascii="Arial" w:eastAsia="Times New Roman" w:hAnsi="Arial" w:cs="Arial"/>
          <w:color w:val="000000" w:themeColor="text1"/>
          <w:lang w:val="en-US" w:eastAsia="de-DE"/>
        </w:rPr>
        <w:instrText>{"dropping-particle":"","family":"Elias","given":"Joshua E","non-dropping-particle":"","parse-names":false,"suffix":""},{"dropping-particle":"","family":"Skotheim","given":"Jan M","non-dropping-particle":"","parse-names":false,"suffix":""},{"dropping-parti</w:instrText>
      </w:r>
      <w:r>
        <w:rPr>
          <w:rFonts w:ascii="Arial" w:eastAsia="Times New Roman" w:hAnsi="Arial" w:cs="Arial"/>
          <w:color w:val="000000" w:themeColor="text1"/>
          <w:lang w:val="en-US" w:eastAsia="de-DE"/>
        </w:rPr>
        <w:instrText>cle":"","family":"Zuckerberg Biohub San Francisco","given":"Chan","non-dropping-particle":"","parse-names":false,"suffix":""}],"container-title":"bioRxiv","id":"ITEM-5","issued":{"date-parts":[["2023","10","19"]]},"page":"2023.10.16.562558","publisher":"Co</w:instrText>
      </w:r>
      <w:r>
        <w:rPr>
          <w:rFonts w:ascii="Arial" w:eastAsia="Times New Roman" w:hAnsi="Arial" w:cs="Arial"/>
          <w:color w:val="000000" w:themeColor="text1"/>
          <w:lang w:val="en-US" w:eastAsia="de-DE"/>
        </w:rPr>
        <w:instrText>ld Spring Harbor Laboratory","title":"Genome dilution by cell growth drives starvation-like proteome remodeling in mammalian and yeast cells","type":"article-journal"},"uris":["http://www.mendeley.com/documents/?uuid=ec827699-72ee-38c4-93fe-fae1f642ec2d"]}</w:instrText>
      </w:r>
      <w:r>
        <w:rPr>
          <w:rFonts w:ascii="Arial" w:eastAsia="Times New Roman" w:hAnsi="Arial" w:cs="Arial"/>
          <w:color w:val="000000" w:themeColor="text1"/>
          <w:lang w:val="en-US" w:eastAsia="de-DE"/>
        </w:rPr>
        <w:instrText>],"mendeley":{"formattedCitation":"&lt;sup&gt;4,5,39,41,42&lt;/sup&gt;","plainTextFormattedCitation":"4,5,39,41,42","previouslyFormattedCitation":"&lt;sup&gt;4,5,39,41,42&lt;/sup&gt;"},"properties":{"noteIndex":0},"schema":"https://github.com/citation-style-language/schema/raw/ma</w:instrText>
      </w:r>
      <w:r>
        <w:rPr>
          <w:rFonts w:ascii="Arial" w:eastAsia="Times New Roman" w:hAnsi="Arial" w:cs="Arial"/>
          <w:color w:val="000000" w:themeColor="text1"/>
          <w:lang w:val="en-US" w:eastAsia="de-DE"/>
        </w:rPr>
        <w:instrText>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4,5,39,41,42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increase with cell size, it seems intuitive that a simple model where ribosomes are limiting for global translation accounts for the size dependence of total protein amount. However, recent evidence suggests that whi</w:t>
      </w:r>
      <w:r>
        <w:rPr>
          <w:rFonts w:ascii="Arial" w:eastAsia="Times New Roman" w:hAnsi="Arial" w:cs="Arial"/>
          <w:color w:val="000000" w:themeColor="text1"/>
          <w:lang w:val="en-US" w:eastAsia="de-DE"/>
        </w:rPr>
        <w:t>le the global translation rate per cell increases with size, this scaling is sublinear, especially in large cells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{"citationItems":[{"id":"ITEM-1","itemData":{"DOI":"10.3389/FCELL.2022.980721/BIBTEX","ISSN":"2296634X","abstract":"Increasi</w:instrText>
      </w:r>
      <w:r>
        <w:rPr>
          <w:rFonts w:ascii="Arial" w:eastAsia="Times New Roman" w:hAnsi="Arial" w:cs="Arial"/>
          <w:color w:val="000000" w:themeColor="text1"/>
          <w:lang w:val="en-US" w:eastAsia="de-DE"/>
        </w:rPr>
        <w:instrText>ng cell size drives changes to the proteome, which affects cell physiology. As cell size increases, some proteins become more concentrated while others are diluted. As a result, the state of the cell changes continuously with increasing size. In addition t</w:instrText>
      </w:r>
      <w:r>
        <w:rPr>
          <w:rFonts w:ascii="Arial" w:eastAsia="Times New Roman" w:hAnsi="Arial" w:cs="Arial"/>
          <w:color w:val="000000" w:themeColor="text1"/>
          <w:lang w:val="en-US" w:eastAsia="de-DE"/>
        </w:rPr>
        <w:instrText>o these proteomic changes, large cells have a lower growth rate (protein synthesis rate per unit volume). That both the cell’s proteome and growth rate change with cell size suggests they may be interdependent. To test this, we used quantitative mass spect</w:instrText>
      </w:r>
      <w:r>
        <w:rPr>
          <w:rFonts w:ascii="Arial" w:eastAsia="Times New Roman" w:hAnsi="Arial" w:cs="Arial"/>
          <w:color w:val="000000" w:themeColor="text1"/>
          <w:lang w:val="en-US" w:eastAsia="de-DE"/>
        </w:rPr>
        <w:instrText xml:space="preserve">rometry to measure how the proteome changes in response to the mTOR inhibitor rapamycin, which decreases the cellular growth rate and has only a minimal effect on cell size. We found that large cell size and mTOR inhibition, both of which lower the growth </w:instrText>
      </w:r>
      <w:r>
        <w:rPr>
          <w:rFonts w:ascii="Arial" w:eastAsia="Times New Roman" w:hAnsi="Arial" w:cs="Arial"/>
          <w:color w:val="000000" w:themeColor="text1"/>
          <w:lang w:val="en-US" w:eastAsia="de-DE"/>
        </w:rPr>
        <w:instrText>rate of a cell, remodel the proteome in similar ways. This suggests that many of the effects of cell size are mediated by the size-dependent slowdown of the cellular growth rate. For example, the previously reported size-dependent expression of some senesc</w:instrText>
      </w:r>
      <w:r>
        <w:rPr>
          <w:rFonts w:ascii="Arial" w:eastAsia="Times New Roman" w:hAnsi="Arial" w:cs="Arial"/>
          <w:color w:val="000000" w:themeColor="text1"/>
          <w:lang w:val="en-US" w:eastAsia="de-DE"/>
        </w:rPr>
        <w:instrText>ence markers could reflect a cell’s declining growth rate rather than its size per se. In contrast, histones and other chromatin components are diluted in large cells independently of the growth rate, likely so that they remain in proportion with the genom</w:instrText>
      </w:r>
      <w:r>
        <w:rPr>
          <w:rFonts w:ascii="Arial" w:eastAsia="Times New Roman" w:hAnsi="Arial" w:cs="Arial"/>
          <w:color w:val="000000" w:themeColor="text1"/>
          <w:lang w:val="en-US" w:eastAsia="de-DE"/>
        </w:rPr>
        <w:instrText>e. Finally, size-dependent changes to the cell’s growth rate and proteome composition are still apparent in cells continually exposed to a saturating dose of rapamycin, which indicates that cell size can affect the proteome independently of mTORC1 signalin</w:instrText>
      </w:r>
      <w:r>
        <w:rPr>
          <w:rFonts w:ascii="Arial" w:eastAsia="Times New Roman" w:hAnsi="Arial" w:cs="Arial"/>
          <w:color w:val="000000" w:themeColor="text1"/>
          <w:lang w:val="en-US" w:eastAsia="de-DE"/>
        </w:rPr>
        <w:instrText>g. Taken together, our results clarify the dependencies between cell size, growth, mTOR activity, and the proteome remodeling that ultimately controls many aspects of cell physiology.","author":[{"dropping-particle":"","family":"Zatulovskiy","given":"Evgen</w:instrText>
      </w:r>
      <w:r>
        <w:rPr>
          <w:rFonts w:ascii="Arial" w:eastAsia="Times New Roman" w:hAnsi="Arial" w:cs="Arial"/>
          <w:color w:val="000000" w:themeColor="text1"/>
          <w:lang w:val="en-US" w:eastAsia="de-DE"/>
        </w:rPr>
        <w:instrText>y","non-dropping-particle":"","parse-names":false,"suffix":""},{"dropping-particle":"","family":"Lanz","given":"Michael C.","non-dropping-particle":"","parse-names":false,"suffix":""},{"dropping-particle":"","family":"Zhang","given":"Shuyuan","non-dropping</w:instrText>
      </w:r>
      <w:r>
        <w:rPr>
          <w:rFonts w:ascii="Arial" w:eastAsia="Times New Roman" w:hAnsi="Arial" w:cs="Arial"/>
          <w:color w:val="000000" w:themeColor="text1"/>
          <w:lang w:val="en-US" w:eastAsia="de-DE"/>
        </w:rPr>
        <w:instrText>-particle":"","parse-names":false,"suffix":""},{"dropping-particle":"","family":"McCarthy","given":"Frank","non-dropping-particle":"","parse-names":false,"suffix":""},{"dropping-particle":"","family":"Elias","given":"Joshua E.","non-dropping-particle":"","</w:instrText>
      </w:r>
      <w:r>
        <w:rPr>
          <w:rFonts w:ascii="Arial" w:eastAsia="Times New Roman" w:hAnsi="Arial" w:cs="Arial"/>
          <w:color w:val="000000" w:themeColor="text1"/>
          <w:lang w:val="en-US" w:eastAsia="de-DE"/>
        </w:rPr>
        <w:instrText>parse-names":false,"suffix":""},{"dropping-particle":"","family":"Skotheim","given":"Jan M.","non-dropping-particle":"","parse-names":false,"suffix":""}],"container-title":"Frontiers in Cell and Developmental Biology","id":"ITEM-1","issued":{"date-parts":[</w:instrText>
      </w:r>
      <w:r>
        <w:rPr>
          <w:rFonts w:ascii="Arial" w:eastAsia="Times New Roman" w:hAnsi="Arial" w:cs="Arial"/>
          <w:color w:val="000000" w:themeColor="text1"/>
          <w:lang w:val="en-US" w:eastAsia="de-DE"/>
        </w:rPr>
        <w:instrText>["2022","9","5"]]},"page":"980721","publisher":"Frontiers Media S.A.","title":"Delineation of proteome changes driven by cell size and growth rate","type":"article-journal","volume":"10"},"uris":["http://www.mendeley.com/documents/?uuid=dca8c2c4-f756-3a34-</w:instrText>
      </w:r>
      <w:r>
        <w:rPr>
          <w:rFonts w:ascii="Arial" w:eastAsia="Times New Roman" w:hAnsi="Arial" w:cs="Arial"/>
          <w:color w:val="000000" w:themeColor="text1"/>
          <w:lang w:val="en-US" w:eastAsia="de-DE"/>
        </w:rPr>
        <w:instrText>ab4d-ae017705b916"]},{"id":"ITEM-2","itemData":{"DOI":"10.15252/EMBJ.2022113333","ISSN":"1460-2075","PMID":"36951016","abstract":"How the production of biomass is controlled as cells increase in size and proceed through the cell cycle events is important f</w:instrText>
      </w:r>
      <w:r>
        <w:rPr>
          <w:rFonts w:ascii="Arial" w:eastAsia="Times New Roman" w:hAnsi="Arial" w:cs="Arial"/>
          <w:color w:val="000000" w:themeColor="text1"/>
          <w:lang w:val="en-US" w:eastAsia="de-DE"/>
        </w:rPr>
        <w:instrText xml:space="preserve">or understanding the regulation of global cellular growth. This has been studied for decades but has not yielded consistent results, probably due to perturbations induced by the synchronisation methods used in most previous studies. To avoid this problem, </w:instrText>
      </w:r>
      <w:r>
        <w:rPr>
          <w:rFonts w:ascii="Arial" w:eastAsia="Times New Roman" w:hAnsi="Arial" w:cs="Arial"/>
          <w:color w:val="000000" w:themeColor="text1"/>
          <w:lang w:val="en-US" w:eastAsia="de-DE"/>
        </w:rPr>
        <w:instrText>we have developed a system to analyse unperturbed exponentially growing populations of fission yeast cells. We generated thousands of fixed single</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cell measurements of cell size, cell cycle stage and the levels of global cellular translation and transcript</w:instrText>
      </w:r>
      <w:r>
        <w:rPr>
          <w:rFonts w:ascii="Arial" w:eastAsia="Times New Roman" w:hAnsi="Arial" w:cs="Arial"/>
          <w:color w:val="000000" w:themeColor="text1"/>
          <w:lang w:val="en-US" w:eastAsia="de-DE"/>
        </w:rPr>
        <w:instrText>ion. We show that translation scales with size, and additionally, increases at late S</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phase/early G2 and early in mitosis and decreases later in mitosis, suggesting that cell cycle controls are also operative over global cellular translation. Transcription</w:instrText>
      </w:r>
      <w:r>
        <w:rPr>
          <w:rFonts w:ascii="Arial" w:eastAsia="Times New Roman" w:hAnsi="Arial" w:cs="Arial"/>
          <w:color w:val="000000" w:themeColor="text1"/>
          <w:lang w:val="en-US" w:eastAsia="de-DE"/>
        </w:rPr>
        <w:instrText xml:space="preserve"> increases with both size and the amount of DNA, suggesting that the level of transcription of a cell may be the result of a dynamic equilibrium between the number of RNA polymerases associating and disassociating from DNA.   image    Perturbations induced</w:instrText>
      </w:r>
      <w:r>
        <w:rPr>
          <w:rFonts w:ascii="Arial" w:eastAsia="Times New Roman" w:hAnsi="Arial" w:cs="Arial"/>
          <w:color w:val="000000" w:themeColor="text1"/>
          <w:lang w:val="en-US" w:eastAsia="de-DE"/>
        </w:rPr>
        <w:instrText xml:space="preserve"> by synchronization procedures have hampered the study of how biomass production is linked to the cell cycle and cell growth. Here, an assay using exponentially growing populations of fission yeast is developed to understand the influences of the cell cycl</w:instrText>
      </w:r>
      <w:r>
        <w:rPr>
          <w:rFonts w:ascii="Arial" w:eastAsia="Times New Roman" w:hAnsi="Arial" w:cs="Arial"/>
          <w:color w:val="000000" w:themeColor="text1"/>
          <w:lang w:val="en-US" w:eastAsia="de-DE"/>
        </w:rPr>
        <w:instrText>e and cell size on the global rates of production of proteins and RNA in unperturbed cells.   Both global transcription and translation increase with cell size.   In large cells, global translation becomes limited by cell size earlier than transcription do</w:instrText>
      </w:r>
      <w:r>
        <w:rPr>
          <w:rFonts w:ascii="Arial" w:eastAsia="Times New Roman" w:hAnsi="Arial" w:cs="Arial"/>
          <w:color w:val="000000" w:themeColor="text1"/>
          <w:lang w:val="en-US" w:eastAsia="de-DE"/>
        </w:rPr>
        <w:instrText>es.   Global translation is regulated by cell cycle events, increasing at the S/G2 transition and early in mitosis, and deceasing later in mitosis.   Global transcription appears to increase through S phase.   ","author":[{"dropping-particle":"","family":"</w:instrText>
      </w:r>
      <w:r>
        <w:rPr>
          <w:rFonts w:ascii="Arial" w:eastAsia="Times New Roman" w:hAnsi="Arial" w:cs="Arial"/>
          <w:color w:val="000000" w:themeColor="text1"/>
          <w:lang w:val="en-US" w:eastAsia="de-DE"/>
        </w:rPr>
        <w:instrText>Basier","given":"Clovis","non-dropping-particle":"","parse-names":false,"suffix":""},{"dropping-particle":"","family":"Nurse","given":"Paul","non-dropping-particle":"","parse-names":false,"suffix":""}],"container-title":"The EMBO Journal","id":"ITEM-2","is</w:instrText>
      </w:r>
      <w:r>
        <w:rPr>
          <w:rFonts w:ascii="Arial" w:eastAsia="Times New Roman" w:hAnsi="Arial" w:cs="Arial"/>
          <w:color w:val="000000" w:themeColor="text1"/>
          <w:lang w:val="en-US" w:eastAsia="de-DE"/>
        </w:rPr>
        <w:instrText>sue":"9","issued":{"date-parts":[["2023","5","2"]]},"page":"e113333","publisher":"John Wiley &amp; Sons, Ltd","title":"The cell cycle and cell size influence the rates of global cellular translation and transcription in fission yeast","type":"article-journal",</w:instrText>
      </w:r>
      <w:r>
        <w:rPr>
          <w:rFonts w:ascii="Arial" w:eastAsia="Times New Roman" w:hAnsi="Arial" w:cs="Arial"/>
          <w:color w:val="000000" w:themeColor="text1"/>
          <w:lang w:val="en-US" w:eastAsia="de-DE"/>
        </w:rPr>
        <w:instrText>"volume":"42"},"uris":["http://www.mendeley.com/documents/?uuid=a00f0cb6-2ffe-3010-bed8-c6465a70d8b5"]}],"mendeley":{"formattedCitation":"&lt;sup&gt;25,43&lt;/sup&gt;","plainTextFormattedCitation":"25,43","previouslyFormattedCitation":"&lt;sup&gt;25,43&lt;/sup&gt;"},"properties":</w:instrText>
      </w:r>
      <w:r>
        <w:rPr>
          <w:rFonts w:ascii="Arial" w:eastAsia="Times New Roman" w:hAnsi="Arial" w:cs="Arial"/>
          <w:color w:val="000000" w:themeColor="text1"/>
          <w:lang w:val="en-US" w:eastAsia="de-DE"/>
        </w:rPr>
        <w:instrText>{"noteIndex":0},"schema":"https://github.com/citation-style-language/schema/raw/master/csl-citation.json"}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25,43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Besides a non-perfect scaling of ribosome amounts, one explanation could be that the fraction of active ribosomes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w:instrText>
      </w:r>
      <w:r>
        <w:rPr>
          <w:rFonts w:ascii="Arial" w:eastAsia="Times New Roman" w:hAnsi="Arial" w:cs="Arial"/>
          <w:color w:val="000000" w:themeColor="text1"/>
          <w:lang w:val="en-US" w:eastAsia="de-DE"/>
        </w:rPr>
        <w:instrText>onItems":[{"id":"ITEM-1","itemData":{"DOI":"10.1126/science.1192588","ISSN":"1095-9203","PMID":"21097934","abstract":"In bacteria, the rate of cell proliferation and the level of gene expression are intimately intertwined. Elucidating these relations is im</w:instrText>
      </w:r>
      <w:r>
        <w:rPr>
          <w:rFonts w:ascii="Arial" w:eastAsia="Times New Roman" w:hAnsi="Arial" w:cs="Arial"/>
          <w:color w:val="000000" w:themeColor="text1"/>
          <w:lang w:val="en-US" w:eastAsia="de-DE"/>
        </w:rPr>
        <w:instrText>portant both for understanding the physiological functions of endogenous genetic circuits and for designing robust synthetic systems. We describe a phenomenological study that reveals intrinsic constraints governing the allocation of resources toward prote</w:instrText>
      </w:r>
      <w:r>
        <w:rPr>
          <w:rFonts w:ascii="Arial" w:eastAsia="Times New Roman" w:hAnsi="Arial" w:cs="Arial"/>
          <w:color w:val="000000" w:themeColor="text1"/>
          <w:lang w:val="en-US" w:eastAsia="de-DE"/>
        </w:rPr>
        <w:instrText xml:space="preserve">in synthesis and other aspects of cell growth. A theory incorporating these constraints can accurately predict how cell proliferation and gene expression affect one another, quantitatively accounting for the effect of translation-inhibiting antibiotics on </w:instrText>
      </w:r>
      <w:r>
        <w:rPr>
          <w:rFonts w:ascii="Arial" w:eastAsia="Times New Roman" w:hAnsi="Arial" w:cs="Arial"/>
          <w:color w:val="000000" w:themeColor="text1"/>
          <w:lang w:val="en-US" w:eastAsia="de-DE"/>
        </w:rPr>
        <w:instrText>gene expression and the effect of gratuitous protein expression on cell growth. The use of such empirical relations, analogous to phenomenological laws, may facilitate our understanding and manipulation of complex biological systems before underlying regul</w:instrText>
      </w:r>
      <w:r>
        <w:rPr>
          <w:rFonts w:ascii="Arial" w:eastAsia="Times New Roman" w:hAnsi="Arial" w:cs="Arial"/>
          <w:color w:val="000000" w:themeColor="text1"/>
          <w:lang w:val="en-US" w:eastAsia="de-DE"/>
        </w:rPr>
        <w:instrText>atory circuits are elucidated.","author":[{"dropping-particle":"","family":"Scott","given":"Matthew","non-dropping-particle":"","parse-names":false,"suffix":""},{"dropping-particle":"","family":"Gunderson","given":"Carl W","non-dropping-particle":"","parse</w:instrText>
      </w:r>
      <w:r>
        <w:rPr>
          <w:rFonts w:ascii="Arial" w:eastAsia="Times New Roman" w:hAnsi="Arial" w:cs="Arial"/>
          <w:color w:val="000000" w:themeColor="text1"/>
          <w:lang w:val="en-US" w:eastAsia="de-DE"/>
        </w:rPr>
        <w:instrText>-names":false,"suffix":""},{"dropping-particle":"","family":"Mateescu","given":"Eduard M","non-dropping-particle":"","parse-names":false,"suffix":""},{"dropping-particle":"","family":"Zhang","given":"Zhongge","non-dropping-particle":"","parse-names":false,</w:instrText>
      </w:r>
      <w:r>
        <w:rPr>
          <w:rFonts w:ascii="Arial" w:eastAsia="Times New Roman" w:hAnsi="Arial" w:cs="Arial"/>
          <w:color w:val="000000" w:themeColor="text1"/>
          <w:lang w:val="en-US" w:eastAsia="de-DE"/>
        </w:rPr>
        <w:instrText>"suffix":""},{"dropping-particle":"","family":"Hwa","given":"Terence","non-dropping-particle":"","parse-names":false,"suffix":""}],"container-title":"Science (New York, N.Y.)","id":"ITEM-1","issue":"6007","issued":{"date-parts":[["2010","11","19"]]},"page"</w:instrText>
      </w:r>
      <w:r>
        <w:rPr>
          <w:rFonts w:ascii="Arial" w:eastAsia="Times New Roman" w:hAnsi="Arial" w:cs="Arial"/>
          <w:color w:val="000000" w:themeColor="text1"/>
          <w:lang w:val="en-US" w:eastAsia="de-DE"/>
        </w:rPr>
        <w:instrText>:"1099-102","title":"Interdependence of cell growth and gene expression: origins and consequences.","type":"article-journal","volume":"330"},"uris":["http://www.mendeley.com/documents/?uuid=c0c2e992-2265-4f78-8622-8bc37e16d255"]},{"id":"ITEM-2","itemData":</w:instrText>
      </w:r>
      <w:r>
        <w:rPr>
          <w:rFonts w:ascii="Arial" w:eastAsia="Times New Roman" w:hAnsi="Arial" w:cs="Arial"/>
          <w:color w:val="000000" w:themeColor="text1"/>
          <w:lang w:val="en-US" w:eastAsia="de-DE"/>
        </w:rPr>
        <w:instrText>{"DOI":"10.7554/eLife.28034","ISSN":"2050-084X","abstract":"&lt;p&gt;Growing cells coordinate protein translation with metabolic rates. Central to this coordination is ribosome production. Ribosomes drive cell growth, but translation of ribosomal proteins compet</w:instrText>
      </w:r>
      <w:r>
        <w:rPr>
          <w:rFonts w:ascii="Arial" w:eastAsia="Times New Roman" w:hAnsi="Arial" w:cs="Arial"/>
          <w:color w:val="000000" w:themeColor="text1"/>
          <w:lang w:val="en-US" w:eastAsia="de-DE"/>
        </w:rPr>
        <w:instrText xml:space="preserve">es with production of non-ribosomal proteins. Theory shows that cell growth is maximized when all expressed ribosomes are constantly translating. To examine whether budding yeast function at this limit of full ribosomal usage, we profiled the proteomes of </w:instrText>
      </w:r>
      <w:r>
        <w:rPr>
          <w:rFonts w:ascii="Arial" w:eastAsia="Times New Roman" w:hAnsi="Arial" w:cs="Arial"/>
          <w:color w:val="000000" w:themeColor="text1"/>
          <w:lang w:val="en-US" w:eastAsia="de-DE"/>
        </w:rPr>
        <w:instrText>cells growing in different environments. We find that cells produce excess ribosomal proteins, amounting to a constant ≈8% of the proteome. Accordingly, ≈25% of ribosomal proteins expressed in rapidly growing cells does not contribute to translation. Furth</w:instrText>
      </w:r>
      <w:r>
        <w:rPr>
          <w:rFonts w:ascii="Arial" w:eastAsia="Times New Roman" w:hAnsi="Arial" w:cs="Arial"/>
          <w:color w:val="000000" w:themeColor="text1"/>
          <w:lang w:val="en-US" w:eastAsia="de-DE"/>
        </w:rPr>
        <w:instrText>er, this fraction increases as growth rate decreases and these excess ribosomal proteins are employed when translation demands unexpectedly increase. We suggest that steadily growing cells prepare for conditions that demand increased translation by produci</w:instrText>
      </w:r>
      <w:r>
        <w:rPr>
          <w:rFonts w:ascii="Arial" w:eastAsia="Times New Roman" w:hAnsi="Arial" w:cs="Arial"/>
          <w:color w:val="000000" w:themeColor="text1"/>
          <w:lang w:val="en-US" w:eastAsia="de-DE"/>
        </w:rPr>
        <w:instrText>ng excess ribosomes, at the expense of lower steady-state growth rate.&lt;/p&gt;","author":[{"dropping-particle":"","family":"Metzl-Raz","given":"Eyal","non-dropping-particle":"","parse-names":false,"suffix":""},{"dropping-particle":"","family":"Kafri","given":"</w:instrText>
      </w:r>
      <w:r>
        <w:rPr>
          <w:rFonts w:ascii="Arial" w:eastAsia="Times New Roman" w:hAnsi="Arial" w:cs="Arial"/>
          <w:color w:val="000000" w:themeColor="text1"/>
          <w:lang w:val="en-US" w:eastAsia="de-DE"/>
        </w:rPr>
        <w:instrText>Moshe","non-dropping-particle":"","parse-names":false,"suffix":""},{"dropping-particle":"","family":"Yaakov","given":"Gilad","non-dropping-particle":"","parse-names":false,"suffix":""},{"dropping-particle":"","family":"Soifer","given":"Ilya","non-dropping-</w:instrText>
      </w:r>
      <w:r>
        <w:rPr>
          <w:rFonts w:ascii="Arial" w:eastAsia="Times New Roman" w:hAnsi="Arial" w:cs="Arial"/>
          <w:color w:val="000000" w:themeColor="text1"/>
          <w:lang w:val="en-US" w:eastAsia="de-DE"/>
        </w:rPr>
        <w:instrText>particle":"","parse-names":false,"suffix":""},{"dropping-particle":"","family":"Gurvich","given":"Yonat","non-dropping-particle":"","parse-names":false,"suffix":""},{"dropping-particle":"","family":"Barkai","given":"Naama","non-dropping-particle":"","parse</w:instrText>
      </w:r>
      <w:r>
        <w:rPr>
          <w:rFonts w:ascii="Arial" w:eastAsia="Times New Roman" w:hAnsi="Arial" w:cs="Arial"/>
          <w:color w:val="000000" w:themeColor="text1"/>
          <w:lang w:val="en-US" w:eastAsia="de-DE"/>
        </w:rPr>
        <w:instrText>-names":false,"suffix":""}],"container-title":"eLife","id":"ITEM-2","issued":{"date-parts":[["2017","8","31"]]},"title":"Principles of cellular resource allocation revealed by condition-dependent proteome profiling","type":"article-journal","volume":"6"},"</w:instrText>
      </w:r>
      <w:r>
        <w:rPr>
          <w:rFonts w:ascii="Arial" w:eastAsia="Times New Roman" w:hAnsi="Arial" w:cs="Arial"/>
          <w:color w:val="000000" w:themeColor="text1"/>
          <w:lang w:val="en-US" w:eastAsia="de-DE"/>
        </w:rPr>
        <w:instrText>uris":["http://www.mendeley.com/documents/?uuid=7ad55460-709e-3ab1-bf1e-83750aef8e02"]}],"mendeley":{"formattedCitation":"&lt;sup&gt;44,45&lt;/sup&gt;","plainTextFormattedCitation":"44,45","previouslyFormattedCitation":"&lt;sup&gt;44,45&lt;/sup&gt;"},"properties":{"noteIndex":0},</w:instrText>
      </w:r>
      <w:r>
        <w:rPr>
          <w:rFonts w:ascii="Arial" w:eastAsia="Times New Roman" w:hAnsi="Arial" w:cs="Arial"/>
          <w:color w:val="000000" w:themeColor="text1"/>
          <w:lang w:val="en-US" w:eastAsia="de-DE"/>
        </w:rPr>
        <w:instrText>"schema":"https://github.com/citation-style-language/schema/raw/master/csl-citation.json"}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44,45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controls total translation and decreases with cell size. Interestingly, such a cell size dependent decrease of translation rate is not observed when comparin</w:t>
      </w:r>
      <w:r>
        <w:rPr>
          <w:rFonts w:ascii="Arial" w:eastAsia="Times New Roman" w:hAnsi="Arial" w:cs="Arial"/>
          <w:color w:val="000000" w:themeColor="text1"/>
          <w:lang w:val="en-US" w:eastAsia="de-DE"/>
        </w:rPr>
        <w:t>g cells of different ploidy, and thus different sizes. Instead, increasing ploidy leads to an increase of cellular translation rate at a given cell size such that linear size scaling is maintained between cells of different ploidy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w:instrText>
      </w:r>
      <w:r>
        <w:rPr>
          <w:rFonts w:ascii="Arial" w:eastAsia="Times New Roman" w:hAnsi="Arial" w:cs="Arial"/>
          <w:color w:val="000000" w:themeColor="text1"/>
          <w:lang w:val="en-US" w:eastAsia="de-DE"/>
        </w:rPr>
        <w:instrText xml:space="preserve">ionItems":[{"id":"ITEM-1","itemData":{"DOI":"10.3389/FCELL.2022.980721/BIBTEX","ISSN":"2296634X","abstract":"Increasing cell size drives changes to the proteome, which affects cell physiology. As cell size increases, some proteins become more concentrated </w:instrText>
      </w:r>
      <w:r>
        <w:rPr>
          <w:rFonts w:ascii="Arial" w:eastAsia="Times New Roman" w:hAnsi="Arial" w:cs="Arial"/>
          <w:color w:val="000000" w:themeColor="text1"/>
          <w:lang w:val="en-US" w:eastAsia="de-DE"/>
        </w:rPr>
        <w:instrText>while others are diluted. As a result, the state of the cell changes continuously with increasing size. In addition to these proteomic changes, large cells have a lower growth rate (protein synthesis rate per unit volume). That both the cell’s proteome and</w:instrText>
      </w:r>
      <w:r>
        <w:rPr>
          <w:rFonts w:ascii="Arial" w:eastAsia="Times New Roman" w:hAnsi="Arial" w:cs="Arial"/>
          <w:color w:val="000000" w:themeColor="text1"/>
          <w:lang w:val="en-US" w:eastAsia="de-DE"/>
        </w:rPr>
        <w:instrText xml:space="preserve"> growth rate change with cell size suggests they may be interdependent. To test this, we used quantitative mass spectrometry to measure how the proteome changes in response to the mTOR inhibitor rapamycin, which decreases the cellular growth rate and has o</w:instrText>
      </w:r>
      <w:r>
        <w:rPr>
          <w:rFonts w:ascii="Arial" w:eastAsia="Times New Roman" w:hAnsi="Arial" w:cs="Arial"/>
          <w:color w:val="000000" w:themeColor="text1"/>
          <w:lang w:val="en-US" w:eastAsia="de-DE"/>
        </w:rPr>
        <w:instrText>nly a minimal effect on cell size. We found that large cell size and mTOR inhibition, both of which lower the growth rate of a cell, remodel the proteome in similar ways. This suggests that many of the effects of cell size are mediated by the size-dependen</w:instrText>
      </w:r>
      <w:r>
        <w:rPr>
          <w:rFonts w:ascii="Arial" w:eastAsia="Times New Roman" w:hAnsi="Arial" w:cs="Arial"/>
          <w:color w:val="000000" w:themeColor="text1"/>
          <w:lang w:val="en-US" w:eastAsia="de-DE"/>
        </w:rPr>
        <w:instrText>t slowdown of the cellular growth rate. For example, the previously reported size-dependent expression of some senescence markers could reflect a cell’s declining growth rate rather than its size per se. In contrast, histones and other chromatin components</w:instrText>
      </w:r>
      <w:r>
        <w:rPr>
          <w:rFonts w:ascii="Arial" w:eastAsia="Times New Roman" w:hAnsi="Arial" w:cs="Arial"/>
          <w:color w:val="000000" w:themeColor="text1"/>
          <w:lang w:val="en-US" w:eastAsia="de-DE"/>
        </w:rPr>
        <w:instrText xml:space="preserve"> are diluted in large cells independently of the growth rate, likely so that they remain in proportion with the genome. Finally, size-dependent changes to the cell’s growth rate and proteome composition are still apparent in cells continually exposed to a </w:instrText>
      </w:r>
      <w:r>
        <w:rPr>
          <w:rFonts w:ascii="Arial" w:eastAsia="Times New Roman" w:hAnsi="Arial" w:cs="Arial"/>
          <w:color w:val="000000" w:themeColor="text1"/>
          <w:lang w:val="en-US" w:eastAsia="de-DE"/>
        </w:rPr>
        <w:instrText>saturating dose of rapamycin, which indicates that cell size can affect the proteome independently of mTORC1 signaling. Taken together, our results clarify the dependencies between cell size, growth, mTOR activity, and the proteome remodeling that ultimate</w:instrText>
      </w:r>
      <w:r>
        <w:rPr>
          <w:rFonts w:ascii="Arial" w:eastAsia="Times New Roman" w:hAnsi="Arial" w:cs="Arial"/>
          <w:color w:val="000000" w:themeColor="text1"/>
          <w:lang w:val="en-US" w:eastAsia="de-DE"/>
        </w:rPr>
        <w:instrText>ly controls many aspects of cell physiology.","author":[{"dropping-particle":"","family":"Zatulovskiy","given":"Evgeny","non-dropping-particle":"","parse-names":false,"suffix":""},{"dropping-particle":"","family":"Lanz","given":"Michael C.","non-dropping-p</w:instrText>
      </w:r>
      <w:r>
        <w:rPr>
          <w:rFonts w:ascii="Arial" w:eastAsia="Times New Roman" w:hAnsi="Arial" w:cs="Arial"/>
          <w:color w:val="000000" w:themeColor="text1"/>
          <w:lang w:val="en-US" w:eastAsia="de-DE"/>
        </w:rPr>
        <w:instrText>article":"","parse-names":false,"suffix":""},{"dropping-particle":"","family":"Zhang","given":"Shuyuan","non-dropping-particle":"","parse-names":false,"suffix":""},{"dropping-particle":"","family":"McCarthy","given":"Frank","non-dropping-particle":"","pars</w:instrText>
      </w:r>
      <w:r>
        <w:rPr>
          <w:rFonts w:ascii="Arial" w:eastAsia="Times New Roman" w:hAnsi="Arial" w:cs="Arial"/>
          <w:color w:val="000000" w:themeColor="text1"/>
          <w:lang w:val="en-US" w:eastAsia="de-DE"/>
        </w:rPr>
        <w:instrText>e-names":false,"suffix":""},{"dropping-particle":"","family":"Elias","given":"Joshua E.","non-dropping-particle":"","parse-names":false,"suffix":""},{"dropping-particle":"","family":"Skotheim","given":"Jan M.","non-dropping-particle":"","parse-names":false</w:instrText>
      </w:r>
      <w:r>
        <w:rPr>
          <w:rFonts w:ascii="Arial" w:eastAsia="Times New Roman" w:hAnsi="Arial" w:cs="Arial"/>
          <w:color w:val="000000" w:themeColor="text1"/>
          <w:lang w:val="en-US" w:eastAsia="de-DE"/>
        </w:rPr>
        <w:instrText>,"suffix":""}],"container-title":"Frontiers in Cell and Developmental Biology","id":"ITEM-1","issued":{"date-parts":[["2022","9","5"]]},"page":"980721","publisher":"Frontiers Media S.A.","title":"Delineation of proteome changes driven by cell size and grow</w:instrText>
      </w:r>
      <w:r>
        <w:rPr>
          <w:rFonts w:ascii="Arial" w:eastAsia="Times New Roman" w:hAnsi="Arial" w:cs="Arial"/>
          <w:color w:val="000000" w:themeColor="text1"/>
          <w:lang w:val="en-US" w:eastAsia="de-DE"/>
        </w:rPr>
        <w:instrText>th rate","type":"article-journal","volume":"10"},"uris":["http://www.mendeley.com/documents/?uuid=dca8c2c4-f756-3a34-ab4d-ae017705b916"]}],"mendeley":{"formattedCitation":"&lt;sup&gt;43&lt;/sup&gt;","plainTextFormattedCitation":"43","previouslyFormattedCitation":"&lt;sup</w:instrText>
      </w:r>
      <w:r>
        <w:rPr>
          <w:rFonts w:ascii="Arial" w:eastAsia="Times New Roman" w:hAnsi="Arial" w:cs="Arial"/>
          <w:color w:val="000000" w:themeColor="text1"/>
          <w:lang w:val="en-US" w:eastAsia="de-DE"/>
        </w:rPr>
        <w:instrText>&gt;43&lt;/sup&gt;"},"properties":{"noteIndex":0},"schema":"https://github.com/citation-style-language/schema/raw/master/csl-citation.json"}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43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However, the exact dependence of protein amounts on ploidy and cell size might differ between species, as it has been </w:t>
      </w:r>
      <w:r>
        <w:rPr>
          <w:rFonts w:ascii="Arial" w:eastAsia="Times New Roman" w:hAnsi="Arial" w:cs="Arial"/>
          <w:color w:val="000000" w:themeColor="text1"/>
          <w:lang w:val="en-US" w:eastAsia="de-DE"/>
        </w:rPr>
        <w:t>reported that even if comparing yeast strains with different ploidy, protein amounts subscale with cell volume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{"citationItems":[{"id":"ITEM-1","itemData":{"DOI":"10.1038/s41467-022-33904-7","ISSN":"2041-1723","PMID":"36261409","abstract"</w:instrText>
      </w:r>
      <w:r>
        <w:rPr>
          <w:rFonts w:ascii="Arial" w:eastAsia="Times New Roman" w:hAnsi="Arial" w:cs="Arial"/>
          <w:color w:val="000000" w:themeColor="text1"/>
          <w:lang w:val="en-US" w:eastAsia="de-DE"/>
        </w:rPr>
        <w:instrText>:"Ploidy changes are frequent in nature and contribute to evolution, functional specialization and tumorigenesis. Analysis of model organisms of different ploidies revealed that increased ploidy leads to an increase in cell and nuclear volume, reduced prol</w:instrText>
      </w:r>
      <w:r>
        <w:rPr>
          <w:rFonts w:ascii="Arial" w:eastAsia="Times New Roman" w:hAnsi="Arial" w:cs="Arial"/>
          <w:color w:val="000000" w:themeColor="text1"/>
          <w:lang w:val="en-US" w:eastAsia="de-DE"/>
        </w:rPr>
        <w:instrText>iferation, metabolic changes, lower fitness, and increased genomic instability, but the underlying mechanisms remain poorly understood. To investigate how gene expression changes with cellular ploidy, we analyzed isogenic series of budding yeasts from 1N t</w:instrText>
      </w:r>
      <w:r>
        <w:rPr>
          <w:rFonts w:ascii="Arial" w:eastAsia="Times New Roman" w:hAnsi="Arial" w:cs="Arial"/>
          <w:color w:val="000000" w:themeColor="text1"/>
          <w:lang w:val="en-US" w:eastAsia="de-DE"/>
        </w:rPr>
        <w:instrText>o 4N. We show that mRNA and protein abundance scales allometrically with ploidy, with tetraploid cells showing only threefold increase in protein abundance compared to haploids. This ploidy-dependent sublinear scaling occurs via decreased rRNA and ribosoma</w:instrText>
      </w:r>
      <w:r>
        <w:rPr>
          <w:rFonts w:ascii="Arial" w:eastAsia="Times New Roman" w:hAnsi="Arial" w:cs="Arial"/>
          <w:color w:val="000000" w:themeColor="text1"/>
          <w:lang w:val="en-US" w:eastAsia="de-DE"/>
        </w:rPr>
        <w:instrText>l protein abundance and reduced translation. We demonstrate that the activity of Tor1 is reduced with increasing ploidy, which leads to diminished rRNA gene repression via a Tor1-Sch9-Tup1 signaling pathway. mTORC1 and S6K activity are also reduced in huma</w:instrText>
      </w:r>
      <w:r>
        <w:rPr>
          <w:rFonts w:ascii="Arial" w:eastAsia="Times New Roman" w:hAnsi="Arial" w:cs="Arial"/>
          <w:color w:val="000000" w:themeColor="text1"/>
          <w:lang w:val="en-US" w:eastAsia="de-DE"/>
        </w:rPr>
        <w:instrText>n tetraploid cells and the concomitant increase of the Tup1 homolog Tle1 downregulates the rDNA transcription. Our results suggest that the mTORC1-Sch9/S6K-Tup1/TLE1 pathway ensures proteome remodeling in response to increased ploidy. Increasing the number</w:instrText>
      </w:r>
      <w:r>
        <w:rPr>
          <w:rFonts w:ascii="Arial" w:eastAsia="Times New Roman" w:hAnsi="Arial" w:cs="Arial"/>
          <w:color w:val="000000" w:themeColor="text1"/>
          <w:lang w:val="en-US" w:eastAsia="de-DE"/>
        </w:rPr>
        <w:instrText xml:space="preserve"> of chromosome sets alters the physiology of cells. Here, the authors show that although the number of chromosome sets increases, the proteome does not scale linearly&amp;nbsp;with the increasing ploidy.","author":[{"dropping-particle":"","family":"Yahya","giv</w:instrText>
      </w:r>
      <w:r>
        <w:rPr>
          <w:rFonts w:ascii="Arial" w:eastAsia="Times New Roman" w:hAnsi="Arial" w:cs="Arial"/>
          <w:color w:val="000000" w:themeColor="text1"/>
          <w:lang w:val="en-US" w:eastAsia="de-DE"/>
        </w:rPr>
        <w:instrText>en":"G.","non-dropping-particle":"","parse-names":false,"suffix":""},{"dropping-particle":"","family":"Menges","given":"P.","non-dropping-particle":"","parse-names":false,"suffix":""},{"dropping-particle":"","family":"Amponsah","given":"P. S.","non-droppin</w:instrText>
      </w:r>
      <w:r>
        <w:rPr>
          <w:rFonts w:ascii="Arial" w:eastAsia="Times New Roman" w:hAnsi="Arial" w:cs="Arial"/>
          <w:color w:val="000000" w:themeColor="text1"/>
          <w:lang w:val="en-US" w:eastAsia="de-DE"/>
        </w:rPr>
        <w:instrText>g-particle":"","parse-names":false,"suffix":""},{"dropping-particle":"","family":"Ngandiri","given":"D. A.","non-dropping-particle":"","parse-names":false,"suffix":""},{"dropping-particle":"","family":"Schulz","given":"D.","non-dropping-particle":"","parse</w:instrText>
      </w:r>
      <w:r>
        <w:rPr>
          <w:rFonts w:ascii="Arial" w:eastAsia="Times New Roman" w:hAnsi="Arial" w:cs="Arial"/>
          <w:color w:val="000000" w:themeColor="text1"/>
          <w:lang w:val="en-US" w:eastAsia="de-DE"/>
        </w:rPr>
        <w:instrText>-names":false,"suffix":""},{"dropping-particle":"","family":"Wallek","given":"A.","non-dropping-particle":"","parse-names":false,"suffix":""},{"dropping-particle":"","family":"Kulak","given":"N.","non-dropping-particle":"","parse-names":false,"suffix":""},</w:instrText>
      </w:r>
      <w:r>
        <w:rPr>
          <w:rFonts w:ascii="Arial" w:eastAsia="Times New Roman" w:hAnsi="Arial" w:cs="Arial"/>
          <w:color w:val="000000" w:themeColor="text1"/>
          <w:lang w:val="en-US" w:eastAsia="de-DE"/>
        </w:rPr>
        <w:instrText>{"dropping-particle":"","family":"Mann","given":"M.","non-dropping-particle":"","parse-names":false,"suffix":""},{"dropping-particle":"","family":"Cramer","given":"P.","non-dropping-particle":"","parse-names":false,"suffix":""},{"dropping-particle":"","fam</w:instrText>
      </w:r>
      <w:r>
        <w:rPr>
          <w:rFonts w:ascii="Arial" w:eastAsia="Times New Roman" w:hAnsi="Arial" w:cs="Arial"/>
          <w:color w:val="000000" w:themeColor="text1"/>
          <w:lang w:val="en-US" w:eastAsia="de-DE"/>
        </w:rPr>
        <w:instrText>ily":"Savage","given":"V.","non-dropping-particle":"","parse-names":false,"suffix":""},{"dropping-particle":"","family":"Räschle","given":"M.","non-dropping-particle":"","parse-names":false,"suffix":""},{"dropping-particle":"","family":"Storchova","given":</w:instrText>
      </w:r>
      <w:r>
        <w:rPr>
          <w:rFonts w:ascii="Arial" w:eastAsia="Times New Roman" w:hAnsi="Arial" w:cs="Arial"/>
          <w:color w:val="000000" w:themeColor="text1"/>
          <w:lang w:val="en-US" w:eastAsia="de-DE"/>
        </w:rPr>
        <w:instrText>"Z.","non-dropping-particle":"","parse-names":false,"suffix":""}],"container-title":"Nature Communications 2022 13:1","id":"ITEM-1","issue":"1","issued":{"date-parts":[["2022","10","19"]]},"page":"1-13","publisher":"Nature Publishing Group","title":"Sublin</w:instrText>
      </w:r>
      <w:r>
        <w:rPr>
          <w:rFonts w:ascii="Arial" w:eastAsia="Times New Roman" w:hAnsi="Arial" w:cs="Arial"/>
          <w:color w:val="000000" w:themeColor="text1"/>
          <w:lang w:val="en-US" w:eastAsia="de-DE"/>
        </w:rPr>
        <w:instrText>ear scaling of the cellular proteome with ploidy","type":"article-journal","volume":"13"},"uris":["http://www.mendeley.com/documents/?uuid=6a185665-9f27-3485-b6fc-61527c35957c"]}],"mendeley":{"formattedCitation":"&lt;sup&gt;46&lt;/sup&gt;","plainTextFormattedCitation"</w:instrText>
      </w:r>
      <w:r>
        <w:rPr>
          <w:rFonts w:ascii="Arial" w:eastAsia="Times New Roman" w:hAnsi="Arial" w:cs="Arial"/>
          <w:color w:val="000000" w:themeColor="text1"/>
          <w:lang w:val="en-US" w:eastAsia="de-DE"/>
        </w:rPr>
        <w:instrText>:"46","previouslyFormattedCitation":"&lt;sup&gt;46&lt;/sup&gt;"},"properties":{"noteIndex":0},"schema":"https://github.com/citation-style-language/schema/raw/master/csl-citation.json"}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46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0B696629" w14:textId="77777777" w:rsidR="00066D11" w:rsidRDefault="00066D11">
      <w:pPr>
        <w:spacing w:after="0" w:line="240" w:lineRule="auto"/>
        <w:jc w:val="both"/>
        <w:rPr>
          <w:rFonts w:ascii="Arial" w:eastAsia="Times New Roman" w:hAnsi="Arial" w:cs="Arial"/>
          <w:lang w:val="en-US" w:eastAsia="de-DE"/>
        </w:rPr>
      </w:pPr>
    </w:p>
    <w:p w14:paraId="6580E71E"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 xml:space="preserve">2.3 Individual proteins are differentially regulated with cell </w:t>
      </w:r>
      <w:proofErr w:type="gramStart"/>
      <w:r>
        <w:rPr>
          <w:rFonts w:ascii="Arial" w:eastAsia="Times New Roman" w:hAnsi="Arial" w:cs="Arial"/>
          <w:b/>
          <w:bCs/>
          <w:color w:val="000000"/>
          <w:lang w:val="en-US" w:eastAsia="de-DE"/>
        </w:rPr>
        <w:t>size</w:t>
      </w:r>
      <w:proofErr w:type="gramEnd"/>
    </w:p>
    <w:p w14:paraId="1D2F5AE5" w14:textId="77777777" w:rsidR="00066D11" w:rsidRDefault="00066D11">
      <w:pPr>
        <w:spacing w:after="0" w:line="240" w:lineRule="auto"/>
        <w:jc w:val="both"/>
        <w:rPr>
          <w:rFonts w:ascii="Arial" w:eastAsia="Times New Roman" w:hAnsi="Arial" w:cs="Arial"/>
          <w:lang w:val="en-US" w:eastAsia="de-DE"/>
        </w:rPr>
      </w:pPr>
    </w:p>
    <w:p w14:paraId="3CBEB35F"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Even th</w:t>
      </w:r>
      <w:r>
        <w:rPr>
          <w:rFonts w:ascii="Arial" w:eastAsia="Times New Roman" w:hAnsi="Arial" w:cs="Arial"/>
          <w:color w:val="000000"/>
          <w:lang w:val="en-US" w:eastAsia="de-DE"/>
        </w:rPr>
        <w:t>ough total transcript and total protein are maintained at roughly constant concentrations within the physiological cell size range, recent studies have shown that at the level of individual genes, concentration of different proteins and transcripts can cha</w:t>
      </w:r>
      <w:r>
        <w:rPr>
          <w:rFonts w:ascii="Arial" w:eastAsia="Times New Roman" w:hAnsi="Arial" w:cs="Arial"/>
          <w:color w:val="000000"/>
          <w:lang w:val="en-US" w:eastAsia="de-DE"/>
        </w:rPr>
        <w:t>nge with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{"citationItems":[{"id":"ITEM-1","itemData":{"DOI":"10.1101/2021.08.05.455193","abstract":"Senescent cells typically have an enlarged cell size but the reason for this has not been fully elucidated. As abnormal cell siz</w:instrText>
      </w:r>
      <w:r>
        <w:rPr>
          <w:rFonts w:ascii="Arial" w:eastAsia="Times New Roman" w:hAnsi="Arial" w:cs="Arial"/>
          <w:color w:val="000000"/>
          <w:lang w:val="en-US" w:eastAsia="de-DE"/>
        </w:rPr>
        <w:instrText>e may alter protein concentrations and cellular functionality, we used proteomic data from 59 unperturbed human cell lines to systematically characterize cell-size dependent changes in intracellular protein concentrations and organelle content. Increase in</w:instrText>
      </w:r>
      <w:r>
        <w:rPr>
          <w:rFonts w:ascii="Arial" w:eastAsia="Times New Roman" w:hAnsi="Arial" w:cs="Arial"/>
          <w:color w:val="000000"/>
          <w:lang w:val="en-US" w:eastAsia="de-DE"/>
        </w:rPr>
        <w:instrText xml:space="preserve"> cell size leads to ubiquitous transcriptionally and post-transcriptionally regulated reorganization and dilution of the proteome. Many known senescence proteins display disproportionate size-scaling consistent with their altered expression in senescent ce</w:instrText>
      </w:r>
      <w:r>
        <w:rPr>
          <w:rFonts w:ascii="Arial" w:eastAsia="Times New Roman" w:hAnsi="Arial" w:cs="Arial"/>
          <w:color w:val="000000"/>
          <w:lang w:val="en-US" w:eastAsia="de-DE"/>
        </w:rPr>
        <w:instrText>lls, while lysosomes and the endoplasmic reticulum expand in larger cells contributing to the senescence phenotype. Analysis of organelle proteome expression identifies p53 and retinoblastoma pathways as mediators of size-scaling, consistent with their rol</w:instrText>
      </w:r>
      <w:r>
        <w:rPr>
          <w:rFonts w:ascii="Arial" w:eastAsia="Times New Roman" w:hAnsi="Arial" w:cs="Arial"/>
          <w:color w:val="000000"/>
          <w:lang w:val="en-US" w:eastAsia="de-DE"/>
        </w:rPr>
        <w:instrText>e in senescence. Taken together, cell size can alter cellular fitness and function through cumulative reorganization of the proteome and organelle content. An extreme consequence of this pervasive size-scaling appears to be senescence.\n\n### Competing Int</w:instrText>
      </w:r>
      <w:r>
        <w:rPr>
          <w:rFonts w:ascii="Arial" w:eastAsia="Times New Roman" w:hAnsi="Arial" w:cs="Arial"/>
          <w:color w:val="000000"/>
          <w:lang w:val="en-US" w:eastAsia="de-DE"/>
        </w:rPr>
        <w:instrText>erest Statement\n\nThe authors have declared no competing interest.","author":[{"dropping-particle":"","family":"Cheng","given":"Ling","non-dropping-particle":"","parse-names":false,"suffix":""},{"dropping-particle":"","family":"Chen","given":"Jingyuan","n</w:instrText>
      </w:r>
      <w:r>
        <w:rPr>
          <w:rFonts w:ascii="Arial" w:eastAsia="Times New Roman" w:hAnsi="Arial" w:cs="Arial"/>
          <w:color w:val="000000"/>
          <w:lang w:val="en-US" w:eastAsia="de-DE"/>
        </w:rPr>
        <w:instrText>on-dropping-particle":"","parse-names":false,"suffix":""},{"dropping-particle":"","family":"Kong","given":"Yidi","non-dropping-particle":"","parse-names":false,"suffix":""},{"dropping-particle":"","family":"Tan","given":"Ceryl","non-dropping-particle":"","</w:instrText>
      </w:r>
      <w:r>
        <w:rPr>
          <w:rFonts w:ascii="Arial" w:eastAsia="Times New Roman" w:hAnsi="Arial" w:cs="Arial"/>
          <w:color w:val="000000"/>
          <w:lang w:val="en-US" w:eastAsia="de-DE"/>
        </w:rPr>
        <w:instrText>parse-names":false,"suffix":""},{"dropping-particle":"","family":"Kafri","given":"Ran","non-dropping-particle":"","parse-names":false,"suffix":""},{"dropping-particle":"","family":"Björklund","given":"Mikael","non-dropping-particle":"","parse-names":false,</w:instrText>
      </w:r>
      <w:r>
        <w:rPr>
          <w:rFonts w:ascii="Arial" w:eastAsia="Times New Roman" w:hAnsi="Arial" w:cs="Arial"/>
          <w:color w:val="000000"/>
          <w:lang w:val="en-US" w:eastAsia="de-DE"/>
        </w:rPr>
        <w:instrText>"suffix":""}],"container-title":"bioRxiv","id":"ITEM-1","issued":{"date-parts":[["2021","8","5"]]},"page":"2021.08.05.455193","publisher":"Cold Spring Harbor Laboratory","title":"Size-scaling promotes senescence-like changes in proteome and organelle conte</w:instrText>
      </w:r>
      <w:r>
        <w:rPr>
          <w:rFonts w:ascii="Arial" w:eastAsia="Times New Roman" w:hAnsi="Arial" w:cs="Arial"/>
          <w:color w:val="000000"/>
          <w:lang w:val="en-US" w:eastAsia="de-DE"/>
        </w:rPr>
        <w:instrText>nt","type":"article-journal"},"uris":["http://www.mendeley.com/documents/?uuid=b18bf84a-28a0-3d8e-b9ff-d89e4f1f9d63"]},{"id":"ITEM-2","itemData":{"DOI":"10.1016/J.MOLCEL.2022.07.017","ISSN":"1097-2765","PMID":"35987199","abstract":"Cell size is tightly con</w:instrText>
      </w:r>
      <w:r>
        <w:rPr>
          <w:rFonts w:ascii="Arial" w:eastAsia="Times New Roman" w:hAnsi="Arial" w:cs="Arial"/>
          <w:color w:val="000000"/>
          <w:lang w:val="en-US" w:eastAsia="de-DE"/>
        </w:rPr>
        <w:instrText>trolled in healthy tissues, but it is unclear how deviations in cell size affect cell physiology. To address this, we measured how the cell's proteome changes with increasing cell size. Size-dependent protein concentration changes are widespread and predic</w:instrText>
      </w:r>
      <w:r>
        <w:rPr>
          <w:rFonts w:ascii="Arial" w:eastAsia="Times New Roman" w:hAnsi="Arial" w:cs="Arial"/>
          <w:color w:val="000000"/>
          <w:lang w:val="en-US" w:eastAsia="de-DE"/>
        </w:rPr>
        <w:instrText>ted by subcellular localization, size-dependent mRNA concentrations, and protein turnover. As proliferating cells grow larger, concentration changes typically associated with cellular senescence are increasingly pronounced, suggesting that large size may b</w:instrText>
      </w:r>
      <w:r>
        <w:rPr>
          <w:rFonts w:ascii="Arial" w:eastAsia="Times New Roman" w:hAnsi="Arial" w:cs="Arial"/>
          <w:color w:val="000000"/>
          <w:lang w:val="en-US" w:eastAsia="de-DE"/>
        </w:rPr>
        <w:instrText>e a cause rather than just a consequence of cell senescence. Consistent with this hypothesis, larger cells are prone to replicative, DNA-damage-induced, and CDK4/6i-induced senescence. Size-dependent changes to the proteome, including those associated with</w:instrText>
      </w:r>
      <w:r>
        <w:rPr>
          <w:rFonts w:ascii="Arial" w:eastAsia="Times New Roman" w:hAnsi="Arial" w:cs="Arial"/>
          <w:color w:val="000000"/>
          <w:lang w:val="en-US" w:eastAsia="de-DE"/>
        </w:rPr>
        <w:instrText xml:space="preserve"> senescence, are not observed when an increase in cell size is accompanied by an increase in ploidy. Together, our findings show how cell size could impact many aspects of cell physiology by remodeling the proteome and provide a rationale for cell size con</w:instrText>
      </w:r>
      <w:r>
        <w:rPr>
          <w:rFonts w:ascii="Arial" w:eastAsia="Times New Roman" w:hAnsi="Arial" w:cs="Arial"/>
          <w:color w:val="000000"/>
          <w:lang w:val="en-US" w:eastAsia="de-DE"/>
        </w:rPr>
        <w:instrText>trol and polyploidization.","author":[{"dropping-particle":"","family":"Lanz","given":"Michael C.","non-dropping-particle":"","parse-names":false,"suffix":""},{"dropping-particle":"","family":"Zatulovskiy","given":"Evgeny","non-dropping-particle":"","parse</w:instrText>
      </w:r>
      <w:r>
        <w:rPr>
          <w:rFonts w:ascii="Arial" w:eastAsia="Times New Roman" w:hAnsi="Arial" w:cs="Arial"/>
          <w:color w:val="000000"/>
          <w:lang w:val="en-US" w:eastAsia="de-DE"/>
        </w:rPr>
        <w:instrText>-names":false,"suffix":""},{"dropping-particle":"","family":"Swaffer","given":"Matthew P.","non-dropping-particle":"","parse-names":false,"suffix":""},{"dropping-particle":"","family":"Zhang","given":"Lichao","non-dropping-particle":"","parse-names":false,</w:instrText>
      </w:r>
      <w:r>
        <w:rPr>
          <w:rFonts w:ascii="Arial" w:eastAsia="Times New Roman" w:hAnsi="Arial" w:cs="Arial"/>
          <w:color w:val="000000"/>
          <w:lang w:val="en-US" w:eastAsia="de-DE"/>
        </w:rPr>
        <w:instrText>"suffix":""},{"dropping-particle":"","family":"Ilerten","given":"Ilayda","non-dropping-particle":"","parse-names":false,"suffix":""},{"dropping-particle":"","family":"Zhang","given":"Shuyuan","non-dropping-particle":"","parse-names":false,"suffix":""},{"dr</w:instrText>
      </w:r>
      <w:r>
        <w:rPr>
          <w:rFonts w:ascii="Arial" w:eastAsia="Times New Roman" w:hAnsi="Arial" w:cs="Arial"/>
          <w:color w:val="000000"/>
          <w:lang w:val="en-US" w:eastAsia="de-DE"/>
        </w:rPr>
        <w:instrText>opping-particle":"","family":"You","given":"Dong Shin","non-dropping-particle":"","parse-names":false,"suffix":""},{"dropping-particle":"","family":"Marinov","given":"Georgi","non-dropping-particle":"","parse-names":false,"suffix":""},{"dropping-particle":</w:instrText>
      </w:r>
      <w:r>
        <w:rPr>
          <w:rFonts w:ascii="Arial" w:eastAsia="Times New Roman" w:hAnsi="Arial" w:cs="Arial"/>
          <w:color w:val="000000"/>
          <w:lang w:val="en-US" w:eastAsia="de-DE"/>
        </w:rPr>
        <w:instrText>"","family":"McAlpine","given":"Patrick","non-dropping-particle":"","parse-names":false,"suffix":""},{"dropping-particle":"","family":"Elias","given":"Joshua E.","non-dropping-particle":"","parse-names":false,"suffix":""},{"dropping-particle":"","family":"</w:instrText>
      </w:r>
      <w:r>
        <w:rPr>
          <w:rFonts w:ascii="Arial" w:eastAsia="Times New Roman" w:hAnsi="Arial" w:cs="Arial"/>
          <w:color w:val="000000"/>
          <w:lang w:val="en-US" w:eastAsia="de-DE"/>
        </w:rPr>
        <w:instrText>Skotheim","given":"Jan M.","non-dropping-particle":"","parse-names":false,"suffix":""}],"container-title":"Molecular Cell","id":"ITEM-2","issue":"17","issued":{"date-parts":[["2022","9","1"]]},"page":"3255-3269.e8","publisher":"Cell Press","title":"Increas</w:instrText>
      </w:r>
      <w:r>
        <w:rPr>
          <w:rFonts w:ascii="Arial" w:eastAsia="Times New Roman" w:hAnsi="Arial" w:cs="Arial"/>
          <w:color w:val="000000"/>
          <w:lang w:val="en-US" w:eastAsia="de-DE"/>
        </w:rPr>
        <w:instrText>ing cell size remodels the proteome and promotes senescence","type":"article-journal","volume":"82"},"uris":["http://www.mendeley.com/documents/?uuid=8e51a3f0-6440-3670-854f-e466aa3f4159"]},{"id":"ITEM-3","itemData":{"DOI":"10.1101/2023.10.16.562558","abst</w:instrText>
      </w:r>
      <w:r>
        <w:rPr>
          <w:rFonts w:ascii="Arial" w:eastAsia="Times New Roman" w:hAnsi="Arial" w:cs="Arial"/>
          <w:color w:val="000000"/>
          <w:lang w:val="en-US" w:eastAsia="de-DE"/>
        </w:rPr>
        <w:instrText xml:space="preserve">ract":"Cell size is tightly controlled in healthy tissues and single-celled organisms, but it remains unclear how size influences cell physiology. Increasing cell size was recently shown to remodel the proteomes of cultured human cells, demonstrating that </w:instrText>
      </w:r>
      <w:r>
        <w:rPr>
          <w:rFonts w:ascii="Arial" w:eastAsia="Times New Roman" w:hAnsi="Arial" w:cs="Arial"/>
          <w:color w:val="000000"/>
          <w:lang w:val="en-US" w:eastAsia="de-DE"/>
        </w:rPr>
        <w:instrText xml:space="preserve">large and small cells of the same type can be biochemically different. Here, we corroborate these results in mouse hepatocytes and extend our analysis using yeast. We find that size-dependent proteome changes are highly conserved and mostly independent of </w:instrText>
      </w:r>
      <w:r>
        <w:rPr>
          <w:rFonts w:ascii="Arial" w:eastAsia="Times New Roman" w:hAnsi="Arial" w:cs="Arial"/>
          <w:color w:val="000000"/>
          <w:lang w:val="en-US" w:eastAsia="de-DE"/>
        </w:rPr>
        <w:instrText>metabolic state. As eukaryotic cells grow larger, the dilution of the genome elicits a starvation-like proteome phenotype, suggesting that growth in large cells is limited by the genome in a manner analogous to a limiting nutrient. We also demonstrate that</w:instrText>
      </w:r>
      <w:r>
        <w:rPr>
          <w:rFonts w:ascii="Arial" w:eastAsia="Times New Roman" w:hAnsi="Arial" w:cs="Arial"/>
          <w:color w:val="000000"/>
          <w:lang w:val="en-US" w:eastAsia="de-DE"/>
        </w:rPr>
        <w:instrText xml:space="preserve"> the proteomes of replicatively-aged yeast are primarily determined by their large size. Overall, our data suggest that genome concentration is a universal determinant of proteome content in growing cells.\n\n### Competing Interest Statement\n\nThe authors</w:instrText>
      </w:r>
      <w:r>
        <w:rPr>
          <w:rFonts w:ascii="Arial" w:eastAsia="Times New Roman" w:hAnsi="Arial" w:cs="Arial"/>
          <w:color w:val="000000"/>
          <w:lang w:val="en-US" w:eastAsia="de-DE"/>
        </w:rPr>
        <w:instrText xml:space="preserve"> have declared no competing interest.","author":[{"dropping-particle":"","family":"Lanz","given":"Michael C","non-dropping-particle":"","parse-names":false,"suffix":""},{"dropping-particle":"","family":"Zhang","given":"Shuyuan","non-dropping-particle":"","</w:instrText>
      </w:r>
      <w:r>
        <w:rPr>
          <w:rFonts w:ascii="Arial" w:eastAsia="Times New Roman" w:hAnsi="Arial" w:cs="Arial"/>
          <w:color w:val="000000"/>
          <w:lang w:val="en-US" w:eastAsia="de-DE"/>
        </w:rPr>
        <w:instrText>parse-names":false,"suffix":""},{"dropping-particle":"","family":"Swaffer","given":"Matthew P","non-dropping-particle":"","parse-names":false,"suffix":""},{"dropping-particle":"","family":"Ziv-Uziel","given":"Inbal","non-dropping-particle":"","parse-names"</w:instrText>
      </w:r>
      <w:r>
        <w:rPr>
          <w:rFonts w:ascii="Arial" w:eastAsia="Times New Roman" w:hAnsi="Arial" w:cs="Arial"/>
          <w:color w:val="000000"/>
          <w:lang w:val="en-US" w:eastAsia="de-DE"/>
        </w:rPr>
        <w:instrText>:false,"suffix":""},{"dropping-particle":"","family":"Hernendez-Gotz","given":"Luisa","non-dropping-particle":"","parse-names":false,"suffix":""},{"dropping-particle":"","family":"Jaroz","given":"Dan F","non-dropping-particle":"","parse-names":false,"suffi</w:instrText>
      </w:r>
      <w:r>
        <w:rPr>
          <w:rFonts w:ascii="Arial" w:eastAsia="Times New Roman" w:hAnsi="Arial" w:cs="Arial"/>
          <w:color w:val="000000"/>
          <w:lang w:val="en-US" w:eastAsia="de-DE"/>
        </w:rPr>
        <w:instrText>x":""},{"dropping-particle":"","family":"Elias","given":"Joshua E","non-dropping-particle":"","parse-names":false,"suffix":""},{"dropping-particle":"","family":"Skotheim","given":"Jan M","non-dropping-particle":"","parse-names":false,"suffix":""},{"droppin</w:instrText>
      </w:r>
      <w:r>
        <w:rPr>
          <w:rFonts w:ascii="Arial" w:eastAsia="Times New Roman" w:hAnsi="Arial" w:cs="Arial"/>
          <w:color w:val="000000"/>
          <w:lang w:val="en-US" w:eastAsia="de-DE"/>
        </w:rPr>
        <w:instrText>g-particle":"","family":"Zuckerberg Biohub San Francisco","given":"Chan","non-dropping-particle":"","parse-names":false,"suffix":""}],"container-title":"bioRxiv","id":"ITEM-3","issued":{"date-parts":[["2023","10","19"]]},"page":"2023.10.16.562558","publish</w:instrText>
      </w:r>
      <w:r>
        <w:rPr>
          <w:rFonts w:ascii="Arial" w:eastAsia="Times New Roman" w:hAnsi="Arial" w:cs="Arial"/>
          <w:color w:val="000000"/>
          <w:lang w:val="en-US" w:eastAsia="de-DE"/>
        </w:rPr>
        <w:instrText>er":"Cold Spring Harbor Laboratory","title":"Genome dilution by cell growth drives starvation-like proteome remodeling in mammalian and yeast cells","type":"article-journal"},"uris":["http://www.mendeley.com/documents/?uuid=ec827699-72ee-38c4-93fe-fae1f642</w:instrText>
      </w:r>
      <w:r>
        <w:rPr>
          <w:rFonts w:ascii="Arial" w:eastAsia="Times New Roman" w:hAnsi="Arial" w:cs="Arial"/>
          <w:color w:val="000000"/>
          <w:lang w:val="en-US" w:eastAsia="de-DE"/>
        </w:rPr>
        <w:instrText>ec2d"]}],"mendeley":{"formattedCitation":"&lt;sup&gt;5,42,47&lt;/sup&gt;","plainTextFormattedCitation":"5,42,47","previouslyFormattedCitation":"&lt;sup&gt;5,42,47&lt;/sup&gt;"},"properties":{"noteIndex":0},"schema":"https://github.com/citation-style-language/schema/raw/master/csl</w:instrText>
      </w:r>
      <w:r>
        <w:rPr>
          <w:rFonts w:ascii="Arial" w:eastAsia="Times New Roman" w:hAnsi="Arial" w:cs="Arial"/>
          <w:color w:val="000000"/>
          <w:lang w:val="en-US" w:eastAsia="de-DE"/>
        </w:rPr>
        <w:instrText>-citation.json"}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5,42,47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 prominent example for a class of proteins that decreases in concentration are histones, which need to be maintained at a constant histone-to-DNA stoichiometry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{"citationItems":[{"id":"ITEM-1","itemData":{"DOI":"10.7554/eLife.10767","ISSN":"2050-084X (Electronic)","PMID":"27015111","abstract":"Proliferating cells actively control their size by mechanisms that are poorly understood. The unicellular green alga Chla</w:instrText>
      </w:r>
      <w:r>
        <w:rPr>
          <w:rFonts w:ascii="Arial" w:eastAsia="Times New Roman" w:hAnsi="Arial" w:cs="Arial"/>
          <w:color w:val="000000"/>
          <w:lang w:val="en-US" w:eastAsia="de-DE"/>
        </w:rPr>
        <w:instrText>mydomonas reinhardtii divides by multiple fission, wherein a 'counting' mechanism couples mother cell-size to cell division number allowing production of uniform-sized daughters. We identified a sizer protein, CDKG1, that acts through the retinoblastoma (R</w:instrText>
      </w:r>
      <w:r>
        <w:rPr>
          <w:rFonts w:ascii="Arial" w:eastAsia="Times New Roman" w:hAnsi="Arial" w:cs="Arial"/>
          <w:color w:val="000000"/>
          <w:lang w:val="en-US" w:eastAsia="de-DE"/>
        </w:rPr>
        <w:instrText>B) tumor suppressor pathway as a D-cyclin-dependent RB kinase to regulate mitotic counting. Loss of CDKG1 leads to fewer mitotic divisions and large daughters, while mis-expression of CDKG1 causes supernumerous mitotic divisions and small daughters. The co</w:instrText>
      </w:r>
      <w:r>
        <w:rPr>
          <w:rFonts w:ascii="Arial" w:eastAsia="Times New Roman" w:hAnsi="Arial" w:cs="Arial"/>
          <w:color w:val="000000"/>
          <w:lang w:val="en-US" w:eastAsia="de-DE"/>
        </w:rPr>
        <w:instrText>ncentration of nuclear-localized CDKG1 in pre-mitotic cells is set by mother cell size, and its progressive dilution and degradation with each round of cell division may provide a link between mother cell-size and mitotic division number. Cell-size-depende</w:instrText>
      </w:r>
      <w:r>
        <w:rPr>
          <w:rFonts w:ascii="Arial" w:eastAsia="Times New Roman" w:hAnsi="Arial" w:cs="Arial"/>
          <w:color w:val="000000"/>
          <w:lang w:val="en-US" w:eastAsia="de-DE"/>
        </w:rPr>
        <w:instrText>nt accumulation of limiting cell cycle regulators such as CDKG1 is a potentially general mechanism for size control.","author":[{"dropping-particle":"","family":"Li","given":"Yubing","non-dropping-particle":"","parse-names":false,"suffix":""},{"dropping-pa</w:instrText>
      </w:r>
      <w:r>
        <w:rPr>
          <w:rFonts w:ascii="Arial" w:eastAsia="Times New Roman" w:hAnsi="Arial" w:cs="Arial"/>
          <w:color w:val="000000"/>
          <w:lang w:val="en-US" w:eastAsia="de-DE"/>
        </w:rPr>
        <w:instrText>rticle":"","family":"Liu","given":"Dianyi","non-dropping-particle":"","parse-names":false,"suffix":""},{"dropping-particle":"","family":"Lopez-Paz","given":"Cristina","non-dropping-particle":"","parse-names":false,"suffix":""},{"dropping-particle":"","fami</w:instrText>
      </w:r>
      <w:r>
        <w:rPr>
          <w:rFonts w:ascii="Arial" w:eastAsia="Times New Roman" w:hAnsi="Arial" w:cs="Arial"/>
          <w:color w:val="000000"/>
          <w:lang w:val="en-US" w:eastAsia="de-DE"/>
        </w:rPr>
        <w:instrText>ly":"Olson","given":"Bradley Jsc","non-dropping-particle":"","parse-names":false,"suffix":""},{"dropping-particle":"","family":"Umen","given":"James G","non-dropping-particle":"","parse-names":false,"suffix":""}],"container-title":"eLife","id":"ITEM-1","is</w:instrText>
      </w:r>
      <w:r>
        <w:rPr>
          <w:rFonts w:ascii="Arial" w:eastAsia="Times New Roman" w:hAnsi="Arial" w:cs="Arial"/>
          <w:color w:val="000000"/>
          <w:lang w:val="en-US" w:eastAsia="de-DE"/>
        </w:rPr>
        <w:instrText>sued":{"date-parts":[["2016"]]},"language":"eng","page":"e10767","publisher-place":"England","title":"A new class of cyclin dependent kinase in Chlamydomonas is required for coupling  cell size to cell division.","type":"article-journal","volume":"5"},"uri</w:instrText>
      </w:r>
      <w:r>
        <w:rPr>
          <w:rFonts w:ascii="Arial" w:eastAsia="Times New Roman" w:hAnsi="Arial" w:cs="Arial"/>
          <w:color w:val="000000"/>
          <w:lang w:val="en-US" w:eastAsia="de-DE"/>
        </w:rPr>
        <w:instrText>s":["http://www.mendeley.com/documents/?uuid=7a4bf017-f80a-446c-90dc-ef455c8d031f"]},{"id":"ITEM-2","itemData":{"DOI":"10.1038/s41467-021-24451-8","ISSN":"2041-1723","abstract":"&lt;p&gt;Biochemical reactions typically depend on the concentrations of the molecul</w:instrText>
      </w:r>
      <w:r>
        <w:rPr>
          <w:rFonts w:ascii="Arial" w:eastAsia="Times New Roman" w:hAnsi="Arial" w:cs="Arial"/>
          <w:color w:val="000000"/>
          <w:lang w:val="en-US" w:eastAsia="de-DE"/>
        </w:rPr>
        <w:instrText>es involved, and cell survival therefore critically depends on the concentration of proteins. To maintain constant protein concentrations during cell growth, global mRNA and protein synthesis rates are tightly linked to cell volume. While such regulation i</w:instrText>
      </w:r>
      <w:r>
        <w:rPr>
          <w:rFonts w:ascii="Arial" w:eastAsia="Times New Roman" w:hAnsi="Arial" w:cs="Arial"/>
          <w:color w:val="000000"/>
          <w:lang w:val="en-US" w:eastAsia="de-DE"/>
        </w:rPr>
        <w:instrText>s appropriate for most proteins, certain cellular structures do not scale with cell volume. The most striking example of this is the genomic DNA, which doubles during the cell cycle and increases with ploidy, but is independent of cell volume. Here, we sho</w:instrText>
      </w:r>
      <w:r>
        <w:rPr>
          <w:rFonts w:ascii="Arial" w:eastAsia="Times New Roman" w:hAnsi="Arial" w:cs="Arial"/>
          <w:color w:val="000000"/>
          <w:lang w:val="en-US" w:eastAsia="de-DE"/>
        </w:rPr>
        <w:instrText>w that the amount of histone proteins is coupled to the DNA content, even though mRNA and protein synthesis globally increase with cell volume. As a consequence, and in contrast to the global trend, histone concentrations decrease with cell volume but incr</w:instrText>
      </w:r>
      <w:r>
        <w:rPr>
          <w:rFonts w:ascii="Arial" w:eastAsia="Times New Roman" w:hAnsi="Arial" w:cs="Arial"/>
          <w:color w:val="000000"/>
          <w:lang w:val="en-US" w:eastAsia="de-DE"/>
        </w:rPr>
        <w:instrText>ease with ploidy. We find that this distinct coordination of histone homeostasis and genome content is already achieved at the transcript level, and is an intrinsic property of histone promoters that does not require direct feedback mechanisms. Mathematica</w:instrText>
      </w:r>
      <w:r>
        <w:rPr>
          <w:rFonts w:ascii="Arial" w:eastAsia="Times New Roman" w:hAnsi="Arial" w:cs="Arial"/>
          <w:color w:val="000000"/>
          <w:lang w:val="en-US" w:eastAsia="de-DE"/>
        </w:rPr>
        <w:instrText>l modeling and histone promoter truncations reveal a simple and generalizable mechanism to control the cell volume- and ploidy-dependence of a given gene through the balance of the initiation and elongation rates.&lt;/p&gt;","author":[{"dropping-particle":"","fa</w:instrText>
      </w:r>
      <w:r>
        <w:rPr>
          <w:rFonts w:ascii="Arial" w:eastAsia="Times New Roman" w:hAnsi="Arial" w:cs="Arial"/>
          <w:color w:val="000000"/>
          <w:lang w:val="en-US" w:eastAsia="de-DE"/>
        </w:rPr>
        <w:instrText>mily":"Claude","given":"Kora-Lee","non-dropping-particle":"","parse-names":false,"suffix":""},{"dropping-particle":"","family":"Bureik","given":"Daniela","non-dropping-particle":"","parse-names":false,"suffix":""},{"dropping-particle":"","family":"Chatzith</w:instrText>
      </w:r>
      <w:r>
        <w:rPr>
          <w:rFonts w:ascii="Arial" w:eastAsia="Times New Roman" w:hAnsi="Arial" w:cs="Arial"/>
          <w:color w:val="000000"/>
          <w:lang w:val="en-US" w:eastAsia="de-DE"/>
        </w:rPr>
        <w:instrText>eodoridou","given":"Dimitra","non-dropping-particle":"","parse-names":false,"suffix":""},{"dropping-particle":"","family":"Adarska","given":"Petia","non-dropping-particle":"","parse-names":false,"suffix":""},{"dropping-particle":"","family":"Singh","given"</w:instrText>
      </w:r>
      <w:r>
        <w:rPr>
          <w:rFonts w:ascii="Arial" w:eastAsia="Times New Roman" w:hAnsi="Arial" w:cs="Arial"/>
          <w:color w:val="000000"/>
          <w:lang w:val="en-US" w:eastAsia="de-DE"/>
        </w:rPr>
        <w:instrText>:"Abhyudai","non-dropping-particle":"","parse-names":false,"suffix":""},{"dropping-particle":"","family":"Schmoller","given":"Kurt M.","non-dropping-particle":"","parse-names":false,"suffix":""}],"container-title":"Nature Communications","id":"ITEM-2","iss</w:instrText>
      </w:r>
      <w:r>
        <w:rPr>
          <w:rFonts w:ascii="Arial" w:eastAsia="Times New Roman" w:hAnsi="Arial" w:cs="Arial"/>
          <w:color w:val="000000"/>
          <w:lang w:val="en-US" w:eastAsia="de-DE"/>
        </w:rPr>
        <w:instrText>ue":"1","issued":{"date-parts":[["2021","12"]]},"page":"4202","publisher":"Nature Publishing Group","title":"Transcription coordinates histone amounts and genome content","type":"article-journal","volume":"12"},"uris":["http://www.mendeley.com/documents/?u</w:instrText>
      </w:r>
      <w:r>
        <w:rPr>
          <w:rFonts w:ascii="Arial" w:eastAsia="Times New Roman" w:hAnsi="Arial" w:cs="Arial"/>
          <w:color w:val="000000"/>
          <w:lang w:val="en-US" w:eastAsia="de-DE"/>
        </w:rPr>
        <w:instrText>uid=3f2c0002-b409-423c-8d2f-a1018d6b43c8"]},{"id":"ITEM-3","itemData":{"author":[{"dropping-particle":"","family":"Swaffer","given":"Matthew P","non-dropping-particle":"","parse-names":false,"suffix":""},{"dropping-particle":"","family":"Kim","given":"Jaco</w:instrText>
      </w:r>
      <w:r>
        <w:rPr>
          <w:rFonts w:ascii="Arial" w:eastAsia="Times New Roman" w:hAnsi="Arial" w:cs="Arial"/>
          <w:color w:val="000000"/>
          <w:lang w:val="en-US" w:eastAsia="de-DE"/>
        </w:rPr>
        <w:instrText>b","non-dropping-particle":"","parse-names":false,"suffix":""},{"dropping-particle":"","family":"Chandler-Brown","given":"Devon","non-dropping-particle":"","parse-names":false,"suffix":""},{"dropping-particle":"","family":"Langhinrichs","given":"Maurice","</w:instrText>
      </w:r>
      <w:r>
        <w:rPr>
          <w:rFonts w:ascii="Arial" w:eastAsia="Times New Roman" w:hAnsi="Arial" w:cs="Arial"/>
          <w:color w:val="000000"/>
          <w:lang w:val="en-US" w:eastAsia="de-DE"/>
        </w:rPr>
        <w:instrText>non-dropping-particle":"","parse-names":false,"suffix":""},{"dropping-particle":"","family":"Marinov","given":"Georgi","non-dropping-particle":"","parse-names":false,"suffix":""},{"dropping-particle":"","family":"Greenleaf","given":"William J","non-droppin</w:instrText>
      </w:r>
      <w:r>
        <w:rPr>
          <w:rFonts w:ascii="Arial" w:eastAsia="Times New Roman" w:hAnsi="Arial" w:cs="Arial"/>
          <w:color w:val="000000"/>
          <w:lang w:val="en-US" w:eastAsia="de-DE"/>
        </w:rPr>
        <w:instrText>g-particle":"","parse-names":false,"suffix":""},{"dropping-particle":"","family":"Kundaje","given":"Anshul","non-dropping-particle":"","parse-names":false,"suffix":""},{"dropping-particle":"","family":"Schmoller","given":"Kurt M","non-dropping-particle":""</w:instrText>
      </w:r>
      <w:r>
        <w:rPr>
          <w:rFonts w:ascii="Arial" w:eastAsia="Times New Roman" w:hAnsi="Arial" w:cs="Arial"/>
          <w:color w:val="000000"/>
          <w:lang w:val="en-US" w:eastAsia="de-DE"/>
        </w:rPr>
        <w:instrText>,"parse-names":false,"suffix":""},{"dropping-particle":"","family":"Skotheim","given":"Jan M","non-dropping-particle":"","parse-names":false,"suffix":""}],"container-title":"Molecular cell","id":"ITEM-3","issued":{"date-parts":[["2021"]]},"page":"4861-4875</w:instrText>
      </w:r>
      <w:r>
        <w:rPr>
          <w:rFonts w:ascii="Arial" w:eastAsia="Times New Roman" w:hAnsi="Arial" w:cs="Arial"/>
          <w:color w:val="000000"/>
          <w:lang w:val="en-US" w:eastAsia="de-DE"/>
        </w:rPr>
        <w:instrText>","title":"Transcriptional and chromatin-based partitioning mechanisms uncouple protein scaling from cell size","type":"article-journal","volume":"81"},"uris":["http://www.mendeley.com/documents/?uuid=1fdceeb1-8ea8-46cd-97f8-5f08dbc8e2bf"]},{"id":"ITEM-4",</w:instrText>
      </w:r>
      <w:r>
        <w:rPr>
          <w:rFonts w:ascii="Arial" w:eastAsia="Times New Roman" w:hAnsi="Arial" w:cs="Arial"/>
          <w:color w:val="000000"/>
          <w:lang w:val="en-US" w:eastAsia="de-DE"/>
        </w:rPr>
        <w:instrText>"itemData":{"DOI":"10.1016/J.MOLCEL.2022.07.017","ISSN":"1097-2765","PMID":"35987199","abstract":"Cell size is tightly controlled in healthy tissues, but it is unclear how deviations in cell size affect cell physiology. To address this, we measured how the</w:instrText>
      </w:r>
      <w:r>
        <w:rPr>
          <w:rFonts w:ascii="Arial" w:eastAsia="Times New Roman" w:hAnsi="Arial" w:cs="Arial"/>
          <w:color w:val="000000"/>
          <w:lang w:val="en-US" w:eastAsia="de-DE"/>
        </w:rPr>
        <w:instrText xml:space="preserve"> cell's proteome changes with increasing cell size. Size-dependent protein concentration changes are widespread and predicted by subcellular localization, size-dependent mRNA concentrations, and protein turnover. As proliferating cells grow larger, concent</w:instrText>
      </w:r>
      <w:r>
        <w:rPr>
          <w:rFonts w:ascii="Arial" w:eastAsia="Times New Roman" w:hAnsi="Arial" w:cs="Arial"/>
          <w:color w:val="000000"/>
          <w:lang w:val="en-US" w:eastAsia="de-DE"/>
        </w:rPr>
        <w:instrText>ration changes typically associated with cellular senescence are increasingly pronounced, suggesting that large size may be a cause rather than just a consequence of cell senescence. Consistent with this hypothesis, larger cells are prone to replicative, D</w:instrText>
      </w:r>
      <w:r>
        <w:rPr>
          <w:rFonts w:ascii="Arial" w:eastAsia="Times New Roman" w:hAnsi="Arial" w:cs="Arial"/>
          <w:color w:val="000000"/>
          <w:lang w:val="en-US" w:eastAsia="de-DE"/>
        </w:rPr>
        <w:instrText>NA-damage-induced, and CDK4/6i-induced senescence. Size-dependent changes to the proteome, including those associated with senescence, are not observed when an increase in cell size is accompanied by an increase in ploidy. Together, our findings show how c</w:instrText>
      </w:r>
      <w:r>
        <w:rPr>
          <w:rFonts w:ascii="Arial" w:eastAsia="Times New Roman" w:hAnsi="Arial" w:cs="Arial"/>
          <w:color w:val="000000"/>
          <w:lang w:val="en-US" w:eastAsia="de-DE"/>
        </w:rPr>
        <w:instrText>ell size could impact many aspects of cell physiology by remodeling the proteome and provide a rationale for cell size control and polyploidization.","author":[{"dropping-particle":"","family":"Lanz","given":"Michael C.","non-dropping-particle":"","parse-n</w:instrText>
      </w:r>
      <w:r>
        <w:rPr>
          <w:rFonts w:ascii="Arial" w:eastAsia="Times New Roman" w:hAnsi="Arial" w:cs="Arial"/>
          <w:color w:val="000000"/>
          <w:lang w:val="en-US" w:eastAsia="de-DE"/>
        </w:rPr>
        <w:instrText>ames":false,"suffix":""},{"dropping-particle":"","family":"Zatulovskiy","given":"Evgeny","non-dropping-particle":"","parse-names":false,"suffix":""},{"dropping-particle":"","family":"Swaffer","given":"Matthew P.","non-dropping-particle":"","parse-names":fa</w:instrText>
      </w:r>
      <w:r>
        <w:rPr>
          <w:rFonts w:ascii="Arial" w:eastAsia="Times New Roman" w:hAnsi="Arial" w:cs="Arial"/>
          <w:color w:val="000000"/>
          <w:lang w:val="en-US" w:eastAsia="de-DE"/>
        </w:rPr>
        <w:instrText>lse,"suffix":""},{"dropping-particle":"","family":"Zhang","given":"Lichao","non-dropping-particle":"","parse-names":false,"suffix":""},{"dropping-particle":"","family":"Ilerten","given":"Ilayda","non-dropping-particle":"","parse-names":false,"suffix":""},{</w:instrText>
      </w:r>
      <w:r>
        <w:rPr>
          <w:rFonts w:ascii="Arial" w:eastAsia="Times New Roman" w:hAnsi="Arial" w:cs="Arial"/>
          <w:color w:val="000000"/>
          <w:lang w:val="en-US" w:eastAsia="de-DE"/>
        </w:rPr>
        <w:instrText>"dropping-particle":"","family":"Zhang","given":"Shuyuan","non-dropping-particle":"","parse-names":false,"suffix":""},{"dropping-particle":"","family":"You","given":"Dong Shin","non-dropping-particle":"","parse-names":false,"suffix":""},{"dropping-particle</w:instrText>
      </w:r>
      <w:r>
        <w:rPr>
          <w:rFonts w:ascii="Arial" w:eastAsia="Times New Roman" w:hAnsi="Arial" w:cs="Arial"/>
          <w:color w:val="000000"/>
          <w:lang w:val="en-US" w:eastAsia="de-DE"/>
        </w:rPr>
        <w:instrText>":"","family":"Marinov","given":"Georgi","non-dropping-particle":"","parse-names":false,"suffix":""},{"dropping-particle":"","family":"McAlpine","given":"Patrick","non-dropping-particle":"","parse-names":false,"suffix":""},{"dropping-particle":"","family":</w:instrText>
      </w:r>
      <w:r>
        <w:rPr>
          <w:rFonts w:ascii="Arial" w:eastAsia="Times New Roman" w:hAnsi="Arial" w:cs="Arial"/>
          <w:color w:val="000000"/>
          <w:lang w:val="en-US" w:eastAsia="de-DE"/>
        </w:rPr>
        <w:instrText>"Elias","given":"Joshua E.","non-dropping-particle":"","parse-names":false,"suffix":""},{"dropping-particle":"","family":"Skotheim","given":"Jan M.","non-dropping-particle":"","parse-names":false,"suffix":""}],"container-title":"Molecular Cell","id":"ITEM-</w:instrText>
      </w:r>
      <w:r>
        <w:rPr>
          <w:rFonts w:ascii="Arial" w:eastAsia="Times New Roman" w:hAnsi="Arial" w:cs="Arial"/>
          <w:color w:val="000000"/>
          <w:lang w:val="en-US" w:eastAsia="de-DE"/>
        </w:rPr>
        <w:instrText>4","issue":"17","issued":{"date-parts":[["2022","9","1"]]},"page":"3255-3269.e8","publisher":"Cell Press","title":"Increasing cell size remodels the proteome and promotes senescence","type":"article-journal","volume":"82"},"uris":["http://www.mendeley.com/</w:instrText>
      </w:r>
      <w:r>
        <w:rPr>
          <w:rFonts w:ascii="Arial" w:eastAsia="Times New Roman" w:hAnsi="Arial" w:cs="Arial"/>
          <w:color w:val="000000"/>
          <w:lang w:val="en-US" w:eastAsia="de-DE"/>
        </w:rPr>
        <w:instrText>documents/?uuid=8e51a3f0-6440-3670-854f-e466aa3f4159"]},{"id":"ITEM-5","itemData":{"DOI":"10.1101/2023.01.26.525696","abstract":"To maintain protein homeostasis in changing nutrient environments, cells must precisely control the amount of their proteins, d</w:instrText>
      </w:r>
      <w:r>
        <w:rPr>
          <w:rFonts w:ascii="Arial" w:eastAsia="Times New Roman" w:hAnsi="Arial" w:cs="Arial"/>
          <w:color w:val="000000"/>
          <w:lang w:val="en-US" w:eastAsia="de-DE"/>
        </w:rPr>
        <w:instrText>espite the accompanying changes in cell growth and biosynthetic capacity. As nutrients are major regulators of cell cycle length and progression, a particular challenge arises for the nutrient-dependent regulation of ‘cell cycle genes’, which are periodica</w:instrText>
      </w:r>
      <w:r>
        <w:rPr>
          <w:rFonts w:ascii="Arial" w:eastAsia="Times New Roman" w:hAnsi="Arial" w:cs="Arial"/>
          <w:color w:val="000000"/>
          <w:lang w:val="en-US" w:eastAsia="de-DE"/>
        </w:rPr>
        <w:instrText>lly expressed during the cell cycle. One important example are histones, which are needed at a constant histone-to-DNA stoichiometry. Here we show that budding yeast achieves histone homeostasis in different nutrients through a decoupling of transcript and</w:instrText>
      </w:r>
      <w:r>
        <w:rPr>
          <w:rFonts w:ascii="Arial" w:eastAsia="Times New Roman" w:hAnsi="Arial" w:cs="Arial"/>
          <w:color w:val="000000"/>
          <w:lang w:val="en-US" w:eastAsia="de-DE"/>
        </w:rPr>
        <w:instrText xml:space="preserve"> protein abundance. We find that cells downregulate histone transcripts in poor nutrients to avoid toxic histone overexpression, but produce constant amounts of histone proteins through nutrient-specific regulation of translation efficiency. Our findings s</w:instrText>
      </w:r>
      <w:r>
        <w:rPr>
          <w:rFonts w:ascii="Arial" w:eastAsia="Times New Roman" w:hAnsi="Arial" w:cs="Arial"/>
          <w:color w:val="000000"/>
          <w:lang w:val="en-US" w:eastAsia="de-DE"/>
        </w:rPr>
        <w:instrText>uggest that this allows cells to balance the need for rapid histone production under fast growth conditions with the tight regulation required to avoid toxic overexpression in poor nutrients.\n\n### Competing Interest Statement\n\nThe authors have declared</w:instrText>
      </w:r>
      <w:r>
        <w:rPr>
          <w:rFonts w:ascii="Arial" w:eastAsia="Times New Roman" w:hAnsi="Arial" w:cs="Arial"/>
          <w:color w:val="000000"/>
          <w:lang w:val="en-US" w:eastAsia="de-DE"/>
        </w:rPr>
        <w:instrText xml:space="preserve"> no competing interest.","author":[{"dropping-particle":"","family":"Chatzitheodoridou","given":"Dimitra","non-dropping-particle":"","parse-names":false,"suffix":""},{"dropping-particle":"","family":"Bureik","given":"Daniela","non-dropping-particle":"","pa</w:instrText>
      </w:r>
      <w:r>
        <w:rPr>
          <w:rFonts w:ascii="Arial" w:eastAsia="Times New Roman" w:hAnsi="Arial" w:cs="Arial"/>
          <w:color w:val="000000"/>
          <w:lang w:val="en-US" w:eastAsia="de-DE"/>
        </w:rPr>
        <w:instrText>rse-names":false,"suffix":""},{"dropping-particle":"","family":"Padovani","given":"Francesco","non-dropping-particle":"","parse-names":false,"suffix":""},{"dropping-particle":"","family":"Nadimpalli","given":"Kalyan Varma","non-dropping-particle":"","parse</w:instrText>
      </w:r>
      <w:r>
        <w:rPr>
          <w:rFonts w:ascii="Arial" w:eastAsia="Times New Roman" w:hAnsi="Arial" w:cs="Arial"/>
          <w:color w:val="000000"/>
          <w:lang w:val="en-US" w:eastAsia="de-DE"/>
        </w:rPr>
        <w:instrText>-names":false,"suffix":""},{"dropping-particle":"","family":"Schmoller","given":"Kurt M.","non-dropping-particle":"","parse-names":false,"suffix":""}],"container-title":"bioRxiv","id":"ITEM-5","issued":{"date-parts":[["2023","1","27"]]},"page":"2023.01.26.</w:instrText>
      </w:r>
      <w:r>
        <w:rPr>
          <w:rFonts w:ascii="Arial" w:eastAsia="Times New Roman" w:hAnsi="Arial" w:cs="Arial"/>
          <w:color w:val="000000"/>
          <w:lang w:val="en-US" w:eastAsia="de-DE"/>
        </w:rPr>
        <w:instrText>525696","publisher":"Cold Spring Harbor Laboratory","title":"Decoupling of transcript and protein concentrations ensures budding yeast histone homeostasis in different nutrient conditions","type":"article-journal"},"uris":["http://www.mendeley.com/document</w:instrText>
      </w:r>
      <w:r>
        <w:rPr>
          <w:rFonts w:ascii="Arial" w:eastAsia="Times New Roman" w:hAnsi="Arial" w:cs="Arial"/>
          <w:color w:val="000000"/>
          <w:lang w:val="en-US" w:eastAsia="de-DE"/>
        </w:rPr>
        <w:instrText>s/?uuid=438496d1-12a2-3c9f-845a-be4bc3932815"]},{"id":"ITEM-6","itemData":{"DOI":"10.1101/2023.10.16.562558","abstract":"Cell size is tightly controlled in healthy tissues and single-celled organisms, but it remains unclear how size influences cell physiol</w:instrText>
      </w:r>
      <w:r>
        <w:rPr>
          <w:rFonts w:ascii="Arial" w:eastAsia="Times New Roman" w:hAnsi="Arial" w:cs="Arial"/>
          <w:color w:val="000000"/>
          <w:lang w:val="en-US" w:eastAsia="de-DE"/>
        </w:rPr>
        <w:instrText xml:space="preserve">ogy. Increasing cell size was recently shown to remodel the proteomes of cultured human cells, demonstrating that large and small cells of the same type can be biochemically different. Here, we corroborate these results in mouse hepatocytes and extend our </w:instrText>
      </w:r>
      <w:r>
        <w:rPr>
          <w:rFonts w:ascii="Arial" w:eastAsia="Times New Roman" w:hAnsi="Arial" w:cs="Arial"/>
          <w:color w:val="000000"/>
          <w:lang w:val="en-US" w:eastAsia="de-DE"/>
        </w:rPr>
        <w:instrText>analysis using yeast. We find that size-dependent proteome changes are highly conserved and mostly independent of metabolic state. As eukaryotic cells grow larger, the dilution of the genome elicits a starvation-like proteome phenotype, suggesting that gro</w:instrText>
      </w:r>
      <w:r>
        <w:rPr>
          <w:rFonts w:ascii="Arial" w:eastAsia="Times New Roman" w:hAnsi="Arial" w:cs="Arial"/>
          <w:color w:val="000000"/>
          <w:lang w:val="en-US" w:eastAsia="de-DE"/>
        </w:rPr>
        <w:instrText>wth in large cells is limited by the genome in a manner analogous to a limiting nutrient. We also demonstrate that the proteomes of replicatively-aged yeast are primarily determined by their large size. Overall, our data suggest that genome concentration i</w:instrText>
      </w:r>
      <w:r>
        <w:rPr>
          <w:rFonts w:ascii="Arial" w:eastAsia="Times New Roman" w:hAnsi="Arial" w:cs="Arial"/>
          <w:color w:val="000000"/>
          <w:lang w:val="en-US" w:eastAsia="de-DE"/>
        </w:rPr>
        <w:instrText>s a universal determinant of proteome content in growing cells.\n\n### Competing Interest Statement\n\nThe authors have declared no competing interest.","author":[{"dropping-particle":"","family":"Lanz","given":"Michael C","non-dropping-particle":"","parse</w:instrText>
      </w:r>
      <w:r>
        <w:rPr>
          <w:rFonts w:ascii="Arial" w:eastAsia="Times New Roman" w:hAnsi="Arial" w:cs="Arial"/>
          <w:color w:val="000000"/>
          <w:lang w:val="en-US" w:eastAsia="de-DE"/>
        </w:rPr>
        <w:instrText>-names":false,"suffix":""},{"dropping-particle":"","family":"Zhang","given":"Shuyuan","non-dropping-particle":"","parse-names":false,"suffix":""},{"dropping-particle":"","family":"Swaffer","given":"Matthew P","non-dropping-particle":"","parse-names":false,</w:instrText>
      </w:r>
      <w:r>
        <w:rPr>
          <w:rFonts w:ascii="Arial" w:eastAsia="Times New Roman" w:hAnsi="Arial" w:cs="Arial"/>
          <w:color w:val="000000"/>
          <w:lang w:val="en-US" w:eastAsia="de-DE"/>
        </w:rPr>
        <w:instrText>"suffix":""},{"dropping-particle":"","family":"Ziv-Uziel","given":"Inbal","non-dropping-particle":"","parse-names":false,"suffix":""},{"dropping-particle":"","family":"Hernendez-Gotz","given":"Luisa","non-dropping-particle":"","parse-names":false,"suffix":</w:instrText>
      </w:r>
      <w:r>
        <w:rPr>
          <w:rFonts w:ascii="Arial" w:eastAsia="Times New Roman" w:hAnsi="Arial" w:cs="Arial"/>
          <w:color w:val="000000"/>
          <w:lang w:val="en-US" w:eastAsia="de-DE"/>
        </w:rPr>
        <w:instrText>""},{"dropping-particle":"","family":"Jaroz","given":"Dan F","non-dropping-particle":"","parse-names":false,"suffix":""},{"dropping-particle":"","family":"Elias","given":"Joshua E","non-dropping-particle":"","parse-names":false,"suffix":""},{"dropping-part</w:instrText>
      </w:r>
      <w:r>
        <w:rPr>
          <w:rFonts w:ascii="Arial" w:eastAsia="Times New Roman" w:hAnsi="Arial" w:cs="Arial"/>
          <w:color w:val="000000"/>
          <w:lang w:val="en-US" w:eastAsia="de-DE"/>
        </w:rPr>
        <w:instrText>icle":"","family":"Skotheim","given":"Jan M","non-dropping-particle":"","parse-names":false,"suffix":""},{"dropping-particle":"","family":"Zuckerberg Biohub San Francisco","given":"Chan","non-dropping-particle":"","parse-names":false,"suffix":""}],"contain</w:instrText>
      </w:r>
      <w:r>
        <w:rPr>
          <w:rFonts w:ascii="Arial" w:eastAsia="Times New Roman" w:hAnsi="Arial" w:cs="Arial"/>
          <w:color w:val="000000"/>
          <w:lang w:val="en-US" w:eastAsia="de-DE"/>
        </w:rPr>
        <w:instrText xml:space="preserve">er-title":"bioRxiv","id":"ITEM-6","issued":{"date-parts":[["2023","10","19"]]},"page":"2023.10.16.562558","publisher":"Cold Spring Harbor Laboratory","title":"Genome dilution by cell growth drives starvation-like proteome remodeling in mammalian and yeast </w:instrText>
      </w:r>
      <w:r>
        <w:rPr>
          <w:rFonts w:ascii="Arial" w:eastAsia="Times New Roman" w:hAnsi="Arial" w:cs="Arial"/>
          <w:color w:val="000000"/>
          <w:lang w:val="en-US" w:eastAsia="de-DE"/>
        </w:rPr>
        <w:instrText>cells","type":"article-journal"},"uris":["http://www.mendeley.com/documents/?uuid=ec827699-72ee-38c4-93fe-fae1f642ec2d"]}],"mendeley":{"formattedCitation":"&lt;sup&gt;4,5,42,48–50&lt;/sup&gt;","plainTextFormattedCitation":"4,5,42,48–50","previouslyFormattedCitation":"</w:instrText>
      </w:r>
      <w:r>
        <w:rPr>
          <w:rFonts w:ascii="Arial" w:eastAsia="Times New Roman" w:hAnsi="Arial" w:cs="Arial"/>
          <w:color w:val="000000"/>
          <w:lang w:val="en-US" w:eastAsia="de-DE"/>
        </w:rPr>
        <w:instrText>&lt;sup&gt;4,5,42,48–50&lt;/sup&gt;"},"properties":{"noteIndex":0},"schema":"https://github.com/citation-style-language/schema/raw/master/csl-citation.json"}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4,5,42,48–50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Similarly, cell cycle inhibitors such as Whi5 in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w:instrText>
      </w:r>
      <w:r>
        <w:rPr>
          <w:rFonts w:ascii="Arial" w:eastAsia="Times New Roman" w:hAnsi="Arial" w:cs="Arial"/>
          <w:color w:val="000000"/>
          <w:lang w:val="en-US" w:eastAsia="de-DE"/>
        </w:rPr>
        <w:instrText>d":"ITEM-1","itemData":{"author":[{"dropping-particle":"","family":"Schmoller","given":"Kurt M.","non-dropping-particle":"","parse-names":false,"suffix":""},{"dropping-particle":"","family":"Turner","given":"Jonathan J","non-dropping-particle":"","parse-na</w:instrText>
      </w:r>
      <w:r>
        <w:rPr>
          <w:rFonts w:ascii="Arial" w:eastAsia="Times New Roman" w:hAnsi="Arial" w:cs="Arial"/>
          <w:color w:val="000000"/>
          <w:lang w:val="en-US" w:eastAsia="de-DE"/>
        </w:rPr>
        <w:instrText>mes":false,"suffix":""},{"dropping-particle":"","family":"Kõivomägi","given":"Mardo","non-dropping-particle":"","parse-names":false,"suffix":""},{"dropping-particle":"","family":"Skotheim","given":"Jan M.","non-dropping-particle":"","parse-names":false,"su</w:instrText>
      </w:r>
      <w:r>
        <w:rPr>
          <w:rFonts w:ascii="Arial" w:eastAsia="Times New Roman" w:hAnsi="Arial" w:cs="Arial"/>
          <w:color w:val="000000"/>
          <w:lang w:val="en-US" w:eastAsia="de-DE"/>
        </w:rPr>
        <w:instrText>ffix":""}],"container-title":"Nature","id":"ITEM-1","issued":{"date-parts":[["2015"]]},"page":"268-272","title":"Dilution of the cell cycle inhibitor Whi5 controls budding yeast cell size","type":"article-journal","volume":"526"},"uris":["http://www.mendel</w:instrText>
      </w:r>
      <w:r>
        <w:rPr>
          <w:rFonts w:ascii="Arial" w:eastAsia="Times New Roman" w:hAnsi="Arial" w:cs="Arial"/>
          <w:color w:val="000000"/>
          <w:lang w:val="en-US" w:eastAsia="de-DE"/>
        </w:rPr>
        <w:instrText>ey.com/documents/?uuid=fd5a714b-8317-497f-90e4-bf36a0e6efea"]},{"id":"ITEM-2","itemData":{"DOI":"10.1016/j.celrep.2019.09.030","ISSN":"22111247","abstract":"Proliferating cells need to evaluate the environment to determine the optimal timing for cell cycle</w:instrText>
      </w:r>
      <w:r>
        <w:rPr>
          <w:rFonts w:ascii="Arial" w:eastAsia="Times New Roman" w:hAnsi="Arial" w:cs="Arial"/>
          <w:color w:val="000000"/>
          <w:lang w:val="en-US" w:eastAsia="de-DE"/>
        </w:rPr>
        <w:instrText xml:space="preserve"> entry. However, how this is achieved is not well understood. Here, we show that, in budding yeast, the G1 inhibitor Whi5 is a key environmental indicator and plays a crucial role in coordinating cell growth and division. We found that, under a variety of </w:instrText>
      </w:r>
      <w:r>
        <w:rPr>
          <w:rFonts w:ascii="Arial" w:eastAsia="Times New Roman" w:hAnsi="Arial" w:cs="Arial"/>
          <w:color w:val="000000"/>
          <w:lang w:val="en-US" w:eastAsia="de-DE"/>
        </w:rPr>
        <w:instrText>nutrient and stress conditions, Whi5 amount in G1 is proportional to the cell's doubling time in the environment, which in turn influences the timing for the next cell cycle entry. In addition, the coordination between division and environment is further f</w:instrText>
      </w:r>
      <w:r>
        <w:rPr>
          <w:rFonts w:ascii="Arial" w:eastAsia="Times New Roman" w:hAnsi="Arial" w:cs="Arial"/>
          <w:color w:val="000000"/>
          <w:lang w:val="en-US" w:eastAsia="de-DE"/>
        </w:rPr>
        <w:instrText>ine-tuned in G1 by environmentally dependent growth rate, G1 cyclin-Cdk1 contribution, and Whi5 threshold at the start. Our results show that the cell stores the past environmental information in Whi5, which works together with other mechanisms sensing the</w:instrText>
      </w:r>
      <w:r>
        <w:rPr>
          <w:rFonts w:ascii="Arial" w:eastAsia="Times New Roman" w:hAnsi="Arial" w:cs="Arial"/>
          <w:color w:val="000000"/>
          <w:lang w:val="en-US" w:eastAsia="de-DE"/>
        </w:rPr>
        <w:instrText xml:space="preserve"> current environmental condition to achieve an adaptive cellular decision making process.","author":[{"dropping-particle":"","family":"Qu","given":"Yimiao","non-dropping-particle":"","parse-names":false,"suffix":""},{"dropping-particle":"","family":"Jiang"</w:instrText>
      </w:r>
      <w:r>
        <w:rPr>
          <w:rFonts w:ascii="Arial" w:eastAsia="Times New Roman" w:hAnsi="Arial" w:cs="Arial"/>
          <w:color w:val="000000"/>
          <w:lang w:val="en-US" w:eastAsia="de-DE"/>
        </w:rPr>
        <w:instrText>,"given":"Jun","non-dropping-particle":"","parse-names":false,"suffix":""},{"dropping-particle":"","family":"Liu","given":"Xiang","non-dropping-particle":"","parse-names":false,"suffix":""},{"dropping-particle":"","family":"Wei","given":"Ping","non-droppin</w:instrText>
      </w:r>
      <w:r>
        <w:rPr>
          <w:rFonts w:ascii="Arial" w:eastAsia="Times New Roman" w:hAnsi="Arial" w:cs="Arial"/>
          <w:color w:val="000000"/>
          <w:lang w:val="en-US" w:eastAsia="de-DE"/>
        </w:rPr>
        <w:instrText>g-particle":"","parse-names":false,"suffix":""},{"dropping-particle":"","family":"Yang","given":"Xiaojing","non-dropping-particle":"","parse-names":false,"suffix":""},{"dropping-particle":"","family":"Tang","given":"Chao","non-dropping-particle":"","parse-</w:instrText>
      </w:r>
      <w:r>
        <w:rPr>
          <w:rFonts w:ascii="Arial" w:eastAsia="Times New Roman" w:hAnsi="Arial" w:cs="Arial"/>
          <w:color w:val="000000"/>
          <w:lang w:val="en-US" w:eastAsia="de-DE"/>
        </w:rPr>
        <w:instrText>names":false,"suffix":""}],"container-title":"Cell Reports","id":"ITEM-2","issue":"4","issued":{"date-parts":[["2019"]]},"page":"987-994.e5","title":"Cell Cycle Inhibitor Whi5 Records Environmental Information to Coordinate Growth and Division in Yeast","t</w:instrText>
      </w:r>
      <w:r>
        <w:rPr>
          <w:rFonts w:ascii="Arial" w:eastAsia="Times New Roman" w:hAnsi="Arial" w:cs="Arial"/>
          <w:color w:val="000000"/>
          <w:lang w:val="en-US" w:eastAsia="de-DE"/>
        </w:rPr>
        <w:instrText>ype":"article-journal","volume":"29"},"uris":["http://www.mendeley.com/documents/?uuid=181f9a6e-1b36-4d60-89fb-0697c9a7bfe2"]},{"id":"ITEM-3","itemData":{"DOI":"10.1073/PNAS.2001255117/SUPPL_FILE/PNAS.2001255117.SAPP.PDF","ISSN":"10916490","PMID":"32518113</w:instrText>
      </w:r>
      <w:r>
        <w:rPr>
          <w:rFonts w:ascii="Arial" w:eastAsia="Times New Roman" w:hAnsi="Arial" w:cs="Arial"/>
          <w:color w:val="000000"/>
          <w:lang w:val="en-US" w:eastAsia="de-DE"/>
        </w:rPr>
        <w:instrText>","abstract":"Cells must couple cell-cycle progress to their growth rate to restrict the spread of cell sizes present throughout a population. Linear, rather than exponential, accumulation of Whi5, was proposed to provide this coordination by causing a hig</w:instrText>
      </w:r>
      <w:r>
        <w:rPr>
          <w:rFonts w:ascii="Arial" w:eastAsia="Times New Roman" w:hAnsi="Arial" w:cs="Arial"/>
          <w:color w:val="000000"/>
          <w:lang w:val="en-US" w:eastAsia="de-DE"/>
        </w:rPr>
        <w:instrText>her Whi5 concentration in cells born at a smaller size. We tested this model using the inducible GAL1 promoter to make the Whi5 concentration independent of cell size. At an expression level that equalizes the mean cell size with that of wild-type cells, t</w:instrText>
      </w:r>
      <w:r>
        <w:rPr>
          <w:rFonts w:ascii="Arial" w:eastAsia="Times New Roman" w:hAnsi="Arial" w:cs="Arial"/>
          <w:color w:val="000000"/>
          <w:lang w:val="en-US" w:eastAsia="de-DE"/>
        </w:rPr>
        <w:instrText>he size distributions of cells with galactose-induced Whi5 expression and wild-type cells are indistinguishable. Fluorescence microscopy confirms that the endogenous and GAL1 promoters produce different relationships between Whi5 concentration and cell vol</w:instrText>
      </w:r>
      <w:r>
        <w:rPr>
          <w:rFonts w:ascii="Arial" w:eastAsia="Times New Roman" w:hAnsi="Arial" w:cs="Arial"/>
          <w:color w:val="000000"/>
          <w:lang w:val="en-US" w:eastAsia="de-DE"/>
        </w:rPr>
        <w:instrText>ume without diminishing size control in the G1 phase. We also expressed Cln3 from the GAL1 promoter, finding that the spread in cell sizes for an asynchronous population is unaffected by this perturbation. Our findings indicate that size control in budding</w:instrText>
      </w:r>
      <w:r>
        <w:rPr>
          <w:rFonts w:ascii="Arial" w:eastAsia="Times New Roman" w:hAnsi="Arial" w:cs="Arial"/>
          <w:color w:val="000000"/>
          <w:lang w:val="en-US" w:eastAsia="de-DE"/>
        </w:rPr>
        <w:instrText xml:space="preserve"> yeast does not fundamentally originate from the linear accumulation ofWhi5, contradicting a previous claim and demonstrating the need for further models of cell-cycle regulation to explain how cell size controls passage through Start.","author":[{"droppin</w:instrText>
      </w:r>
      <w:r>
        <w:rPr>
          <w:rFonts w:ascii="Arial" w:eastAsia="Times New Roman" w:hAnsi="Arial" w:cs="Arial"/>
          <w:color w:val="000000"/>
          <w:lang w:val="en-US" w:eastAsia="de-DE"/>
        </w:rPr>
        <w:instrText>g-particle":"","family":"Barber","given":"Felix","non-dropping-particle":"","parse-names":false,"suffix":""},{"dropping-particle":"","family":"Amir","given":"Ariel","non-dropping-particle":"","parse-names":false,"suffix":""},{"dropping-particle":"","family</w:instrText>
      </w:r>
      <w:r>
        <w:rPr>
          <w:rFonts w:ascii="Arial" w:eastAsia="Times New Roman" w:hAnsi="Arial" w:cs="Arial"/>
          <w:color w:val="000000"/>
          <w:lang w:val="en-US" w:eastAsia="de-DE"/>
        </w:rPr>
        <w:instrText>":"Murray","given":"Andrew W.","non-dropping-particle":"","parse-names":false,"suffix":""},{"dropping-particle":"","family":"Murray","given":"Andrew W.","non-dropping-particle":"","parse-names":false,"suffix":""}],"container-title":"Proceedings of the Nati</w:instrText>
      </w:r>
      <w:r>
        <w:rPr>
          <w:rFonts w:ascii="Arial" w:eastAsia="Times New Roman" w:hAnsi="Arial" w:cs="Arial"/>
          <w:color w:val="000000"/>
          <w:lang w:val="en-US" w:eastAsia="de-DE"/>
        </w:rPr>
        <w:instrText xml:space="preserve">onal Academy of Sciences of the United States of America","id":"ITEM-3","issue":"25","issued":{"date-parts":[["2020","6","23"]]},"page":"14243-14250","publisher":"National Academy of Sciences","title":"Cell-size regulation in budding yeast does not depend </w:instrText>
      </w:r>
      <w:r>
        <w:rPr>
          <w:rFonts w:ascii="Arial" w:eastAsia="Times New Roman" w:hAnsi="Arial" w:cs="Arial"/>
          <w:color w:val="000000"/>
          <w:lang w:val="en-US" w:eastAsia="de-DE"/>
        </w:rPr>
        <w:instrText>on linear accumulation of Whi5","type":"article-journal","volume":"117"},"uris":["http://www.mendeley.com/documents/?uuid=1570664f-82f3-3bc3-96de-22f9f5de5897"]},{"id":"ITEM-4","itemData":{"author":[{"dropping-particle":"","family":"Swaffer","given":"Matth</w:instrText>
      </w:r>
      <w:r>
        <w:rPr>
          <w:rFonts w:ascii="Arial" w:eastAsia="Times New Roman" w:hAnsi="Arial" w:cs="Arial"/>
          <w:color w:val="000000"/>
          <w:lang w:val="en-US" w:eastAsia="de-DE"/>
        </w:rPr>
        <w:instrText>ew P","non-dropping-particle":"","parse-names":false,"suffix":""},{"dropping-particle":"","family":"Kim","given":"Jacob","non-dropping-particle":"","parse-names":false,"suffix":""},{"dropping-particle":"","family":"Chandler-Brown","given":"Devon","non-drop</w:instrText>
      </w:r>
      <w:r>
        <w:rPr>
          <w:rFonts w:ascii="Arial" w:eastAsia="Times New Roman" w:hAnsi="Arial" w:cs="Arial"/>
          <w:color w:val="000000"/>
          <w:lang w:val="en-US" w:eastAsia="de-DE"/>
        </w:rPr>
        <w:instrText>ping-particle":"","parse-names":false,"suffix":""},{"dropping-particle":"","family":"Langhinrichs","given":"Maurice","non-dropping-particle":"","parse-names":false,"suffix":""},{"dropping-particle":"","family":"Marinov","given":"Georgi","non-dropping-parti</w:instrText>
      </w:r>
      <w:r>
        <w:rPr>
          <w:rFonts w:ascii="Arial" w:eastAsia="Times New Roman" w:hAnsi="Arial" w:cs="Arial"/>
          <w:color w:val="000000"/>
          <w:lang w:val="en-US" w:eastAsia="de-DE"/>
        </w:rPr>
        <w:instrText>cle":"","parse-names":false,"suffix":""},{"dropping-particle":"","family":"Greenleaf","given":"William J","non-dropping-particle":"","parse-names":false,"suffix":""},{"dropping-particle":"","family":"Kundaje","given":"Anshul","non-dropping-particle":"","pa</w:instrText>
      </w:r>
      <w:r>
        <w:rPr>
          <w:rFonts w:ascii="Arial" w:eastAsia="Times New Roman" w:hAnsi="Arial" w:cs="Arial"/>
          <w:color w:val="000000"/>
          <w:lang w:val="en-US" w:eastAsia="de-DE"/>
        </w:rPr>
        <w:instrText>rse-names":false,"suffix":""},{"dropping-particle":"","family":"Schmoller","given":"Kurt M","non-dropping-particle":"","parse-names":false,"suffix":""},{"dropping-particle":"","family":"Skotheim","given":"Jan M","non-dropping-particle":"","parse-names":fal</w:instrText>
      </w:r>
      <w:r>
        <w:rPr>
          <w:rFonts w:ascii="Arial" w:eastAsia="Times New Roman" w:hAnsi="Arial" w:cs="Arial"/>
          <w:color w:val="000000"/>
          <w:lang w:val="en-US" w:eastAsia="de-DE"/>
        </w:rPr>
        <w:instrText>se,"suffix":""}],"container-title":"Molecular cell","id":"ITEM-4","issued":{"date-parts":[["2021"]]},"page":"4861-4875","title":"Transcriptional and chromatin-based partitioning mechanisms uncouple protein scaling from cell size","type":"article-journal","</w:instrText>
      </w:r>
      <w:r>
        <w:rPr>
          <w:rFonts w:ascii="Arial" w:eastAsia="Times New Roman" w:hAnsi="Arial" w:cs="Arial"/>
          <w:color w:val="000000"/>
          <w:lang w:val="en-US" w:eastAsia="de-DE"/>
        </w:rPr>
        <w:instrText>volume":"81"},"uris":["http://www.mendeley.com/documents/?uuid=1fdceeb1-8ea8-46cd-97f8-5f08dbc8e2bf"]},{"id":"ITEM-5","itemData":{"DOI":"10.1091/MBC.E21-01-0029/ASSET/IMAGES/LARGE/MBC-33-LT1-G003.JPEG","ISSN":"19394586","PMID":"35482510","abstract":"The Wh</w:instrText>
      </w:r>
      <w:r>
        <w:rPr>
          <w:rFonts w:ascii="Arial" w:eastAsia="Times New Roman" w:hAnsi="Arial" w:cs="Arial"/>
          <w:color w:val="000000"/>
          <w:lang w:val="en-US" w:eastAsia="de-DE"/>
        </w:rPr>
        <w:instrText>i5 dilution model requires that the concentration of Whi5 in newborn cells decreases with their cell size at birth, and that dilution by cell growth causes a continuous decrease of Whi5 concentration during G1. While the size-dependent Whi5 concentration a</w:instrText>
      </w:r>
      <w:r>
        <w:rPr>
          <w:rFonts w:ascii="Arial" w:eastAsia="Times New Roman" w:hAnsi="Arial" w:cs="Arial"/>
          <w:color w:val="000000"/>
          <w:lang w:val="en-US" w:eastAsia="de-DE"/>
        </w:rPr>
        <w:instrText>t birth is based on an unusual cell size-independent transcriptional mechanism and chromatin-based partitioning (Schmoller et al., 2015; Swaffer et al., 2021), the latter is explained by two key observations. First, Whi5 is a stable protein (Schmoller et a</w:instrText>
      </w:r>
      <w:r>
        <w:rPr>
          <w:rFonts w:ascii="Arial" w:eastAsia="Times New Roman" w:hAnsi="Arial" w:cs="Arial"/>
          <w:color w:val="000000"/>
          <w:lang w:val="en-US" w:eastAsia="de-DE"/>
        </w:rPr>
        <w:instrText>l., 2015; Gomar-Alba et al., 2017). Second, transcription of WHI5 mRNA is strongly cell cycle-dependent and peaks in S/G2 (Spellman et al., 1998; Pramila et al., 2006; Granovskaia et al., 2010). Indeed, it has long been known that WHI5 is a cell cycle-depe</w:instrText>
      </w:r>
      <w:r>
        <w:rPr>
          <w:rFonts w:ascii="Arial" w:eastAsia="Times New Roman" w:hAnsi="Arial" w:cs="Arial"/>
          <w:color w:val="000000"/>
          <w:lang w:val="en-US" w:eastAsia="de-DE"/>
        </w:rPr>
        <w:instrText>ndent transcript as it ranks among the top 300 most periodically expressed budding yeast genes in the Cyclebase database (Santos et al., 2015). This cell cycle dependence was recently confirmed using single molecule FISH (Qu et al., 2019; Swaffer et al., 2</w:instrText>
      </w:r>
      <w:r>
        <w:rPr>
          <w:rFonts w:ascii="Arial" w:eastAsia="Times New Roman" w:hAnsi="Arial" w:cs="Arial"/>
          <w:color w:val="000000"/>
          <w:lang w:val="en-US" w:eastAsia="de-DE"/>
        </w:rPr>
        <w:instrText>021). Thus, unless translational control perfectly compensates for the transcriptional oscillation, cell growth during G1-the period in which Whi5 mRNA is only weakly expressed-will inevitably decrease Whi5 protein concentration. Importantly, dilution of W</w:instrText>
      </w:r>
      <w:r>
        <w:rPr>
          <w:rFonts w:ascii="Arial" w:eastAsia="Times New Roman" w:hAnsi="Arial" w:cs="Arial"/>
          <w:color w:val="000000"/>
          <w:lang w:val="en-US" w:eastAsia="de-DE"/>
        </w:rPr>
        <w:instrText xml:space="preserve">hi5 does not imply that there is absolutely no synthesis of Whi5 protein during G1, just that its synthesis rate in G1 is significantly lower than in S/G2/M. Whi5 dilution during pre-Start G1 was observed using live-cell wide-field fluorescence microscopy </w:instrText>
      </w:r>
      <w:r>
        <w:rPr>
          <w:rFonts w:ascii="Arial" w:eastAsia="Times New Roman" w:hAnsi="Arial" w:cs="Arial"/>
          <w:color w:val="000000"/>
          <w:lang w:val="en-US" w:eastAsia="de-DE"/>
        </w:rPr>
        <w:instrText>of Whi5 in asynchronously cycling single cells (Schmoller et al., 2015). This analysis required careful subtraction of background and cell autofluorescence before the total fluorescence intensity of tagged Whi5 can be extracted as a proxy for the total amo</w:instrText>
      </w:r>
      <w:r>
        <w:rPr>
          <w:rFonts w:ascii="Arial" w:eastAsia="Times New Roman" w:hAnsi="Arial" w:cs="Arial"/>
          <w:color w:val="000000"/>
          <w:lang w:val="en-US" w:eastAsia="de-DE"/>
        </w:rPr>
        <w:instrText>unt of Whi5 protein. Simultaneous estimation of cell volume based on cell segmentations obtained from phase contrast images can then be used to calculate the relative change of Whi5 concentration over time. Using this approach, we found that Whi5 protein c</w:instrText>
      </w:r>
      <w:r>
        <w:rPr>
          <w:rFonts w:ascii="Arial" w:eastAsia="Times New Roman" w:hAnsi="Arial" w:cs="Arial"/>
          <w:color w:val="000000"/>
          <w:lang w:val="en-US" w:eastAsia="de-DE"/>
        </w:rPr>
        <w:instrText>oncentrations directly reflect its transcriptional regulation. In G1, Whi5 is weakly expressed, which leads to its dilution in this phase of the cell cycle. This is followed by a strong increase in Whi5 synthesis in the budded phase of the cell cycle (Schm</w:instrText>
      </w:r>
      <w:r>
        <w:rPr>
          <w:rFonts w:ascii="Arial" w:eastAsia="Times New Roman" w:hAnsi="Arial" w:cs="Arial"/>
          <w:color w:val="000000"/>
          <w:lang w:val="en-US" w:eastAsia="de-DE"/>
        </w:rPr>
        <w:instrText>oller et al., 2015).","author":[{"dropping-particle":"","family":"Schmoller","given":"Kurt M.","non-dropping-particle":"","parse-names":false,"suffix":""},{"dropping-particle":"","family":"Lanz","given":"Michael C.","non-dropping-particle":"","parse-names"</w:instrText>
      </w:r>
      <w:r>
        <w:rPr>
          <w:rFonts w:ascii="Arial" w:eastAsia="Times New Roman" w:hAnsi="Arial" w:cs="Arial"/>
          <w:color w:val="000000"/>
          <w:lang w:val="en-US" w:eastAsia="de-DE"/>
        </w:rPr>
        <w:instrText>:false,"suffix":""},{"dropping-particle":"","family":"Kim","given":"Jacob","non-dropping-particle":"","parse-names":false,"suffix":""},{"dropping-particle":"","family":"Koivomagi","given":"Mardo","non-dropping-particle":"","parse-names":false,"suffix":""},</w:instrText>
      </w:r>
      <w:r>
        <w:rPr>
          <w:rFonts w:ascii="Arial" w:eastAsia="Times New Roman" w:hAnsi="Arial" w:cs="Arial"/>
          <w:color w:val="000000"/>
          <w:lang w:val="en-US" w:eastAsia="de-DE"/>
        </w:rPr>
        <w:instrText>{"dropping-particle":"","family":"Qu","given":"Yimiao","non-dropping-particle":"","parse-names":false,"suffix":""},{"dropping-particle":"","family":"Tang","given":"Chao","non-dropping-particle":"","parse-names":false,"suffix":""},{"dropping-particle":"V.",</w:instrText>
      </w:r>
      <w:r>
        <w:rPr>
          <w:rFonts w:ascii="Arial" w:eastAsia="Times New Roman" w:hAnsi="Arial" w:cs="Arial"/>
          <w:color w:val="000000"/>
          <w:lang w:val="en-US" w:eastAsia="de-DE"/>
        </w:rPr>
        <w:instrText>"family":"Kukhtevich","given":"Igor","non-dropping-particle":"","parse-names":false,"suffix":""},{"dropping-particle":"","family":"Schneider","given":"Robert","non-dropping-particle":"","parse-names":false,"suffix":""},{"dropping-particle":"","family":"Rud</w:instrText>
      </w:r>
      <w:r>
        <w:rPr>
          <w:rFonts w:ascii="Arial" w:eastAsia="Times New Roman" w:hAnsi="Arial" w:cs="Arial"/>
          <w:color w:val="000000"/>
          <w:lang w:val="en-US" w:eastAsia="de-DE"/>
        </w:rPr>
        <w:instrText>olf","given":"Fabian","non-dropping-particle":"","parse-names":false,"suffix":""},{"dropping-particle":"","family":"Moreno","given":"David F.","non-dropping-particle":"","parse-names":false,"suffix":""},{"dropping-particle":"","family":"Aldea","given":"Mar</w:instrText>
      </w:r>
      <w:r>
        <w:rPr>
          <w:rFonts w:ascii="Arial" w:eastAsia="Times New Roman" w:hAnsi="Arial" w:cs="Arial"/>
          <w:color w:val="000000"/>
          <w:lang w:val="en-US" w:eastAsia="de-DE"/>
        </w:rPr>
        <w:instrText>tí","non-dropping-particle":"","parse-names":false,"suffix":""},{"dropping-particle":"","family":"Lucena","given":"Rafael","non-dropping-particle":"","parse-names":false,"suffix":""},{"dropping-particle":"","family":"Skotheim","given":"Jan M.","non-droppin</w:instrText>
      </w:r>
      <w:r>
        <w:rPr>
          <w:rFonts w:ascii="Arial" w:eastAsia="Times New Roman" w:hAnsi="Arial" w:cs="Arial"/>
          <w:color w:val="000000"/>
          <w:lang w:val="en-US" w:eastAsia="de-DE"/>
        </w:rPr>
        <w:instrText>g-particle":"","parse-names":false,"suffix":""}],"container-title":"Molecular Biology of the Cell","id":"ITEM-5","issue":"5","issued":{"date-parts":[["2022","5","1"]]},"page":"1-1","publisher":"American Society for Cell Biology","title":"Whi5 is diluted an</w:instrText>
      </w:r>
      <w:r>
        <w:rPr>
          <w:rFonts w:ascii="Arial" w:eastAsia="Times New Roman" w:hAnsi="Arial" w:cs="Arial"/>
          <w:color w:val="000000"/>
          <w:lang w:val="en-US" w:eastAsia="de-DE"/>
        </w:rPr>
        <w:instrText>d protein synthesis does not dramatically increase in pre-Start G1","type":"article-journal","volume":"33"},"uris":["http://www.mendeley.com/documents/?uuid=5f6ff575-5e21-33ed-9537-c627c666fc4e"]}],"mendeley":{"formattedCitation":"&lt;sup&gt;4,51–54&lt;/sup&gt;","plai</w:instrText>
      </w:r>
      <w:r>
        <w:rPr>
          <w:rFonts w:ascii="Arial" w:eastAsia="Times New Roman" w:hAnsi="Arial" w:cs="Arial"/>
          <w:color w:val="000000"/>
          <w:lang w:val="en-US" w:eastAsia="de-DE"/>
        </w:rPr>
        <w:instrText>nTextFormattedCitation":"4,51–54","previouslyFormattedCitation":"&lt;sup&gt;4,51–54&lt;/sup&gt;"},"properties":{"noteIndex":0},"schema":"https://github.com/citation-style-language/schema/raw/master/csl-citation.json"}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4,51–54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Rb in mammals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w:instrText>
      </w:r>
      <w:r>
        <w:rPr>
          <w:rFonts w:ascii="Arial" w:eastAsia="Times New Roman" w:hAnsi="Arial" w:cs="Arial"/>
          <w:color w:val="000000"/>
          <w:lang w:val="en-US" w:eastAsia="de-DE"/>
        </w:rPr>
        <w:instrText>ionItems":[{"id":"ITEM-1","itemData":{"DOI":"10.1101/470013","abstract":"Cell size is fundamental to function in different cell types across the human body because it sets the scale of organelle structures, biosynthesis, and surface transport1,2. Tiny eryt</w:instrText>
      </w:r>
      <w:r>
        <w:rPr>
          <w:rFonts w:ascii="Arial" w:eastAsia="Times New Roman" w:hAnsi="Arial" w:cs="Arial"/>
          <w:color w:val="000000"/>
          <w:lang w:val="en-US" w:eastAsia="de-DE"/>
        </w:rPr>
        <w:instrText xml:space="preserve">hrocytes squeeze through capillaries to transport oxygen, while the million-fold larger oocyte divides without growth to form the ~100 cell pre-implantation embryo. Despite the vast size range across cell types, cells of a given type are typically uniform </w:instrText>
      </w:r>
      <w:r>
        <w:rPr>
          <w:rFonts w:ascii="Arial" w:eastAsia="Times New Roman" w:hAnsi="Arial" w:cs="Arial"/>
          <w:color w:val="000000"/>
          <w:lang w:val="en-US" w:eastAsia="de-DE"/>
        </w:rPr>
        <w:instrText>in size likely because cells are able to accurately couple cell growth to division3–6. While some genes whose disruption in mammalian cells affects cell size have been identified, the molecular mechanisms through which cell growth drives cell division have</w:instrText>
      </w:r>
      <w:r>
        <w:rPr>
          <w:rFonts w:ascii="Arial" w:eastAsia="Times New Roman" w:hAnsi="Arial" w:cs="Arial"/>
          <w:color w:val="000000"/>
          <w:lang w:val="en-US" w:eastAsia="de-DE"/>
        </w:rPr>
        <w:instrText xml:space="preserve"> remained elusive7–12. Here, we show that cell growth acts to dilute the cell cycle inhibitor Rb to drive cell cycle progression from G1 to S phase in human cells. In contrast, other G1/S regulators remained at nearly constant concentration. Rb is a stable</w:instrText>
      </w:r>
      <w:r>
        <w:rPr>
          <w:rFonts w:ascii="Arial" w:eastAsia="Times New Roman" w:hAnsi="Arial" w:cs="Arial"/>
          <w:color w:val="000000"/>
          <w:lang w:val="en-US" w:eastAsia="de-DE"/>
        </w:rPr>
        <w:instrText xml:space="preserve"> protein that is synthesized during S and G2 phases in an amount that is independent of cell size. Equal partitioning to daughter cells of chromatin bound Rb then ensures that all cells at birth inherit a similar amount of Rb protein. RB overexpression inc</w:instrText>
      </w:r>
      <w:r>
        <w:rPr>
          <w:rFonts w:ascii="Arial" w:eastAsia="Times New Roman" w:hAnsi="Arial" w:cs="Arial"/>
          <w:color w:val="000000"/>
          <w:lang w:val="en-US" w:eastAsia="de-DE"/>
        </w:rPr>
        <w:instrText>reased cell size in tissue culture and a mouse cancer model, while RB deletion decreased cell size and removed the inverse correlation between cell size at birth and the duration of G1 phase. Thus, Rb-dilution by cell growth in G1 provides a long-sought ce</w:instrText>
      </w:r>
      <w:r>
        <w:rPr>
          <w:rFonts w:ascii="Arial" w:eastAsia="Times New Roman" w:hAnsi="Arial" w:cs="Arial"/>
          <w:color w:val="000000"/>
          <w:lang w:val="en-US" w:eastAsia="de-DE"/>
        </w:rPr>
        <w:instrText>ll autonomous molecular mechanism for cell size homeostasis.","author":[{"dropping-particle":"","family":"Zatulovskiy","given":"Evgeny","non-dropping-particle":"","parse-names":false,"suffix":""},{"dropping-particle":"","family":"Zhang","given":"Shuyuan","</w:instrText>
      </w:r>
      <w:r>
        <w:rPr>
          <w:rFonts w:ascii="Arial" w:eastAsia="Times New Roman" w:hAnsi="Arial" w:cs="Arial"/>
          <w:color w:val="000000"/>
          <w:lang w:val="en-US" w:eastAsia="de-DE"/>
        </w:rPr>
        <w:instrText>non-dropping-particle":"","parse-names":false,"suffix":""},{"dropping-particle":"","family":"Berenson","given":"Daniel F.","non-dropping-particle":"","parse-names":false,"suffix":""},{"dropping-particle":"","family":"Topacio","given":"Benjamin R.","non-dro</w:instrText>
      </w:r>
      <w:r>
        <w:rPr>
          <w:rFonts w:ascii="Arial" w:eastAsia="Times New Roman" w:hAnsi="Arial" w:cs="Arial"/>
          <w:color w:val="000000"/>
          <w:lang w:val="en-US" w:eastAsia="de-DE"/>
        </w:rPr>
        <w:instrText>pping-particle":"","parse-names":false,"suffix":""},{"dropping-particle":"","family":"Skotheim","given":"Jan M.","non-dropping-particle":"","parse-names":false,"suffix":""}],"container-title":"Science","id":"ITEM-1","issue":"July","issued":{"date-parts":[[</w:instrText>
      </w:r>
      <w:r>
        <w:rPr>
          <w:rFonts w:ascii="Arial" w:eastAsia="Times New Roman" w:hAnsi="Arial" w:cs="Arial"/>
          <w:color w:val="000000"/>
          <w:lang w:val="en-US" w:eastAsia="de-DE"/>
        </w:rPr>
        <w:instrText>"2020"]]},"page":"466-471","title":"Cell growth dilutes the cell cycle inhibitor Rb to trigger cell division","type":"article-journal","volume":"369"},"uris":["http://www.mendeley.com/documents/?uuid=fd17804b-2f06-401a-b1a1-621c816cbabe"]},{"id":"ITEM-2","</w:instrText>
      </w:r>
      <w:r>
        <w:rPr>
          <w:rFonts w:ascii="Arial" w:eastAsia="Times New Roman" w:hAnsi="Arial" w:cs="Arial"/>
          <w:color w:val="000000"/>
          <w:lang w:val="en-US" w:eastAsia="de-DE"/>
        </w:rPr>
        <w:instrText>itemData":{"DOI":"10.3389/fcell.2022.965595","ISSN":"2296634X","abstract":"Every type of cell in an animal maintains a specific size, which likely contributes to its ability to perform its physiological functions. While some cell size control mechanisms ar</w:instrText>
      </w:r>
      <w:r>
        <w:rPr>
          <w:rFonts w:ascii="Arial" w:eastAsia="Times New Roman" w:hAnsi="Arial" w:cs="Arial"/>
          <w:color w:val="000000"/>
          <w:lang w:val="en-US" w:eastAsia="de-DE"/>
        </w:rPr>
        <w:instrText>e beginning to be elucidated through studies of cultured cells, it is unclear if and how such mechanisms control cell size in an animal. For example, it was recently shown that RB, the retinoblastoma protein, was diluted by cell growth in G1 to promote siz</w:instrText>
      </w:r>
      <w:r>
        <w:rPr>
          <w:rFonts w:ascii="Arial" w:eastAsia="Times New Roman" w:hAnsi="Arial" w:cs="Arial"/>
          <w:color w:val="000000"/>
          <w:lang w:val="en-US" w:eastAsia="de-DE"/>
        </w:rPr>
        <w:instrText>e-dependence of the G1/S transition. However, it remains unclear to what extent the RB-dilution mechanism controls cell size in an animal. We therefore examined the contribution of RB-dilution to cell size control in the mouse liver. Consistent with the RB</w:instrText>
      </w:r>
      <w:r>
        <w:rPr>
          <w:rFonts w:ascii="Arial" w:eastAsia="Times New Roman" w:hAnsi="Arial" w:cs="Arial"/>
          <w:color w:val="000000"/>
          <w:lang w:val="en-US" w:eastAsia="de-DE"/>
        </w:rPr>
        <w:instrText>-dilution model, genetic perturbations decreasing RB protein concentrations through inducible shRNA expression or through liver-specific Rb1 knockout reduced hepatocyte size, while perturbations increasing RB protein concentrations in an Fah−/− mouse model</w:instrText>
      </w:r>
      <w:r>
        <w:rPr>
          <w:rFonts w:ascii="Arial" w:eastAsia="Times New Roman" w:hAnsi="Arial" w:cs="Arial"/>
          <w:color w:val="000000"/>
          <w:lang w:val="en-US" w:eastAsia="de-DE"/>
        </w:rPr>
        <w:instrText xml:space="preserve"> increased hepatocyte size. Moreover, RB concentration reflects cell size in G1 as it is lower in larger G1 hepatocytes. In contrast, concentrations of the cell cycle activators Cyclin D1 and E2f1 were relatively constant. Lastly, loss of Rb1 weakened cell</w:instrText>
      </w:r>
      <w:r>
        <w:rPr>
          <w:rFonts w:ascii="Arial" w:eastAsia="Times New Roman" w:hAnsi="Arial" w:cs="Arial"/>
          <w:color w:val="000000"/>
          <w:lang w:val="en-US" w:eastAsia="de-DE"/>
        </w:rPr>
        <w:instrText xml:space="preserve"> size control, i.e., reduced the inverse correlation between how much cells grew in G1 and how large they were at birth. Taken together, our results show that an RB-dilution mechanism contributes to cell size control in the mouse liver by linking cell grow</w:instrText>
      </w:r>
      <w:r>
        <w:rPr>
          <w:rFonts w:ascii="Arial" w:eastAsia="Times New Roman" w:hAnsi="Arial" w:cs="Arial"/>
          <w:color w:val="000000"/>
          <w:lang w:val="en-US" w:eastAsia="de-DE"/>
        </w:rPr>
        <w:instrText>th to the G1/S transition.","author":[{"dropping-particle":"","family":"Zhang","given":"Shuyuan","non-dropping-particle":"","parse-names":false,"suffix":""},{"dropping-particle":"","family":"Zatulovskiy","given":"Evgeny","non-dropping-particle":"","parse-n</w:instrText>
      </w:r>
      <w:r>
        <w:rPr>
          <w:rFonts w:ascii="Arial" w:eastAsia="Times New Roman" w:hAnsi="Arial" w:cs="Arial"/>
          <w:color w:val="000000"/>
          <w:lang w:val="en-US" w:eastAsia="de-DE"/>
        </w:rPr>
        <w:instrText>ames":false,"suffix":""},{"dropping-particle":"","family":"Arand","given":"Julia","non-dropping-particle":"","parse-names":false,"suffix":""},{"dropping-particle":"","family":"Sage","given":"Julien","non-dropping-particle":"","parse-names":false,"suffix":"</w:instrText>
      </w:r>
      <w:r>
        <w:rPr>
          <w:rFonts w:ascii="Arial" w:eastAsia="Times New Roman" w:hAnsi="Arial" w:cs="Arial"/>
          <w:color w:val="000000"/>
          <w:lang w:val="en-US" w:eastAsia="de-DE"/>
        </w:rPr>
        <w:instrText>"},{"dropping-particle":"","family":"Skotheim","given":"Jan M.","non-dropping-particle":"","parse-names":false,"suffix":""}],"container-title":"Frontiers in Cell and Developmental Biology","id":"ITEM-2","issued":{"date-parts":[["2022","6","10"]]},"page":"2</w:instrText>
      </w:r>
      <w:r>
        <w:rPr>
          <w:rFonts w:ascii="Arial" w:eastAsia="Times New Roman" w:hAnsi="Arial" w:cs="Arial"/>
          <w:color w:val="000000"/>
          <w:lang w:val="en-US" w:eastAsia="de-DE"/>
        </w:rPr>
        <w:instrText>022.06.08.495371","publisher":"Cold Spring Harbor Laboratory","title":"The cell cycle inhibitor RB is diluted in G1 and contributes to controlling cell size in the mouse liver","type":"article-journal","volume":"10"},"uris":["http://www.mendeley.com/docume</w:instrText>
      </w:r>
      <w:r>
        <w:rPr>
          <w:rFonts w:ascii="Arial" w:eastAsia="Times New Roman" w:hAnsi="Arial" w:cs="Arial"/>
          <w:color w:val="000000"/>
          <w:lang w:val="en-US" w:eastAsia="de-DE"/>
        </w:rPr>
        <w:instrText>nts/?uuid=84895713-5ccf-30b0-9d35-638ed63d7991"]},{"id":"ITEM-3","itemData":{"DOI":"10.1101/2023.10.03.560768","abstract":"Mammalian cells make the decision to divide at the G1/S transition in response to diverse signals impinging on the retinoblastoma pro</w:instrText>
      </w:r>
      <w:r>
        <w:rPr>
          <w:rFonts w:ascii="Arial" w:eastAsia="Times New Roman" w:hAnsi="Arial" w:cs="Arial"/>
          <w:color w:val="000000"/>
          <w:lang w:val="en-US" w:eastAsia="de-DE"/>
        </w:rPr>
        <w:instrText>tein Rb, a cell cycle inhibitor and tumor suppressor. Rb is inhibited by two parallel pathways. In the canonical pathway, cyclin D-Cdk4/6 kinase complexes phosphorylate and inactivate Rb. In the second, recently discovered pathway, Rb’s concentration decre</w:instrText>
      </w:r>
      <w:r>
        <w:rPr>
          <w:rFonts w:ascii="Arial" w:eastAsia="Times New Roman" w:hAnsi="Arial" w:cs="Arial"/>
          <w:color w:val="000000"/>
          <w:lang w:val="en-US" w:eastAsia="de-DE"/>
        </w:rPr>
        <w:instrText>ases during G1 through an unknown mechanism. Here, we found that regulated protein degradation via the E3 ubiquitin ligase UBR5 is responsible for Rb’s concentration drop in G1. UBR5 knockout cells have increased Rb concentration in early G1, exhibited a l</w:instrText>
      </w:r>
      <w:r>
        <w:rPr>
          <w:rFonts w:ascii="Arial" w:eastAsia="Times New Roman" w:hAnsi="Arial" w:cs="Arial"/>
          <w:color w:val="000000"/>
          <w:lang w:val="en-US" w:eastAsia="de-DE"/>
        </w:rPr>
        <w:instrText xml:space="preserve">ower G1/S transition rate, and are more sensitive to inhibition of Cdk4/6. This last observation suggests that UBR5 inhibition can strengthen the efficacy of Cdk4/6 inhibitor-based cancer therapies.\n\nOne-Sentence Summary The E3 ligase UBR5 progressively </w:instrText>
      </w:r>
      <w:r>
        <w:rPr>
          <w:rFonts w:ascii="Arial" w:eastAsia="Times New Roman" w:hAnsi="Arial" w:cs="Arial"/>
          <w:color w:val="000000"/>
          <w:lang w:val="en-US" w:eastAsia="de-DE"/>
        </w:rPr>
        <w:instrText>reduces the concentration of the retinoblastoma protein Rb during G1 to drive proliferation.\n\n### Competing Interest Statement\n\nThe authors have declared no competing interest.","author":[{"dropping-particle":"","family":"Zhang","given":"Shuyuan","non-</w:instrText>
      </w:r>
      <w:r>
        <w:rPr>
          <w:rFonts w:ascii="Arial" w:eastAsia="Times New Roman" w:hAnsi="Arial" w:cs="Arial"/>
          <w:color w:val="000000"/>
          <w:lang w:val="en-US" w:eastAsia="de-DE"/>
        </w:rPr>
        <w:instrText>dropping-particle":"","parse-names":false,"suffix":""},{"dropping-particle":"","family":"Valenzuela","given":"Lucas Fuentes","non-dropping-particle":"","parse-names":false,"suffix":""},{"dropping-particle":"","family":"Zatulovskiy","given":"Evgeny","non-dr</w:instrText>
      </w:r>
      <w:r>
        <w:rPr>
          <w:rFonts w:ascii="Arial" w:eastAsia="Times New Roman" w:hAnsi="Arial" w:cs="Arial"/>
          <w:color w:val="000000"/>
          <w:lang w:val="en-US" w:eastAsia="de-DE"/>
        </w:rPr>
        <w:instrText>opping-particle":"","parse-names":false,"suffix":""},{"dropping-particle":"","family":"Skotheim","given":"Jan M.","non-dropping-particle":"","parse-names":false,"suffix":""}],"container-title":"bioRxiv","id":"ITEM-3","issued":{"date-parts":[["2023","10","5</w:instrText>
      </w:r>
      <w:r>
        <w:rPr>
          <w:rFonts w:ascii="Arial" w:eastAsia="Times New Roman" w:hAnsi="Arial" w:cs="Arial"/>
          <w:color w:val="000000"/>
          <w:lang w:val="en-US" w:eastAsia="de-DE"/>
        </w:rPr>
        <w:instrText>"]]},"page":"2023.10.03.560768","publisher":"Cold Spring Harbor Laboratory","title":"The G1/S transition is promoted by Rb degradation via the E3 ligase UBR5","type":"article-journal"},"uris":["http://www.mendeley.com/documents/?uuid=2368510e-b268-3b78-90f</w:instrText>
      </w:r>
      <w:r>
        <w:rPr>
          <w:rFonts w:ascii="Arial" w:eastAsia="Times New Roman" w:hAnsi="Arial" w:cs="Arial"/>
          <w:color w:val="000000"/>
          <w:lang w:val="en-US" w:eastAsia="de-DE"/>
        </w:rPr>
        <w:instrText>3-35966b2762c1"]}],"mendeley":{"formattedCitation":"&lt;sup&gt;55–57&lt;/sup&gt;","plainTextFormattedCitation":"55–57","previouslyFormattedCitation":"&lt;sup&gt;55–57&lt;/sup&gt;"},"properties":{"noteIndex":0},"schema":"https://github.com/citation-style-language/schema/raw/master</w:instrText>
      </w:r>
      <w:r>
        <w:rPr>
          <w:rFonts w:ascii="Arial" w:eastAsia="Times New Roman" w:hAnsi="Arial" w:cs="Arial"/>
          <w:color w:val="000000"/>
          <w:lang w:val="en-US" w:eastAsia="de-DE"/>
        </w:rPr>
        <w:instrText>/csl-citation.json"}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55–57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KRP4 in </w:t>
      </w:r>
      <w:r>
        <w:rPr>
          <w:rFonts w:ascii="Arial" w:eastAsia="Times New Roman" w:hAnsi="Arial" w:cs="Arial"/>
          <w:i/>
          <w:iCs/>
          <w:color w:val="000000"/>
          <w:lang w:val="en-US" w:eastAsia="de-DE"/>
        </w:rPr>
        <w:t>Arabidopsis thaliana</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{"citationItems":[{"id":"ITEM-1","itemData":{"DOI":"10.1126/science.abb4348","ISSN":"0036-8075","abstract":"&lt;p&gt; How eukaryotic cells assess and maintain sizes specific for the</w:instrText>
      </w:r>
      <w:r>
        <w:rPr>
          <w:rFonts w:ascii="Arial" w:eastAsia="Times New Roman" w:hAnsi="Arial" w:cs="Arial"/>
          <w:i/>
          <w:iCs/>
          <w:color w:val="000000"/>
          <w:lang w:val="en-US" w:eastAsia="de-DE"/>
        </w:rPr>
        <w:instrText>ir species and cell type remains unclear. We show that in the &lt;italic&gt;Arabidopsis&lt;/italic&gt; shoot stem cell niche, cell size variability caused by asymmetric divisions is corrected by adjusting the growth period before DNA synthesis. KIP-related protein 4 (</w:instrText>
      </w:r>
      <w:r>
        <w:rPr>
          <w:rFonts w:ascii="Arial" w:eastAsia="Times New Roman" w:hAnsi="Arial" w:cs="Arial"/>
          <w:i/>
          <w:iCs/>
          <w:color w:val="000000"/>
          <w:lang w:val="en-US" w:eastAsia="de-DE"/>
        </w:rPr>
        <w:instrText>KRP4) inhibits progression to DNA synthesis and associates with mitotic chromosomes. The F BOX-LIKE 17 (FBL17) protein removes excess KRP4. Consequently, daughter cells are born with comparable amounts of KRP4. Inhibitor dilution models predicted that KRP4</w:instrText>
      </w:r>
      <w:r>
        <w:rPr>
          <w:rFonts w:ascii="Arial" w:eastAsia="Times New Roman" w:hAnsi="Arial" w:cs="Arial"/>
          <w:i/>
          <w:iCs/>
          <w:color w:val="000000"/>
          <w:lang w:val="en-US" w:eastAsia="de-DE"/>
        </w:rPr>
        <w:instrText xml:space="preserve"> inherited through chromatin would robustly regulate size, whereas inheritance of excess free KRP4 would disrupt size homeostasis, as confirmed by mutant analyses. We propose that a cell cycle regulator, stabilized by association with mitotic chromosomes, </w:instrText>
      </w:r>
      <w:r>
        <w:rPr>
          <w:rFonts w:ascii="Arial" w:eastAsia="Times New Roman" w:hAnsi="Arial" w:cs="Arial"/>
          <w:i/>
          <w:iCs/>
          <w:color w:val="000000"/>
          <w:lang w:val="en-US" w:eastAsia="de-DE"/>
        </w:rPr>
        <w:instrText>reads DNA content as a cell size–independent scale. &lt;/p&gt;","author":[{"dropping-particle":"","family":"D’Ario","given":"Marco","non-dropping-particle":"","parse-names":false,"suffix":""},{"dropping-particle":"","family":"Tavares","given":"Rafael","non-dropp</w:instrText>
      </w:r>
      <w:r>
        <w:rPr>
          <w:rFonts w:ascii="Arial" w:eastAsia="Times New Roman" w:hAnsi="Arial" w:cs="Arial"/>
          <w:i/>
          <w:iCs/>
          <w:color w:val="000000"/>
          <w:lang w:val="en-US" w:eastAsia="de-DE"/>
        </w:rPr>
        <w:instrText>ing-particle":"","parse-names":false,"suffix":""},{"dropping-particle":"","family":"Schiessl","given":"Katharina","non-dropping-particle":"","parse-names":false,"suffix":""},{"dropping-particle":"","family":"Desvoyes","given":"Bénédicte","non-dropping-part</w:instrText>
      </w:r>
      <w:r>
        <w:rPr>
          <w:rFonts w:ascii="Arial" w:eastAsia="Times New Roman" w:hAnsi="Arial" w:cs="Arial"/>
          <w:i/>
          <w:iCs/>
          <w:color w:val="000000"/>
          <w:lang w:val="en-US" w:eastAsia="de-DE"/>
        </w:rPr>
        <w:instrText>icle":"","parse-names":false,"suffix":""},{"dropping-particle":"","family":"Gutierrez","given":"Crisanto","non-dropping-particle":"","parse-names":false,"suffix":""},{"dropping-particle":"","family":"Howard","given":"Martin","non-dropping-particle":"","par</w:instrText>
      </w:r>
      <w:r>
        <w:rPr>
          <w:rFonts w:ascii="Arial" w:eastAsia="Times New Roman" w:hAnsi="Arial" w:cs="Arial"/>
          <w:i/>
          <w:iCs/>
          <w:color w:val="000000"/>
          <w:lang w:val="en-US" w:eastAsia="de-DE"/>
        </w:rPr>
        <w:instrText>se-names":false,"suffix":""},{"dropping-particle":"","family":"Sablowski","given":"Robert","non-dropping-particle":"","parse-names":false,"suffix":""}],"container-title":"Science","id":"ITEM-1","issue":"6547","issued":{"date-parts":[["2021","6","11"]]},"pa</w:instrText>
      </w:r>
      <w:r>
        <w:rPr>
          <w:rFonts w:ascii="Arial" w:eastAsia="Times New Roman" w:hAnsi="Arial" w:cs="Arial"/>
          <w:i/>
          <w:iCs/>
          <w:color w:val="000000"/>
          <w:lang w:val="en-US" w:eastAsia="de-DE"/>
        </w:rPr>
        <w:instrText>ge":"1176-1181","title":"Cell size controlled in plants using DNA content as an internal scale","type":"article-journal","volume":"372"},"uris":["http://www.mendeley.com/documents/?uuid=c4b11d85-c00f-3f0d-96ef-8bd1aa86f3f6"]}],"mendeley":{"formattedCitatio</w:instrText>
      </w:r>
      <w:r>
        <w:rPr>
          <w:rFonts w:ascii="Arial" w:eastAsia="Times New Roman" w:hAnsi="Arial" w:cs="Arial"/>
          <w:i/>
          <w:iCs/>
          <w:color w:val="000000"/>
          <w:lang w:val="en-US" w:eastAsia="de-DE"/>
        </w:rPr>
        <w:instrText>n":"&lt;sup&gt;58&lt;/sup&gt;","plainTextFormattedCitation":"58","previouslyFormattedCitation":"&lt;sup&gt;58&lt;/sup&gt;"},"properties":{"noteIndex":0},"schema":"https://github.com/citation-style-language/schema/raw/master/csl-citation.json"}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58</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xml:space="preserve"> subscale, leading to their dilu</w:t>
      </w:r>
      <w:r>
        <w:rPr>
          <w:rFonts w:ascii="Arial" w:eastAsia="Times New Roman" w:hAnsi="Arial" w:cs="Arial"/>
          <w:color w:val="000000"/>
          <w:lang w:val="en-US" w:eastAsia="de-DE"/>
        </w:rPr>
        <w:t>tion in bigger cells. In contrast, the fission yeast cell cycle activators Cdc25 and Cdc13 superscale, leading to higher concentration in larger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{"citationItems":[{"id":"ITEM-1","itemData":{"DOI":"10.1016/j.cub.2017.04.016","ISSN":"</w:instrText>
      </w:r>
      <w:r>
        <w:rPr>
          <w:rFonts w:ascii="Arial" w:eastAsia="Times New Roman" w:hAnsi="Arial" w:cs="Arial"/>
          <w:color w:val="000000"/>
          <w:lang w:val="en-US" w:eastAsia="de-DE"/>
        </w:rPr>
        <w:instrText>09609822","PMID":"28479325","abstract":"Proper cell size is essential for cellular function. Nonetheless, despite more than 100 years of work on the subject, the mechanisms that maintain cell-size homeostasis are largely mysterious [1]. Cells in growing po</w:instrText>
      </w:r>
      <w:r>
        <w:rPr>
          <w:rFonts w:ascii="Arial" w:eastAsia="Times New Roman" w:hAnsi="Arial" w:cs="Arial"/>
          <w:color w:val="000000"/>
          <w:lang w:val="en-US" w:eastAsia="de-DE"/>
        </w:rPr>
        <w:instrText>pulations maintain cell size within a narrow range by coordinating growth and division. Bacterial and eukaryotic cells both demonstrate homeostatic size control, which maintains population-level variation in cell size within a certain range and returns the</w:instrText>
      </w:r>
      <w:r>
        <w:rPr>
          <w:rFonts w:ascii="Arial" w:eastAsia="Times New Roman" w:hAnsi="Arial" w:cs="Arial"/>
          <w:color w:val="000000"/>
          <w:lang w:val="en-US" w:eastAsia="de-DE"/>
        </w:rPr>
        <w:instrText xml:space="preserve"> population average to that range if it is perturbed [1, 2]. Recent work has proposed two different strategies for size control: budding yeast has been proposed to use an inhibitor-dilution strategy to regulate size at the G1/S transition [3], whereas bact</w:instrText>
      </w:r>
      <w:r>
        <w:rPr>
          <w:rFonts w:ascii="Arial" w:eastAsia="Times New Roman" w:hAnsi="Arial" w:cs="Arial"/>
          <w:color w:val="000000"/>
          <w:lang w:val="en-US" w:eastAsia="de-DE"/>
        </w:rPr>
        <w:instrText>eria appear to use an adder strategy, in which a fixed amount of growth each generation causes cell size to converge on a stable average [4–6]. Here we present evidence that cell size in the fission yeast Schizosaccharomyces pombe is regulated by a third s</w:instrText>
      </w:r>
      <w:r>
        <w:rPr>
          <w:rFonts w:ascii="Arial" w:eastAsia="Times New Roman" w:hAnsi="Arial" w:cs="Arial"/>
          <w:color w:val="000000"/>
          <w:lang w:val="en-US" w:eastAsia="de-DE"/>
        </w:rPr>
        <w:instrText>trategy: the size-dependent expression of the mitotic activator Cdc25. cdc25 transcript levels are regulated such that smaller cells express less Cdc25 and larger cells express more Cdc25, creating an increasing concentration of Cdc25 as cells grow and pro</w:instrText>
      </w:r>
      <w:r>
        <w:rPr>
          <w:rFonts w:ascii="Arial" w:eastAsia="Times New Roman" w:hAnsi="Arial" w:cs="Arial"/>
          <w:color w:val="000000"/>
          <w:lang w:val="en-US" w:eastAsia="de-DE"/>
        </w:rPr>
        <w:instrText>viding a mechanism for cells to trigger cell division when they reach a threshold concentration of Cdc25. Because regulation of mitotic entry by Cdc25 is well conserved, this mechanism may provide a widespread solution to the problem of size control in euk</w:instrText>
      </w:r>
      <w:r>
        <w:rPr>
          <w:rFonts w:ascii="Arial" w:eastAsia="Times New Roman" w:hAnsi="Arial" w:cs="Arial"/>
          <w:color w:val="000000"/>
          <w:lang w:val="en-US" w:eastAsia="de-DE"/>
        </w:rPr>
        <w:instrText>aryotes.","author":[{"dropping-particle":"","family":"Keifenheim","given":"Daniel","non-dropping-particle":"","parse-names":false,"suffix":""},{"dropping-particle":"","family":"Sun","given":"Xi Ming","non-dropping-particle":"","parse-names":false,"suffix":</w:instrText>
      </w:r>
      <w:r>
        <w:rPr>
          <w:rFonts w:ascii="Arial" w:eastAsia="Times New Roman" w:hAnsi="Arial" w:cs="Arial"/>
          <w:color w:val="000000"/>
          <w:lang w:val="en-US" w:eastAsia="de-DE"/>
        </w:rPr>
        <w:instrText>""},{"dropping-particle":"","family":"D'Souza","given":"Edridge","non-dropping-particle":"","parse-names":false,"suffix":""},{"dropping-particle":"","family":"Ohira","given":"Makoto J.","non-dropping-particle":"","parse-names":false,"suffix":""},{"dropping</w:instrText>
      </w:r>
      <w:r>
        <w:rPr>
          <w:rFonts w:ascii="Arial" w:eastAsia="Times New Roman" w:hAnsi="Arial" w:cs="Arial"/>
          <w:color w:val="000000"/>
          <w:lang w:val="en-US" w:eastAsia="de-DE"/>
        </w:rPr>
        <w:instrText>-particle":"","family":"Magner","given":"Mira","non-dropping-particle":"","parse-names":false,"suffix":""},{"dropping-particle":"","family":"Mayhew","given":"Michael B.","non-dropping-particle":"","parse-names":false,"suffix":""},{"dropping-particle":"","f</w:instrText>
      </w:r>
      <w:r>
        <w:rPr>
          <w:rFonts w:ascii="Arial" w:eastAsia="Times New Roman" w:hAnsi="Arial" w:cs="Arial"/>
          <w:color w:val="000000"/>
          <w:lang w:val="en-US" w:eastAsia="de-DE"/>
        </w:rPr>
        <w:instrText>amily":"Marguerat","given":"Samuel","non-dropping-particle":"","parse-names":false,"suffix":""},{"dropping-particle":"","family":"Rhind","given":"Nicholas","non-dropping-particle":"","parse-names":false,"suffix":""}],"container-title":"Current Biology","id</w:instrText>
      </w:r>
      <w:r>
        <w:rPr>
          <w:rFonts w:ascii="Arial" w:eastAsia="Times New Roman" w:hAnsi="Arial" w:cs="Arial"/>
          <w:color w:val="000000"/>
          <w:lang w:val="en-US" w:eastAsia="de-DE"/>
        </w:rPr>
        <w:instrText>":"ITEM-1","issue":"10","issued":{"date-parts":[["2017"]]},"page":"1491-1497.e4","title":"Size-Dependent Expression of the Mitotic Activator Cdc25 Suggests a Mechanism of Size Control in Fission Yeast","type":"article-journal","volume":"27"},"uris":["http:</w:instrText>
      </w:r>
      <w:r>
        <w:rPr>
          <w:rFonts w:ascii="Arial" w:eastAsia="Times New Roman" w:hAnsi="Arial" w:cs="Arial"/>
          <w:color w:val="000000"/>
          <w:lang w:val="en-US" w:eastAsia="de-DE"/>
        </w:rPr>
        <w:instrText>//www.mendeley.com/documents/?uuid=b54a884d-4894-3c71-ab98-f84739652d77"]},{"id":"ITEM-2","itemData":{"DOI":"10.1073/PNAS.2206172119/SUPPL_FILE/PNAS.2206172119.SAPP.PDF","ISSN":"10916490","PMID":"36037351","abstract":"We have carried out a systems-level an</w:instrText>
      </w:r>
      <w:r>
        <w:rPr>
          <w:rFonts w:ascii="Arial" w:eastAsia="Times New Roman" w:hAnsi="Arial" w:cs="Arial"/>
          <w:color w:val="000000"/>
          <w:lang w:val="en-US" w:eastAsia="de-DE"/>
        </w:rPr>
        <w:instrText xml:space="preserve">alysis of the spatial and temporal dynamics of cell cycle regulators in the fission yeast Schizosaccharomyces pombe. In a comprehensive single-cell analysis, we have precisely quantified the levels of 38 proteins previously identified as regulators of the </w:instrText>
      </w:r>
      <w:r>
        <w:rPr>
          <w:rFonts w:ascii="Arial" w:eastAsia="Times New Roman" w:hAnsi="Arial" w:cs="Arial"/>
          <w:color w:val="000000"/>
          <w:lang w:val="en-US" w:eastAsia="de-DE"/>
        </w:rPr>
        <w:instrText xml:space="preserve">G2 to mitosis transition and of 7 proteins acting at the G1- to S-phase transition. Only 2 of the 38 mitotic regulators exhibit changes in concentration at the whole-cell level: the mitotic B-type cyclin Cdc13, which accumulates continually throughout the </w:instrText>
      </w:r>
      <w:r>
        <w:rPr>
          <w:rFonts w:ascii="Arial" w:eastAsia="Times New Roman" w:hAnsi="Arial" w:cs="Arial"/>
          <w:color w:val="000000"/>
          <w:lang w:val="en-US" w:eastAsia="de-DE"/>
        </w:rPr>
        <w:instrText xml:space="preserve">cell cycle, and the regulatory phosphatase Cdc25, which exhibits a complex cell cycle pattern. Both proteins show similar patterns of change within the nucleus as in the whole cell but at higher concentrations. In addition, the concentrations of the major </w:instrText>
      </w:r>
      <w:r>
        <w:rPr>
          <w:rFonts w:ascii="Arial" w:eastAsia="Times New Roman" w:hAnsi="Arial" w:cs="Arial"/>
          <w:color w:val="000000"/>
          <w:lang w:val="en-US" w:eastAsia="de-DE"/>
        </w:rPr>
        <w:instrText>fission yeast cyclin-dependent kinase (CDK) Cdc2, the CDK regulator Suc1, and the inhibitory kinase Wee1 also increase in the nucleus, peaking at mitotic onset, but are constant in the whole cell. The significant increase in concentration with size for Cdc</w:instrText>
      </w:r>
      <w:r>
        <w:rPr>
          <w:rFonts w:ascii="Arial" w:eastAsia="Times New Roman" w:hAnsi="Arial" w:cs="Arial"/>
          <w:color w:val="000000"/>
          <w:lang w:val="en-US" w:eastAsia="de-DE"/>
        </w:rPr>
        <w:instrText xml:space="preserve">13 supports the view that mitotic B-type cyclin accumulation could act as a cell size sensor. We propose a two-step process for the control of mitosis. First, Cdc13 accumulates in a size-dependent manner, which drives increasing CDK activity. Second, from </w:instrText>
      </w:r>
      <w:r>
        <w:rPr>
          <w:rFonts w:ascii="Arial" w:eastAsia="Times New Roman" w:hAnsi="Arial" w:cs="Arial"/>
          <w:color w:val="000000"/>
          <w:lang w:val="en-US" w:eastAsia="de-DE"/>
        </w:rPr>
        <w:instrText>mid-G2, the increasing nuclear accumulation of Cdc25 and the counteracting Wee1 introduce a bistability switch that results in a rapid rise of CDK activity at the end of G2 and thus, brings about an orderly progression into mitosis.","author":[{"dropping-p</w:instrText>
      </w:r>
      <w:r>
        <w:rPr>
          <w:rFonts w:ascii="Arial" w:eastAsia="Times New Roman" w:hAnsi="Arial" w:cs="Arial"/>
          <w:color w:val="000000"/>
          <w:lang w:val="en-US" w:eastAsia="de-DE"/>
        </w:rPr>
        <w:instrText>article":"","family":"Curran","given":"Scott","non-dropping-particle":"","parse-names":false,"suffix":""},{"dropping-particle":"","family":"Dey","given":"Gautam","non-dropping-particle":"","parse-names":false,"suffix":""},{"dropping-particle":"","family":"</w:instrText>
      </w:r>
      <w:r>
        <w:rPr>
          <w:rFonts w:ascii="Arial" w:eastAsia="Times New Roman" w:hAnsi="Arial" w:cs="Arial"/>
          <w:color w:val="000000"/>
          <w:lang w:val="en-US" w:eastAsia="de-DE"/>
        </w:rPr>
        <w:instrText xml:space="preserve">Rees","given":"Paul","non-dropping-particle":"","parse-names":false,"suffix":""},{"dropping-particle":"","family":"Nurse","given":"Paul","non-dropping-particle":"","parse-names":false,"suffix":""}],"container-title":"Proceedings of the National Academy of </w:instrText>
      </w:r>
      <w:r>
        <w:rPr>
          <w:rFonts w:ascii="Arial" w:eastAsia="Times New Roman" w:hAnsi="Arial" w:cs="Arial"/>
          <w:color w:val="000000"/>
          <w:lang w:val="en-US" w:eastAsia="de-DE"/>
        </w:rPr>
        <w:instrText>Sciences of the United States of America","id":"ITEM-2","issue":"36","issued":{"date-parts":[["2022","9","6"]]},"page":"e2206172119","publisher":"National Academy of Sciences","title":"A quantitative and spatial analysis of cell cycle regulators during the</w:instrText>
      </w:r>
      <w:r>
        <w:rPr>
          <w:rFonts w:ascii="Arial" w:eastAsia="Times New Roman" w:hAnsi="Arial" w:cs="Arial"/>
          <w:color w:val="000000"/>
          <w:lang w:val="en-US" w:eastAsia="de-DE"/>
        </w:rPr>
        <w:instrText xml:space="preserve"> fission yeast cycle","type":"article-journal","volume":"119"},"uris":["http://www.mendeley.com/documents/?uuid=f540fd3c-6fb3-39d6-8063-38d115e9227f"]},{"id":"ITEM-3","itemData":{"DOI":"10.1016/j.cub.2023.06.054","ISSN":"18790445","PMID":"37463585","abstra</w:instrText>
      </w:r>
      <w:r>
        <w:rPr>
          <w:rFonts w:ascii="Arial" w:eastAsia="Times New Roman" w:hAnsi="Arial" w:cs="Arial"/>
          <w:color w:val="000000"/>
          <w:lang w:val="en-US" w:eastAsia="de-DE"/>
        </w:rPr>
        <w:instrText>ct":"Eukaryotic cells tightly control their size, but the relevant aspect of size is unknown in most cases. Fission yeast divide at a threshold cell surface area (SA) due, in part, to the protein kinase Cdr2. We find that fission yeast cells only divide by</w:instrText>
      </w:r>
      <w:r>
        <w:rPr>
          <w:rFonts w:ascii="Arial" w:eastAsia="Times New Roman" w:hAnsi="Arial" w:cs="Arial"/>
          <w:color w:val="000000"/>
          <w:lang w:val="en-US" w:eastAsia="de-DE"/>
        </w:rPr>
        <w:instrText xml:space="preserve"> SA under a size threshold. Mutants that divide at a larger size shift to volume-based divisions. Diploid cells divide at a larger size than haploid cells do, but they maintain SA-based divisions, and this indicates that the size threshold for changing fro</w:instrText>
      </w:r>
      <w:r>
        <w:rPr>
          <w:rFonts w:ascii="Arial" w:eastAsia="Times New Roman" w:hAnsi="Arial" w:cs="Arial"/>
          <w:color w:val="000000"/>
          <w:lang w:val="en-US" w:eastAsia="de-DE"/>
        </w:rPr>
        <w:instrText>m surface-area-based to volume-based control is set by ploidy. Within this size control system, we found that the mitotic activator Cdc25 accumulates like a volume-based sizer molecule, whereas the mitotic cyclin Cdc13 accumulates in the nucleus as a timer</w:instrText>
      </w:r>
      <w:r>
        <w:rPr>
          <w:rFonts w:ascii="Arial" w:eastAsia="Times New Roman" w:hAnsi="Arial" w:cs="Arial"/>
          <w:color w:val="000000"/>
          <w:lang w:val="en-US" w:eastAsia="de-DE"/>
        </w:rPr>
        <w:instrText>. We propose an integrated model for cell size control based on multiple signaling pathways that report on distinct aspects of cell size and growth, including cell SA (Cdr2), cell volume (Cdc25), and time (Cdc13). Combined modeling and experiments show how</w:instrText>
      </w:r>
      <w:r>
        <w:rPr>
          <w:rFonts w:ascii="Arial" w:eastAsia="Times New Roman" w:hAnsi="Arial" w:cs="Arial"/>
          <w:color w:val="000000"/>
          <w:lang w:val="en-US" w:eastAsia="de-DE"/>
        </w:rPr>
        <w:instrText xml:space="preserve"> this system can generate both sizer- and adder-like properties.","author":[{"dropping-particle":"","family":"Miller","given":"Kristi E.","non-dropping-particle":"","parse-names":false,"suffix":""},{"dropping-particle":"","family":"Vargas-Garcia","given":"</w:instrText>
      </w:r>
      <w:r>
        <w:rPr>
          <w:rFonts w:ascii="Arial" w:eastAsia="Times New Roman" w:hAnsi="Arial" w:cs="Arial"/>
          <w:color w:val="000000"/>
          <w:lang w:val="en-US" w:eastAsia="de-DE"/>
        </w:rPr>
        <w:instrText>Cesar","non-dropping-particle":"","parse-names":false,"suffix":""},{"dropping-particle":"","family":"Singh","given":"Abhyudai","non-dropping-particle":"","parse-names":false,"suffix":""},{"dropping-particle":"","family":"Moseley","given":"James B.","non-dr</w:instrText>
      </w:r>
      <w:r>
        <w:rPr>
          <w:rFonts w:ascii="Arial" w:eastAsia="Times New Roman" w:hAnsi="Arial" w:cs="Arial"/>
          <w:color w:val="000000"/>
          <w:lang w:val="en-US" w:eastAsia="de-DE"/>
        </w:rPr>
        <w:instrText>opping-particle":"","parse-names":false,"suffix":""}],"container-title":"Current Biology","id":"ITEM-3","issue":"16","issued":{"date-parts":[["2023","11","17"]]},"page":"3312-3324.e7","publisher":"Cold Spring Harbor Laboratory","title":"The fission yeast c</w:instrText>
      </w:r>
      <w:r>
        <w:rPr>
          <w:rFonts w:ascii="Arial" w:eastAsia="Times New Roman" w:hAnsi="Arial" w:cs="Arial"/>
          <w:color w:val="000000"/>
          <w:lang w:val="en-US" w:eastAsia="de-DE"/>
        </w:rPr>
        <w:instrText>ell size control system integrates pathways measuring cell surface area, volume, and time","type":"article-journal","volume":"33"},"uris":["http://www.mendeley.com/documents/?uuid=81cdbf5c-8af3-3346-97a7-c923bb234ca6"]},{"id":"ITEM-4","itemData":{"DOI":"10</w:instrText>
      </w:r>
      <w:r>
        <w:rPr>
          <w:rFonts w:ascii="Arial" w:eastAsia="Times New Roman" w:hAnsi="Arial" w:cs="Arial"/>
          <w:color w:val="000000"/>
          <w:lang w:val="en-US" w:eastAsia="de-DE"/>
        </w:rPr>
        <w:instrText>.1101/2023.01.16.524304","abstract":"Two fission yeast mitotic activators, Cdc13 and Cdc25, have been shown to increase in concentration in correlation with cell size, and have been proposed to thereby regulate cell size at division. Here, we show that the</w:instrText>
      </w:r>
      <w:r>
        <w:rPr>
          <w:rFonts w:ascii="Arial" w:eastAsia="Times New Roman" w:hAnsi="Arial" w:cs="Arial"/>
          <w:color w:val="000000"/>
          <w:lang w:val="en-US" w:eastAsia="de-DE"/>
        </w:rPr>
        <w:instrText xml:space="preserve"> expression of both Cdc13 and Cdc25 are, in fact, size dependent, as apposed to simply sizecorrelated due to time-dependent expression. However, we also find that their size dependence is regulated by different mechanisms. Cdc25 was known to be regulated t</w:instrText>
      </w:r>
      <w:r>
        <w:rPr>
          <w:rFonts w:ascii="Arial" w:eastAsia="Times New Roman" w:hAnsi="Arial" w:cs="Arial"/>
          <w:color w:val="000000"/>
          <w:lang w:val="en-US" w:eastAsia="de-DE"/>
        </w:rPr>
        <w:instrText>ranscriptionally. Here, we show that Cdc13 is regulated translationally. Its transcript is not expression is a size-dependent manner, rather a size-dependent concentration of protein is expressed from a size-independent concentration of mRNA. Moreover, the</w:instrText>
      </w:r>
      <w:r>
        <w:rPr>
          <w:rFonts w:ascii="Arial" w:eastAsia="Times New Roman" w:hAnsi="Arial" w:cs="Arial"/>
          <w:color w:val="000000"/>
          <w:lang w:val="en-US" w:eastAsia="de-DE"/>
        </w:rPr>
        <w:instrText xml:space="preserve"> degradation rate of Cdc13 is not size dependent, implicating size-dependent translation in its regulation. We identify a 20-amino-acid motif, which includes the APC D-box degron, as necessary and sufficient for sizedependent expression, which allowed us t</w:instrText>
      </w:r>
      <w:r>
        <w:rPr>
          <w:rFonts w:ascii="Arial" w:eastAsia="Times New Roman" w:hAnsi="Arial" w:cs="Arial"/>
          <w:color w:val="000000"/>
          <w:lang w:val="en-US" w:eastAsia="de-DE"/>
        </w:rPr>
        <w:instrText xml:space="preserve">o construct a size-independent allele of cdc13 . Using this allele, in combination with a size-independent allele of cdc25 , expressed from a size-independent promoter, we show that size-dependent expression of neither Cdc13 nor Cdc25 is required for size </w:instrText>
      </w:r>
      <w:r>
        <w:rPr>
          <w:rFonts w:ascii="Arial" w:eastAsia="Times New Roman" w:hAnsi="Arial" w:cs="Arial"/>
          <w:color w:val="000000"/>
          <w:lang w:val="en-US" w:eastAsia="de-DE"/>
        </w:rPr>
        <w:instrText>control, nor are the redundantly required for size control.\n\n### Competing Interest Statement\n\nThe authors have declared no competing interest.","author":[{"dropping-particle":"","family":"Bashir","given":"Samirul","non-dropping-particle":"","parse-nam</w:instrText>
      </w:r>
      <w:r>
        <w:rPr>
          <w:rFonts w:ascii="Arial" w:eastAsia="Times New Roman" w:hAnsi="Arial" w:cs="Arial"/>
          <w:color w:val="000000"/>
          <w:lang w:val="en-US" w:eastAsia="de-DE"/>
        </w:rPr>
        <w:instrText>es":false,"suffix":""},{"dropping-particle":"","family":"Sun","given":"Xi-Ming","non-dropping-particle":"","parse-names":false,"suffix":""},{"dropping-particle":"","family":"Zhao","given":"Yixuan","non-dropping-particle":"","parse-names":false,"suffix":""}</w:instrText>
      </w:r>
      <w:r>
        <w:rPr>
          <w:rFonts w:ascii="Arial" w:eastAsia="Times New Roman" w:hAnsi="Arial" w:cs="Arial"/>
          <w:color w:val="000000"/>
          <w:lang w:val="en-US" w:eastAsia="de-DE"/>
        </w:rPr>
        <w:instrText>,{"dropping-particle":"","family":"Martínez-Illescas","given":"Nuria G.","non-dropping-particle":"","parse-names":false,"suffix":""},{"dropping-particle":"","family":"Gallego-López","given":"Isabella","non-dropping-particle":"","parse-names":false,"suffix"</w:instrText>
      </w:r>
      <w:r>
        <w:rPr>
          <w:rFonts w:ascii="Arial" w:eastAsia="Times New Roman" w:hAnsi="Arial" w:cs="Arial"/>
          <w:color w:val="000000"/>
          <w:lang w:val="en-US" w:eastAsia="de-DE"/>
        </w:rPr>
        <w:instrText>:""},{"dropping-particle":"","family":"Negrón","given":"Lauren Guerrero","non-dropping-particle":"","parse-names":false,"suffix":""},{"dropping-particle":"","family":"Keifenheim","given":"Daniel","non-dropping-particle":"","parse-names":false,"suffix":""},</w:instrText>
      </w:r>
      <w:r>
        <w:rPr>
          <w:rFonts w:ascii="Arial" w:eastAsia="Times New Roman" w:hAnsi="Arial" w:cs="Arial"/>
          <w:color w:val="000000"/>
          <w:lang w:val="en-US" w:eastAsia="de-DE"/>
        </w:rPr>
        <w:instrText>{"dropping-particle":"","family":"Karadimitriou","given":"Tatiana","non-dropping-particle":"","parse-names":false,"suffix":""},{"dropping-particle":"","family":"Tran","given":"Thi","non-dropping-particle":"","parse-names":false,"suffix":""},{"dropping-part</w:instrText>
      </w:r>
      <w:r>
        <w:rPr>
          <w:rFonts w:ascii="Arial" w:eastAsia="Times New Roman" w:hAnsi="Arial" w:cs="Arial"/>
          <w:color w:val="000000"/>
          <w:lang w:val="en-US" w:eastAsia="de-DE"/>
        </w:rPr>
        <w:instrText>icle":"","family":"Pickering","given":"Mary","non-dropping-particle":"","parse-names":false,"suffix":""},{"dropping-particle":"","family":"Marguerat","given":"Samuel","non-dropping-particle":"","parse-names":false,"suffix":""},{"dropping-particle":"","fami</w:instrText>
      </w:r>
      <w:r>
        <w:rPr>
          <w:rFonts w:ascii="Arial" w:eastAsia="Times New Roman" w:hAnsi="Arial" w:cs="Arial"/>
          <w:color w:val="000000"/>
          <w:lang w:val="en-US" w:eastAsia="de-DE"/>
        </w:rPr>
        <w:instrText>ly":"Rhind","given":"Nicholas","non-dropping-particle":"","parse-names":false,"suffix":""}],"container-title":"bioRxiv","id":"ITEM-4","issued":{"date-parts":[["2023","1","16"]]},"page":"2023.01.16.524304","publisher":"Cold Spring Harbor Laboratory","title"</w:instrText>
      </w:r>
      <w:r>
        <w:rPr>
          <w:rFonts w:ascii="Arial" w:eastAsia="Times New Roman" w:hAnsi="Arial" w:cs="Arial"/>
          <w:color w:val="000000"/>
          <w:lang w:val="en-US" w:eastAsia="de-DE"/>
        </w:rPr>
        <w:instrText>:"Size-Dependent Expression of the Fission Yeast Cdc13 Cyclin is Conferred by Translational Regulation","type":"article-journal"},"uris":["http://www.mendeley.com/documents/?uuid=d5613b75-4616-3d6c-9873-1adab6a3ee4f"]}],"mendeley":{"formattedCitation":"&lt;su</w:instrText>
      </w:r>
      <w:r>
        <w:rPr>
          <w:rFonts w:ascii="Arial" w:eastAsia="Times New Roman" w:hAnsi="Arial" w:cs="Arial"/>
          <w:color w:val="000000"/>
          <w:lang w:val="en-US" w:eastAsia="de-DE"/>
        </w:rPr>
        <w:instrText>p&gt;59–62&lt;/sup&gt;","plainTextFormattedCitation":"59–62","previouslyFormattedCitation":"&lt;sup&gt;59–62&lt;/sup&gt;"},"properties":{"noteIndex":0},"schema":"https://github.com/citation-style-language/schema/raw/master/csl-citation.json"}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59–62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As discussed in more deta</w:t>
      </w:r>
      <w:r>
        <w:rPr>
          <w:rFonts w:ascii="Arial" w:eastAsia="Times New Roman" w:hAnsi="Arial" w:cs="Arial"/>
          <w:color w:val="000000"/>
          <w:lang w:val="en-US" w:eastAsia="de-DE"/>
        </w:rPr>
        <w:t>il in section 7, this differential size dependence of cell cycle regulators can serve as the basis for cell size regulation. </w:t>
      </w:r>
    </w:p>
    <w:p w14:paraId="7AF4157B" w14:textId="77777777" w:rsidR="00066D11" w:rsidRDefault="00066D11">
      <w:pPr>
        <w:spacing w:after="0" w:line="240" w:lineRule="auto"/>
        <w:jc w:val="both"/>
        <w:rPr>
          <w:rFonts w:ascii="Arial" w:eastAsia="Times New Roman" w:hAnsi="Arial" w:cs="Arial"/>
          <w:lang w:val="en-US" w:eastAsia="de-DE"/>
        </w:rPr>
      </w:pPr>
    </w:p>
    <w:p w14:paraId="00E904F3"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lastRenderedPageBreak/>
        <w:t>Recent studies have conducted transcriptomics and mass spectrometry to reveal the genome-wide size scaling of transcripts and pro</w:t>
      </w:r>
      <w:r>
        <w:rPr>
          <w:rFonts w:ascii="Arial" w:eastAsia="Times New Roman" w:hAnsi="Arial" w:cs="Arial"/>
          <w:color w:val="000000"/>
          <w:lang w:val="en-US" w:eastAsia="de-DE"/>
        </w:rPr>
        <w:t>teins in human cell lines as well as in budding yeast by sorting cells based on their size or by manipulating their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{"citationItems":[{"id":"ITEM-1","itemData":{"author":[{"dropping-particle":"","family":"Swaffer","given":"Matth</w:instrText>
      </w:r>
      <w:r>
        <w:rPr>
          <w:rFonts w:ascii="Arial" w:eastAsia="Times New Roman" w:hAnsi="Arial" w:cs="Arial"/>
          <w:color w:val="000000"/>
          <w:lang w:val="en-US" w:eastAsia="de-DE"/>
        </w:rPr>
        <w:instrText>ew P","non-dropping-particle":"","parse-names":false,"suffix":""},{"dropping-particle":"","family":"Kim","given":"Jacob","non-dropping-particle":"","parse-names":false,"suffix":""},{"dropping-particle":"","family":"Chandler-Brown","given":"Devon","non-drop</w:instrText>
      </w:r>
      <w:r>
        <w:rPr>
          <w:rFonts w:ascii="Arial" w:eastAsia="Times New Roman" w:hAnsi="Arial" w:cs="Arial"/>
          <w:color w:val="000000"/>
          <w:lang w:val="en-US" w:eastAsia="de-DE"/>
        </w:rPr>
        <w:instrText>ping-particle":"","parse-names":false,"suffix":""},{"dropping-particle":"","family":"Langhinrichs","given":"Maurice","non-dropping-particle":"","parse-names":false,"suffix":""},{"dropping-particle":"","family":"Marinov","given":"Georgi","non-dropping-parti</w:instrText>
      </w:r>
      <w:r>
        <w:rPr>
          <w:rFonts w:ascii="Arial" w:eastAsia="Times New Roman" w:hAnsi="Arial" w:cs="Arial"/>
          <w:color w:val="000000"/>
          <w:lang w:val="en-US" w:eastAsia="de-DE"/>
        </w:rPr>
        <w:instrText>cle":"","parse-names":false,"suffix":""},{"dropping-particle":"","family":"Greenleaf","given":"William J","non-dropping-particle":"","parse-names":false,"suffix":""},{"dropping-particle":"","family":"Kundaje","given":"Anshul","non-dropping-particle":"","pa</w:instrText>
      </w:r>
      <w:r>
        <w:rPr>
          <w:rFonts w:ascii="Arial" w:eastAsia="Times New Roman" w:hAnsi="Arial" w:cs="Arial"/>
          <w:color w:val="000000"/>
          <w:lang w:val="en-US" w:eastAsia="de-DE"/>
        </w:rPr>
        <w:instrText>rse-names":false,"suffix":""},{"dropping-particle":"","family":"Schmoller","given":"Kurt M","non-dropping-particle":"","parse-names":false,"suffix":""},{"dropping-particle":"","family":"Skotheim","given":"Jan M","non-dropping-particle":"","parse-names":fal</w:instrText>
      </w:r>
      <w:r>
        <w:rPr>
          <w:rFonts w:ascii="Arial" w:eastAsia="Times New Roman" w:hAnsi="Arial" w:cs="Arial"/>
          <w:color w:val="000000"/>
          <w:lang w:val="en-US" w:eastAsia="de-DE"/>
        </w:rPr>
        <w:instrText>se,"suffix":""}],"container-title":"Molecular cell","id":"ITEM-1","issued":{"date-parts":[["2021"]]},"page":"4861-4875","title":"Transcriptional and chromatin-based partitioning mechanisms uncouple protein scaling from cell size","type":"article-journal","</w:instrText>
      </w:r>
      <w:r>
        <w:rPr>
          <w:rFonts w:ascii="Arial" w:eastAsia="Times New Roman" w:hAnsi="Arial" w:cs="Arial"/>
          <w:color w:val="000000"/>
          <w:lang w:val="en-US" w:eastAsia="de-DE"/>
        </w:rPr>
        <w:instrText xml:space="preserve">volume":"81"},"uris":["http://www.mendeley.com/documents/?uuid=1fdceeb1-8ea8-46cd-97f8-5f08dbc8e2bf"]},{"id":"ITEM-2","itemData":{"DOI":"10.1016/j.molcel.2020.03.012","ISSN":"10972765","PMID":"32246903","abstract":"&lt;h2&gt;Summary&lt;/h2&gt;&lt;p&gt;Yeast cells must grow </w:instrText>
      </w:r>
      <w:r>
        <w:rPr>
          <w:rFonts w:ascii="Arial" w:eastAsia="Times New Roman" w:hAnsi="Arial" w:cs="Arial"/>
          <w:color w:val="000000"/>
          <w:lang w:val="en-US" w:eastAsia="de-DE"/>
        </w:rPr>
        <w:instrText>to a critical size before committing to division. It is unknown how size is measured. We find that as cells grow, mRNAs for some cell-cycle activators scale faster than size, increasing in concentration, while mRNAs for some inhibitors scale slower than si</w:instrText>
      </w:r>
      <w:r>
        <w:rPr>
          <w:rFonts w:ascii="Arial" w:eastAsia="Times New Roman" w:hAnsi="Arial" w:cs="Arial"/>
          <w:color w:val="000000"/>
          <w:lang w:val="en-US" w:eastAsia="de-DE"/>
        </w:rPr>
        <w:instrText>ze, decreasing in concentration. Size-scaled gene expression could cause an increasing ratio of activators to inhibitors with size, triggering cell-cycle entry. Consistent with this, expression of the &lt;i&gt;CLN2&lt;/i&gt; activator from the promoter of the &lt;i&gt;WHI5&lt;</w:instrText>
      </w:r>
      <w:r>
        <w:rPr>
          <w:rFonts w:ascii="Arial" w:eastAsia="Times New Roman" w:hAnsi="Arial" w:cs="Arial"/>
          <w:color w:val="000000"/>
          <w:lang w:val="en-US" w:eastAsia="de-DE"/>
        </w:rPr>
        <w:instrText>/i&gt; inhibitor, or vice versa, interfered with cell size homeostasis, yielding a broader distribution of cell sizes. We suggest that size homeostasis comes from differential scaling of gene expression with size. Differential regulation of gene expression as</w:instrText>
      </w:r>
      <w:r>
        <w:rPr>
          <w:rFonts w:ascii="Arial" w:eastAsia="Times New Roman" w:hAnsi="Arial" w:cs="Arial"/>
          <w:color w:val="000000"/>
          <w:lang w:val="en-US" w:eastAsia="de-DE"/>
        </w:rPr>
        <w:instrText xml:space="preserve"> a function of cell size could affect many cellular processes.&lt;/p&gt;","author":[{"dropping-particle":"","family":"Chen","given":"Yuping","non-dropping-particle":"","parse-names":false,"suffix":""},{"dropping-particle":"","family":"Zhao","given":"Gang","non-d</w:instrText>
      </w:r>
      <w:r>
        <w:rPr>
          <w:rFonts w:ascii="Arial" w:eastAsia="Times New Roman" w:hAnsi="Arial" w:cs="Arial"/>
          <w:color w:val="000000"/>
          <w:lang w:val="en-US" w:eastAsia="de-DE"/>
        </w:rPr>
        <w:instrText>ropping-particle":"","parse-names":false,"suffix":""},{"dropping-particle":"","family":"Zahumensky","given":"Jakub","non-dropping-particle":"","parse-names":false,"suffix":""},{"dropping-particle":"","family":"Honey","given":"Sangeet","non-dropping-particl</w:instrText>
      </w:r>
      <w:r>
        <w:rPr>
          <w:rFonts w:ascii="Arial" w:eastAsia="Times New Roman" w:hAnsi="Arial" w:cs="Arial"/>
          <w:color w:val="000000"/>
          <w:lang w:val="en-US" w:eastAsia="de-DE"/>
        </w:rPr>
        <w:instrText>e":"","parse-names":false,"suffix":""},{"dropping-particle":"","family":"Futcher","given":"Bruce","non-dropping-particle":"","parse-names":false,"suffix":""}],"container-title":"Molecular Cell","id":"ITEM-2","issued":{"date-parts":[["2020"]]},"page":"1-12"</w:instrText>
      </w:r>
      <w:r>
        <w:rPr>
          <w:rFonts w:ascii="Arial" w:eastAsia="Times New Roman" w:hAnsi="Arial" w:cs="Arial"/>
          <w:color w:val="000000"/>
          <w:lang w:val="en-US" w:eastAsia="de-DE"/>
        </w:rPr>
        <w:instrText>,"publisher":"Elsevier Inc.","title":"Differential Scaling of Gene Expression with Cell Size May Explain Size Control in Budding Yeast","type":"article-journal"},"uris":["http://www.mendeley.com/documents/?uuid=462cbc48-dca1-4b01-8a7e-1d7a3a60bab1"]},{"id"</w:instrText>
      </w:r>
      <w:r>
        <w:rPr>
          <w:rFonts w:ascii="Arial" w:eastAsia="Times New Roman" w:hAnsi="Arial" w:cs="Arial"/>
          <w:color w:val="000000"/>
          <w:lang w:val="en-US" w:eastAsia="de-DE"/>
        </w:rPr>
        <w:instrText>:"ITEM-3","itemData":{"DOI":"10.1016/J.MOLCEL.2022.07.017","ISSN":"1097-2765","PMID":"35987199","abstract":"Cell size is tightly controlled in healthy tissues, but it is unclear how deviations in cell size affect cell physiology. To address this, we measur</w:instrText>
      </w:r>
      <w:r>
        <w:rPr>
          <w:rFonts w:ascii="Arial" w:eastAsia="Times New Roman" w:hAnsi="Arial" w:cs="Arial"/>
          <w:color w:val="000000"/>
          <w:lang w:val="en-US" w:eastAsia="de-DE"/>
        </w:rPr>
        <w:instrText>ed how the cell's proteome changes with increasing cell size. Size-dependent protein concentration changes are widespread and predicted by subcellular localization, size-dependent mRNA concentrations, and protein turnover. As proliferating cells grow large</w:instrText>
      </w:r>
      <w:r>
        <w:rPr>
          <w:rFonts w:ascii="Arial" w:eastAsia="Times New Roman" w:hAnsi="Arial" w:cs="Arial"/>
          <w:color w:val="000000"/>
          <w:lang w:val="en-US" w:eastAsia="de-DE"/>
        </w:rPr>
        <w:instrText>r, concentration changes typically associated with cellular senescence are increasingly pronounced, suggesting that large size may be a cause rather than just a consequence of cell senescence. Consistent with this hypothesis, larger cells are prone to repl</w:instrText>
      </w:r>
      <w:r>
        <w:rPr>
          <w:rFonts w:ascii="Arial" w:eastAsia="Times New Roman" w:hAnsi="Arial" w:cs="Arial"/>
          <w:color w:val="000000"/>
          <w:lang w:val="en-US" w:eastAsia="de-DE"/>
        </w:rPr>
        <w:instrText xml:space="preserve">icative, DNA-damage-induced, and CDK4/6i-induced senescence. Size-dependent changes to the proteome, including those associated with senescence, are not observed when an increase in cell size is accompanied by an increase in ploidy. Together, our findings </w:instrText>
      </w:r>
      <w:r>
        <w:rPr>
          <w:rFonts w:ascii="Arial" w:eastAsia="Times New Roman" w:hAnsi="Arial" w:cs="Arial"/>
          <w:color w:val="000000"/>
          <w:lang w:val="en-US" w:eastAsia="de-DE"/>
        </w:rPr>
        <w:instrText>show how cell size could impact many aspects of cell physiology by remodeling the proteome and provide a rationale for cell size control and polyploidization.","author":[{"dropping-particle":"","family":"Lanz","given":"Michael C.","non-dropping-particle":"</w:instrText>
      </w:r>
      <w:r>
        <w:rPr>
          <w:rFonts w:ascii="Arial" w:eastAsia="Times New Roman" w:hAnsi="Arial" w:cs="Arial"/>
          <w:color w:val="000000"/>
          <w:lang w:val="en-US" w:eastAsia="de-DE"/>
        </w:rPr>
        <w:instrText>","parse-names":false,"suffix":""},{"dropping-particle":"","family":"Zatulovskiy","given":"Evgeny","non-dropping-particle":"","parse-names":false,"suffix":""},{"dropping-particle":"","family":"Swaffer","given":"Matthew P.","non-dropping-particle":"","parse</w:instrText>
      </w:r>
      <w:r>
        <w:rPr>
          <w:rFonts w:ascii="Arial" w:eastAsia="Times New Roman" w:hAnsi="Arial" w:cs="Arial"/>
          <w:color w:val="000000"/>
          <w:lang w:val="en-US" w:eastAsia="de-DE"/>
        </w:rPr>
        <w:instrText>-names":false,"suffix":""},{"dropping-particle":"","family":"Zhang","given":"Lichao","non-dropping-particle":"","parse-names":false,"suffix":""},{"dropping-particle":"","family":"Ilerten","given":"Ilayda","non-dropping-particle":"","parse-names":false,"suf</w:instrText>
      </w:r>
      <w:r>
        <w:rPr>
          <w:rFonts w:ascii="Arial" w:eastAsia="Times New Roman" w:hAnsi="Arial" w:cs="Arial"/>
          <w:color w:val="000000"/>
          <w:lang w:val="en-US" w:eastAsia="de-DE"/>
        </w:rPr>
        <w:instrText>fix":""},{"dropping-particle":"","family":"Zhang","given":"Shuyuan","non-dropping-particle":"","parse-names":false,"suffix":""},{"dropping-particle":"","family":"You","given":"Dong Shin","non-dropping-particle":"","parse-names":false,"suffix":""},{"droppin</w:instrText>
      </w:r>
      <w:r>
        <w:rPr>
          <w:rFonts w:ascii="Arial" w:eastAsia="Times New Roman" w:hAnsi="Arial" w:cs="Arial"/>
          <w:color w:val="000000"/>
          <w:lang w:val="en-US" w:eastAsia="de-DE"/>
        </w:rPr>
        <w:instrText>g-particle":"","family":"Marinov","given":"Georgi","non-dropping-particle":"","parse-names":false,"suffix":""},{"dropping-particle":"","family":"McAlpine","given":"Patrick","non-dropping-particle":"","parse-names":false,"suffix":""},{"dropping-particle":""</w:instrText>
      </w:r>
      <w:r>
        <w:rPr>
          <w:rFonts w:ascii="Arial" w:eastAsia="Times New Roman" w:hAnsi="Arial" w:cs="Arial"/>
          <w:color w:val="000000"/>
          <w:lang w:val="en-US" w:eastAsia="de-DE"/>
        </w:rPr>
        <w:instrText>,"family":"Elias","given":"Joshua E.","non-dropping-particle":"","parse-names":false,"suffix":""},{"dropping-particle":"","family":"Skotheim","given":"Jan M.","non-dropping-particle":"","parse-names":false,"suffix":""}],"container-title":"Molecular Cell","</w:instrText>
      </w:r>
      <w:r>
        <w:rPr>
          <w:rFonts w:ascii="Arial" w:eastAsia="Times New Roman" w:hAnsi="Arial" w:cs="Arial"/>
          <w:color w:val="000000"/>
          <w:lang w:val="en-US" w:eastAsia="de-DE"/>
        </w:rPr>
        <w:instrText>id":"ITEM-3","issue":"17","issued":{"date-parts":[["2022","9","1"]]},"page":"3255-3269.e8","publisher":"Cell Press","title":"Increasing cell size remodels the proteome and promotes senescence","type":"article-journal","volume":"82"},"uris":["http://www.men</w:instrText>
      </w:r>
      <w:r>
        <w:rPr>
          <w:rFonts w:ascii="Arial" w:eastAsia="Times New Roman" w:hAnsi="Arial" w:cs="Arial"/>
          <w:color w:val="000000"/>
          <w:lang w:val="en-US" w:eastAsia="de-DE"/>
        </w:rPr>
        <w:instrText xml:space="preserve">deley.com/documents/?uuid=8e51a3f0-6440-3670-854f-e466aa3f4159"]},{"id":"ITEM-4","itemData":{"DOI":"10.3389/FCELL.2022.980721/BIBTEX","ISSN":"2296634X","abstract":"Increasing cell size drives changes to the proteome, which affects cell physiology. As cell </w:instrText>
      </w:r>
      <w:r>
        <w:rPr>
          <w:rFonts w:ascii="Arial" w:eastAsia="Times New Roman" w:hAnsi="Arial" w:cs="Arial"/>
          <w:color w:val="000000"/>
          <w:lang w:val="en-US" w:eastAsia="de-DE"/>
        </w:rPr>
        <w:instrText>size increases, some proteins become more concentrated while others are diluted. As a result, the state of the cell changes continuously with increasing size. In addition to these proteomic changes, large cells have a lower growth rate (protein synthesis r</w:instrText>
      </w:r>
      <w:r>
        <w:rPr>
          <w:rFonts w:ascii="Arial" w:eastAsia="Times New Roman" w:hAnsi="Arial" w:cs="Arial"/>
          <w:color w:val="000000"/>
          <w:lang w:val="en-US" w:eastAsia="de-DE"/>
        </w:rPr>
        <w:instrText>ate per unit volume). That both the cell’s proteome and growth rate change with cell size suggests they may be interdependent. To test this, we used quantitative mass spectrometry to measure how the proteome changes in response to the mTOR inhibitor rapamy</w:instrText>
      </w:r>
      <w:r>
        <w:rPr>
          <w:rFonts w:ascii="Arial" w:eastAsia="Times New Roman" w:hAnsi="Arial" w:cs="Arial"/>
          <w:color w:val="000000"/>
          <w:lang w:val="en-US" w:eastAsia="de-DE"/>
        </w:rPr>
        <w:instrText>cin, which decreases the cellular growth rate and has only a minimal effect on cell size. We found that large cell size and mTOR inhibition, both of which lower the growth rate of a cell, remodel the proteome in similar ways. This suggests that many of the</w:instrText>
      </w:r>
      <w:r>
        <w:rPr>
          <w:rFonts w:ascii="Arial" w:eastAsia="Times New Roman" w:hAnsi="Arial" w:cs="Arial"/>
          <w:color w:val="000000"/>
          <w:lang w:val="en-US" w:eastAsia="de-DE"/>
        </w:rPr>
        <w:instrText xml:space="preserve"> effects of cell size are mediated by the size-dependent slowdown of the cellular growth rate. For example, the previously reported size-dependent expression of some senescence markers could reflect a cell’s declining growth rate rather than its size per s</w:instrText>
      </w:r>
      <w:r>
        <w:rPr>
          <w:rFonts w:ascii="Arial" w:eastAsia="Times New Roman" w:hAnsi="Arial" w:cs="Arial"/>
          <w:color w:val="000000"/>
          <w:lang w:val="en-US" w:eastAsia="de-DE"/>
        </w:rPr>
        <w:instrText>e. In contrast, histones and other chromatin components are diluted in large cells independently of the growth rate, likely so that they remain in proportion with the genome. Finally, size-dependent changes to the cell’s growth rate and proteome compositio</w:instrText>
      </w:r>
      <w:r>
        <w:rPr>
          <w:rFonts w:ascii="Arial" w:eastAsia="Times New Roman" w:hAnsi="Arial" w:cs="Arial"/>
          <w:color w:val="000000"/>
          <w:lang w:val="en-US" w:eastAsia="de-DE"/>
        </w:rPr>
        <w:instrText>n are still apparent in cells continually exposed to a saturating dose of rapamycin, which indicates that cell size can affect the proteome independently of mTORC1 signaling. Taken together, our results clarify the dependencies between cell size, growth, m</w:instrText>
      </w:r>
      <w:r>
        <w:rPr>
          <w:rFonts w:ascii="Arial" w:eastAsia="Times New Roman" w:hAnsi="Arial" w:cs="Arial"/>
          <w:color w:val="000000"/>
          <w:lang w:val="en-US" w:eastAsia="de-DE"/>
        </w:rPr>
        <w:instrText>TOR activity, and the proteome remodeling that ultimately controls many aspects of cell physiology.","author":[{"dropping-particle":"","family":"Zatulovskiy","given":"Evgeny","non-dropping-particle":"","parse-names":false,"suffix":""},{"dropping-particle":</w:instrText>
      </w:r>
      <w:r>
        <w:rPr>
          <w:rFonts w:ascii="Arial" w:eastAsia="Times New Roman" w:hAnsi="Arial" w:cs="Arial"/>
          <w:color w:val="000000"/>
          <w:lang w:val="en-US" w:eastAsia="de-DE"/>
        </w:rPr>
        <w:instrText>"","family":"Lanz","given":"Michael C.","non-dropping-particle":"","parse-names":false,"suffix":""},{"dropping-particle":"","family":"Zhang","given":"Shuyuan","non-dropping-particle":"","parse-names":false,"suffix":""},{"dropping-particle":"","family":"McC</w:instrText>
      </w:r>
      <w:r>
        <w:rPr>
          <w:rFonts w:ascii="Arial" w:eastAsia="Times New Roman" w:hAnsi="Arial" w:cs="Arial"/>
          <w:color w:val="000000"/>
          <w:lang w:val="en-US" w:eastAsia="de-DE"/>
        </w:rPr>
        <w:instrText>arthy","given":"Frank","non-dropping-particle":"","parse-names":false,"suffix":""},{"dropping-particle":"","family":"Elias","given":"Joshua E.","non-dropping-particle":"","parse-names":false,"suffix":""},{"dropping-particle":"","family":"Skotheim","given":</w:instrText>
      </w:r>
      <w:r>
        <w:rPr>
          <w:rFonts w:ascii="Arial" w:eastAsia="Times New Roman" w:hAnsi="Arial" w:cs="Arial"/>
          <w:color w:val="000000"/>
          <w:lang w:val="en-US" w:eastAsia="de-DE"/>
        </w:rPr>
        <w:instrText>"Jan M.","non-dropping-particle":"","parse-names":false,"suffix":""}],"container-title":"Frontiers in Cell and Developmental Biology","id":"ITEM-4","issued":{"date-parts":[["2022","9","5"]]},"page":"980721","publisher":"Frontiers Media S.A.","title":"Delin</w:instrText>
      </w:r>
      <w:r>
        <w:rPr>
          <w:rFonts w:ascii="Arial" w:eastAsia="Times New Roman" w:hAnsi="Arial" w:cs="Arial"/>
          <w:color w:val="000000"/>
          <w:lang w:val="en-US" w:eastAsia="de-DE"/>
        </w:rPr>
        <w:instrText>eation of proteome changes driven by cell size and growth rate","type":"article-journal","volume":"10"},"uris":["http://www.mendeley.com/documents/?uuid=dca8c2c4-f756-3a34-ab4d-ae017705b916"]},{"id":"ITEM-5","itemData":{"DOI":"10.1101/2023.10.16.562558","a</w:instrText>
      </w:r>
      <w:r>
        <w:rPr>
          <w:rFonts w:ascii="Arial" w:eastAsia="Times New Roman" w:hAnsi="Arial" w:cs="Arial"/>
          <w:color w:val="000000"/>
          <w:lang w:val="en-US" w:eastAsia="de-DE"/>
        </w:rPr>
        <w:instrText>bstract":"Cell size is tightly controlled in healthy tissues and single-celled organisms, but it remains unclear how size influences cell physiology. Increasing cell size was recently shown to remodel the proteomes of cultured human cells, demonstrating th</w:instrText>
      </w:r>
      <w:r>
        <w:rPr>
          <w:rFonts w:ascii="Arial" w:eastAsia="Times New Roman" w:hAnsi="Arial" w:cs="Arial"/>
          <w:color w:val="000000"/>
          <w:lang w:val="en-US" w:eastAsia="de-DE"/>
        </w:rPr>
        <w:instrText xml:space="preserve">at large and small cells of the same type can be biochemically different. Here, we corroborate these results in mouse hepatocytes and extend our analysis using yeast. We find that size-dependent proteome changes are highly conserved and mostly independent </w:instrText>
      </w:r>
      <w:r>
        <w:rPr>
          <w:rFonts w:ascii="Arial" w:eastAsia="Times New Roman" w:hAnsi="Arial" w:cs="Arial"/>
          <w:color w:val="000000"/>
          <w:lang w:val="en-US" w:eastAsia="de-DE"/>
        </w:rPr>
        <w:instrText>of metabolic state. As eukaryotic cells grow larger, the dilution of the genome elicits a starvation-like proteome phenotype, suggesting that growth in large cells is limited by the genome in a manner analogous to a limiting nutrient. We also demonstrate t</w:instrText>
      </w:r>
      <w:r>
        <w:rPr>
          <w:rFonts w:ascii="Arial" w:eastAsia="Times New Roman" w:hAnsi="Arial" w:cs="Arial"/>
          <w:color w:val="000000"/>
          <w:lang w:val="en-US" w:eastAsia="de-DE"/>
        </w:rPr>
        <w:instrText>hat the proteomes of replicatively-aged yeast are primarily determined by their large size. Overall, our data suggest that genome concentration is a universal determinant of proteome content in growing cells.\n\n### Competing Interest Statement\n\nThe auth</w:instrText>
      </w:r>
      <w:r>
        <w:rPr>
          <w:rFonts w:ascii="Arial" w:eastAsia="Times New Roman" w:hAnsi="Arial" w:cs="Arial"/>
          <w:color w:val="000000"/>
          <w:lang w:val="en-US" w:eastAsia="de-DE"/>
        </w:rPr>
        <w:instrText>ors have declared no competing interest.","author":[{"dropping-particle":"","family":"Lanz","given":"Michael C","non-dropping-particle":"","parse-names":false,"suffix":""},{"dropping-particle":"","family":"Zhang","given":"Shuyuan","non-dropping-particle":"</w:instrText>
      </w:r>
      <w:r>
        <w:rPr>
          <w:rFonts w:ascii="Arial" w:eastAsia="Times New Roman" w:hAnsi="Arial" w:cs="Arial"/>
          <w:color w:val="000000"/>
          <w:lang w:val="en-US" w:eastAsia="de-DE"/>
        </w:rPr>
        <w:instrText>","parse-names":false,"suffix":""},{"dropping-particle":"","family":"Swaffer","given":"Matthew P","non-dropping-particle":"","parse-names":false,"suffix":""},{"dropping-particle":"","family":"Ziv-Uziel","given":"Inbal","non-dropping-particle":"","parse-nam</w:instrText>
      </w:r>
      <w:r>
        <w:rPr>
          <w:rFonts w:ascii="Arial" w:eastAsia="Times New Roman" w:hAnsi="Arial" w:cs="Arial"/>
          <w:color w:val="000000"/>
          <w:lang w:val="en-US" w:eastAsia="de-DE"/>
        </w:rPr>
        <w:instrText>es":false,"suffix":""},{"dropping-particle":"","family":"Hernendez-Gotz","given":"Luisa","non-dropping-particle":"","parse-names":false,"suffix":""},{"dropping-particle":"","family":"Jaroz","given":"Dan F","non-dropping-particle":"","parse-names":false,"su</w:instrText>
      </w:r>
      <w:r>
        <w:rPr>
          <w:rFonts w:ascii="Arial" w:eastAsia="Times New Roman" w:hAnsi="Arial" w:cs="Arial"/>
          <w:color w:val="000000"/>
          <w:lang w:val="en-US" w:eastAsia="de-DE"/>
        </w:rPr>
        <w:instrText>ffix":""},{"dropping-particle":"","family":"Elias","given":"Joshua E","non-dropping-particle":"","parse-names":false,"suffix":""},{"dropping-particle":"","family":"Skotheim","given":"Jan M","non-dropping-particle":"","parse-names":false,"suffix":""},{"drop</w:instrText>
      </w:r>
      <w:r>
        <w:rPr>
          <w:rFonts w:ascii="Arial" w:eastAsia="Times New Roman" w:hAnsi="Arial" w:cs="Arial"/>
          <w:color w:val="000000"/>
          <w:lang w:val="en-US" w:eastAsia="de-DE"/>
        </w:rPr>
        <w:instrText>ping-particle":"","family":"Zuckerberg Biohub San Francisco","given":"Chan","non-dropping-particle":"","parse-names":false,"suffix":""}],"container-title":"bioRxiv","id":"ITEM-5","issued":{"date-parts":[["2023","10","19"]]},"page":"2023.10.16.562558","publ</w:instrText>
      </w:r>
      <w:r>
        <w:rPr>
          <w:rFonts w:ascii="Arial" w:eastAsia="Times New Roman" w:hAnsi="Arial" w:cs="Arial"/>
          <w:color w:val="000000"/>
          <w:lang w:val="en-US" w:eastAsia="de-DE"/>
        </w:rPr>
        <w:instrText>isher":"Cold Spring Harbor Laboratory","title":"Genome dilution by cell growth drives starvation-like proteome remodeling in mammalian and yeast cells","type":"article-journal"},"uris":["http://www.mendeley.com/documents/?uuid=ec827699-72ee-38c4-93fe-fae1f</w:instrText>
      </w:r>
      <w:r>
        <w:rPr>
          <w:rFonts w:ascii="Arial" w:eastAsia="Times New Roman" w:hAnsi="Arial" w:cs="Arial"/>
          <w:color w:val="000000"/>
          <w:lang w:val="en-US" w:eastAsia="de-DE"/>
        </w:rPr>
        <w:instrText>642ec2d"]}],"mendeley":{"formattedCitation":"&lt;sup&gt;4,5,42,43,63&lt;/sup&gt;","plainTextFormattedCitation":"4,5,42,43,63","previouslyFormattedCitation":"&lt;sup&gt;4,5,42,43,63&lt;/sup&gt;"},"properties":{"noteIndex":0},"schema":"https://github.com/citation-style-language/sch</w:instrText>
      </w:r>
      <w:r>
        <w:rPr>
          <w:rFonts w:ascii="Arial" w:eastAsia="Times New Roman" w:hAnsi="Arial" w:cs="Arial"/>
          <w:color w:val="000000"/>
          <w:lang w:val="en-US" w:eastAsia="de-DE"/>
        </w:rPr>
        <w:instrText>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4,5,42,43,63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 key finding of those studies is that individual genes show a wide distribution of scaling behaviors, ranging from histones and other DNA binding proteins on the </w:t>
      </w:r>
      <w:proofErr w:type="spellStart"/>
      <w:r>
        <w:rPr>
          <w:rFonts w:ascii="Arial" w:eastAsia="Times New Roman" w:hAnsi="Arial" w:cs="Arial"/>
          <w:color w:val="000000"/>
          <w:lang w:val="en-US" w:eastAsia="de-DE"/>
        </w:rPr>
        <w:t>subscaling</w:t>
      </w:r>
      <w:proofErr w:type="spellEnd"/>
      <w:r>
        <w:rPr>
          <w:rFonts w:ascii="Arial" w:eastAsia="Times New Roman" w:hAnsi="Arial" w:cs="Arial"/>
          <w:color w:val="000000"/>
          <w:lang w:val="en-US" w:eastAsia="de-DE"/>
        </w:rPr>
        <w:t xml:space="preserve"> end of the spectrum, to mitocho</w:t>
      </w:r>
      <w:r>
        <w:rPr>
          <w:rFonts w:ascii="Arial" w:eastAsia="Times New Roman" w:hAnsi="Arial" w:cs="Arial"/>
          <w:color w:val="000000"/>
          <w:lang w:val="en-US" w:eastAsia="de-DE"/>
        </w:rPr>
        <w:t xml:space="preserve">ndrial and metabolic proteins involved for example in TCA cycle and glycolysis on the </w:t>
      </w:r>
      <w:proofErr w:type="spellStart"/>
      <w:r>
        <w:rPr>
          <w:rFonts w:ascii="Arial" w:eastAsia="Times New Roman" w:hAnsi="Arial" w:cs="Arial"/>
          <w:color w:val="000000"/>
          <w:lang w:val="en-US" w:eastAsia="de-DE"/>
        </w:rPr>
        <w:t>superscaling</w:t>
      </w:r>
      <w:proofErr w:type="spellEnd"/>
      <w:r>
        <w:rPr>
          <w:rFonts w:ascii="Arial" w:eastAsia="Times New Roman" w:hAnsi="Arial" w:cs="Arial"/>
          <w:color w:val="000000"/>
          <w:lang w:val="en-US" w:eastAsia="de-DE"/>
        </w:rPr>
        <w:t xml:space="preserve"> end (Fig. 2c). Interestingly, at least the global patterns of scaling show high similarity between different human cell types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w:instrText>
      </w:r>
      <w:r>
        <w:rPr>
          <w:rFonts w:ascii="Arial" w:eastAsia="Times New Roman" w:hAnsi="Arial" w:cs="Arial"/>
          <w:color w:val="000000"/>
          <w:lang w:val="en-US" w:eastAsia="de-DE"/>
        </w:rPr>
        <w:instrText>ms":[{"id":"ITEM-1","itemData":{"DOI":"10.1101/2021.08.05.455193","abstract":"Senescent cells typically have an enlarged cell size but the reason for this has not been fully elucidated. As abnormal cell size may alter protein concentrations and cellular fu</w:instrText>
      </w:r>
      <w:r>
        <w:rPr>
          <w:rFonts w:ascii="Arial" w:eastAsia="Times New Roman" w:hAnsi="Arial" w:cs="Arial"/>
          <w:color w:val="000000"/>
          <w:lang w:val="en-US" w:eastAsia="de-DE"/>
        </w:rPr>
        <w:instrText>nctionality, we used proteomic data from 59 unperturbed human cell lines to systematically characterize cell-size dependent changes in intracellular protein concentrations and organelle content. Increase in cell size leads to ubiquitous transcriptionally a</w:instrText>
      </w:r>
      <w:r>
        <w:rPr>
          <w:rFonts w:ascii="Arial" w:eastAsia="Times New Roman" w:hAnsi="Arial" w:cs="Arial"/>
          <w:color w:val="000000"/>
          <w:lang w:val="en-US" w:eastAsia="de-DE"/>
        </w:rPr>
        <w:instrText>nd post-transcriptionally regulated reorganization and dilution of the proteome. Many known senescence proteins display disproportionate size-scaling consistent with their altered expression in senescent cells, while lysosomes and the endoplasmic reticulum</w:instrText>
      </w:r>
      <w:r>
        <w:rPr>
          <w:rFonts w:ascii="Arial" w:eastAsia="Times New Roman" w:hAnsi="Arial" w:cs="Arial"/>
          <w:color w:val="000000"/>
          <w:lang w:val="en-US" w:eastAsia="de-DE"/>
        </w:rPr>
        <w:instrText xml:space="preserve"> expand in larger cells contributing to the senescence phenotype. Analysis of organelle proteome expression identifies p53 and retinoblastoma pathways as mediators of size-scaling, consistent with their role in senescence. Taken together, cell size can alt</w:instrText>
      </w:r>
      <w:r>
        <w:rPr>
          <w:rFonts w:ascii="Arial" w:eastAsia="Times New Roman" w:hAnsi="Arial" w:cs="Arial"/>
          <w:color w:val="000000"/>
          <w:lang w:val="en-US" w:eastAsia="de-DE"/>
        </w:rPr>
        <w:instrText>er cellular fitness and function through cumulative reorganization of the proteome and organelle content. An extreme consequence of this pervasive size-scaling appears to be senescence.\n\n### Competing Interest Statement\n\nThe authors have declared no co</w:instrText>
      </w:r>
      <w:r>
        <w:rPr>
          <w:rFonts w:ascii="Arial" w:eastAsia="Times New Roman" w:hAnsi="Arial" w:cs="Arial"/>
          <w:color w:val="000000"/>
          <w:lang w:val="en-US" w:eastAsia="de-DE"/>
        </w:rPr>
        <w:instrText>mpeting interest.","author":[{"dropping-particle":"","family":"Cheng","given":"Ling","non-dropping-particle":"","parse-names":false,"suffix":""},{"dropping-particle":"","family":"Chen","given":"Jingyuan","non-dropping-particle":"","parse-names":false,"suff</w:instrText>
      </w:r>
      <w:r>
        <w:rPr>
          <w:rFonts w:ascii="Arial" w:eastAsia="Times New Roman" w:hAnsi="Arial" w:cs="Arial"/>
          <w:color w:val="000000"/>
          <w:lang w:val="en-US" w:eastAsia="de-DE"/>
        </w:rPr>
        <w:instrText>ix":""},{"dropping-particle":"","family":"Kong","given":"Yidi","non-dropping-particle":"","parse-names":false,"suffix":""},{"dropping-particle":"","family":"Tan","given":"Ceryl","non-dropping-particle":"","parse-names":false,"suffix":""},{"dropping-particl</w:instrText>
      </w:r>
      <w:r>
        <w:rPr>
          <w:rFonts w:ascii="Arial" w:eastAsia="Times New Roman" w:hAnsi="Arial" w:cs="Arial"/>
          <w:color w:val="000000"/>
          <w:lang w:val="en-US" w:eastAsia="de-DE"/>
        </w:rPr>
        <w:instrText>e":"","family":"Kafri","given":"Ran","non-dropping-particle":"","parse-names":false,"suffix":""},{"dropping-particle":"","family":"Björklund","given":"Mikael","non-dropping-particle":"","parse-names":false,"suffix":""}],"container-title":"bioRxiv","id":"IT</w:instrText>
      </w:r>
      <w:r>
        <w:rPr>
          <w:rFonts w:ascii="Arial" w:eastAsia="Times New Roman" w:hAnsi="Arial" w:cs="Arial"/>
          <w:color w:val="000000"/>
          <w:lang w:val="en-US" w:eastAsia="de-DE"/>
        </w:rPr>
        <w:instrText>EM-1","issued":{"date-parts":[["2021","8","5"]]},"page":"2021.08.05.455193","publisher":"Cold Spring Harbor Laboratory","title":"Size-scaling promotes senescence-like changes in proteome and organelle content","type":"article-journal"},"uris":["http://www.</w:instrText>
      </w:r>
      <w:r>
        <w:rPr>
          <w:rFonts w:ascii="Arial" w:eastAsia="Times New Roman" w:hAnsi="Arial" w:cs="Arial"/>
          <w:color w:val="000000"/>
          <w:lang w:val="en-US" w:eastAsia="de-DE"/>
        </w:rPr>
        <w:instrText xml:space="preserve">mendeley.com/documents/?uuid=b18bf84a-28a0-3d8e-b9ff-d89e4f1f9d63"]},{"id":"ITEM-2","itemData":{"DOI":"10.1016/J.MOLCEL.2022.07.017","ISSN":"1097-2765","PMID":"35987199","abstract":"Cell size is tightly controlled in healthy tissues, but it is unclear how </w:instrText>
      </w:r>
      <w:r>
        <w:rPr>
          <w:rFonts w:ascii="Arial" w:eastAsia="Times New Roman" w:hAnsi="Arial" w:cs="Arial"/>
          <w:color w:val="000000"/>
          <w:lang w:val="en-US" w:eastAsia="de-DE"/>
        </w:rPr>
        <w:instrText>deviations in cell size affect cell physiology. To address this, we measured how the cell's proteome changes with increasing cell size. Size-dependent protein concentration changes are widespread and predicted by subcellular localization, size-dependent mR</w:instrText>
      </w:r>
      <w:r>
        <w:rPr>
          <w:rFonts w:ascii="Arial" w:eastAsia="Times New Roman" w:hAnsi="Arial" w:cs="Arial"/>
          <w:color w:val="000000"/>
          <w:lang w:val="en-US" w:eastAsia="de-DE"/>
        </w:rPr>
        <w:instrText>NA concentrations, and protein turnover. As proliferating cells grow larger, concentration changes typically associated with cellular senescence are increasingly pronounced, suggesting that large size may be a cause rather than just a consequence of cell s</w:instrText>
      </w:r>
      <w:r>
        <w:rPr>
          <w:rFonts w:ascii="Arial" w:eastAsia="Times New Roman" w:hAnsi="Arial" w:cs="Arial"/>
          <w:color w:val="000000"/>
          <w:lang w:val="en-US" w:eastAsia="de-DE"/>
        </w:rPr>
        <w:instrText xml:space="preserve">enescence. Consistent with this hypothesis, larger cells are prone to replicative, DNA-damage-induced, and CDK4/6i-induced senescence. Size-dependent changes to the proteome, including those associated with senescence, are not observed when an increase in </w:instrText>
      </w:r>
      <w:r>
        <w:rPr>
          <w:rFonts w:ascii="Arial" w:eastAsia="Times New Roman" w:hAnsi="Arial" w:cs="Arial"/>
          <w:color w:val="000000"/>
          <w:lang w:val="en-US" w:eastAsia="de-DE"/>
        </w:rPr>
        <w:instrText>cell size is accompanied by an increase in ploidy. Together, our findings show how cell size could impact many aspects of cell physiology by remodeling the proteome and provide a rationale for cell size control and polyploidization.","author":[{"dropping-p</w:instrText>
      </w:r>
      <w:r>
        <w:rPr>
          <w:rFonts w:ascii="Arial" w:eastAsia="Times New Roman" w:hAnsi="Arial" w:cs="Arial"/>
          <w:color w:val="000000"/>
          <w:lang w:val="en-US" w:eastAsia="de-DE"/>
        </w:rPr>
        <w:instrText>article":"","family":"Lanz","given":"Michael C.","non-dropping-particle":"","parse-names":false,"suffix":""},{"dropping-particle":"","family":"Zatulovskiy","given":"Evgeny","non-dropping-particle":"","parse-names":false,"suffix":""},{"dropping-particle":""</w:instrText>
      </w:r>
      <w:r>
        <w:rPr>
          <w:rFonts w:ascii="Arial" w:eastAsia="Times New Roman" w:hAnsi="Arial" w:cs="Arial"/>
          <w:color w:val="000000"/>
          <w:lang w:val="en-US" w:eastAsia="de-DE"/>
        </w:rPr>
        <w:instrText>,"family":"Swaffer","given":"Matthew P.","non-dropping-particle":"","parse-names":false,"suffix":""},{"dropping-particle":"","family":"Zhang","given":"Lichao","non-dropping-particle":"","parse-names":false,"suffix":""},{"dropping-particle":"","family":"Ile</w:instrText>
      </w:r>
      <w:r>
        <w:rPr>
          <w:rFonts w:ascii="Arial" w:eastAsia="Times New Roman" w:hAnsi="Arial" w:cs="Arial"/>
          <w:color w:val="000000"/>
          <w:lang w:val="en-US" w:eastAsia="de-DE"/>
        </w:rPr>
        <w:instrText>rten","given":"Ilayda","non-dropping-particle":"","parse-names":false,"suffix":""},{"dropping-particle":"","family":"Zhang","given":"Shuyuan","non-dropping-particle":"","parse-names":false,"suffix":""},{"dropping-particle":"","family":"You","given":"Dong S</w:instrText>
      </w:r>
      <w:r>
        <w:rPr>
          <w:rFonts w:ascii="Arial" w:eastAsia="Times New Roman" w:hAnsi="Arial" w:cs="Arial"/>
          <w:color w:val="000000"/>
          <w:lang w:val="en-US" w:eastAsia="de-DE"/>
        </w:rPr>
        <w:instrText>hin","non-dropping-particle":"","parse-names":false,"suffix":""},{"dropping-particle":"","family":"Marinov","given":"Georgi","non-dropping-particle":"","parse-names":false,"suffix":""},{"dropping-particle":"","family":"McAlpine","given":"Patrick","non-drop</w:instrText>
      </w:r>
      <w:r>
        <w:rPr>
          <w:rFonts w:ascii="Arial" w:eastAsia="Times New Roman" w:hAnsi="Arial" w:cs="Arial"/>
          <w:color w:val="000000"/>
          <w:lang w:val="en-US" w:eastAsia="de-DE"/>
        </w:rPr>
        <w:instrText>ping-particle":"","parse-names":false,"suffix":""},{"dropping-particle":"","family":"Elias","given":"Joshua E.","non-dropping-particle":"","parse-names":false,"suffix":""},{"dropping-particle":"","family":"Skotheim","given":"Jan M.","non-dropping-particle"</w:instrText>
      </w:r>
      <w:r>
        <w:rPr>
          <w:rFonts w:ascii="Arial" w:eastAsia="Times New Roman" w:hAnsi="Arial" w:cs="Arial"/>
          <w:color w:val="000000"/>
          <w:lang w:val="en-US" w:eastAsia="de-DE"/>
        </w:rPr>
        <w:instrText>:"","parse-names":false,"suffix":""}],"container-title":"Molecular Cell","id":"ITEM-2","issue":"17","issued":{"date-parts":[["2022","9","1"]]},"page":"3255-3269.e8","publisher":"Cell Press","title":"Increasing cell size remodels the proteome and promotes s</w:instrText>
      </w:r>
      <w:r>
        <w:rPr>
          <w:rFonts w:ascii="Arial" w:eastAsia="Times New Roman" w:hAnsi="Arial" w:cs="Arial"/>
          <w:color w:val="000000"/>
          <w:lang w:val="en-US" w:eastAsia="de-DE"/>
        </w:rPr>
        <w:instrText>enescence","type":"article-journal","volume":"82"},"uris":["http://www.mendeley.com/documents/?uuid=8e51a3f0-6440-3670-854f-e466aa3f4159"]}],"mendeley":{"formattedCitation":"&lt;sup&gt;5,47&lt;/sup&gt;","plainTextFormattedCitation":"5,47","previouslyFormattedCitation"</w:instrText>
      </w:r>
      <w:r>
        <w:rPr>
          <w:rFonts w:ascii="Arial" w:eastAsia="Times New Roman" w:hAnsi="Arial" w:cs="Arial"/>
          <w:color w:val="000000"/>
          <w:lang w:val="en-US" w:eastAsia="de-DE"/>
        </w:rPr>
        <w:instrText>:"&lt;sup&gt;5,47&lt;/sup&gt;"},"properties":{"noteIndex":0},"schema":"https://github.com/citation-style-language/schema/raw/master/csl-citation.json"}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5,47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also budding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{"citationItems":[{"id":"ITEM-1","itemData":{"DOI":"10.1101/2023.10.</w:instrText>
      </w:r>
      <w:r>
        <w:rPr>
          <w:rFonts w:ascii="Arial" w:eastAsia="Times New Roman" w:hAnsi="Arial" w:cs="Arial"/>
          <w:color w:val="000000"/>
          <w:lang w:val="en-US" w:eastAsia="de-DE"/>
        </w:rPr>
        <w:instrText>16.562558","abstract":"Cell size is tightly controlled in healthy tissues and single-celled organisms, but it remains unclear how size influences cell physiology. Increasing cell size was recently shown to remodel the proteomes of cultured human cells, dem</w:instrText>
      </w:r>
      <w:r>
        <w:rPr>
          <w:rFonts w:ascii="Arial" w:eastAsia="Times New Roman" w:hAnsi="Arial" w:cs="Arial"/>
          <w:color w:val="000000"/>
          <w:lang w:val="en-US" w:eastAsia="de-DE"/>
        </w:rPr>
        <w:instrText>onstrating that large and small cells of the same type can be biochemically different. Here, we corroborate these results in mouse hepatocytes and extend our analysis using yeast. We find that size-dependent proteome changes are highly conserved and mostly</w:instrText>
      </w:r>
      <w:r>
        <w:rPr>
          <w:rFonts w:ascii="Arial" w:eastAsia="Times New Roman" w:hAnsi="Arial" w:cs="Arial"/>
          <w:color w:val="000000"/>
          <w:lang w:val="en-US" w:eastAsia="de-DE"/>
        </w:rPr>
        <w:instrText xml:space="preserve"> independent of metabolic state. As eukaryotic cells grow larger, the dilution of the genome elicits a starvation-like proteome phenotype, suggesting that growth in large cells is limited by the genome in a manner analogous to a limiting nutrient. We also </w:instrText>
      </w:r>
      <w:r>
        <w:rPr>
          <w:rFonts w:ascii="Arial" w:eastAsia="Times New Roman" w:hAnsi="Arial" w:cs="Arial"/>
          <w:color w:val="000000"/>
          <w:lang w:val="en-US" w:eastAsia="de-DE"/>
        </w:rPr>
        <w:instrText>demonstrate that the proteomes of replicatively-aged yeast are primarily determined by their large size. Overall, our data suggest that genome concentration is a universal determinant of proteome content in growing cells.\n\n### Competing Interest Statemen</w:instrText>
      </w:r>
      <w:r>
        <w:rPr>
          <w:rFonts w:ascii="Arial" w:eastAsia="Times New Roman" w:hAnsi="Arial" w:cs="Arial"/>
          <w:color w:val="000000"/>
          <w:lang w:val="en-US" w:eastAsia="de-DE"/>
        </w:rPr>
        <w:instrText>t\n\nThe authors have declared no competing interest.","author":[{"dropping-particle":"","family":"Lanz","given":"Michael C","non-dropping-particle":"","parse-names":false,"suffix":""},{"dropping-particle":"","family":"Zhang","given":"Shuyuan","non-droppin</w:instrText>
      </w:r>
      <w:r>
        <w:rPr>
          <w:rFonts w:ascii="Arial" w:eastAsia="Times New Roman" w:hAnsi="Arial" w:cs="Arial"/>
          <w:color w:val="000000"/>
          <w:lang w:val="en-US" w:eastAsia="de-DE"/>
        </w:rPr>
        <w:instrText>g-particle":"","parse-names":false,"suffix":""},{"dropping-particle":"","family":"Swaffer","given":"Matthew P","non-dropping-particle":"","parse-names":false,"suffix":""},{"dropping-particle":"","family":"Ziv-Uziel","given":"Inbal","non-dropping-particle":</w:instrText>
      </w:r>
      <w:r>
        <w:rPr>
          <w:rFonts w:ascii="Arial" w:eastAsia="Times New Roman" w:hAnsi="Arial" w:cs="Arial"/>
          <w:color w:val="000000"/>
          <w:lang w:val="en-US" w:eastAsia="de-DE"/>
        </w:rPr>
        <w:instrText>"","parse-names":false,"suffix":""},{"dropping-particle":"","family":"Hernendez-Gotz","given":"Luisa","non-dropping-particle":"","parse-names":false,"suffix":""},{"dropping-particle":"","family":"Jaroz","given":"Dan F","non-dropping-particle":"","parse-nam</w:instrText>
      </w:r>
      <w:r>
        <w:rPr>
          <w:rFonts w:ascii="Arial" w:eastAsia="Times New Roman" w:hAnsi="Arial" w:cs="Arial"/>
          <w:color w:val="000000"/>
          <w:lang w:val="en-US" w:eastAsia="de-DE"/>
        </w:rPr>
        <w:instrText>es":false,"suffix":""},{"dropping-particle":"","family":"Elias","given":"Joshua E","non-dropping-particle":"","parse-names":false,"suffix":""},{"dropping-particle":"","family":"Skotheim","given":"Jan M","non-dropping-particle":"","parse-names":false,"suffi</w:instrText>
      </w:r>
      <w:r>
        <w:rPr>
          <w:rFonts w:ascii="Arial" w:eastAsia="Times New Roman" w:hAnsi="Arial" w:cs="Arial"/>
          <w:color w:val="000000"/>
          <w:lang w:val="en-US" w:eastAsia="de-DE"/>
        </w:rPr>
        <w:instrText>x":""},{"dropping-particle":"","family":"Zuckerberg Biohub San Francisco","given":"Chan","non-dropping-particle":"","parse-names":false,"suffix":""}],"container-title":"bioRxiv","id":"ITEM-1","issued":{"date-parts":[["2023","10","19"]]},"page":"2023.10.16.</w:instrText>
      </w:r>
      <w:r>
        <w:rPr>
          <w:rFonts w:ascii="Arial" w:eastAsia="Times New Roman" w:hAnsi="Arial" w:cs="Arial"/>
          <w:color w:val="000000"/>
          <w:lang w:val="en-US" w:eastAsia="de-DE"/>
        </w:rPr>
        <w:instrText>562558","publisher":"Cold Spring Harbor Laboratory","title":"Genome dilution by cell growth drives starvation-like proteome remodeling in mammalian and yeast cells","type":"article-journal"},"uris":["http://www.mendeley.com/documents/?uuid=ec827699-72ee-38</w:instrText>
      </w:r>
      <w:r>
        <w:rPr>
          <w:rFonts w:ascii="Arial" w:eastAsia="Times New Roman" w:hAnsi="Arial" w:cs="Arial"/>
          <w:color w:val="000000"/>
          <w:lang w:val="en-US" w:eastAsia="de-DE"/>
        </w:rPr>
        <w:instrText>c4-93fe-fae1f642ec2d"]}],"mendeley":{"formattedCitation":"&lt;sup&gt;42&lt;/sup&gt;","plainTextFormattedCitation":"42","previouslyFormattedCitation":"&lt;sup&gt;42&lt;/sup&gt;"},"properties":{"noteIndex":0},"schema":"https://github.com/citation-style-language/schema/raw/master/cs</w:instrText>
      </w:r>
      <w:r>
        <w:rPr>
          <w:rFonts w:ascii="Arial" w:eastAsia="Times New Roman" w:hAnsi="Arial" w:cs="Arial"/>
          <w:color w:val="000000"/>
          <w:lang w:val="en-US" w:eastAsia="de-DE"/>
        </w:rPr>
        <w:instrText>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Moreover, the proteome composition of large cells resembles characteristics associated with senescence in mammals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{"citationItems":[{"id":"ITEM-1","itemData":{"DOI":"10.1101/2021.08.05.455193","abstract":"Senescent</w:instrText>
      </w:r>
      <w:r>
        <w:rPr>
          <w:rFonts w:ascii="Arial" w:eastAsia="Times New Roman" w:hAnsi="Arial" w:cs="Arial"/>
          <w:color w:val="000000"/>
          <w:lang w:val="en-US" w:eastAsia="de-DE"/>
        </w:rPr>
        <w:instrText xml:space="preserve"> cells typically have an enlarged cell size but the reason for this has not been fully elucidated. As abnormal cell size may alter protein concentrations and cellular functionality, we used proteomic data from 59 unperturbed human cell lines to systematica</w:instrText>
      </w:r>
      <w:r>
        <w:rPr>
          <w:rFonts w:ascii="Arial" w:eastAsia="Times New Roman" w:hAnsi="Arial" w:cs="Arial"/>
          <w:color w:val="000000"/>
          <w:lang w:val="en-US" w:eastAsia="de-DE"/>
        </w:rPr>
        <w:instrText>lly characterize cell-size dependent changes in intracellular protein concentrations and organelle content. Increase in cell size leads to ubiquitous transcriptionally and post-transcriptionally regulated reorganization and dilution of the proteome. Many k</w:instrText>
      </w:r>
      <w:r>
        <w:rPr>
          <w:rFonts w:ascii="Arial" w:eastAsia="Times New Roman" w:hAnsi="Arial" w:cs="Arial"/>
          <w:color w:val="000000"/>
          <w:lang w:val="en-US" w:eastAsia="de-DE"/>
        </w:rPr>
        <w:instrText>nown senescence proteins display disproportionate size-scaling consistent with their altered expression in senescent cells, while lysosomes and the endoplasmic reticulum expand in larger cells contributing to the senescence phenotype. Analysis of organelle</w:instrText>
      </w:r>
      <w:r>
        <w:rPr>
          <w:rFonts w:ascii="Arial" w:eastAsia="Times New Roman" w:hAnsi="Arial" w:cs="Arial"/>
          <w:color w:val="000000"/>
          <w:lang w:val="en-US" w:eastAsia="de-DE"/>
        </w:rPr>
        <w:instrText xml:space="preserve"> proteome expression identifies p53 and retinoblastoma pathways as mediators of size-scaling, consistent with their role in senescence. Taken together, cell size can alter cellular fitness and function through cumulative reorganization of the proteome and </w:instrText>
      </w:r>
      <w:r>
        <w:rPr>
          <w:rFonts w:ascii="Arial" w:eastAsia="Times New Roman" w:hAnsi="Arial" w:cs="Arial"/>
          <w:color w:val="000000"/>
          <w:lang w:val="en-US" w:eastAsia="de-DE"/>
        </w:rPr>
        <w:instrText>organelle content. An extreme consequence of this pervasive size-scaling appears to be senescence.\n\n### Competing Interest Statement\n\nThe authors have declared no competing interest.","author":[{"dropping-particle":"","family":"Cheng","given":"Ling","n</w:instrText>
      </w:r>
      <w:r>
        <w:rPr>
          <w:rFonts w:ascii="Arial" w:eastAsia="Times New Roman" w:hAnsi="Arial" w:cs="Arial"/>
          <w:color w:val="000000"/>
          <w:lang w:val="en-US" w:eastAsia="de-DE"/>
        </w:rPr>
        <w:instrText>on-dropping-particle":"","parse-names":false,"suffix":""},{"dropping-particle":"","family":"Chen","given":"Jingyuan","non-dropping-particle":"","parse-names":false,"suffix":""},{"dropping-particle":"","family":"Kong","given":"Yidi","non-dropping-particle":</w:instrText>
      </w:r>
      <w:r>
        <w:rPr>
          <w:rFonts w:ascii="Arial" w:eastAsia="Times New Roman" w:hAnsi="Arial" w:cs="Arial"/>
          <w:color w:val="000000"/>
          <w:lang w:val="en-US" w:eastAsia="de-DE"/>
        </w:rPr>
        <w:instrText>"","parse-names":false,"suffix":""},{"dropping-particle":"","family":"Tan","given":"Ceryl","non-dropping-particle":"","parse-names":false,"suffix":""},{"dropping-particle":"","family":"Kafri","given":"Ran","non-dropping-particle":"","parse-names":false,"su</w:instrText>
      </w:r>
      <w:r>
        <w:rPr>
          <w:rFonts w:ascii="Arial" w:eastAsia="Times New Roman" w:hAnsi="Arial" w:cs="Arial"/>
          <w:color w:val="000000"/>
          <w:lang w:val="en-US" w:eastAsia="de-DE"/>
        </w:rPr>
        <w:instrText>ffix":""},{"dropping-particle":"","family":"Björklund","given":"Mikael","non-dropping-particle":"","parse-names":false,"suffix":""}],"container-title":"bioRxiv","id":"ITEM-1","issued":{"date-parts":[["2021","8","5"]]},"page":"2021.08.05.455193","publisher"</w:instrText>
      </w:r>
      <w:r>
        <w:rPr>
          <w:rFonts w:ascii="Arial" w:eastAsia="Times New Roman" w:hAnsi="Arial" w:cs="Arial"/>
          <w:color w:val="000000"/>
          <w:lang w:val="en-US" w:eastAsia="de-DE"/>
        </w:rPr>
        <w:instrText>:"Cold Spring Harbor Laboratory","title":"Size-scaling promotes senescence-like changes in proteome and organelle content","type":"article-journal"},"uris":["http://www.mendeley.com/documents/?uuid=b18bf84a-28a0-3d8e-b9ff-d89e4f1f9d63"]},{"id":"ITEM-2","it</w:instrText>
      </w:r>
      <w:r>
        <w:rPr>
          <w:rFonts w:ascii="Arial" w:eastAsia="Times New Roman" w:hAnsi="Arial" w:cs="Arial"/>
          <w:color w:val="000000"/>
          <w:lang w:val="en-US" w:eastAsia="de-DE"/>
        </w:rPr>
        <w:instrText>emData":{"DOI":"10.1016/J.MOLCEL.2022.07.017","ISSN":"1097-2765","PMID":"35987199","abstract":"Cell size is tightly controlled in healthy tissues, but it is unclear how deviations in cell size affect cell physiology. To address this, we measured how the ce</w:instrText>
      </w:r>
      <w:r>
        <w:rPr>
          <w:rFonts w:ascii="Arial" w:eastAsia="Times New Roman" w:hAnsi="Arial" w:cs="Arial"/>
          <w:color w:val="000000"/>
          <w:lang w:val="en-US" w:eastAsia="de-DE"/>
        </w:rPr>
        <w:instrText>ll's proteome changes with increasing cell size. Size-dependent protein concentration changes are widespread and predicted by subcellular localization, size-dependent mRNA concentrations, and protein turnover. As proliferating cells grow larger, concentrat</w:instrText>
      </w:r>
      <w:r>
        <w:rPr>
          <w:rFonts w:ascii="Arial" w:eastAsia="Times New Roman" w:hAnsi="Arial" w:cs="Arial"/>
          <w:color w:val="000000"/>
          <w:lang w:val="en-US" w:eastAsia="de-DE"/>
        </w:rPr>
        <w:instrText>ion changes typically associated with cellular senescence are increasingly pronounced, suggesting that large size may be a cause rather than just a consequence of cell senescence. Consistent with this hypothesis, larger cells are prone to replicative, DNA-</w:instrText>
      </w:r>
      <w:r>
        <w:rPr>
          <w:rFonts w:ascii="Arial" w:eastAsia="Times New Roman" w:hAnsi="Arial" w:cs="Arial"/>
          <w:color w:val="000000"/>
          <w:lang w:val="en-US" w:eastAsia="de-DE"/>
        </w:rPr>
        <w:instrText>damage-induced, and CDK4/6i-induced senescence. Size-dependent changes to the proteome, including those associated with senescence, are not observed when an increase in cell size is accompanied by an increase in ploidy. Together, our findings show how cell</w:instrText>
      </w:r>
      <w:r>
        <w:rPr>
          <w:rFonts w:ascii="Arial" w:eastAsia="Times New Roman" w:hAnsi="Arial" w:cs="Arial"/>
          <w:color w:val="000000"/>
          <w:lang w:val="en-US" w:eastAsia="de-DE"/>
        </w:rPr>
        <w:instrText xml:space="preserve"> size could impact many aspects of cell physiology by remodeling the proteome and provide a rationale for cell size control and polyploidization.","author":[{"dropping-particle":"","family":"Lanz","given":"Michael C.","non-dropping-particle":"","parse-name</w:instrText>
      </w:r>
      <w:r>
        <w:rPr>
          <w:rFonts w:ascii="Arial" w:eastAsia="Times New Roman" w:hAnsi="Arial" w:cs="Arial"/>
          <w:color w:val="000000"/>
          <w:lang w:val="en-US" w:eastAsia="de-DE"/>
        </w:rPr>
        <w:instrText>s":false,"suffix":""},{"dropping-particle":"","family":"Zatulovskiy","given":"Evgeny","non-dropping-particle":"","parse-names":false,"suffix":""},{"dropping-particle":"","family":"Swaffer","given":"Matthew P.","non-dropping-particle":"","parse-names":false</w:instrText>
      </w:r>
      <w:r>
        <w:rPr>
          <w:rFonts w:ascii="Arial" w:eastAsia="Times New Roman" w:hAnsi="Arial" w:cs="Arial"/>
          <w:color w:val="000000"/>
          <w:lang w:val="en-US" w:eastAsia="de-DE"/>
        </w:rPr>
        <w:instrText>,"suffix":""},{"dropping-particle":"","family":"Zhang","given":"Lichao","non-dropping-particle":"","parse-names":false,"suffix":""},{"dropping-particle":"","family":"Ilerten","given":"Ilayda","non-dropping-particle":"","parse-names":false,"suffix":""},{"dr</w:instrText>
      </w:r>
      <w:r>
        <w:rPr>
          <w:rFonts w:ascii="Arial" w:eastAsia="Times New Roman" w:hAnsi="Arial" w:cs="Arial"/>
          <w:color w:val="000000"/>
          <w:lang w:val="en-US" w:eastAsia="de-DE"/>
        </w:rPr>
        <w:instrText>opping-particle":"","family":"Zhang","given":"Shuyuan","non-dropping-particle":"","parse-names":false,"suffix":""},{"dropping-particle":"","family":"You","given":"Dong Shin","non-dropping-particle":"","parse-names":false,"suffix":""},{"dropping-particle":"</w:instrText>
      </w:r>
      <w:r>
        <w:rPr>
          <w:rFonts w:ascii="Arial" w:eastAsia="Times New Roman" w:hAnsi="Arial" w:cs="Arial"/>
          <w:color w:val="000000"/>
          <w:lang w:val="en-US" w:eastAsia="de-DE"/>
        </w:rPr>
        <w:instrText>","family":"Marinov","given":"Georgi","non-dropping-particle":"","parse-names":false,"suffix":""},{"dropping-particle":"","family":"McAlpine","given":"Patrick","non-dropping-particle":"","parse-names":false,"suffix":""},{"dropping-particle":"","family":"El</w:instrText>
      </w:r>
      <w:r>
        <w:rPr>
          <w:rFonts w:ascii="Arial" w:eastAsia="Times New Roman" w:hAnsi="Arial" w:cs="Arial"/>
          <w:color w:val="000000"/>
          <w:lang w:val="en-US" w:eastAsia="de-DE"/>
        </w:rPr>
        <w:instrText>ias","given":"Joshua E.","non-dropping-particle":"","parse-names":false,"suffix":""},{"dropping-particle":"","family":"Skotheim","given":"Jan M.","non-dropping-particle":"","parse-names":false,"suffix":""}],"container-title":"Molecular Cell","id":"ITEM-2",</w:instrText>
      </w:r>
      <w:r>
        <w:rPr>
          <w:rFonts w:ascii="Arial" w:eastAsia="Times New Roman" w:hAnsi="Arial" w:cs="Arial"/>
          <w:color w:val="000000"/>
          <w:lang w:val="en-US" w:eastAsia="de-DE"/>
        </w:rPr>
        <w:instrText>"issue":"17","issued":{"date-parts":[["2022","9","1"]]},"page":"3255-3269.e8","publisher":"Cell Press","title":"Increasing cell size remodels the proteome and promotes senescence","type":"article-journal","volume":"82"},"uris":["http://www.mendeley.com/doc</w:instrText>
      </w:r>
      <w:r>
        <w:rPr>
          <w:rFonts w:ascii="Arial" w:eastAsia="Times New Roman" w:hAnsi="Arial" w:cs="Arial"/>
          <w:color w:val="000000"/>
          <w:lang w:val="en-US" w:eastAsia="de-DE"/>
        </w:rPr>
        <w:instrText>uments/?uuid=8e51a3f0-6440-3670-854f-e466aa3f4159"]}],"mendeley":{"formattedCitation":"&lt;sup&gt;5,47&lt;/sup&gt;","plainTextFormattedCitation":"5,47","previouslyFormattedCitation":"&lt;sup&gt;5,47&lt;/sup&gt;"},"properties":{"noteIndex":0},"schema":"https://github.com/citation-</w:instrText>
      </w:r>
      <w:r>
        <w:rPr>
          <w:rFonts w:ascii="Arial" w:eastAsia="Times New Roman" w:hAnsi="Arial" w:cs="Arial"/>
          <w:color w:val="000000"/>
          <w:lang w:val="en-US" w:eastAsia="de-DE"/>
        </w:rPr>
        <w:instrText>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5,47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starvation-like conditions in budding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{"citationItems":[{"id":"ITEM-1","itemData":{"DOI":"10.1101/2023.10.16.562558","abstract":"Cell size is tightly controlled in heal</w:instrText>
      </w:r>
      <w:r>
        <w:rPr>
          <w:rFonts w:ascii="Arial" w:eastAsia="Times New Roman" w:hAnsi="Arial" w:cs="Arial"/>
          <w:color w:val="000000"/>
          <w:lang w:val="en-US" w:eastAsia="de-DE"/>
        </w:rPr>
        <w:instrText xml:space="preserve">thy tissues and single-celled organisms, but it remains unclear how size influences cell physiology. Increasing cell size was recently shown to remodel the proteomes of cultured human cells, demonstrating that large and small cells of the same type can be </w:instrText>
      </w:r>
      <w:r>
        <w:rPr>
          <w:rFonts w:ascii="Arial" w:eastAsia="Times New Roman" w:hAnsi="Arial" w:cs="Arial"/>
          <w:color w:val="000000"/>
          <w:lang w:val="en-US" w:eastAsia="de-DE"/>
        </w:rPr>
        <w:instrText>biochemically different. Here, we corroborate these results in mouse hepatocytes and extend our analysis using yeast. We find that size-dependent proteome changes are highly conserved and mostly independent of metabolic state. As eukaryotic cells grow larg</w:instrText>
      </w:r>
      <w:r>
        <w:rPr>
          <w:rFonts w:ascii="Arial" w:eastAsia="Times New Roman" w:hAnsi="Arial" w:cs="Arial"/>
          <w:color w:val="000000"/>
          <w:lang w:val="en-US" w:eastAsia="de-DE"/>
        </w:rPr>
        <w:instrText>er, the dilution of the genome elicits a starvation-like proteome phenotype, suggesting that growth in large cells is limited by the genome in a manner analogous to a limiting nutrient. We also demonstrate that the proteomes of replicatively-aged yeast are</w:instrText>
      </w:r>
      <w:r>
        <w:rPr>
          <w:rFonts w:ascii="Arial" w:eastAsia="Times New Roman" w:hAnsi="Arial" w:cs="Arial"/>
          <w:color w:val="000000"/>
          <w:lang w:val="en-US" w:eastAsia="de-DE"/>
        </w:rPr>
        <w:instrText xml:space="preserve"> primarily determined by their large size. Overall, our data suggest that genome concentration is a universal determinant of proteome content in growing cells.\n\n### Competing Interest Statement\n\nThe authors have declared no competing interest.","author</w:instrText>
      </w:r>
      <w:r>
        <w:rPr>
          <w:rFonts w:ascii="Arial" w:eastAsia="Times New Roman" w:hAnsi="Arial" w:cs="Arial"/>
          <w:color w:val="000000"/>
          <w:lang w:val="en-US" w:eastAsia="de-DE"/>
        </w:rPr>
        <w:instrText>":[{"dropping-particle":"","family":"Lanz","given":"Michael C","non-dropping-particle":"","parse-names":false,"suffix":""},{"dropping-particle":"","family":"Zhang","given":"Shuyuan","non-dropping-particle":"","parse-names":false,"suffix":""},{"dropping-par</w:instrText>
      </w:r>
      <w:r>
        <w:rPr>
          <w:rFonts w:ascii="Arial" w:eastAsia="Times New Roman" w:hAnsi="Arial" w:cs="Arial"/>
          <w:color w:val="000000"/>
          <w:lang w:val="en-US" w:eastAsia="de-DE"/>
        </w:rPr>
        <w:instrText>ticle":"","family":"Swaffer","given":"Matthew P","non-dropping-particle":"","parse-names":false,"suffix":""},{"dropping-particle":"","family":"Ziv-Uziel","given":"Inbal","non-dropping-particle":"","parse-names":false,"suffix":""},{"dropping-particle":"","f</w:instrText>
      </w:r>
      <w:r>
        <w:rPr>
          <w:rFonts w:ascii="Arial" w:eastAsia="Times New Roman" w:hAnsi="Arial" w:cs="Arial"/>
          <w:color w:val="000000"/>
          <w:lang w:val="en-US" w:eastAsia="de-DE"/>
        </w:rPr>
        <w:instrText>amily":"Hernendez-Gotz","given":"Luisa","non-dropping-particle":"","parse-names":false,"suffix":""},{"dropping-particle":"","family":"Jaroz","given":"Dan F","non-dropping-particle":"","parse-names":false,"suffix":""},{"dropping-particle":"","family":"Elias</w:instrText>
      </w:r>
      <w:r>
        <w:rPr>
          <w:rFonts w:ascii="Arial" w:eastAsia="Times New Roman" w:hAnsi="Arial" w:cs="Arial"/>
          <w:color w:val="000000"/>
          <w:lang w:val="en-US" w:eastAsia="de-DE"/>
        </w:rPr>
        <w:instrText>","given":"Joshua E","non-dropping-particle":"","parse-names":false,"suffix":""},{"dropping-particle":"","family":"Skotheim","given":"Jan M","non-dropping-particle":"","parse-names":false,"suffix":""},{"dropping-particle":"","family":"Zuckerberg Biohub San</w:instrText>
      </w:r>
      <w:r>
        <w:rPr>
          <w:rFonts w:ascii="Arial" w:eastAsia="Times New Roman" w:hAnsi="Arial" w:cs="Arial"/>
          <w:color w:val="000000"/>
          <w:lang w:val="en-US" w:eastAsia="de-DE"/>
        </w:rPr>
        <w:instrText xml:space="preserve"> Francisco","given":"Chan","non-dropping-particle":"","parse-names":false,"suffix":""}],"container-title":"bioRxiv","id":"ITEM-1","issued":{"date-parts":[["2023","10","19"]]},"page":"2023.10.16.562558","publisher":"Cold Spring Harbor Laboratory","title":"G</w:instrText>
      </w:r>
      <w:r>
        <w:rPr>
          <w:rFonts w:ascii="Arial" w:eastAsia="Times New Roman" w:hAnsi="Arial" w:cs="Arial"/>
          <w:color w:val="000000"/>
          <w:lang w:val="en-US" w:eastAsia="de-DE"/>
        </w:rPr>
        <w:instrText>enome dilution by cell growth drives starvation-like proteome remodeling in mammalian and yeast cells","type":"article-journal"},"uris":["http://www.mendeley.com/documents/?uuid=ec827699-72ee-38c4-93fe-fae1f642ec2d"]}],"mendeley":{"formattedCitation":"&lt;sup</w:instrText>
      </w:r>
      <w:r>
        <w:rPr>
          <w:rFonts w:ascii="Arial" w:eastAsia="Times New Roman" w:hAnsi="Arial" w:cs="Arial"/>
          <w:color w:val="000000"/>
          <w:lang w:val="en-US" w:eastAsia="de-DE"/>
        </w:rPr>
        <w:instrText>&gt;42&lt;/sup&gt;","plainTextFormattedCitation":"42","previouslyFormattedCitation":"&lt;sup&gt;42&lt;/sup&gt;"},"properties":{"noteIndex":0},"schema":"https://github.com/citation-style-language/schema/raw/master/csl-citation.json"}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suggests that DNA becomes limitin</w:t>
      </w:r>
      <w:r>
        <w:rPr>
          <w:rFonts w:ascii="Arial" w:eastAsia="Times New Roman" w:hAnsi="Arial" w:cs="Arial"/>
          <w:color w:val="000000"/>
          <w:lang w:val="en-US" w:eastAsia="de-DE"/>
        </w:rPr>
        <w:t>g for transcription in large cells, leading to inadequate biosynthetic scaling</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{"citationItems":[{"id":"ITEM-1","itemData":{"DOI":"10.1016/J.CELL.2019.01.018","ISSN":"0092-8674","abstract":"Cell size varies greatly between cell types, yet</w:instrText>
      </w:r>
      <w:r>
        <w:rPr>
          <w:rFonts w:ascii="Arial" w:eastAsia="Times New Roman" w:hAnsi="Arial" w:cs="Arial"/>
          <w:color w:val="000000"/>
          <w:lang w:val="en-US" w:eastAsia="de-DE"/>
        </w:rPr>
        <w:instrText xml:space="preserve"> within a specific cell type and growth condition, cell size is narrowly distributed. Why maintenance of a cell-type specific cell size is important remains poorly understood. Here we show that growing budding yeast and primary mammalian cells beyond a cer</w:instrText>
      </w:r>
      <w:r>
        <w:rPr>
          <w:rFonts w:ascii="Arial" w:eastAsia="Times New Roman" w:hAnsi="Arial" w:cs="Arial"/>
          <w:color w:val="000000"/>
          <w:lang w:val="en-US" w:eastAsia="de-DE"/>
        </w:rPr>
        <w:instrText>tain size impairs gene induction, cell-cycle progression, and cell signaling. These defects are due to the inability of large cells to scale nucleic acid and protein biosynthesis in accordance with cell volume increase, which effectively leads to cytoplasm</w:instrText>
      </w:r>
      <w:r>
        <w:rPr>
          <w:rFonts w:ascii="Arial" w:eastAsia="Times New Roman" w:hAnsi="Arial" w:cs="Arial"/>
          <w:color w:val="000000"/>
          <w:lang w:val="en-US" w:eastAsia="de-DE"/>
        </w:rPr>
        <w:instrText xml:space="preserve"> dilution. We further show that loss of scaling beyond a certain critical size is due to DNA becoming limiting. Based on the observation that senescent cells are large and exhibit many of the phenotypes of large cells, we propose that the range of DNA:cyto</w:instrText>
      </w:r>
      <w:r>
        <w:rPr>
          <w:rFonts w:ascii="Arial" w:eastAsia="Times New Roman" w:hAnsi="Arial" w:cs="Arial"/>
          <w:color w:val="000000"/>
          <w:lang w:val="en-US" w:eastAsia="de-DE"/>
        </w:rPr>
        <w:instrText>plasm ratio that supports optimal cell function is limited and that ratios outside these bounds contribute to aging.","author":[{"dropping-particle":"","family":"Neurohr","given":"Gabriel E.","non-dropping-particle":"","parse-names":false,"suffix":""},{"dr</w:instrText>
      </w:r>
      <w:r>
        <w:rPr>
          <w:rFonts w:ascii="Arial" w:eastAsia="Times New Roman" w:hAnsi="Arial" w:cs="Arial"/>
          <w:color w:val="000000"/>
          <w:lang w:val="en-US" w:eastAsia="de-DE"/>
        </w:rPr>
        <w:instrText>opping-particle":"","family":"Terry","given":"Rachel L.","non-dropping-particle":"","parse-names":false,"suffix":""},{"dropping-particle":"","family":"Lengefeld","given":"Jette","non-dropping-particle":"","parse-names":false,"suffix":""},{"dropping-particl</w:instrText>
      </w:r>
      <w:r>
        <w:rPr>
          <w:rFonts w:ascii="Arial" w:eastAsia="Times New Roman" w:hAnsi="Arial" w:cs="Arial"/>
          <w:color w:val="000000"/>
          <w:lang w:val="en-US" w:eastAsia="de-DE"/>
        </w:rPr>
        <w:instrText>e":"","family":"Bonney","given":"Megan","non-dropping-particle":"","parse-names":false,"suffix":""},{"dropping-particle":"","family":"Brittingham","given":"Gregory P.","non-dropping-particle":"","parse-names":false,"suffix":""},{"dropping-particle":"","fam</w:instrText>
      </w:r>
      <w:r>
        <w:rPr>
          <w:rFonts w:ascii="Arial" w:eastAsia="Times New Roman" w:hAnsi="Arial" w:cs="Arial"/>
          <w:color w:val="000000"/>
          <w:lang w:val="en-US" w:eastAsia="de-DE"/>
        </w:rPr>
        <w:instrText>ily":"Moretto","given":"Fabien","non-dropping-particle":"","parse-names":false,"suffix":""},{"dropping-particle":"","family":"Miettinen","given":"Teemu P.","non-dropping-particle":"","parse-names":false,"suffix":""},{"dropping-particle":"","family":"Vaites</w:instrText>
      </w:r>
      <w:r>
        <w:rPr>
          <w:rFonts w:ascii="Arial" w:eastAsia="Times New Roman" w:hAnsi="Arial" w:cs="Arial"/>
          <w:color w:val="000000"/>
          <w:lang w:val="en-US" w:eastAsia="de-DE"/>
        </w:rPr>
        <w:instrText>","given":"Laura Pontano","non-dropping-particle":"","parse-names":false,"suffix":""},{"dropping-particle":"","family":"Soares","given":"Luis M.","non-dropping-particle":"","parse-names":false,"suffix":""},{"dropping-particle":"","family":"Paulo","given":"</w:instrText>
      </w:r>
      <w:r>
        <w:rPr>
          <w:rFonts w:ascii="Arial" w:eastAsia="Times New Roman" w:hAnsi="Arial" w:cs="Arial"/>
          <w:color w:val="000000"/>
          <w:lang w:val="en-US" w:eastAsia="de-DE"/>
        </w:rPr>
        <w:instrText>Joao A.","non-dropping-particle":"","parse-names":false,"suffix":""},{"dropping-particle":"","family":"Harper","given":"J. Wade","non-dropping-particle":"","parse-names":false,"suffix":""},{"dropping-particle":"","family":"Buratowski","given":"Stephen","no</w:instrText>
      </w:r>
      <w:r>
        <w:rPr>
          <w:rFonts w:ascii="Arial" w:eastAsia="Times New Roman" w:hAnsi="Arial" w:cs="Arial"/>
          <w:color w:val="000000"/>
          <w:lang w:val="en-US" w:eastAsia="de-DE"/>
        </w:rPr>
        <w:instrText>n-dropping-particle":"","parse-names":false,"suffix":""},{"dropping-particle":"","family":"Manalis","given":"Scott","non-dropping-particle":"","parse-names":false,"suffix":""},{"dropping-particle":"","family":"Werven","given":"Folkert J.","non-dropping-par</w:instrText>
      </w:r>
      <w:r>
        <w:rPr>
          <w:rFonts w:ascii="Arial" w:eastAsia="Times New Roman" w:hAnsi="Arial" w:cs="Arial"/>
          <w:color w:val="000000"/>
          <w:lang w:val="en-US" w:eastAsia="de-DE"/>
        </w:rPr>
        <w:instrText>ticle":"van","parse-names":false,"suffix":""},{"dropping-particle":"","family":"Holt","given":"Liam J.","non-dropping-particle":"","parse-names":false,"suffix":""},{"dropping-particle":"","family":"Amon","given":"Angelika","non-dropping-particle":"","parse</w:instrText>
      </w:r>
      <w:r>
        <w:rPr>
          <w:rFonts w:ascii="Arial" w:eastAsia="Times New Roman" w:hAnsi="Arial" w:cs="Arial"/>
          <w:color w:val="000000"/>
          <w:lang w:val="en-US" w:eastAsia="de-DE"/>
        </w:rPr>
        <w:instrText>-names":false,"suffix":""}],"container-title":"Cell","id":"ITEM-1","issue":"5","issued":{"date-parts":[["2019","2","21"]]},"page":"1083-1097.e18","publisher":"Cell Press","title":"Excessive Cell Growth Causes Cytoplasm Dilution And Contributes to Senescenc</w:instrText>
      </w:r>
      <w:r>
        <w:rPr>
          <w:rFonts w:ascii="Arial" w:eastAsia="Times New Roman" w:hAnsi="Arial" w:cs="Arial"/>
          <w:color w:val="000000"/>
          <w:lang w:val="en-US" w:eastAsia="de-DE"/>
        </w:rPr>
        <w:instrText>e","type":"article-journal","volume":"176"},"uris":["http://www.mendeley.com/documents/?uuid=4833c8e1-6ce1-37ae-98d6-80963c92a809"]}],"mendeley":{"formattedCitation":"&lt;sup&gt;3&lt;/sup&gt;","plainTextFormattedCitation":"3","previouslyFormattedCitation":"&lt;sup&gt;3&lt;/sup</w:instrText>
      </w:r>
      <w:r>
        <w:rPr>
          <w:rFonts w:ascii="Arial" w:eastAsia="Times New Roman" w:hAnsi="Arial" w:cs="Arial"/>
          <w:color w:val="000000"/>
          <w:lang w:val="en-US" w:eastAsia="de-DE"/>
        </w:rPr>
        <w:instrText>&gt;"},"properties":{"noteIndex":0},"schema":"https://github.com/citation-style-language/schema/raw/master/csl-citation.json"}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that ultimately drives cells towards senescence and a starvation-like phenotype.</w:t>
      </w:r>
    </w:p>
    <w:p w14:paraId="066F9C19" w14:textId="77777777" w:rsidR="00066D11" w:rsidRDefault="00066D11">
      <w:pPr>
        <w:spacing w:after="0" w:line="240" w:lineRule="auto"/>
        <w:jc w:val="both"/>
        <w:rPr>
          <w:rFonts w:ascii="Arial" w:eastAsia="Times New Roman" w:hAnsi="Arial" w:cs="Arial"/>
          <w:lang w:val="en-US" w:eastAsia="de-DE"/>
        </w:rPr>
      </w:pPr>
    </w:p>
    <w:p w14:paraId="02C418F2" w14:textId="77777777" w:rsidR="00066D11" w:rsidRDefault="00E55468">
      <w:pPr>
        <w:spacing w:after="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 xml:space="preserve">Given the broad distribution of scaling behaviors between individual genes, the question arises how this differential scaling is established. At least for some genes, including histones and the cell cycle inhibitor Whi5 in budding yeast, </w:t>
      </w:r>
      <w:proofErr w:type="spellStart"/>
      <w:r>
        <w:rPr>
          <w:rFonts w:ascii="Arial" w:eastAsia="Times New Roman" w:hAnsi="Arial" w:cs="Arial"/>
          <w:color w:val="000000"/>
          <w:lang w:val="en-US" w:eastAsia="de-DE"/>
        </w:rPr>
        <w:t>subscaling</w:t>
      </w:r>
      <w:proofErr w:type="spellEnd"/>
      <w:r>
        <w:rPr>
          <w:rFonts w:ascii="Arial" w:eastAsia="Times New Roman" w:hAnsi="Arial" w:cs="Arial"/>
          <w:color w:val="000000"/>
          <w:lang w:val="en-US" w:eastAsia="de-DE"/>
        </w:rPr>
        <w:t xml:space="preserve"> is esta</w:t>
      </w:r>
      <w:r>
        <w:rPr>
          <w:rFonts w:ascii="Arial" w:eastAsia="Times New Roman" w:hAnsi="Arial" w:cs="Arial"/>
          <w:color w:val="000000"/>
          <w:lang w:val="en-US" w:eastAsia="de-DE"/>
        </w:rPr>
        <w:t>blished at the transcript level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{"citationItems":[{"id":"ITEM-1","itemData":{"DOI":"10.1016/j.cub.2017.04.016","ISSN":"09609822","PMID":"28479325","abstract":"Proper cell size is essential for cellular function. Nonetheless, despite more </w:instrText>
      </w:r>
      <w:r>
        <w:rPr>
          <w:rFonts w:ascii="Arial" w:eastAsia="Times New Roman" w:hAnsi="Arial" w:cs="Arial"/>
          <w:color w:val="000000"/>
          <w:lang w:val="en-US" w:eastAsia="de-DE"/>
        </w:rPr>
        <w:instrText xml:space="preserve">than 100 years of work on the subject, the mechanisms that maintain cell-size homeostasis are largely mysterious [1]. Cells in growing populations maintain cell size within a narrow range by coordinating growth and division. Bacterial and eukaryotic cells </w:instrText>
      </w:r>
      <w:r>
        <w:rPr>
          <w:rFonts w:ascii="Arial" w:eastAsia="Times New Roman" w:hAnsi="Arial" w:cs="Arial"/>
          <w:color w:val="000000"/>
          <w:lang w:val="en-US" w:eastAsia="de-DE"/>
        </w:rPr>
        <w:instrText>both demonstrate homeostatic size control, which maintains population-level variation in cell size within a certain range and returns the population average to that range if it is perturbed [1, 2]. Recent work has proposed two different strategies for size</w:instrText>
      </w:r>
      <w:r>
        <w:rPr>
          <w:rFonts w:ascii="Arial" w:eastAsia="Times New Roman" w:hAnsi="Arial" w:cs="Arial"/>
          <w:color w:val="000000"/>
          <w:lang w:val="en-US" w:eastAsia="de-DE"/>
        </w:rPr>
        <w:instrText xml:space="preserve"> control: budding yeast has been proposed to use an inhibitor-dilution strategy to regulate size at the G1/S transition [3], whereas bacteria appear to use an adder strategy, in which a fixed amount of growth each generation causes cell size to converge on</w:instrText>
      </w:r>
      <w:r>
        <w:rPr>
          <w:rFonts w:ascii="Arial" w:eastAsia="Times New Roman" w:hAnsi="Arial" w:cs="Arial"/>
          <w:color w:val="000000"/>
          <w:lang w:val="en-US" w:eastAsia="de-DE"/>
        </w:rPr>
        <w:instrText xml:space="preserve"> a stable average [4–6]. Here we present evidence that cell size in the fission yeast Schizosaccharomyces pombe is regulated by a third strategy: the size-dependent expression of the mitotic activator Cdc25. cdc25 transcript levels are regulated such that </w:instrText>
      </w:r>
      <w:r>
        <w:rPr>
          <w:rFonts w:ascii="Arial" w:eastAsia="Times New Roman" w:hAnsi="Arial" w:cs="Arial"/>
          <w:color w:val="000000"/>
          <w:lang w:val="en-US" w:eastAsia="de-DE"/>
        </w:rPr>
        <w:instrText>smaller cells express less Cdc25 and larger cells express more Cdc25, creating an increasing concentration of Cdc25 as cells grow and providing a mechanism for cells to trigger cell division when they reach a threshold concentration of Cdc25. Because regul</w:instrText>
      </w:r>
      <w:r>
        <w:rPr>
          <w:rFonts w:ascii="Arial" w:eastAsia="Times New Roman" w:hAnsi="Arial" w:cs="Arial"/>
          <w:color w:val="000000"/>
          <w:lang w:val="en-US" w:eastAsia="de-DE"/>
        </w:rPr>
        <w:instrText>ation of mitotic entry by Cdc25 is well conserved, this mechanism may provide a widespread solution to the problem of size control in eukaryotes.","author":[{"dropping-particle":"","family":"Keifenheim","given":"Daniel","non-dropping-particle":"","parse-na</w:instrText>
      </w:r>
      <w:r>
        <w:rPr>
          <w:rFonts w:ascii="Arial" w:eastAsia="Times New Roman" w:hAnsi="Arial" w:cs="Arial"/>
          <w:color w:val="000000"/>
          <w:lang w:val="en-US" w:eastAsia="de-DE"/>
        </w:rPr>
        <w:instrText>mes":false,"suffix":""},{"dropping-particle":"","family":"Sun","given":"Xi Ming","non-dropping-particle":"","parse-names":false,"suffix":""},{"dropping-particle":"","family":"D'Souza","given":"Edridge","non-dropping-particle":"","parse-names":false,"suffix</w:instrText>
      </w:r>
      <w:r>
        <w:rPr>
          <w:rFonts w:ascii="Arial" w:eastAsia="Times New Roman" w:hAnsi="Arial" w:cs="Arial"/>
          <w:color w:val="000000"/>
          <w:lang w:val="en-US" w:eastAsia="de-DE"/>
        </w:rPr>
        <w:instrText>":""},{"dropping-particle":"","family":"Ohira","given":"Makoto J.","non-dropping-particle":"","parse-names":false,"suffix":""},{"dropping-particle":"","family":"Magner","given":"Mira","non-dropping-particle":"","parse-names":false,"suffix":""},{"dropping-p</w:instrText>
      </w:r>
      <w:r>
        <w:rPr>
          <w:rFonts w:ascii="Arial" w:eastAsia="Times New Roman" w:hAnsi="Arial" w:cs="Arial"/>
          <w:color w:val="000000"/>
          <w:lang w:val="en-US" w:eastAsia="de-DE"/>
        </w:rPr>
        <w:instrText>article":"","family":"Mayhew","given":"Michael B.","non-dropping-particle":"","parse-names":false,"suffix":""},{"dropping-particle":"","family":"Marguerat","given":"Samuel","non-dropping-particle":"","parse-names":false,"suffix":""},{"dropping-particle":""</w:instrText>
      </w:r>
      <w:r>
        <w:rPr>
          <w:rFonts w:ascii="Arial" w:eastAsia="Times New Roman" w:hAnsi="Arial" w:cs="Arial"/>
          <w:color w:val="000000"/>
          <w:lang w:val="en-US" w:eastAsia="de-DE"/>
        </w:rPr>
        <w:instrText xml:space="preserve">,"family":"Rhind","given":"Nicholas","non-dropping-particle":"","parse-names":false,"suffix":""}],"container-title":"Current Biology","id":"ITEM-1","issue":"10","issued":{"date-parts":[["2017"]]},"page":"1491-1497.e4","title":"Size-Dependent Expression of </w:instrText>
      </w:r>
      <w:r>
        <w:rPr>
          <w:rFonts w:ascii="Arial" w:eastAsia="Times New Roman" w:hAnsi="Arial" w:cs="Arial"/>
          <w:color w:val="000000"/>
          <w:lang w:val="en-US" w:eastAsia="de-DE"/>
        </w:rPr>
        <w:instrText>the Mitotic Activator Cdc25 Suggests a Mechanism of Size Control in Fission Yeast","type":"article-journal","volume":"27"},"uris":["http://www.mendeley.com/documents/?uuid=b54a884d-4894-3c71-ab98-f84739652d77"]},{"id":"ITEM-2","itemData":{"DOI":"10.1038/s4</w:instrText>
      </w:r>
      <w:r>
        <w:rPr>
          <w:rFonts w:ascii="Arial" w:eastAsia="Times New Roman" w:hAnsi="Arial" w:cs="Arial"/>
          <w:color w:val="000000"/>
          <w:lang w:val="en-US" w:eastAsia="de-DE"/>
        </w:rPr>
        <w:instrText>1467-021-24451-8","ISSN":"2041-1723","abstract":"&lt;p&gt;Biochemical reactions typically depend on the concentrations of the molecules involved, and cell survival therefore critically depends on the concentration of proteins. To maintain constant protein concen</w:instrText>
      </w:r>
      <w:r>
        <w:rPr>
          <w:rFonts w:ascii="Arial" w:eastAsia="Times New Roman" w:hAnsi="Arial" w:cs="Arial"/>
          <w:color w:val="000000"/>
          <w:lang w:val="en-US" w:eastAsia="de-DE"/>
        </w:rPr>
        <w:instrText xml:space="preserve">trations during cell growth, global mRNA and protein synthesis rates are tightly linked to cell volume. While such regulation is appropriate for most proteins, certain cellular structures do not scale with cell volume. The most striking example of this is </w:instrText>
      </w:r>
      <w:r>
        <w:rPr>
          <w:rFonts w:ascii="Arial" w:eastAsia="Times New Roman" w:hAnsi="Arial" w:cs="Arial"/>
          <w:color w:val="000000"/>
          <w:lang w:val="en-US" w:eastAsia="de-DE"/>
        </w:rPr>
        <w:instrText>the genomic DNA, which doubles during the cell cycle and increases with ploidy, but is independent of cell volume. Here, we show that the amount of histone proteins is coupled to the DNA content, even though mRNA and protein synthesis globally increase wit</w:instrText>
      </w:r>
      <w:r>
        <w:rPr>
          <w:rFonts w:ascii="Arial" w:eastAsia="Times New Roman" w:hAnsi="Arial" w:cs="Arial"/>
          <w:color w:val="000000"/>
          <w:lang w:val="en-US" w:eastAsia="de-DE"/>
        </w:rPr>
        <w:instrText>h cell volume. As a consequence, and in contrast to the global trend, histone concentrations decrease with cell volume but increase with ploidy. We find that this distinct coordination of histone homeostasis and genome content is already achieved at the tr</w:instrText>
      </w:r>
      <w:r>
        <w:rPr>
          <w:rFonts w:ascii="Arial" w:eastAsia="Times New Roman" w:hAnsi="Arial" w:cs="Arial"/>
          <w:color w:val="000000"/>
          <w:lang w:val="en-US" w:eastAsia="de-DE"/>
        </w:rPr>
        <w:instrText>anscript level, and is an intrinsic property of histone promoters that does not require direct feedback mechanisms. Mathematical modeling and histone promoter truncations reveal a simple and generalizable mechanism to control the cell volume- and ploidy-de</w:instrText>
      </w:r>
      <w:r>
        <w:rPr>
          <w:rFonts w:ascii="Arial" w:eastAsia="Times New Roman" w:hAnsi="Arial" w:cs="Arial"/>
          <w:color w:val="000000"/>
          <w:lang w:val="en-US" w:eastAsia="de-DE"/>
        </w:rPr>
        <w:instrText>pendence of a given gene through the balance of the initiation and elongation rates.&lt;/p&gt;","author":[{"dropping-particle":"","family":"Claude","given":"Kora-Lee","non-dropping-particle":"","parse-names":false,"suffix":""},{"dropping-particle":"","family":"B</w:instrText>
      </w:r>
      <w:r>
        <w:rPr>
          <w:rFonts w:ascii="Arial" w:eastAsia="Times New Roman" w:hAnsi="Arial" w:cs="Arial"/>
          <w:color w:val="000000"/>
          <w:lang w:val="en-US" w:eastAsia="de-DE"/>
        </w:rPr>
        <w:instrText>ureik","given":"Daniela","non-dropping-particle":"","parse-names":false,"suffix":""},{"dropping-particle":"","family":"Chatzitheodoridou","given":"Dimitra","non-dropping-particle":"","parse-names":false,"suffix":""},{"dropping-particle":"","family":"Adarsk</w:instrText>
      </w:r>
      <w:r>
        <w:rPr>
          <w:rFonts w:ascii="Arial" w:eastAsia="Times New Roman" w:hAnsi="Arial" w:cs="Arial"/>
          <w:color w:val="000000"/>
          <w:lang w:val="en-US" w:eastAsia="de-DE"/>
        </w:rPr>
        <w:instrText>a","given":"Petia","non-dropping-particle":"","parse-names":false,"suffix":""},{"dropping-particle":"","family":"Singh","given":"Abhyudai","non-dropping-particle":"","parse-names":false,"suffix":""},{"dropping-particle":"","family":"Schmoller","given":"Kur</w:instrText>
      </w:r>
      <w:r>
        <w:rPr>
          <w:rFonts w:ascii="Arial" w:eastAsia="Times New Roman" w:hAnsi="Arial" w:cs="Arial"/>
          <w:color w:val="000000"/>
          <w:lang w:val="en-US" w:eastAsia="de-DE"/>
        </w:rPr>
        <w:instrText>t M.","non-dropping-particle":"","parse-names":false,"suffix":""}],"container-title":"Nature Communications","id":"ITEM-2","issue":"1","issued":{"date-parts":[["2021","12"]]},"page":"4202","publisher":"Nature Publishing Group","title":"Transcription coordi</w:instrText>
      </w:r>
      <w:r>
        <w:rPr>
          <w:rFonts w:ascii="Arial" w:eastAsia="Times New Roman" w:hAnsi="Arial" w:cs="Arial"/>
          <w:color w:val="000000"/>
          <w:lang w:val="en-US" w:eastAsia="de-DE"/>
        </w:rPr>
        <w:instrText>nates histone amounts and genome content","type":"article-journal","volume":"12"},"uris":["http://www.mendeley.com/documents/?uuid=3f2c0002-b409-423c-8d2f-a1018d6b43c8"]},{"id":"ITEM-3","itemData":{"author":[{"dropping-particle":"","family":"Swaffer","give</w:instrText>
      </w:r>
      <w:r>
        <w:rPr>
          <w:rFonts w:ascii="Arial" w:eastAsia="Times New Roman" w:hAnsi="Arial" w:cs="Arial"/>
          <w:color w:val="000000"/>
          <w:lang w:val="en-US" w:eastAsia="de-DE"/>
        </w:rPr>
        <w:instrText>n":"Matthew P","non-dropping-particle":"","parse-names":false,"suffix":""},{"dropping-particle":"","family":"Kim","given":"Jacob","non-dropping-particle":"","parse-names":false,"suffix":""},{"dropping-particle":"","family":"Chandler-Brown","given":"Devon",</w:instrText>
      </w:r>
      <w:r>
        <w:rPr>
          <w:rFonts w:ascii="Arial" w:eastAsia="Times New Roman" w:hAnsi="Arial" w:cs="Arial"/>
          <w:color w:val="000000"/>
          <w:lang w:val="en-US" w:eastAsia="de-DE"/>
        </w:rPr>
        <w:instrText>"non-dropping-particle":"","parse-names":false,"suffix":""},{"dropping-particle":"","family":"Langhinrichs","given":"Maurice","non-dropping-particle":"","parse-names":false,"suffix":""},{"dropping-particle":"","family":"Marinov","given":"Georgi","non-dropp</w:instrText>
      </w:r>
      <w:r>
        <w:rPr>
          <w:rFonts w:ascii="Arial" w:eastAsia="Times New Roman" w:hAnsi="Arial" w:cs="Arial"/>
          <w:color w:val="000000"/>
          <w:lang w:val="en-US" w:eastAsia="de-DE"/>
        </w:rPr>
        <w:instrText>ing-particle":"","parse-names":false,"suffix":""},{"dropping-particle":"","family":"Greenleaf","given":"William J","non-dropping-particle":"","parse-names":false,"suffix":""},{"dropping-particle":"","family":"Kundaje","given":"Anshul","non-dropping-particl</w:instrText>
      </w:r>
      <w:r>
        <w:rPr>
          <w:rFonts w:ascii="Arial" w:eastAsia="Times New Roman" w:hAnsi="Arial" w:cs="Arial"/>
          <w:color w:val="000000"/>
          <w:lang w:val="en-US" w:eastAsia="de-DE"/>
        </w:rPr>
        <w:instrText>e":"","parse-names":false,"suffix":""},{"dropping-particle":"","family":"Schmoller","given":"Kurt M","non-dropping-particle":"","parse-names":false,"suffix":""},{"dropping-particle":"","family":"Skotheim","given":"Jan M","non-dropping-particle":"","parse-n</w:instrText>
      </w:r>
      <w:r>
        <w:rPr>
          <w:rFonts w:ascii="Arial" w:eastAsia="Times New Roman" w:hAnsi="Arial" w:cs="Arial"/>
          <w:color w:val="000000"/>
          <w:lang w:val="en-US" w:eastAsia="de-DE"/>
        </w:rPr>
        <w:instrText>ames":false,"suffix":""}],"container-title":"Molecular cell","id":"ITEM-3","issued":{"date-parts":[["2021"]]},"page":"4861-4875","title":"Transcriptional and chromatin-based partitioning mechanisms uncouple protein scaling from cell size","type":"article-j</w:instrText>
      </w:r>
      <w:r>
        <w:rPr>
          <w:rFonts w:ascii="Arial" w:eastAsia="Times New Roman" w:hAnsi="Arial" w:cs="Arial"/>
          <w:color w:val="000000"/>
          <w:lang w:val="en-US" w:eastAsia="de-DE"/>
        </w:rPr>
        <w:instrText>ournal","volume":"81"},"uris":["http://www.mendeley.com/documents/?uuid=1fdceeb1-8ea8-46cd-97f8-5f08dbc8e2bf"]}],"mendeley":{"formattedCitation":"&lt;sup&gt;4,49,59&lt;/sup&gt;","plainTextFormattedCitation":"4,49,59","previouslyFormattedCitation":"&lt;sup&gt;4,49,59&lt;/sup&gt;"}</w:instrText>
      </w:r>
      <w:r>
        <w:rPr>
          <w:rFonts w:ascii="Arial" w:eastAsia="Times New Roman" w:hAnsi="Arial" w:cs="Arial"/>
          <w:color w:val="000000"/>
          <w:lang w:val="en-US" w:eastAsia="de-DE"/>
        </w:rPr>
        <w:instrTex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4,49,59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and the promoter alone can mediate this behavior</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w:instrText>
      </w:r>
      <w:r>
        <w:rPr>
          <w:rFonts w:ascii="Arial" w:eastAsia="Times New Roman" w:hAnsi="Arial" w:cs="Arial"/>
          <w:color w:val="000000"/>
          <w:lang w:val="en-US" w:eastAsia="de-DE"/>
        </w:rPr>
        <w:instrText>38/s41467-021-24451-8","ISSN":"2041-1723","abstract":"&lt;p&gt;Biochemical reactions typically depend on the concentrations of the molecules involved, and cell survival therefore critically depends on the concentration of proteins. To maintain constant protein c</w:instrText>
      </w:r>
      <w:r>
        <w:rPr>
          <w:rFonts w:ascii="Arial" w:eastAsia="Times New Roman" w:hAnsi="Arial" w:cs="Arial"/>
          <w:color w:val="000000"/>
          <w:lang w:val="en-US" w:eastAsia="de-DE"/>
        </w:rPr>
        <w:instrText>oncentrations during cell growth, global mRNA and protein synthesis rates are tightly linked to cell volume. While such regulation is appropriate for most proteins, certain cellular structures do not scale with cell volume. The most striking example of thi</w:instrText>
      </w:r>
      <w:r>
        <w:rPr>
          <w:rFonts w:ascii="Arial" w:eastAsia="Times New Roman" w:hAnsi="Arial" w:cs="Arial"/>
          <w:color w:val="000000"/>
          <w:lang w:val="en-US" w:eastAsia="de-DE"/>
        </w:rPr>
        <w:instrText>s is the genomic DNA, which doubles during the cell cycle and increases with ploidy, but is independent of cell volume. Here, we show that the amount of histone proteins is coupled to the DNA content, even though mRNA and protein synthesis globally increas</w:instrText>
      </w:r>
      <w:r>
        <w:rPr>
          <w:rFonts w:ascii="Arial" w:eastAsia="Times New Roman" w:hAnsi="Arial" w:cs="Arial"/>
          <w:color w:val="000000"/>
          <w:lang w:val="en-US" w:eastAsia="de-DE"/>
        </w:rPr>
        <w:instrText>e with cell volume. As a consequence, and in contrast to the global trend, histone concentrations decrease with cell volume but increase with ploidy. We find that this distinct coordination of histone homeostasis and genome content is already achieved at t</w:instrText>
      </w:r>
      <w:r>
        <w:rPr>
          <w:rFonts w:ascii="Arial" w:eastAsia="Times New Roman" w:hAnsi="Arial" w:cs="Arial"/>
          <w:color w:val="000000"/>
          <w:lang w:val="en-US" w:eastAsia="de-DE"/>
        </w:rPr>
        <w:instrText>he transcript level, and is an intrinsic property of histone promoters that does not require direct feedback mechanisms. Mathematical modeling and histone promoter truncations reveal a simple and generalizable mechanism to control the cell volume- and ploi</w:instrText>
      </w:r>
      <w:r>
        <w:rPr>
          <w:rFonts w:ascii="Arial" w:eastAsia="Times New Roman" w:hAnsi="Arial" w:cs="Arial"/>
          <w:color w:val="000000"/>
          <w:lang w:val="en-US" w:eastAsia="de-DE"/>
        </w:rPr>
        <w:instrText>dy-dependence of a given gene through the balance of the initiation and elongation rates.&lt;/p&gt;","author":[{"dropping-particle":"","family":"Claude","given":"Kora-Lee","non-dropping-particle":"","parse-names":false,"suffix":""},{"dropping-particle":"","famil</w:instrText>
      </w:r>
      <w:r>
        <w:rPr>
          <w:rFonts w:ascii="Arial" w:eastAsia="Times New Roman" w:hAnsi="Arial" w:cs="Arial"/>
          <w:color w:val="000000"/>
          <w:lang w:val="en-US" w:eastAsia="de-DE"/>
        </w:rPr>
        <w:instrText>y":"Bureik","given":"Daniela","non-dropping-particle":"","parse-names":false,"suffix":""},{"dropping-particle":"","family":"Chatzitheodoridou","given":"Dimitra","non-dropping-particle":"","parse-names":false,"suffix":""},{"dropping-particle":"","family":"A</w:instrText>
      </w:r>
      <w:r>
        <w:rPr>
          <w:rFonts w:ascii="Arial" w:eastAsia="Times New Roman" w:hAnsi="Arial" w:cs="Arial"/>
          <w:color w:val="000000"/>
          <w:lang w:val="en-US" w:eastAsia="de-DE"/>
        </w:rPr>
        <w:instrText>darska","given":"Petia","non-dropping-particle":"","parse-names":false,"suffix":""},{"dropping-particle":"","family":"Singh","given":"Abhyudai","non-dropping-particle":"","parse-names":false,"suffix":""},{"dropping-particle":"","family":"Schmoller","given"</w:instrText>
      </w:r>
      <w:r>
        <w:rPr>
          <w:rFonts w:ascii="Arial" w:eastAsia="Times New Roman" w:hAnsi="Arial" w:cs="Arial"/>
          <w:color w:val="000000"/>
          <w:lang w:val="en-US" w:eastAsia="de-DE"/>
        </w:rPr>
        <w:instrText>:"Kurt M.","non-dropping-particle":"","parse-names":false,"suffix":""}],"container-title":"Nature Communications","id":"ITEM-1","issue":"1","issued":{"date-parts":[["2021","12"]]},"page":"4202","publisher":"Nature Publishing Group","title":"Transcription c</w:instrText>
      </w:r>
      <w:r>
        <w:rPr>
          <w:rFonts w:ascii="Arial" w:eastAsia="Times New Roman" w:hAnsi="Arial" w:cs="Arial"/>
          <w:color w:val="000000"/>
          <w:lang w:val="en-US" w:eastAsia="de-DE"/>
        </w:rPr>
        <w:instrText>oordinates histone amounts and genome content","type":"article-journal","volume":"12"},"uris":["http://www.mendeley.com/documents/?uuid=3f2c0002-b409-423c-8d2f-a1018d6b43c8"]},{"id":"ITEM-2","itemData":{"author":[{"dropping-particle":"","family":"Swaffer",</w:instrText>
      </w:r>
      <w:r>
        <w:rPr>
          <w:rFonts w:ascii="Arial" w:eastAsia="Times New Roman" w:hAnsi="Arial" w:cs="Arial"/>
          <w:color w:val="000000"/>
          <w:lang w:val="en-US" w:eastAsia="de-DE"/>
        </w:rPr>
        <w:instrText>"given":"Matthew P","non-dropping-particle":"","parse-names":false,"suffix":""},{"dropping-particle":"","family":"Kim","given":"Jacob","non-dropping-particle":"","parse-names":false,"suffix":""},{"dropping-particle":"","family":"Chandler-Brown","given":"De</w:instrText>
      </w:r>
      <w:r>
        <w:rPr>
          <w:rFonts w:ascii="Arial" w:eastAsia="Times New Roman" w:hAnsi="Arial" w:cs="Arial"/>
          <w:color w:val="000000"/>
          <w:lang w:val="en-US" w:eastAsia="de-DE"/>
        </w:rPr>
        <w:instrText>von","non-dropping-particle":"","parse-names":false,"suffix":""},{"dropping-particle":"","family":"Langhinrichs","given":"Maurice","non-dropping-particle":"","parse-names":false,"suffix":""},{"dropping-particle":"","family":"Marinov","given":"Georgi","non-</w:instrText>
      </w:r>
      <w:r>
        <w:rPr>
          <w:rFonts w:ascii="Arial" w:eastAsia="Times New Roman" w:hAnsi="Arial" w:cs="Arial"/>
          <w:color w:val="000000"/>
          <w:lang w:val="en-US" w:eastAsia="de-DE"/>
        </w:rPr>
        <w:instrText>dropping-particle":"","parse-names":false,"suffix":""},{"dropping-particle":"","family":"Greenleaf","given":"William J","non-dropping-particle":"","parse-names":false,"suffix":""},{"dropping-particle":"","family":"Kundaje","given":"Anshul","non-dropping-pa</w:instrText>
      </w:r>
      <w:r>
        <w:rPr>
          <w:rFonts w:ascii="Arial" w:eastAsia="Times New Roman" w:hAnsi="Arial" w:cs="Arial"/>
          <w:color w:val="000000"/>
          <w:lang w:val="en-US" w:eastAsia="de-DE"/>
        </w:rPr>
        <w:instrText>rticle":"","parse-names":false,"suffix":""},{"dropping-particle":"","family":"Schmoller","given":"Kurt M","non-dropping-particle":"","parse-names":false,"suffix":""},{"dropping-particle":"","family":"Skotheim","given":"Jan M","non-dropping-particle":"","pa</w:instrText>
      </w:r>
      <w:r>
        <w:rPr>
          <w:rFonts w:ascii="Arial" w:eastAsia="Times New Roman" w:hAnsi="Arial" w:cs="Arial"/>
          <w:color w:val="000000"/>
          <w:lang w:val="en-US" w:eastAsia="de-DE"/>
        </w:rPr>
        <w:instrText>rse-names":false,"suffix":""}],"container-title":"Molecular cell","id":"ITEM-2","issued":{"date-parts":[["2021"]]},"page":"4861-4875","title":"Transcriptional and chromatin-based partitioning mechanisms uncouple protein scaling from cell size","type":"arti</w:instrText>
      </w:r>
      <w:r>
        <w:rPr>
          <w:rFonts w:ascii="Arial" w:eastAsia="Times New Roman" w:hAnsi="Arial" w:cs="Arial"/>
          <w:color w:val="000000"/>
          <w:lang w:val="en-US" w:eastAsia="de-DE"/>
        </w:rPr>
        <w:instrText>cle-journal","volume":"81"},"uris":["http://www.mendeley.com/documents/?uuid=1fdceeb1-8ea8-46cd-97f8-5f08dbc8e2bf"]}],"mendeley":{"formattedCitation":"&lt;sup&gt;4,49&lt;/sup&gt;","plainTextFormattedCitation":"4,49","previouslyFormattedCitation":"&lt;sup&gt;4,49&lt;/sup&gt;"},"pr</w:instrText>
      </w:r>
      <w:r>
        <w:rPr>
          <w:rFonts w:ascii="Arial" w:eastAsia="Times New Roman" w:hAnsi="Arial" w:cs="Arial"/>
          <w:color w:val="000000"/>
          <w:lang w:val="en-US" w:eastAsia="de-DE"/>
        </w:rPr>
        <w:instrText>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4,49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One potential mechanism for such </w:t>
      </w:r>
      <w:proofErr w:type="spellStart"/>
      <w:r>
        <w:rPr>
          <w:rFonts w:ascii="Arial" w:eastAsia="Times New Roman" w:hAnsi="Arial" w:cs="Arial"/>
          <w:color w:val="000000"/>
          <w:lang w:val="en-US" w:eastAsia="de-DE"/>
        </w:rPr>
        <w:t>subscaling</w:t>
      </w:r>
      <w:proofErr w:type="spellEnd"/>
      <w:r>
        <w:rPr>
          <w:rFonts w:ascii="Arial" w:eastAsia="Times New Roman" w:hAnsi="Arial" w:cs="Arial"/>
          <w:color w:val="000000"/>
          <w:lang w:val="en-US" w:eastAsia="de-DE"/>
        </w:rPr>
        <w:t xml:space="preserve"> is that for those specific genes, the DNA template rather than Pol II is limiting for t</w:t>
      </w:r>
      <w:r>
        <w:rPr>
          <w:rFonts w:ascii="Arial" w:eastAsia="Times New Roman" w:hAnsi="Arial" w:cs="Arial"/>
          <w:color w:val="000000"/>
          <w:lang w:val="en-US" w:eastAsia="de-DE"/>
        </w:rPr>
        <w:t>ranscription already in the physiological cell size range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{"citationItems":[{"id":"ITEM-1","itemData":{"DOI":"10.1371/journal.pcbi.1006548","ISSN":"15537358","PMID":"30356259","abstract":"The size of a cell sets the scale for all biochemi</w:instrText>
      </w:r>
      <w:r>
        <w:rPr>
          <w:rFonts w:ascii="Arial" w:eastAsia="Times New Roman" w:hAnsi="Arial" w:cs="Arial"/>
          <w:color w:val="000000"/>
          <w:lang w:val="en-US" w:eastAsia="de-DE"/>
        </w:rPr>
        <w:instrText xml:space="preserve">cal processes within it, thereby affecting cellular fitness and survival. Hence, cell size needs to be kept within certain limits and relatively constant over multiple generations. However, how cells measure their size and use this information to regulate </w:instrText>
      </w:r>
      <w:r>
        <w:rPr>
          <w:rFonts w:ascii="Arial" w:eastAsia="Times New Roman" w:hAnsi="Arial" w:cs="Arial"/>
          <w:color w:val="000000"/>
          <w:lang w:val="en-US" w:eastAsia="de-DE"/>
        </w:rPr>
        <w:instrText>growth and division remains controversial. Here, we present two mechanistic mathematical models of the budding yeast (S. cerevisiae) cell cycle to investigate competing hypotheses on size control: inhibitor dilution and titration of nuclear sites. Our resu</w:instrText>
      </w:r>
      <w:r>
        <w:rPr>
          <w:rFonts w:ascii="Arial" w:eastAsia="Times New Roman" w:hAnsi="Arial" w:cs="Arial"/>
          <w:color w:val="000000"/>
          <w:lang w:val="en-US" w:eastAsia="de-DE"/>
        </w:rPr>
        <w:instrText>lts suggest that an inhibitor-dilution mechanism, in which cell growth dilutes the transcriptional inhibitor Whi5 against the constant activator Cln3, can facilitate size homeostasis. This is achieved by utilising a positive feedback loop to establish a fi</w:instrText>
      </w:r>
      <w:r>
        <w:rPr>
          <w:rFonts w:ascii="Arial" w:eastAsia="Times New Roman" w:hAnsi="Arial" w:cs="Arial"/>
          <w:color w:val="000000"/>
          <w:lang w:val="en-US" w:eastAsia="de-DE"/>
        </w:rPr>
        <w:instrText>xed size threshold for the Start transition, which efficiently couples cell growth to cell cycle progression. Yet, we show that inhibitor dilution cannot reproduce the size of mutants that alter the cell’s overall ploidy and WHI5 gene copy number. By contr</w:instrText>
      </w:r>
      <w:r>
        <w:rPr>
          <w:rFonts w:ascii="Arial" w:eastAsia="Times New Roman" w:hAnsi="Arial" w:cs="Arial"/>
          <w:color w:val="000000"/>
          <w:lang w:val="en-US" w:eastAsia="de-DE"/>
        </w:rPr>
        <w:instrText>ast, size control through titration of Cln3 against a constant number of genomic binding sites for the transcription factor SBF recapitulates both size homeostasis and the size of these mutant strains. Moreover, this model produces an imperfect ‘sizer’ beh</w:instrText>
      </w:r>
      <w:r>
        <w:rPr>
          <w:rFonts w:ascii="Arial" w:eastAsia="Times New Roman" w:hAnsi="Arial" w:cs="Arial"/>
          <w:color w:val="000000"/>
          <w:lang w:val="en-US" w:eastAsia="de-DE"/>
        </w:rPr>
        <w:instrText xml:space="preserve">aviour in G1 and a ‘timer’ in S/G2/M, which combine to yield an ‘adder’ over the whole cell cycle; an observation recently made in experiments. Hence, our model connects these phenomenological data with the molecular details of the cell cycle, providing a </w:instrText>
      </w:r>
      <w:r>
        <w:rPr>
          <w:rFonts w:ascii="Arial" w:eastAsia="Times New Roman" w:hAnsi="Arial" w:cs="Arial"/>
          <w:color w:val="000000"/>
          <w:lang w:val="en-US" w:eastAsia="de-DE"/>
        </w:rPr>
        <w:instrText>systems-level perspective of budding yeast size control.","author":[{"dropping-particle":"","family":"Heldt","given":"Frank Stefan","non-dropping-particle":"","parse-names":false,"suffix":""},{"dropping-particle":"","family":"Lunstone","given":"Reece","non</w:instrText>
      </w:r>
      <w:r>
        <w:rPr>
          <w:rFonts w:ascii="Arial" w:eastAsia="Times New Roman" w:hAnsi="Arial" w:cs="Arial"/>
          <w:color w:val="000000"/>
          <w:lang w:val="en-US" w:eastAsia="de-DE"/>
        </w:rPr>
        <w:instrText>-dropping-particle":"","parse-names":false,"suffix":""},{"dropping-particle":"","family":"Tyson","given":"John J","non-dropping-particle":"","parse-names":false,"suffix":""},{"dropping-particle":"","family":"Novák","given":"Béla","non-dropping-particle":""</w:instrText>
      </w:r>
      <w:r>
        <w:rPr>
          <w:rFonts w:ascii="Arial" w:eastAsia="Times New Roman" w:hAnsi="Arial" w:cs="Arial"/>
          <w:color w:val="000000"/>
          <w:lang w:val="en-US" w:eastAsia="de-DE"/>
        </w:rPr>
        <w:instrText>,"parse-names":false,"suffix":""}],"container-title":"PLoS Computational Biology","id":"ITEM-1","issue":"10","issued":{"date-parts":[["2018","4","12"]]},"page":"300160","publisher":"Cold Spring Harbor Laboratory","title":"Dilution and titration of cell-cyc</w:instrText>
      </w:r>
      <w:r>
        <w:rPr>
          <w:rFonts w:ascii="Arial" w:eastAsia="Times New Roman" w:hAnsi="Arial" w:cs="Arial"/>
          <w:color w:val="000000"/>
          <w:lang w:val="en-US" w:eastAsia="de-DE"/>
        </w:rPr>
        <w:instrText>le regulators may control cell size in budding yeast","type":"article-journal","volume":"14"},"uris":["http://www.mendeley.com/documents/?uuid=e37c5f6b-68a8-34e5-8b9a-918e0df0c573"]},{"id":"ITEM-2","itemData":{"DOI":"10.1038/s41467-018-06714-z","ISSN":"204</w:instrText>
      </w:r>
      <w:r>
        <w:rPr>
          <w:rFonts w:ascii="Arial" w:eastAsia="Times New Roman" w:hAnsi="Arial" w:cs="Arial"/>
          <w:color w:val="000000"/>
          <w:lang w:val="en-US" w:eastAsia="de-DE"/>
        </w:rPr>
        <w:instrText>1-1723","PMID":"30374016","abstract":"Many experiments show that the numbers of mRNA and protein are proportional to the cell volume in growing cells. However, models of stochastic gene expression often assume constant transcription rate per gene and const</w:instrText>
      </w:r>
      <w:r>
        <w:rPr>
          <w:rFonts w:ascii="Arial" w:eastAsia="Times New Roman" w:hAnsi="Arial" w:cs="Arial"/>
          <w:color w:val="000000"/>
          <w:lang w:val="en-US" w:eastAsia="de-DE"/>
        </w:rPr>
        <w:instrText xml:space="preserve">ant translation rate per mRNA, which are incompatible with these experiments. Here, we construct a minimal gene expression model to fill this gap. Assuming ribosomes and RNA polymerases are limiting in gene expression, we show that the numbers of proteins </w:instrText>
      </w:r>
      <w:r>
        <w:rPr>
          <w:rFonts w:ascii="Arial" w:eastAsia="Times New Roman" w:hAnsi="Arial" w:cs="Arial"/>
          <w:color w:val="000000"/>
          <w:lang w:val="en-US" w:eastAsia="de-DE"/>
        </w:rPr>
        <w:instrText>and mRNAs both grow exponentially during the cell cycle and that the concentrations of all mRNAs and proteins achieve cellular homeostasis; the competition between genes for the RNA polymerases makes the transcription rate independent of the genome number.</w:instrText>
      </w:r>
      <w:r>
        <w:rPr>
          <w:rFonts w:ascii="Arial" w:eastAsia="Times New Roman" w:hAnsi="Arial" w:cs="Arial"/>
          <w:color w:val="000000"/>
          <w:lang w:val="en-US" w:eastAsia="de-DE"/>
        </w:rPr>
        <w:instrText xml:space="preserve"> Furthermore, by extending the model to situations in which DNA (mRNA) can be saturated by RNA polymerases (ribosomes) and becomes limiting, we predict a transition from exponential to linear growth of cell volume as the protein-to-DNA ratio increases. For</w:instrText>
      </w:r>
      <w:r>
        <w:rPr>
          <w:rFonts w:ascii="Arial" w:eastAsia="Times New Roman" w:hAnsi="Arial" w:cs="Arial"/>
          <w:color w:val="000000"/>
          <w:lang w:val="en-US" w:eastAsia="de-DE"/>
        </w:rPr>
        <w:instrText xml:space="preserve"> various organisms, mRNA and protein copy numbers scale with cell volume. Here, the authors show that this result emerges naturally when ribosomes and RNAPs limit expression. Furthermore, the authors show that within their model this result breaks down for</w:instrText>
      </w:r>
      <w:r>
        <w:rPr>
          <w:rFonts w:ascii="Arial" w:eastAsia="Times New Roman" w:hAnsi="Arial" w:cs="Arial"/>
          <w:color w:val="000000"/>
          <w:lang w:val="en-US" w:eastAsia="de-DE"/>
        </w:rPr>
        <w:instrText xml:space="preserve"> a sufficiently high volume/DNA ratio.","author":[{"dropping-particle":"","family":"Lin","given":"Jie","non-dropping-particle":"","parse-names":false,"suffix":""},{"dropping-particle":"","family":"Amir","given":"Ariel","non-dropping-particle":"","parse-nam</w:instrText>
      </w:r>
      <w:r>
        <w:rPr>
          <w:rFonts w:ascii="Arial" w:eastAsia="Times New Roman" w:hAnsi="Arial" w:cs="Arial"/>
          <w:color w:val="000000"/>
          <w:lang w:val="en-US" w:eastAsia="de-DE"/>
        </w:rPr>
        <w:instrText>es":false,"suffix":""}],"container-title":"Nature Communications 2018 9:1","id":"ITEM-2","issue":"1","issued":{"date-parts":[["2018","10","29"]]},"page":"1-11","publisher":"Nature Publishing Group","title":"Homeostasis of protein and mRNA concentrations in</w:instrText>
      </w:r>
      <w:r>
        <w:rPr>
          <w:rFonts w:ascii="Arial" w:eastAsia="Times New Roman" w:hAnsi="Arial" w:cs="Arial"/>
          <w:color w:val="000000"/>
          <w:lang w:val="en-US" w:eastAsia="de-DE"/>
        </w:rPr>
        <w:instrText xml:space="preserve"> growing cells","type":"article-journal","volume":"9"},"uris":["http://www.mendeley.com/documents/?uuid=451e6831-657d-3fac-977a-4c30fdff0d5d"]},{"id":"ITEM-3","itemData":{"DOI":"10.1038/s41467-021-24451-8","ISSN":"2041-1723","abstract":"&lt;p&gt;Biochemical reac</w:instrText>
      </w:r>
      <w:r>
        <w:rPr>
          <w:rFonts w:ascii="Arial" w:eastAsia="Times New Roman" w:hAnsi="Arial" w:cs="Arial"/>
          <w:color w:val="000000"/>
          <w:lang w:val="en-US" w:eastAsia="de-DE"/>
        </w:rPr>
        <w:instrText>tions typically depend on the concentrations of the molecules involved, and cell survival therefore critically depends on the concentration of proteins. To maintain constant protein concentrations during cell growth, global mRNA and protein synthesis rates</w:instrText>
      </w:r>
      <w:r>
        <w:rPr>
          <w:rFonts w:ascii="Arial" w:eastAsia="Times New Roman" w:hAnsi="Arial" w:cs="Arial"/>
          <w:color w:val="000000"/>
          <w:lang w:val="en-US" w:eastAsia="de-DE"/>
        </w:rPr>
        <w:instrText xml:space="preserve"> are tightly linked to cell volume. While such regulation is appropriate for most proteins, certain cellular structures do not scale with cell volume. The most striking example of this is the genomic DNA, which doubles during the cell cycle and increases w</w:instrText>
      </w:r>
      <w:r>
        <w:rPr>
          <w:rFonts w:ascii="Arial" w:eastAsia="Times New Roman" w:hAnsi="Arial" w:cs="Arial"/>
          <w:color w:val="000000"/>
          <w:lang w:val="en-US" w:eastAsia="de-DE"/>
        </w:rPr>
        <w:instrText>ith ploidy, but is independent of cell volume. Here, we show that the amount of histone proteins is coupled to the DNA content, even though mRNA and protein synthesis globally increase with cell volume. As a consequence, and in contrast to the global trend</w:instrText>
      </w:r>
      <w:r>
        <w:rPr>
          <w:rFonts w:ascii="Arial" w:eastAsia="Times New Roman" w:hAnsi="Arial" w:cs="Arial"/>
          <w:color w:val="000000"/>
          <w:lang w:val="en-US" w:eastAsia="de-DE"/>
        </w:rPr>
        <w:instrText>, histone concentrations decrease with cell volume but increase with ploidy. We find that this distinct coordination of histone homeostasis and genome content is already achieved at the transcript level, and is an intrinsic property of histone promoters th</w:instrText>
      </w:r>
      <w:r>
        <w:rPr>
          <w:rFonts w:ascii="Arial" w:eastAsia="Times New Roman" w:hAnsi="Arial" w:cs="Arial"/>
          <w:color w:val="000000"/>
          <w:lang w:val="en-US" w:eastAsia="de-DE"/>
        </w:rPr>
        <w:instrText>at does not require direct feedback mechanisms. Mathematical modeling and histone promoter truncations reveal a simple and generalizable mechanism to control the cell volume- and ploidy-dependence of a given gene through the balance of the initiation and e</w:instrText>
      </w:r>
      <w:r>
        <w:rPr>
          <w:rFonts w:ascii="Arial" w:eastAsia="Times New Roman" w:hAnsi="Arial" w:cs="Arial"/>
          <w:color w:val="000000"/>
          <w:lang w:val="en-US" w:eastAsia="de-DE"/>
        </w:rPr>
        <w:instrText>longation rates.&lt;/p&gt;","author":[{"dropping-particle":"","family":"Claude","given":"Kora-Lee","non-dropping-particle":"","parse-names":false,"suffix":""},{"dropping-particle":"","family":"Bureik","given":"Daniela","non-dropping-particle":"","parse-names":fa</w:instrText>
      </w:r>
      <w:r>
        <w:rPr>
          <w:rFonts w:ascii="Arial" w:eastAsia="Times New Roman" w:hAnsi="Arial" w:cs="Arial"/>
          <w:color w:val="000000"/>
          <w:lang w:val="en-US" w:eastAsia="de-DE"/>
        </w:rPr>
        <w:instrText>lse,"suffix":""},{"dropping-particle":"","family":"Chatzitheodoridou","given":"Dimitra","non-dropping-particle":"","parse-names":false,"suffix":""},{"dropping-particle":"","family":"Adarska","given":"Petia","non-dropping-particle":"","parse-names":false,"s</w:instrText>
      </w:r>
      <w:r>
        <w:rPr>
          <w:rFonts w:ascii="Arial" w:eastAsia="Times New Roman" w:hAnsi="Arial" w:cs="Arial"/>
          <w:color w:val="000000"/>
          <w:lang w:val="en-US" w:eastAsia="de-DE"/>
        </w:rPr>
        <w:instrText>uffix":""},{"dropping-particle":"","family":"Singh","given":"Abhyudai","non-dropping-particle":"","parse-names":false,"suffix":""},{"dropping-particle":"","family":"Schmoller","given":"Kurt M.","non-dropping-particle":"","parse-names":false,"suffix":""}],"</w:instrText>
      </w:r>
      <w:r>
        <w:rPr>
          <w:rFonts w:ascii="Arial" w:eastAsia="Times New Roman" w:hAnsi="Arial" w:cs="Arial"/>
          <w:color w:val="000000"/>
          <w:lang w:val="en-US" w:eastAsia="de-DE"/>
        </w:rPr>
        <w:instrText>container-title":"Nature Communications","id":"ITEM-3","issue":"1","issued":{"date-parts":[["2021","12"]]},"page":"4202","publisher":"Nature Publishing Group","title":"Transcription coordinates histone amounts and genome content","type":"article-journal","</w:instrText>
      </w:r>
      <w:r>
        <w:rPr>
          <w:rFonts w:ascii="Arial" w:eastAsia="Times New Roman" w:hAnsi="Arial" w:cs="Arial"/>
          <w:color w:val="000000"/>
          <w:lang w:val="en-US" w:eastAsia="de-DE"/>
        </w:rPr>
        <w:instrText>volume":"12"},"uris":["http://www.mendeley.com/documents/?uuid=3f2c0002-b409-423c-8d2f-a1018d6b43c8"]},{"id":"ITEM-4","itemData":{"DOI":"10.1038/s41467-021-26952-y","ISSN":"2041-1723","PMID":"34824198","abstract":"While most genes’ expression levels are pr</w:instrText>
      </w:r>
      <w:r>
        <w:rPr>
          <w:rFonts w:ascii="Arial" w:eastAsia="Times New Roman" w:hAnsi="Arial" w:cs="Arial"/>
          <w:color w:val="000000"/>
          <w:lang w:val="en-US" w:eastAsia="de-DE"/>
        </w:rPr>
        <w:instrText>oportional to cell volumes, some genes exhibit nonlinear scaling between their expression levels and cell volume. Therefore, their mRNA and protein concentrations change as the cell volume increases, which often have crucial biological functions such as ce</w:instrText>
      </w:r>
      <w:r>
        <w:rPr>
          <w:rFonts w:ascii="Arial" w:eastAsia="Times New Roman" w:hAnsi="Arial" w:cs="Arial"/>
          <w:color w:val="000000"/>
          <w:lang w:val="en-US" w:eastAsia="de-DE"/>
        </w:rPr>
        <w:instrText>ll-cycle regulation. However, the biophysical mechanism underlying the nonlinear scaling between gene expression and cell volume is still unclear. In this work, we show that the nonlinear scaling is a direct consequence of the heterogeneous recruitment abi</w:instrText>
      </w:r>
      <w:r>
        <w:rPr>
          <w:rFonts w:ascii="Arial" w:eastAsia="Times New Roman" w:hAnsi="Arial" w:cs="Arial"/>
          <w:color w:val="000000"/>
          <w:lang w:val="en-US" w:eastAsia="de-DE"/>
        </w:rPr>
        <w:instrText>lities of promoters to RNA polymerases based on a gene expression model at the whole-cell level. Those genes with weaker (stronger) recruitment abilities than the average ability spontaneously exhibit superlinear (sublinear) scaling with cell volume. Analy</w:instrText>
      </w:r>
      <w:r>
        <w:rPr>
          <w:rFonts w:ascii="Arial" w:eastAsia="Times New Roman" w:hAnsi="Arial" w:cs="Arial"/>
          <w:color w:val="000000"/>
          <w:lang w:val="en-US" w:eastAsia="de-DE"/>
        </w:rPr>
        <w:instrText>sis of the promoter sequences and the nonlinear scaling of Saccharomyces cerevisiae’s mRNA levels shows that motifs associated with transcription regulation are indeed enriched in genes exhibiting nonlinear scaling, in concert with our model. Expression le</w:instrText>
      </w:r>
      <w:r>
        <w:rPr>
          <w:rFonts w:ascii="Arial" w:eastAsia="Times New Roman" w:hAnsi="Arial" w:cs="Arial"/>
          <w:color w:val="000000"/>
          <w:lang w:val="en-US" w:eastAsia="de-DE"/>
        </w:rPr>
        <w:instrText>vels of most genes are proportional to cell volumes, although some genes exhibit nonlinear scaling of expression levels with cell volume. Here the authors provide a model that reveals nonlinear scaling is a direct consequence of heterogeneous recruitment a</w:instrText>
      </w:r>
      <w:r>
        <w:rPr>
          <w:rFonts w:ascii="Arial" w:eastAsia="Times New Roman" w:hAnsi="Arial" w:cs="Arial"/>
          <w:color w:val="000000"/>
          <w:lang w:val="en-US" w:eastAsia="de-DE"/>
        </w:rPr>
        <w:instrText>bilities of promoters to RNA polymerases.","author":[{"dropping-particle":"","family":"Wang","given":"Qirun","non-dropping-particle":"","parse-names":false,"suffix":""},{"dropping-particle":"","family":"Lin","given":"Jie","non-dropping-particle":"","parse-</w:instrText>
      </w:r>
      <w:r>
        <w:rPr>
          <w:rFonts w:ascii="Arial" w:eastAsia="Times New Roman" w:hAnsi="Arial" w:cs="Arial"/>
          <w:color w:val="000000"/>
          <w:lang w:val="en-US" w:eastAsia="de-DE"/>
        </w:rPr>
        <w:instrText>names":false,"suffix":""}],"container-title":"Nature Communications 2021 12:1","id":"ITEM-4","issue":"1","issued":{"date-parts":[["2021","11","25"]]},"page":"1-11","publisher":"Nature Publishing Group","title":"Heterogeneous recruitment abilities to RNA po</w:instrText>
      </w:r>
      <w:r>
        <w:rPr>
          <w:rFonts w:ascii="Arial" w:eastAsia="Times New Roman" w:hAnsi="Arial" w:cs="Arial"/>
          <w:color w:val="000000"/>
          <w:lang w:val="en-US" w:eastAsia="de-DE"/>
        </w:rPr>
        <w:instrText>lymerases generate nonlinear scaling of gene expression with cell volume","type":"article-journal","volume":"12"},"uris":["http://www.mendeley.com/documents/?uuid=cef9ce03-27f4-3838-a935-4cdeae8313f9"]}],"mendeley":{"formattedCitation":"&lt;sup&gt;31,49,64,65&lt;/s</w:instrText>
      </w:r>
      <w:r>
        <w:rPr>
          <w:rFonts w:ascii="Arial" w:eastAsia="Times New Roman" w:hAnsi="Arial" w:cs="Arial"/>
          <w:color w:val="000000"/>
          <w:lang w:val="en-US" w:eastAsia="de-DE"/>
        </w:rPr>
        <w:instrText>up&gt;","plainTextFormattedCitation":"31,49,64,65","previouslyFormattedCitation":"&lt;sup&gt;31,49,64,65&lt;/sup&gt;"},"properties":{"noteIndex":0},"schema":"https://github.com/citation-style-language/schema/raw/master/csl-citation.json"}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31,49,64,65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However, transcri</w:t>
      </w:r>
      <w:r>
        <w:rPr>
          <w:rFonts w:ascii="Arial" w:eastAsia="Times New Roman" w:hAnsi="Arial" w:cs="Arial"/>
          <w:color w:val="000000"/>
          <w:lang w:val="en-US" w:eastAsia="de-DE"/>
        </w:rPr>
        <w:t>ption is not the only step of protein homeostasis at which cell-size dependence can be controlled. It was recently found that for the mammalian cell cycle inhibitor Rb, protein degradation controlled by the E3 ligase UBR5 is necessary for the decrease of i</w:t>
      </w:r>
      <w:r>
        <w:rPr>
          <w:rFonts w:ascii="Arial" w:eastAsia="Times New Roman" w:hAnsi="Arial" w:cs="Arial"/>
          <w:color w:val="000000"/>
          <w:lang w:val="en-US" w:eastAsia="de-DE"/>
        </w:rPr>
        <w:t>ts concentration associated with growth in G1</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{"citationItems":[{"id":"ITEM-1","itemData":{"DOI":"10.1101/2023.10.03.560768","abstract":"Mammalian cells make the decision to divide at the G1/S transition in response to diverse signals imp</w:instrText>
      </w:r>
      <w:r>
        <w:rPr>
          <w:rFonts w:ascii="Arial" w:eastAsia="Times New Roman" w:hAnsi="Arial" w:cs="Arial"/>
          <w:color w:val="000000"/>
          <w:lang w:val="en-US" w:eastAsia="de-DE"/>
        </w:rPr>
        <w:instrText>inging on the retinoblastoma protein Rb, a cell cycle inhibitor and tumor suppressor. Rb is inhibited by two parallel pathways. In the canonical pathway, cyclin D-Cdk4/6 kinase complexes phosphorylate and inactivate Rb. In the second, recently discovered p</w:instrText>
      </w:r>
      <w:r>
        <w:rPr>
          <w:rFonts w:ascii="Arial" w:eastAsia="Times New Roman" w:hAnsi="Arial" w:cs="Arial"/>
          <w:color w:val="000000"/>
          <w:lang w:val="en-US" w:eastAsia="de-DE"/>
        </w:rPr>
        <w:instrText>athway, Rb’s concentration decreases during G1 through an unknown mechanism. Here, we found that regulated protein degradation via the E3 ubiquitin ligase UBR5 is responsible for Rb’s concentration drop in G1. UBR5 knockout cells have increased Rb concentr</w:instrText>
      </w:r>
      <w:r>
        <w:rPr>
          <w:rFonts w:ascii="Arial" w:eastAsia="Times New Roman" w:hAnsi="Arial" w:cs="Arial"/>
          <w:color w:val="000000"/>
          <w:lang w:val="en-US" w:eastAsia="de-DE"/>
        </w:rPr>
        <w:instrText>ation in early G1, exhibited a lower G1/S transition rate, and are more sensitive to inhibition of Cdk4/6. This last observation suggests that UBR5 inhibition can strengthen the efficacy of Cdk4/6 inhibitor-based cancer therapies.\n\nOne-Sentence Summary T</w:instrText>
      </w:r>
      <w:r>
        <w:rPr>
          <w:rFonts w:ascii="Arial" w:eastAsia="Times New Roman" w:hAnsi="Arial" w:cs="Arial"/>
          <w:color w:val="000000"/>
          <w:lang w:val="en-US" w:eastAsia="de-DE"/>
        </w:rPr>
        <w:instrText>he E3 ligase UBR5 progressively reduces the concentration of the retinoblastoma protein Rb during G1 to drive proliferation.\n\n### Competing Interest Statement\n\nThe authors have declared no competing interest.","author":[{"dropping-particle":"","family"</w:instrText>
      </w:r>
      <w:r>
        <w:rPr>
          <w:rFonts w:ascii="Arial" w:eastAsia="Times New Roman" w:hAnsi="Arial" w:cs="Arial"/>
          <w:color w:val="000000"/>
          <w:lang w:val="en-US" w:eastAsia="de-DE"/>
        </w:rPr>
        <w:instrText>:"Zhang","given":"Shuyuan","non-dropping-particle":"","parse-names":false,"suffix":""},{"dropping-particle":"","family":"Valenzuela","given":"Lucas Fuentes","non-dropping-particle":"","parse-names":false,"suffix":""},{"dropping-particle":"","family":"Zatul</w:instrText>
      </w:r>
      <w:r>
        <w:rPr>
          <w:rFonts w:ascii="Arial" w:eastAsia="Times New Roman" w:hAnsi="Arial" w:cs="Arial"/>
          <w:color w:val="000000"/>
          <w:lang w:val="en-US" w:eastAsia="de-DE"/>
        </w:rPr>
        <w:instrText>ovskiy","given":"Evgeny","non-dropping-particle":"","parse-names":false,"suffix":""},{"dropping-particle":"","family":"Skotheim","given":"Jan M.","non-dropping-particle":"","parse-names":false,"suffix":""}],"container-title":"bioRxiv","id":"ITEM-1","issued</w:instrText>
      </w:r>
      <w:r>
        <w:rPr>
          <w:rFonts w:ascii="Arial" w:eastAsia="Times New Roman" w:hAnsi="Arial" w:cs="Arial"/>
          <w:color w:val="000000"/>
          <w:lang w:val="en-US" w:eastAsia="de-DE"/>
        </w:rPr>
        <w:instrText>":{"date-parts":[["2023","10","5"]]},"page":"2023.10.03.560768","publisher":"Cold Spring Harbor Laboratory","title":"The G1/S transition is promoted by Rb degradation via the E3 ligase UBR5","type":"article-journal"},"uris":["http://www.mendeley.com/docume</w:instrText>
      </w:r>
      <w:r>
        <w:rPr>
          <w:rFonts w:ascii="Arial" w:eastAsia="Times New Roman" w:hAnsi="Arial" w:cs="Arial"/>
          <w:color w:val="000000"/>
          <w:lang w:val="en-US" w:eastAsia="de-DE"/>
        </w:rPr>
        <w:instrText>nts/?uuid=2368510e-b268-3b78-90f3-35966b2762c1"]}],"mendeley":{"formattedCitation":"&lt;sup&gt;57&lt;/sup&gt;","plainTextFormattedCitation":"57","previouslyFormattedCitation":"&lt;sup&gt;57&lt;/sup&gt;"},"properties":{"noteIndex":0},"schema":"https://github.com/citation-style-lan</w:instrText>
      </w:r>
      <w:r>
        <w:rPr>
          <w:rFonts w:ascii="Arial" w:eastAsia="Times New Roman" w:hAnsi="Arial" w:cs="Arial"/>
          <w:color w:val="000000"/>
          <w:lang w:val="en-US" w:eastAsia="de-DE"/>
        </w:rPr>
        <w:instrText>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37FD9AD1" w14:textId="77777777" w:rsidR="00066D11" w:rsidRDefault="00066D11">
      <w:pPr>
        <w:spacing w:after="0" w:line="240" w:lineRule="auto"/>
        <w:jc w:val="both"/>
        <w:rPr>
          <w:rFonts w:ascii="Arial" w:eastAsia="Times New Roman" w:hAnsi="Arial" w:cs="Arial"/>
          <w:lang w:val="en-US" w:eastAsia="de-DE"/>
        </w:rPr>
      </w:pPr>
    </w:p>
    <w:p w14:paraId="17292683"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Across genes, subcellular localization has been identified to be the strongest predictor of the scaling behavior of proteins in human cells, while the mRNA size-scaling is the strongest predictor in the ca</w:t>
      </w:r>
      <w:r>
        <w:rPr>
          <w:rFonts w:ascii="Arial" w:eastAsia="Times New Roman" w:hAnsi="Arial" w:cs="Arial"/>
          <w:color w:val="000000"/>
          <w:lang w:val="en-US" w:eastAsia="de-DE"/>
        </w:rPr>
        <w:t>se of budding yeast. In both cases, using multiple parameters including mRNA scaling slope, protein turnover, codon affinity score, and subcellular localization improved the prediction significantly, indicating that protein scaling at the individual gene l</w:t>
      </w:r>
      <w:r>
        <w:rPr>
          <w:rFonts w:ascii="Arial" w:eastAsia="Times New Roman" w:hAnsi="Arial" w:cs="Arial"/>
          <w:color w:val="000000"/>
          <w:lang w:val="en-US" w:eastAsia="de-DE"/>
        </w:rPr>
        <w:t>evel is regulated both transcriptionally and post-transcriptionally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{"citationItems":[{"id":"ITEM-1","itemData":{"DOI":"10.1016/J.MOLCEL.2022.07.017","ISSN":"1097-2765","PMID":"35987199","abstract":"Cell size is tightly controlled in heal</w:instrText>
      </w:r>
      <w:r>
        <w:rPr>
          <w:rFonts w:ascii="Arial" w:eastAsia="Times New Roman" w:hAnsi="Arial" w:cs="Arial"/>
          <w:color w:val="000000"/>
          <w:lang w:val="en-US" w:eastAsia="de-DE"/>
        </w:rPr>
        <w:instrText>thy tissues, but it is unclear how deviations in cell size affect cell physiology. To address this, we measured how the cell's proteome changes with increasing cell size. Size-dependent protein concentration changes are widespread and predicted by subcellu</w:instrText>
      </w:r>
      <w:r>
        <w:rPr>
          <w:rFonts w:ascii="Arial" w:eastAsia="Times New Roman" w:hAnsi="Arial" w:cs="Arial"/>
          <w:color w:val="000000"/>
          <w:lang w:val="en-US" w:eastAsia="de-DE"/>
        </w:rPr>
        <w:instrText>lar localization, size-dependent mRNA concentrations, and protein turnover. As proliferating cells grow larger, concentration changes typically associated with cellular senescence are increasingly pronounced, suggesting that large size may be a cause rathe</w:instrText>
      </w:r>
      <w:r>
        <w:rPr>
          <w:rFonts w:ascii="Arial" w:eastAsia="Times New Roman" w:hAnsi="Arial" w:cs="Arial"/>
          <w:color w:val="000000"/>
          <w:lang w:val="en-US" w:eastAsia="de-DE"/>
        </w:rPr>
        <w:instrText>r than just a consequence of cell senescence. Consistent with this hypothesis, larger cells are prone to replicative, DNA-damage-induced, and CDK4/6i-induced senescence. Size-dependent changes to the proteome, including those associated with senescence, ar</w:instrText>
      </w:r>
      <w:r>
        <w:rPr>
          <w:rFonts w:ascii="Arial" w:eastAsia="Times New Roman" w:hAnsi="Arial" w:cs="Arial"/>
          <w:color w:val="000000"/>
          <w:lang w:val="en-US" w:eastAsia="de-DE"/>
        </w:rPr>
        <w:instrText>e not observed when an increase in cell size is accompanied by an increase in ploidy. Together, our findings show how cell size could impact many aspects of cell physiology by remodeling the proteome and provide a rationale for cell size control and polypl</w:instrText>
      </w:r>
      <w:r>
        <w:rPr>
          <w:rFonts w:ascii="Arial" w:eastAsia="Times New Roman" w:hAnsi="Arial" w:cs="Arial"/>
          <w:color w:val="000000"/>
          <w:lang w:val="en-US" w:eastAsia="de-DE"/>
        </w:rPr>
        <w:instrText>oidization.","author":[{"dropping-particle":"","family":"Lanz","given":"Michael C.","non-dropping-particle":"","parse-names":false,"suffix":""},{"dropping-particle":"","family":"Zatulovskiy","given":"Evgeny","non-dropping-particle":"","parse-names":false,"</w:instrText>
      </w:r>
      <w:r>
        <w:rPr>
          <w:rFonts w:ascii="Arial" w:eastAsia="Times New Roman" w:hAnsi="Arial" w:cs="Arial"/>
          <w:color w:val="000000"/>
          <w:lang w:val="en-US" w:eastAsia="de-DE"/>
        </w:rPr>
        <w:instrText>suffix":""},{"dropping-particle":"","family":"Swaffer","given":"Matthew P.","non-dropping-particle":"","parse-names":false,"suffix":""},{"dropping-particle":"","family":"Zhang","given":"Lichao","non-dropping-particle":"","parse-names":false,"suffix":""},{"</w:instrText>
      </w:r>
      <w:r>
        <w:rPr>
          <w:rFonts w:ascii="Arial" w:eastAsia="Times New Roman" w:hAnsi="Arial" w:cs="Arial"/>
          <w:color w:val="000000"/>
          <w:lang w:val="en-US" w:eastAsia="de-DE"/>
        </w:rPr>
        <w:instrText>dropping-particle":"","family":"Ilerten","given":"Ilayda","non-dropping-particle":"","parse-names":false,"suffix":""},{"dropping-particle":"","family":"Zhang","given":"Shuyuan","non-dropping-particle":"","parse-names":false,"suffix":""},{"dropping-particle</w:instrText>
      </w:r>
      <w:r>
        <w:rPr>
          <w:rFonts w:ascii="Arial" w:eastAsia="Times New Roman" w:hAnsi="Arial" w:cs="Arial"/>
          <w:color w:val="000000"/>
          <w:lang w:val="en-US" w:eastAsia="de-DE"/>
        </w:rPr>
        <w:instrText>":"","family":"You","given":"Dong Shin","non-dropping-particle":"","parse-names":false,"suffix":""},{"dropping-particle":"","family":"Marinov","given":"Georgi","non-dropping-particle":"","parse-names":false,"suffix":""},{"dropping-particle":"","family":"Mc</w:instrText>
      </w:r>
      <w:r>
        <w:rPr>
          <w:rFonts w:ascii="Arial" w:eastAsia="Times New Roman" w:hAnsi="Arial" w:cs="Arial"/>
          <w:color w:val="000000"/>
          <w:lang w:val="en-US" w:eastAsia="de-DE"/>
        </w:rPr>
        <w:instrText>Alpine","given":"Patrick","non-dropping-particle":"","parse-names":false,"suffix":""},{"dropping-particle":"","family":"Elias","given":"Joshua E.","non-dropping-particle":"","parse-names":false,"suffix":""},{"dropping-particle":"","family":"Skotheim","give</w:instrText>
      </w:r>
      <w:r>
        <w:rPr>
          <w:rFonts w:ascii="Arial" w:eastAsia="Times New Roman" w:hAnsi="Arial" w:cs="Arial"/>
          <w:color w:val="000000"/>
          <w:lang w:val="en-US" w:eastAsia="de-DE"/>
        </w:rPr>
        <w:instrText>n":"Jan M.","non-dropping-particle":"","parse-names":false,"suffix":""}],"container-title":"Molecular Cell","id":"ITEM-1","issue":"17","issued":{"date-parts":[["2022","9","1"]]},"page":"3255-3269.e8","publisher":"Cell Press","title":"Increasing cell size r</w:instrText>
      </w:r>
      <w:r>
        <w:rPr>
          <w:rFonts w:ascii="Arial" w:eastAsia="Times New Roman" w:hAnsi="Arial" w:cs="Arial"/>
          <w:color w:val="000000"/>
          <w:lang w:val="en-US" w:eastAsia="de-DE"/>
        </w:rPr>
        <w:instrText>emodels the proteome and promotes senescence","type":"article-journal","volume":"82"},"uris":["http://www.mendeley.com/documents/?uuid=8e51a3f0-6440-3670-854f-e466aa3f4159"]},{"id":"ITEM-2","itemData":{"DOI":"10.1101/2023.10.16.562558","abstract":"Cell siz</w:instrText>
      </w:r>
      <w:r>
        <w:rPr>
          <w:rFonts w:ascii="Arial" w:eastAsia="Times New Roman" w:hAnsi="Arial" w:cs="Arial"/>
          <w:color w:val="000000"/>
          <w:lang w:val="en-US" w:eastAsia="de-DE"/>
        </w:rPr>
        <w:instrText>e is tightly controlled in healthy tissues and single-celled organisms, but it remains unclear how size influences cell physiology. Increasing cell size was recently shown to remodel the proteomes of cultured human cells, demonstrating that large and small</w:instrText>
      </w:r>
      <w:r>
        <w:rPr>
          <w:rFonts w:ascii="Arial" w:eastAsia="Times New Roman" w:hAnsi="Arial" w:cs="Arial"/>
          <w:color w:val="000000"/>
          <w:lang w:val="en-US" w:eastAsia="de-DE"/>
        </w:rPr>
        <w:instrText xml:space="preserve"> cells of the same type can be biochemically different. Here, we corroborate these results in mouse hepatocytes and extend our analysis using yeast. We find that size-dependent proteome changes are highly conserved and mostly independent of metabolic state</w:instrText>
      </w:r>
      <w:r>
        <w:rPr>
          <w:rFonts w:ascii="Arial" w:eastAsia="Times New Roman" w:hAnsi="Arial" w:cs="Arial"/>
          <w:color w:val="000000"/>
          <w:lang w:val="en-US" w:eastAsia="de-DE"/>
        </w:rPr>
        <w:instrText xml:space="preserve">. As eukaryotic cells grow larger, the dilution of the genome elicits a starvation-like proteome phenotype, suggesting that growth in large cells is limited by the genome in a manner analogous to a limiting nutrient. We also demonstrate that the proteomes </w:instrText>
      </w:r>
      <w:r>
        <w:rPr>
          <w:rFonts w:ascii="Arial" w:eastAsia="Times New Roman" w:hAnsi="Arial" w:cs="Arial"/>
          <w:color w:val="000000"/>
          <w:lang w:val="en-US" w:eastAsia="de-DE"/>
        </w:rPr>
        <w:instrText xml:space="preserve">of replicatively-aged yeast are primarily determined by their large size. Overall, our data suggest that genome concentration is a universal determinant of proteome content in growing cells.\n\n### Competing Interest Statement\n\nThe authors have declared </w:instrText>
      </w:r>
      <w:r>
        <w:rPr>
          <w:rFonts w:ascii="Arial" w:eastAsia="Times New Roman" w:hAnsi="Arial" w:cs="Arial"/>
          <w:color w:val="000000"/>
          <w:lang w:val="en-US" w:eastAsia="de-DE"/>
        </w:rPr>
        <w:instrText>no competing interest.","author":[{"dropping-particle":"","family":"Lanz","given":"Michael C","non-dropping-particle":"","parse-names":false,"suffix":""},{"dropping-particle":"","family":"Zhang","given":"Shuyuan","non-dropping-particle":"","parse-names":fa</w:instrText>
      </w:r>
      <w:r>
        <w:rPr>
          <w:rFonts w:ascii="Arial" w:eastAsia="Times New Roman" w:hAnsi="Arial" w:cs="Arial"/>
          <w:color w:val="000000"/>
          <w:lang w:val="en-US" w:eastAsia="de-DE"/>
        </w:rPr>
        <w:instrText>lse,"suffix":""},{"dropping-particle":"","family":"Swaffer","given":"Matthew P","non-dropping-particle":"","parse-names":false,"suffix":""},{"dropping-particle":"","family":"Ziv-Uziel","given":"Inbal","non-dropping-particle":"","parse-names":false,"suffix"</w:instrText>
      </w:r>
      <w:r>
        <w:rPr>
          <w:rFonts w:ascii="Arial" w:eastAsia="Times New Roman" w:hAnsi="Arial" w:cs="Arial"/>
          <w:color w:val="000000"/>
          <w:lang w:val="en-US" w:eastAsia="de-DE"/>
        </w:rPr>
        <w:instrText>:""},{"dropping-particle":"","family":"Hernendez-Gotz","given":"Luisa","non-dropping-particle":"","parse-names":false,"suffix":""},{"dropping-particle":"","family":"Jaroz","given":"Dan F","non-dropping-particle":"","parse-names":false,"suffix":""},{"droppi</w:instrText>
      </w:r>
      <w:r>
        <w:rPr>
          <w:rFonts w:ascii="Arial" w:eastAsia="Times New Roman" w:hAnsi="Arial" w:cs="Arial"/>
          <w:color w:val="000000"/>
          <w:lang w:val="en-US" w:eastAsia="de-DE"/>
        </w:rPr>
        <w:instrText>ng-particle":"","family":"Elias","given":"Joshua E","non-dropping-particle":"","parse-names":false,"suffix":""},{"dropping-particle":"","family":"Skotheim","given":"Jan M","non-dropping-particle":"","parse-names":false,"suffix":""},{"dropping-particle":"",</w:instrText>
      </w:r>
      <w:r>
        <w:rPr>
          <w:rFonts w:ascii="Arial" w:eastAsia="Times New Roman" w:hAnsi="Arial" w:cs="Arial"/>
          <w:color w:val="000000"/>
          <w:lang w:val="en-US" w:eastAsia="de-DE"/>
        </w:rPr>
        <w:instrText>"family":"Zuckerberg Biohub San Francisco","given":"Chan","non-dropping-particle":"","parse-names":false,"suffix":""}],"container-title":"bioRxiv","id":"ITEM-2","issued":{"date-parts":[["2023","10","19"]]},"page":"2023.10.16.562558","publisher":"Cold Sprin</w:instrText>
      </w:r>
      <w:r>
        <w:rPr>
          <w:rFonts w:ascii="Arial" w:eastAsia="Times New Roman" w:hAnsi="Arial" w:cs="Arial"/>
          <w:color w:val="000000"/>
          <w:lang w:val="en-US" w:eastAsia="de-DE"/>
        </w:rPr>
        <w:instrText>g Harbor Laboratory","title":"Genome dilution by cell growth drives starvation-like proteome remodeling in mammalian and yeast cells","type":"article-journal"},"uris":["http://www.mendeley.com/documents/?uuid=ec827699-72ee-38c4-93fe-fae1f642ec2d"]}],"mende</w:instrText>
      </w:r>
      <w:r>
        <w:rPr>
          <w:rFonts w:ascii="Arial" w:eastAsia="Times New Roman" w:hAnsi="Arial" w:cs="Arial"/>
          <w:color w:val="000000"/>
          <w:lang w:val="en-US" w:eastAsia="de-DE"/>
        </w:rPr>
        <w:instrText>ley":{"formattedCitation":"&lt;sup&gt;5,42&lt;/sup&gt;","plainTextFormattedCitation":"5,42","previouslyFormattedCitation":"&lt;sup&gt;5,42&lt;/sup&gt;"},"properties":{"noteIndex":0},"schema":"https://github.com/citation-style-language/schema/raw/master/csl-citation.json"}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5,42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r>
        <w:rPr>
          <w:rFonts w:ascii="Arial" w:eastAsia="Times New Roman" w:hAnsi="Arial" w:cs="Arial"/>
          <w:color w:val="000000"/>
          <w:lang w:val="en-US" w:eastAsia="de-DE"/>
        </w:rPr>
        <w:t> </w:t>
      </w:r>
    </w:p>
    <w:p w14:paraId="20B73BCB" w14:textId="77777777" w:rsidR="00066D11" w:rsidRDefault="00066D11">
      <w:pPr>
        <w:spacing w:after="0" w:line="240" w:lineRule="auto"/>
        <w:jc w:val="both"/>
        <w:rPr>
          <w:rFonts w:ascii="Arial" w:eastAsia="Times New Roman" w:hAnsi="Arial" w:cs="Arial"/>
          <w:lang w:val="en-US" w:eastAsia="de-DE"/>
        </w:rPr>
      </w:pPr>
    </w:p>
    <w:p w14:paraId="307DAA2C"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2.4 Cell-size-dependence of other macromolecules and metabolic scaling</w:t>
      </w:r>
    </w:p>
    <w:p w14:paraId="5FF62224" w14:textId="77777777" w:rsidR="00066D11" w:rsidRDefault="00066D11">
      <w:pPr>
        <w:spacing w:after="0" w:line="240" w:lineRule="auto"/>
        <w:jc w:val="both"/>
        <w:rPr>
          <w:rFonts w:ascii="Arial" w:eastAsia="Times New Roman" w:hAnsi="Arial" w:cs="Arial"/>
          <w:lang w:val="en-US" w:eastAsia="de-DE"/>
        </w:rPr>
      </w:pPr>
    </w:p>
    <w:p w14:paraId="008895D9" w14:textId="77777777" w:rsidR="00066D11" w:rsidRDefault="00E55468">
      <w:pPr>
        <w:spacing w:after="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Given the plethora of tools and techniques available for the quantification of proteins and nucleic acids, it is not surprising that these macromolecules are the best studied in the</w:t>
      </w:r>
      <w:r>
        <w:rPr>
          <w:rFonts w:ascii="Arial" w:eastAsia="Times New Roman" w:hAnsi="Arial" w:cs="Arial"/>
          <w:color w:val="000000"/>
          <w:lang w:val="en-US" w:eastAsia="de-DE"/>
        </w:rPr>
        <w:t xml:space="preserve"> context of cell size, while the cell size scaling of lipids and polysaccharides is less clear. From early studies, we know that larger human fat cells have a higher rate of lipid synthesis </w:t>
      </w:r>
      <w:r>
        <w:rPr>
          <w:rFonts w:ascii="Arial" w:eastAsia="Times New Roman" w:hAnsi="Arial" w:cs="Arial"/>
          <w:i/>
          <w:iCs/>
          <w:color w:val="000000"/>
          <w:lang w:val="en-US" w:eastAsia="de-DE"/>
        </w:rPr>
        <w:t>in vitro</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w:instrText>
      </w:r>
      <w:r>
        <w:rPr>
          <w:rFonts w:ascii="Arial" w:eastAsia="Times New Roman" w:hAnsi="Arial" w:cs="Arial"/>
          <w:i/>
          <w:iCs/>
          <w:color w:val="000000"/>
          <w:lang w:val="en-US" w:eastAsia="de-DE"/>
        </w:rPr>
        <w:instrText>ata":{"DOI":"10.1016/s0022-2275(20)39547-x","ISSN":"00222275","PMID":"4322518","abstract":"&lt;p&gt;When adipose tissue cells were incubated with collagenase for different periods of time, cell populations with different mean cell sizes were obtained from the sa</w:instrText>
      </w:r>
      <w:r>
        <w:rPr>
          <w:rFonts w:ascii="Arial" w:eastAsia="Times New Roman" w:hAnsi="Arial" w:cs="Arial"/>
          <w:i/>
          <w:iCs/>
          <w:color w:val="000000"/>
          <w:lang w:val="en-US" w:eastAsia="de-DE"/>
        </w:rPr>
        <w:instrText>me tissue sample. Lipid synthesis from glucose was studied as a function of adipose cell size and number. The incubations were performed in Parker medium 199, which is suitable for tissue culture of human adipose tissue. The results show that the larger ce</w:instrText>
      </w:r>
      <w:r>
        <w:rPr>
          <w:rFonts w:ascii="Arial" w:eastAsia="Times New Roman" w:hAnsi="Arial" w:cs="Arial"/>
          <w:i/>
          <w:iCs/>
          <w:color w:val="000000"/>
          <w:lang w:val="en-US" w:eastAsia="de-DE"/>
        </w:rPr>
        <w:instrText>lls of a specimen have a greater rate of lipid synthesis than the smaller cells of the same specimen. This is mainly due to an increase in the synthesis of glyceride-glycerol. Addition of insulin stimulated lipid synthesis. However, the larger adipose cell</w:instrText>
      </w:r>
      <w:r>
        <w:rPr>
          <w:rFonts w:ascii="Arial" w:eastAsia="Times New Roman" w:hAnsi="Arial" w:cs="Arial"/>
          <w:i/>
          <w:iCs/>
          <w:color w:val="000000"/>
          <w:lang w:val="en-US" w:eastAsia="de-DE"/>
        </w:rPr>
        <w:instrText>s were less sensitive to the stimulating effect of insulin than the smaller cells.&lt;/p&gt;","author":[{"dropping-particle":"","family":"Smith","given":"U.","non-dropping-particle":"","parse-names":false,"suffix":""}],"container-title":"Journal of Lipid Researc</w:instrText>
      </w:r>
      <w:r>
        <w:rPr>
          <w:rFonts w:ascii="Arial" w:eastAsia="Times New Roman" w:hAnsi="Arial" w:cs="Arial"/>
          <w:i/>
          <w:iCs/>
          <w:color w:val="000000"/>
          <w:lang w:val="en-US" w:eastAsia="de-DE"/>
        </w:rPr>
        <w:instrText>h","id":"ITEM-1","issue":"1","issued":{"date-parts":[["1971","1","1"]]},"page":"65-70","publisher":"Elsevier","title":"Effect of cell size on lipid synthesis by human adipose tissue in vitro.","type":"article-journal","volume":"12"},"uris":["http://www.men</w:instrText>
      </w:r>
      <w:r>
        <w:rPr>
          <w:rFonts w:ascii="Arial" w:eastAsia="Times New Roman" w:hAnsi="Arial" w:cs="Arial"/>
          <w:i/>
          <w:iCs/>
          <w:color w:val="000000"/>
          <w:lang w:val="en-US" w:eastAsia="de-DE"/>
        </w:rPr>
        <w:instrText>deley.com/documents/?uuid=2f7adf80-d24f-31a6-a804-12625824720b"]}],"mendeley":{"formattedCitation":"&lt;sup&gt;66&lt;/sup&gt;","plainTextFormattedCitation":"66","previouslyFormattedCitation":"&lt;sup&gt;66&lt;/sup&gt;"},"properties":{"noteIndex":0},"schema":"https://github.com/ci</w:instrText>
      </w:r>
      <w:r>
        <w:rPr>
          <w:rFonts w:ascii="Arial" w:eastAsia="Times New Roman" w:hAnsi="Arial" w:cs="Arial"/>
          <w:i/>
          <w:iCs/>
          <w:color w:val="000000"/>
          <w:lang w:val="en-US" w:eastAsia="de-DE"/>
        </w:rPr>
        <w:instrText>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66</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xml:space="preserve"> and fat deposits scale linearly with adipocyte size in migratory birds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{"citationItems":[{"id":"ITEM-1","itemData":{"DOI":"10.2307/1366200","ISSN":"00105422","author":[{"dropping-particle":"","family":"Hicks","given":"David L.","non-dropping-particle":"","parse-names":false,"suffix":""}],"container-title":"The Condor","id":"I</w:instrText>
      </w:r>
      <w:r>
        <w:rPr>
          <w:rFonts w:ascii="Arial" w:eastAsia="Times New Roman" w:hAnsi="Arial" w:cs="Arial"/>
          <w:color w:val="000000"/>
          <w:lang w:val="en-US" w:eastAsia="de-DE"/>
        </w:rPr>
        <w:instrText>TEM-1","issue":"4","issued":{"date-parts":[["1967","7","1"]]},"page":"387-399","publisher":"Oxford Academic","title":"Adipose Tissue Composition and Cell Size In Fall Migratory Thrushes (Turdidae)","type":"article-journal","volume":"69"},"uris":["http://ww</w:instrText>
      </w:r>
      <w:r>
        <w:rPr>
          <w:rFonts w:ascii="Arial" w:eastAsia="Times New Roman" w:hAnsi="Arial" w:cs="Arial"/>
          <w:color w:val="000000"/>
          <w:lang w:val="en-US" w:eastAsia="de-DE"/>
        </w:rPr>
        <w:instrText>w.mendeley.com/documents/?uuid=29c23131-6226-3415-8dd1-e7bf4b02720d"]}],"mendeley":{"formattedCitation":"&lt;sup&gt;67&lt;/sup&gt;","plainTextFormattedCitation":"67","previouslyFormattedCitation":"&lt;sup&gt;67&lt;/sup&gt;"},"properties":{"noteIndex":0},"schema":"https://github.c</w:instrText>
      </w:r>
      <w:r>
        <w:rPr>
          <w:rFonts w:ascii="Arial" w:eastAsia="Times New Roman" w:hAnsi="Arial" w:cs="Arial"/>
          <w:color w:val="000000"/>
          <w:lang w:val="en-US" w:eastAsia="de-DE"/>
        </w:rPr>
        <w:instrText>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67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as well as rats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{"citationItems":[{"id":"ITEM-1","itemData":{"DOI":"10.1139/O62-050","ISSN":"0576-5544","abstract":"The changes in number and volume of fat cells accomp</w:instrText>
      </w:r>
      <w:r>
        <w:rPr>
          <w:rFonts w:ascii="Arial" w:eastAsia="Times New Roman" w:hAnsi="Arial" w:cs="Arial"/>
          <w:color w:val="000000"/>
          <w:lang w:val="en-US" w:eastAsia="de-DE"/>
        </w:rPr>
        <w:instrText>anying changes in the size of the perirenal fat depots of rats induced by dietary and other means have been investigated by direct histological e...","author":[{"dropping-particle":"","family":"Zingg","given":"W.","non-dropping-particle":"","parse-names":f</w:instrText>
      </w:r>
      <w:r>
        <w:rPr>
          <w:rFonts w:ascii="Arial" w:eastAsia="Times New Roman" w:hAnsi="Arial" w:cs="Arial"/>
          <w:color w:val="000000"/>
          <w:lang w:val="en-US" w:eastAsia="de-DE"/>
        </w:rPr>
        <w:instrText>alse,"suffix":""},{"dropping-particle":"","family":"Angel","given":"A.","non-dropping-particle":"","parse-names":false,"suffix":""},{"dropping-particle":"","family":"Steinberg","given":"M. D.","non-dropping-particle":"","parse-names":false,"suffix":""}],"c</w:instrText>
      </w:r>
      <w:r>
        <w:rPr>
          <w:rFonts w:ascii="Arial" w:eastAsia="Times New Roman" w:hAnsi="Arial" w:cs="Arial"/>
          <w:color w:val="000000"/>
          <w:lang w:val="en-US" w:eastAsia="de-DE"/>
        </w:rPr>
        <w:instrText>ontainer-title":"https://doi.org/10.1139/o62-050","id":"ITEM-1","issue":"4","issued":{"date-parts":[["1962","4","1"]]},"page":"437-442","publisher":"NRC Research Press Ottawa, Canada","title":"STUDIES ON THE NUMBER AND VOLUME OF FAT CELLS IN ADIPOSE TISSUE</w:instrText>
      </w:r>
      <w:r>
        <w:rPr>
          <w:rFonts w:ascii="Arial" w:eastAsia="Times New Roman" w:hAnsi="Arial" w:cs="Arial"/>
          <w:color w:val="000000"/>
          <w:lang w:val="en-US" w:eastAsia="de-DE"/>
        </w:rPr>
        <w:instrText>","type":"article-journal","volume":"40"},"uris":["http://www.mendeley.com/documents/?uuid=8e185e01-a914-32a6-b0a7-b59d6571d8cf"]}],"mendeley":{"formattedCitation":"&lt;sup&gt;68&lt;/sup&gt;","plainTextFormattedCitation":"68","previouslyFormattedCitation":"&lt;sup&gt;68&lt;/su</w:instrText>
      </w:r>
      <w:r>
        <w:rPr>
          <w:rFonts w:ascii="Arial" w:eastAsia="Times New Roman" w:hAnsi="Arial" w:cs="Arial"/>
          <w:color w:val="000000"/>
          <w:lang w:val="en-US" w:eastAsia="de-DE"/>
        </w:rPr>
        <w:instrText>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68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Additionally, total cellular phospholipids – the building material for cell membranes – correlated well with cell size, while</w:t>
      </w:r>
      <w:r>
        <w:rPr>
          <w:rFonts w:ascii="Arial" w:eastAsia="Times New Roman" w:hAnsi="Arial" w:cs="Arial"/>
          <w:color w:val="000000"/>
          <w:lang w:val="en-US" w:eastAsia="de-DE"/>
        </w:rPr>
        <w:t xml:space="preserve"> cholesterol synthesis peaked at a certain cell size in mouse fibroblast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{"citationItems":[{"id":"ITEM-1","itemData":{"DOI":"10.1371/JOURNAL.PONE.0058833","ISSN":"1932-6203","PMID":"23554937","abstract":"The cell cycle is a ubiquito</w:instrText>
      </w:r>
      <w:r>
        <w:rPr>
          <w:rFonts w:ascii="Arial" w:eastAsia="Times New Roman" w:hAnsi="Arial" w:cs="Arial"/>
          <w:color w:val="000000"/>
          <w:lang w:val="en-US" w:eastAsia="de-DE"/>
        </w:rPr>
        <w:instrText xml:space="preserve">us, multi-step process that is essential for growth and proliferation of cells. The role of membrane lipids in cell cycle regulation is not explored well, although a large number of cytoplasmic and nuclear regulators have been identified. We focus in this </w:instrText>
      </w:r>
      <w:r>
        <w:rPr>
          <w:rFonts w:ascii="Arial" w:eastAsia="Times New Roman" w:hAnsi="Arial" w:cs="Arial"/>
          <w:color w:val="000000"/>
          <w:lang w:val="en-US" w:eastAsia="de-DE"/>
        </w:rPr>
        <w:instrText>work on the role of membrane cholesterol in cell cycle regulation. In particular, we have explored the stringency of the requirement of cholesterol in the regulation of cell cycle progression. For this purpose, we utilized distal and proximal inhibitors of</w:instrText>
      </w:r>
      <w:r>
        <w:rPr>
          <w:rFonts w:ascii="Arial" w:eastAsia="Times New Roman" w:hAnsi="Arial" w:cs="Arial"/>
          <w:color w:val="000000"/>
          <w:lang w:val="en-US" w:eastAsia="de-DE"/>
        </w:rPr>
        <w:instrText xml:space="preserve"> cholesterol biosynthesis, and monitored their effect on cell cycle progression. We show that cholesterol content increases in S phase and inhibition of cholesterol biosynthesis results in cell cycle arrest in G1 phase under certain conditions. Interesting</w:instrText>
      </w:r>
      <w:r>
        <w:rPr>
          <w:rFonts w:ascii="Arial" w:eastAsia="Times New Roman" w:hAnsi="Arial" w:cs="Arial"/>
          <w:color w:val="000000"/>
          <w:lang w:val="en-US" w:eastAsia="de-DE"/>
        </w:rPr>
        <w:instrText>ly, G1 arrest mediated by cholesterol biosynthesis inhibitors could be reversed upon metabolic replenishment of cholesterol. Importantly, our results show that the requirement of cholesterol for G1 to S transition is absolute, and even immediate biosynthet</w:instrText>
      </w:r>
      <w:r>
        <w:rPr>
          <w:rFonts w:ascii="Arial" w:eastAsia="Times New Roman" w:hAnsi="Arial" w:cs="Arial"/>
          <w:color w:val="000000"/>
          <w:lang w:val="en-US" w:eastAsia="de-DE"/>
        </w:rPr>
        <w:instrText>ic precursors of cholesterol, differing with cholesterol merely in a double bond, could not replace cholesterol for reversing the cell cycle arrest. These results are useful in the context of diseases, such as cancer and Alzheimer’s disease, that are assoc</w:instrText>
      </w:r>
      <w:r>
        <w:rPr>
          <w:rFonts w:ascii="Arial" w:eastAsia="Times New Roman" w:hAnsi="Arial" w:cs="Arial"/>
          <w:color w:val="000000"/>
          <w:lang w:val="en-US" w:eastAsia="de-DE"/>
        </w:rPr>
        <w:instrText>iated with impaired cholesterol biosynthesis and homeostasis.","author":[{"dropping-particle":"","family":"Singh","given":"Pushpendra","non-dropping-particle":"","parse-names":false,"suffix":""},{"dropping-particle":"","family":"Saxena","given":"Roopali","</w:instrText>
      </w:r>
      <w:r>
        <w:rPr>
          <w:rFonts w:ascii="Arial" w:eastAsia="Times New Roman" w:hAnsi="Arial" w:cs="Arial"/>
          <w:color w:val="000000"/>
          <w:lang w:val="en-US" w:eastAsia="de-DE"/>
        </w:rPr>
        <w:instrText>non-dropping-particle":"","parse-names":false,"suffix":""},{"dropping-particle":"","family":"Srinivas","given":"Gunda","non-dropping-particle":"","parse-names":false,"suffix":""},{"dropping-particle":"","family":"Pande","given":"Gopal","non-dropping-partic</w:instrText>
      </w:r>
      <w:r>
        <w:rPr>
          <w:rFonts w:ascii="Arial" w:eastAsia="Times New Roman" w:hAnsi="Arial" w:cs="Arial"/>
          <w:color w:val="000000"/>
          <w:lang w:val="en-US" w:eastAsia="de-DE"/>
        </w:rPr>
        <w:instrText>le":"","parse-names":false,"suffix":""},{"dropping-particle":"","family":"Chattopadhyay","given":"Amitabha","non-dropping-particle":"","parse-names":false,"suffix":""}],"container-title":"PLOS ONE","id":"ITEM-1","issue":"3","issued":{"date-parts":[["2013",</w:instrText>
      </w:r>
      <w:r>
        <w:rPr>
          <w:rFonts w:ascii="Arial" w:eastAsia="Times New Roman" w:hAnsi="Arial" w:cs="Arial"/>
          <w:color w:val="000000"/>
          <w:lang w:val="en-US" w:eastAsia="de-DE"/>
        </w:rPr>
        <w:instrText>"3","15"]]},"page":"e58833","publisher":"Public Library of Science","title":"Cholesterol Biosynthesis and Homeostasis in Regulation of the Cell Cycle","type":"article-journal","volume":"8"},"uris":["http://www.mendeley.com/documents/?uuid=41e62904-932b-360</w:instrText>
      </w:r>
      <w:r>
        <w:rPr>
          <w:rFonts w:ascii="Arial" w:eastAsia="Times New Roman" w:hAnsi="Arial" w:cs="Arial"/>
          <w:color w:val="000000"/>
          <w:lang w:val="en-US" w:eastAsia="de-DE"/>
        </w:rPr>
        <w:instrText>1-95d4-9317a97a801c"]}],"mendeley":{"formattedCitation":"&lt;sup&gt;69&lt;/sup&gt;","plainTextFormattedCitation":"69","previouslyFormattedCitation":"&lt;sup&gt;69&lt;/sup&gt;"},"properties":{"noteIndex":0},"schema":"https://github.com/citation-style-language/schema/raw/master/csl</w:instrText>
      </w:r>
      <w:r>
        <w:rPr>
          <w:rFonts w:ascii="Arial" w:eastAsia="Times New Roman" w:hAnsi="Arial" w:cs="Arial"/>
          <w:color w:val="000000"/>
          <w:lang w:val="en-US" w:eastAsia="de-DE"/>
        </w:rPr>
        <w:instrText>-citation.json"}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69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 recent multi-</w:t>
      </w:r>
      <w:proofErr w:type="gramStart"/>
      <w:r>
        <w:rPr>
          <w:rFonts w:ascii="Arial" w:eastAsia="Times New Roman" w:hAnsi="Arial" w:cs="Arial"/>
          <w:color w:val="000000"/>
          <w:lang w:val="en-US" w:eastAsia="de-DE"/>
        </w:rPr>
        <w:t>omics based</w:t>
      </w:r>
      <w:proofErr w:type="gramEnd"/>
      <w:r>
        <w:rPr>
          <w:rFonts w:ascii="Arial" w:eastAsia="Times New Roman" w:hAnsi="Arial" w:cs="Arial"/>
          <w:color w:val="000000"/>
          <w:lang w:val="en-US" w:eastAsia="de-DE"/>
        </w:rPr>
        <w:t xml:space="preserve"> study quantified RNAs, proteins, metabolites, and lipids for budding yeast cells cell-cycle-synchronized by elutriation and separated by size, used as a proxy for cell cycle stage. The relative composition </w:t>
      </w:r>
      <w:r>
        <w:rPr>
          <w:rFonts w:ascii="Arial" w:eastAsia="Times New Roman" w:hAnsi="Arial" w:cs="Arial"/>
          <w:color w:val="000000"/>
          <w:lang w:val="en-US" w:eastAsia="de-DE"/>
        </w:rPr>
        <w:t>of the cellular metabolome changed during the cell cycle, however, the absolute metabolite concentrations and the causal contribution of cell size and cell cycle remain unclear</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{"citationItems":[{"id":"ITEM-1","itemData":{"DOI":"10.1091/M</w:instrText>
      </w:r>
      <w:r>
        <w:rPr>
          <w:rFonts w:ascii="Arial" w:eastAsia="Times New Roman" w:hAnsi="Arial" w:cs="Arial"/>
          <w:color w:val="000000"/>
          <w:lang w:val="en-US" w:eastAsia="de-DE"/>
        </w:rPr>
        <w:instrText xml:space="preserve">BC.E19-12-0708/ASSET/IMAGES/LARGE/MBC-31-1069-G006.JPEG","ISSN":"19394586","PMID":"32129706","abstract":"Establishing the pattern of abundance of molecules of interest during cell division has been a long-standing goal of cell cycle studies. Here, for the </w:instrText>
      </w:r>
      <w:r>
        <w:rPr>
          <w:rFonts w:ascii="Arial" w:eastAsia="Times New Roman" w:hAnsi="Arial" w:cs="Arial"/>
          <w:color w:val="000000"/>
          <w:lang w:val="en-US" w:eastAsia="de-DE"/>
        </w:rPr>
        <w:instrText>first time in any system, we present experiment-matched datasets of the levels of RNAs, proteins, metabolites, and lipids from unarrested, growing, and synchronously dividing yeast cells. Overall, transcript and protein levels were correlated, but specific</w:instrText>
      </w:r>
      <w:r>
        <w:rPr>
          <w:rFonts w:ascii="Arial" w:eastAsia="Times New Roman" w:hAnsi="Arial" w:cs="Arial"/>
          <w:color w:val="000000"/>
          <w:lang w:val="en-US" w:eastAsia="de-DE"/>
        </w:rPr>
        <w:instrText xml:space="preserve"> processes that appeared to change at the RNA level (e.g., ribosome biogenesis) did not do so at the protein level, and vice versa. We also found no significant changes in codon usage or the ribosome content during the cell cycle. We describe an unexpected</w:instrText>
      </w:r>
      <w:r>
        <w:rPr>
          <w:rFonts w:ascii="Arial" w:eastAsia="Times New Roman" w:hAnsi="Arial" w:cs="Arial"/>
          <w:color w:val="000000"/>
          <w:lang w:val="en-US" w:eastAsia="de-DE"/>
        </w:rPr>
        <w:instrText xml:space="preserve"> mitotic peak in the abundance of ergosterol and thiamine biosynthesis enzymes. Although the levels of several metabolites changed in the cell cycle, by far the most significant changes were in the lipid repertoire, with phospholipids and triglycerides pea</w:instrText>
      </w:r>
      <w:r>
        <w:rPr>
          <w:rFonts w:ascii="Arial" w:eastAsia="Times New Roman" w:hAnsi="Arial" w:cs="Arial"/>
          <w:color w:val="000000"/>
          <w:lang w:val="en-US" w:eastAsia="de-DE"/>
        </w:rPr>
        <w:instrText>king strongly late in the cell cycle. Our findings provide an integrated view of the abundance of biomolecules in the eukaryotic cell cycle and point to a coordinate mitotic control of lipid metabolism.","author":[{"dropping-particle":"","family":"Blank","</w:instrText>
      </w:r>
      <w:r>
        <w:rPr>
          <w:rFonts w:ascii="Arial" w:eastAsia="Times New Roman" w:hAnsi="Arial" w:cs="Arial"/>
          <w:color w:val="000000"/>
          <w:lang w:val="en-US" w:eastAsia="de-DE"/>
        </w:rPr>
        <w:instrText>given":"Heidi M.","non-dropping-particle":"","parse-names":false,"suffix":""},{"dropping-particle":"","family":"Papoulas","given":"Ophelia","non-dropping-particle":"","parse-names":false,"suffix":""},{"dropping-particle":"","family":"Maitra","given":"Nairi</w:instrText>
      </w:r>
      <w:r>
        <w:rPr>
          <w:rFonts w:ascii="Arial" w:eastAsia="Times New Roman" w:hAnsi="Arial" w:cs="Arial"/>
          <w:color w:val="000000"/>
          <w:lang w:val="en-US" w:eastAsia="de-DE"/>
        </w:rPr>
        <w:instrText>ta","non-dropping-particle":"","parse-names":false,"suffix":""},{"dropping-particle":"","family":"Garge","given":"Riddhiman","non-dropping-particle":"","parse-names":false,"suffix":""},{"dropping-particle":"","family":"Kennedy","given":"Brian K.","non-drop</w:instrText>
      </w:r>
      <w:r>
        <w:rPr>
          <w:rFonts w:ascii="Arial" w:eastAsia="Times New Roman" w:hAnsi="Arial" w:cs="Arial"/>
          <w:color w:val="000000"/>
          <w:lang w:val="en-US" w:eastAsia="de-DE"/>
        </w:rPr>
        <w:instrText>ping-particle":"","parse-names":false,"suffix":""},{"dropping-particle":"","family":"Schilling","given":"Birgit","non-dropping-particle":"","parse-names":false,"suffix":""},{"dropping-particle":"","family":"Marcotte","given":"Edward M.","non-dropping-parti</w:instrText>
      </w:r>
      <w:r>
        <w:rPr>
          <w:rFonts w:ascii="Arial" w:eastAsia="Times New Roman" w:hAnsi="Arial" w:cs="Arial"/>
          <w:color w:val="000000"/>
          <w:lang w:val="en-US" w:eastAsia="de-DE"/>
        </w:rPr>
        <w:instrText>cle":"","parse-names":false,"suffix":""},{"dropping-particle":"","family":"Polymenis","given":"Michael","non-dropping-particle":"","parse-names":false,"suffix":""}],"container-title":"Molecular Biology of the Cell","id":"ITEM-1","issue":"10","issued":{"dat</w:instrText>
      </w:r>
      <w:r>
        <w:rPr>
          <w:rFonts w:ascii="Arial" w:eastAsia="Times New Roman" w:hAnsi="Arial" w:cs="Arial"/>
          <w:color w:val="000000"/>
          <w:lang w:val="en-US" w:eastAsia="de-DE"/>
        </w:rPr>
        <w:instrText>e-parts":[["2020","5","1"]]},"page":"1069-1084","publisher":"American Society for Cell Biology","title":"Abundances of transcripts, proteins, and metabolites in the cell cycle of budding yeast reveal coordinate control of lipid metabolism","type":"article-</w:instrText>
      </w:r>
      <w:r>
        <w:rPr>
          <w:rFonts w:ascii="Arial" w:eastAsia="Times New Roman" w:hAnsi="Arial" w:cs="Arial"/>
          <w:color w:val="000000"/>
          <w:lang w:val="en-US" w:eastAsia="de-DE"/>
        </w:rPr>
        <w:instrText>journal","volume":"31"},"uris":["http://www.mendeley.com/documents/?uuid=39d2825d-d098-39dc-924c-90698fc079d0"]}],"mendeley":{"formattedCitation":"&lt;sup&gt;70&lt;/sup&gt;","plainTextFormattedCitation":"70","previouslyFormattedCitation":"&lt;sup&gt;70&lt;/sup&gt;"},"properties":</w:instrText>
      </w:r>
      <w:r>
        <w:rPr>
          <w:rFonts w:ascii="Arial" w:eastAsia="Times New Roman" w:hAnsi="Arial" w:cs="Arial"/>
          <w:color w:val="000000"/>
          <w:lang w:val="en-US" w:eastAsia="de-DE"/>
        </w:rPr>
        <w:instrText>{"noteIndex":0},"schema":"https://github.com/citation-style-language/schema/raw/master/csl-citation.json"}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Since macromolecule biosynthesis requires the right amounts of the appropriate monomers, such as amino acids, nucleotides, nucleosides, fatty a</w:t>
      </w:r>
      <w:r>
        <w:rPr>
          <w:rFonts w:ascii="Arial" w:eastAsia="Times New Roman" w:hAnsi="Arial" w:cs="Arial"/>
          <w:color w:val="000000"/>
          <w:lang w:val="en-US" w:eastAsia="de-DE"/>
        </w:rPr>
        <w:t xml:space="preserve">cids, or simple sugars, it would be interesting to see if and how the concentration of these </w:t>
      </w:r>
      <w:proofErr w:type="gramStart"/>
      <w:r>
        <w:rPr>
          <w:rFonts w:ascii="Arial" w:eastAsia="Times New Roman" w:hAnsi="Arial" w:cs="Arial"/>
          <w:color w:val="000000"/>
          <w:lang w:val="en-US" w:eastAsia="de-DE"/>
        </w:rPr>
        <w:t>metabolites</w:t>
      </w:r>
      <w:proofErr w:type="gramEnd"/>
      <w:r>
        <w:rPr>
          <w:rFonts w:ascii="Arial" w:eastAsia="Times New Roman" w:hAnsi="Arial" w:cs="Arial"/>
          <w:color w:val="000000"/>
          <w:lang w:val="en-US" w:eastAsia="de-DE"/>
        </w:rPr>
        <w:t xml:space="preserve"> changes with cell size.</w:t>
      </w:r>
    </w:p>
    <w:p w14:paraId="12E96659" w14:textId="77777777" w:rsidR="00066D11" w:rsidRDefault="00066D11">
      <w:pPr>
        <w:spacing w:after="0" w:line="240" w:lineRule="auto"/>
        <w:jc w:val="both"/>
        <w:rPr>
          <w:rFonts w:ascii="Arial" w:eastAsia="Times New Roman" w:hAnsi="Arial" w:cs="Arial"/>
          <w:color w:val="000000"/>
          <w:lang w:val="en-US" w:eastAsia="de-DE"/>
        </w:rPr>
      </w:pPr>
    </w:p>
    <w:p w14:paraId="1F0826DF"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Besides the cell-size-dependence of various macromolecules and metabolites, also the link between metabolic activity and cell </w:t>
      </w:r>
      <w:r>
        <w:rPr>
          <w:rFonts w:ascii="Arial" w:eastAsia="Times New Roman" w:hAnsi="Arial" w:cs="Arial"/>
          <w:color w:val="000000"/>
          <w:lang w:val="en-US" w:eastAsia="de-DE"/>
        </w:rPr>
        <w:t xml:space="preserve">size is still poorly understood. Allometric scaling relationships </w:t>
      </w:r>
      <w:proofErr w:type="gramStart"/>
      <w:r>
        <w:rPr>
          <w:rFonts w:ascii="Arial" w:eastAsia="Times New Roman" w:hAnsi="Arial" w:cs="Arial"/>
          <w:color w:val="000000"/>
          <w:lang w:val="en-US" w:eastAsia="de-DE"/>
        </w:rPr>
        <w:t>similar to</w:t>
      </w:r>
      <w:proofErr w:type="gramEnd"/>
      <w:r>
        <w:rPr>
          <w:rFonts w:ascii="Arial" w:eastAsia="Times New Roman" w:hAnsi="Arial" w:cs="Arial"/>
          <w:color w:val="000000"/>
          <w:lang w:val="en-US" w:eastAsia="de-DE"/>
        </w:rPr>
        <w:t xml:space="preserve"> Kleiber’s law, which describes a sublinear power-law scaling of an animal’s metabolic rate with its body mass, have been observed also for individual cells. As reviewed elsewhere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w:instrText>
      </w:r>
      <w:r>
        <w:rPr>
          <w:rFonts w:ascii="Arial" w:eastAsia="Times New Roman" w:hAnsi="Arial" w:cs="Arial"/>
          <w:color w:val="000000"/>
          <w:lang w:val="en-US" w:eastAsia="de-DE"/>
        </w:rPr>
        <w:instrText>DDIN CSL_CITATION {"citationItems":[{"id":"ITEM-1","itemData":{"DOI":"10.1091/MBC.E21-12-0627/ASSET/IMAGES/LARGE/MBC-33-PE5-G001.JPEG","ISSN":"19394586","PMID":"35862496","abstract":"Cells adopt a size that is optimal for their function, and pushing them b</w:instrText>
      </w:r>
      <w:r>
        <w:rPr>
          <w:rFonts w:ascii="Arial" w:eastAsia="Times New Roman" w:hAnsi="Arial" w:cs="Arial"/>
          <w:color w:val="000000"/>
          <w:lang w:val="en-US" w:eastAsia="de-DE"/>
        </w:rPr>
        <w:instrText>eyond this limit can cause cell aging and death by senescence or reduce proliferative potential. However, by increasing their genome copy number (ploidy), cells can increase their size dramatically and homeostatically maintain physiological properties such</w:instrText>
      </w:r>
      <w:r>
        <w:rPr>
          <w:rFonts w:ascii="Arial" w:eastAsia="Times New Roman" w:hAnsi="Arial" w:cs="Arial"/>
          <w:color w:val="000000"/>
          <w:lang w:val="en-US" w:eastAsia="de-DE"/>
        </w:rPr>
        <w:instrText xml:space="preserve"> as biosynthesis rate. Recent studies investigating the relationship between cell size and rates of biosynthesis and metabolism under normal, polyploid, and pathological conditions are revealing new insights into how cells attain the best function or fitne</w:instrText>
      </w:r>
      <w:r>
        <w:rPr>
          <w:rFonts w:ascii="Arial" w:eastAsia="Times New Roman" w:hAnsi="Arial" w:cs="Arial"/>
          <w:color w:val="000000"/>
          <w:lang w:val="en-US" w:eastAsia="de-DE"/>
        </w:rPr>
        <w:instrText>ss for their size by tuning processes including transcription, translation, and mitochondrial respiration. A new frontier is to connect single-cell scaling relationships with tissue and whole-organism physiology, which promises to reveal molecular and evol</w:instrText>
      </w:r>
      <w:r>
        <w:rPr>
          <w:rFonts w:ascii="Arial" w:eastAsia="Times New Roman" w:hAnsi="Arial" w:cs="Arial"/>
          <w:color w:val="000000"/>
          <w:lang w:val="en-US" w:eastAsia="de-DE"/>
        </w:rPr>
        <w:instrText>utionary principles underlying the astonishing diversity of size observed across the tree of life.","author":[{"dropping-particle":"","family":"Cadart","given":"Clotilde","non-dropping-particle":"","parse-names":false,"suffix":""},{"dropping-particle":"","</w:instrText>
      </w:r>
      <w:r>
        <w:rPr>
          <w:rFonts w:ascii="Arial" w:eastAsia="Times New Roman" w:hAnsi="Arial" w:cs="Arial"/>
          <w:color w:val="000000"/>
          <w:lang w:val="en-US" w:eastAsia="de-DE"/>
        </w:rPr>
        <w:instrText>family":"Heald","given":"Rebecca","non-dropping-particle":"","parse-names":false,"suffix":""}],"container-title":"Molecular Biology of the Cell","id":"ITEM-1","issue":"9","issued":{"date-parts":[["2022","8","1"]]},"publisher":"American Society for Cell Bio</w:instrText>
      </w:r>
      <w:r>
        <w:rPr>
          <w:rFonts w:ascii="Arial" w:eastAsia="Times New Roman" w:hAnsi="Arial" w:cs="Arial"/>
          <w:color w:val="000000"/>
          <w:lang w:val="en-US" w:eastAsia="de-DE"/>
        </w:rPr>
        <w:instrText>logy","title":"Scaling of biosynthesis and metabolism with cell size","type":"article-journal","volume":"33"},"uris":["http://www.mendeley.com/documents/?uuid=d67c3ca9-34fa-353a-8f8e-e3c81c8aca92"]},{"id":"ITEM-2","itemData":{"DOI":"10.3390/biology11081106</w:instrText>
      </w:r>
      <w:r>
        <w:rPr>
          <w:rFonts w:ascii="Arial" w:eastAsia="Times New Roman" w:hAnsi="Arial" w:cs="Arial"/>
          <w:color w:val="000000"/>
          <w:lang w:val="en-US" w:eastAsia="de-DE"/>
        </w:rPr>
        <w:instrText>","ISSN":"20797737","PMID":"35892962","abstract":"Metabolic rate and its covariation with body mass vary substantially within and among species in little understood ways. Here, I critically review explanations (and supporting data) concerning how cell size</w:instrText>
      </w:r>
      <w:r>
        <w:rPr>
          <w:rFonts w:ascii="Arial" w:eastAsia="Times New Roman" w:hAnsi="Arial" w:cs="Arial"/>
          <w:color w:val="000000"/>
          <w:lang w:val="en-US" w:eastAsia="de-DE"/>
        </w:rPr>
        <w:instrText xml:space="preserve"> and number and their establishment by cell expansion and multiplication may affect metabolic rate and its scaling with body mass. Cell size and growth may affect size-specific metabolic rate, as well as the vertical elevation (metabolic level) and slope (</w:instrText>
      </w:r>
      <w:r>
        <w:rPr>
          <w:rFonts w:ascii="Arial" w:eastAsia="Times New Roman" w:hAnsi="Arial" w:cs="Arial"/>
          <w:color w:val="000000"/>
          <w:lang w:val="en-US" w:eastAsia="de-DE"/>
        </w:rPr>
        <w:instrText>exponent) of metabolic scaling relationships. Mechanistic causes of negative correlations between cell size and metabolic rate may involve reduced resource supply and/or demand in larger cells, related to decreased surface area per volume, larger intracell</w:instrText>
      </w:r>
      <w:r>
        <w:rPr>
          <w:rFonts w:ascii="Arial" w:eastAsia="Times New Roman" w:hAnsi="Arial" w:cs="Arial"/>
          <w:color w:val="000000"/>
          <w:lang w:val="en-US" w:eastAsia="de-DE"/>
        </w:rPr>
        <w:instrText>ular resource-transport distances, lower metabolic costs of ionic regulation, slower cell multiplication and somatic growth, and larger intracellular deposits of metabolically inert materials in some tissues. A cell-size perspective helps to explain some (</w:instrText>
      </w:r>
      <w:r>
        <w:rPr>
          <w:rFonts w:ascii="Arial" w:eastAsia="Times New Roman" w:hAnsi="Arial" w:cs="Arial"/>
          <w:color w:val="000000"/>
          <w:lang w:val="en-US" w:eastAsia="de-DE"/>
        </w:rPr>
        <w:instrText xml:space="preserve">but not all) variation in metabolic rate and its body-mass scaling and thus should be included in any multi-mechanistic theory attempting to explain the full diversity of metabolic scaling. A cell-size approach may also help conceptually integrate studies </w:instrText>
      </w:r>
      <w:r>
        <w:rPr>
          <w:rFonts w:ascii="Arial" w:eastAsia="Times New Roman" w:hAnsi="Arial" w:cs="Arial"/>
          <w:color w:val="000000"/>
          <w:lang w:val="en-US" w:eastAsia="de-DE"/>
        </w:rPr>
        <w:instrText>of the biological regulation of cellular growth and metabolism with those concerning major transitions in ontogenetic development and associated shifts in metabolic scaling.","author":[{"dropping-particle":"","family":"Glazier","given":"Douglas S.","non-dr</w:instrText>
      </w:r>
      <w:r>
        <w:rPr>
          <w:rFonts w:ascii="Arial" w:eastAsia="Times New Roman" w:hAnsi="Arial" w:cs="Arial"/>
          <w:color w:val="000000"/>
          <w:lang w:val="en-US" w:eastAsia="de-DE"/>
        </w:rPr>
        <w:instrText>opping-particle":"","parse-names":false,"suffix":""}],"container-title":"Biology","id":"ITEM-2","issue":"8","issued":{"date-parts":[["2022","8","1"]]},"publisher":"Biology (Basel)","title":"How Metabolic Rate Relates to Cell Size","type":"article","volume"</w:instrText>
      </w:r>
      <w:r>
        <w:rPr>
          <w:rFonts w:ascii="Arial" w:eastAsia="Times New Roman" w:hAnsi="Arial" w:cs="Arial"/>
          <w:color w:val="000000"/>
          <w:lang w:val="en-US" w:eastAsia="de-DE"/>
        </w:rPr>
        <w:instrText>:"11"},"uris":["http://www.mendeley.com/documents/?uuid=d390fca5-e215-3f71-b92c-11461f6efd00"]}],"mendeley":{"formattedCitation":"&lt;sup&gt;71,72&lt;/sup&gt;","plainTextFormattedCitation":"71,72","previouslyFormattedCitation":"&lt;sup&gt;71,72&lt;/sup&gt;"},"properties":{"noteIn</w:instrText>
      </w:r>
      <w:r>
        <w:rPr>
          <w:rFonts w:ascii="Arial" w:eastAsia="Times New Roman" w:hAnsi="Arial" w:cs="Arial"/>
          <w:color w:val="000000"/>
          <w:lang w:val="en-US" w:eastAsia="de-DE"/>
        </w:rPr>
        <w:instrText>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71,72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we are only at the beginning of revealing the origin of these scaling </w:t>
      </w:r>
      <w:r>
        <w:rPr>
          <w:rFonts w:ascii="Arial" w:eastAsia="Times New Roman" w:hAnsi="Arial" w:cs="Arial"/>
          <w:color w:val="000000"/>
          <w:lang w:val="en-US" w:eastAsia="de-DE"/>
        </w:rPr>
        <w:lastRenderedPageBreak/>
        <w:t>laws – and in particular their intricate link to multicellularity, tissue cont</w:t>
      </w:r>
      <w:r>
        <w:rPr>
          <w:rFonts w:ascii="Arial" w:eastAsia="Times New Roman" w:hAnsi="Arial" w:cs="Arial"/>
          <w:color w:val="000000"/>
          <w:lang w:val="en-US" w:eastAsia="de-DE"/>
        </w:rPr>
        <w:t>ext, and organism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{"citationItems":[{"id":"ITEM-1","itemData":{"DOI":"10.1016/j.cub.2023.03.071","abstract":"Article Polyploidy in Xenopus lowers metabolic rate by decreasing total cell surface area Graphical abstract Highlights d Xe</w:instrText>
      </w:r>
      <w:r>
        <w:rPr>
          <w:rFonts w:ascii="Arial" w:eastAsia="Times New Roman" w:hAnsi="Arial" w:cs="Arial"/>
          <w:color w:val="000000"/>
          <w:lang w:val="en-US" w:eastAsia="de-DE"/>
        </w:rPr>
        <w:instrText>nopus embryos show a power-law scaling relationship of metabolic rate with mass d Triploid embryos have fewer, larger cells than diploids, reducing metabolic rate d Energetic costs of the plasma membrane maintenance are lowered in triploid cells d Metaboli</w:instrText>
      </w:r>
      <w:r>
        <w:rPr>
          <w:rFonts w:ascii="Arial" w:eastAsia="Times New Roman" w:hAnsi="Arial" w:cs="Arial"/>
          <w:color w:val="000000"/>
          <w:lang w:val="en-US" w:eastAsia="de-DE"/>
        </w:rPr>
        <w:instrText>c rate scales with cell size, not genome size across three Xenopus species In brief Cadart et al. show that triploid X. laevis tadpoles have fewer, larger cells and a lower oxygen consumption rate than diploids due to reduced total cell surface area, which</w:instrText>
      </w:r>
      <w:r>
        <w:rPr>
          <w:rFonts w:ascii="Arial" w:eastAsia="Times New Roman" w:hAnsi="Arial" w:cs="Arial"/>
          <w:color w:val="000000"/>
          <w:lang w:val="en-US" w:eastAsia="de-DE"/>
        </w:rPr>
        <w:instrText xml:space="preserve"> decreases energy required to maintain the plasma membrane. Comparing Xenopus species ranging 6-fold in ploidy reveals that metabolic rate scales with cell size, not genome size. SUMMARY Although polyploidization is frequent in development, cancer, and evo</w:instrText>
      </w:r>
      <w:r>
        <w:rPr>
          <w:rFonts w:ascii="Arial" w:eastAsia="Times New Roman" w:hAnsi="Arial" w:cs="Arial"/>
          <w:color w:val="000000"/>
          <w:lang w:val="en-US" w:eastAsia="de-DE"/>
        </w:rPr>
        <w:instrText>lution, impacts on animal metabolism are poorly understood. In Xenopus frogs, the number of genome copies (ploidy) varies across species and can be manipulated within a species. Here, we show that triploid tadpoles contain fewer, larger cells than dip-loid</w:instrText>
      </w:r>
      <w:r>
        <w:rPr>
          <w:rFonts w:ascii="Arial" w:eastAsia="Times New Roman" w:hAnsi="Arial" w:cs="Arial"/>
          <w:color w:val="000000"/>
          <w:lang w:val="en-US" w:eastAsia="de-DE"/>
        </w:rPr>
        <w:instrText>s and consume oxygen at a lower rate. Drug treatments revealed that the major processes accounting for tadpole energy expenditure include cell proliferation, biosynthesis, and maintenance of plasma membrane potential. While inhibiting cell proliferation di</w:instrText>
      </w:r>
      <w:r>
        <w:rPr>
          <w:rFonts w:ascii="Arial" w:eastAsia="Times New Roman" w:hAnsi="Arial" w:cs="Arial"/>
          <w:color w:val="000000"/>
          <w:lang w:val="en-US" w:eastAsia="de-DE"/>
        </w:rPr>
        <w:instrText xml:space="preserve">d not abolish the oxygen consumption difference between dip-loids and triploids, treatments that altered cellular biosynthesis or electrical potential did. Combining these results with a simple mathematical framework, we propose that the decrease in total </w:instrText>
      </w:r>
      <w:r>
        <w:rPr>
          <w:rFonts w:ascii="Arial" w:eastAsia="Times New Roman" w:hAnsi="Arial" w:cs="Arial"/>
          <w:color w:val="000000"/>
          <w:lang w:val="en-US" w:eastAsia="de-DE"/>
        </w:rPr>
        <w:instrText>cell surface area lowered production and activity of plasma membrane components including the Na + /K + ATPase, reducing energy consumption in triploids. Comparison of Xenopus species that evolved through polyploidization revealed that metabolic difference</w:instrText>
      </w:r>
      <w:r>
        <w:rPr>
          <w:rFonts w:ascii="Arial" w:eastAsia="Times New Roman" w:hAnsi="Arial" w:cs="Arial"/>
          <w:color w:val="000000"/>
          <w:lang w:val="en-US" w:eastAsia="de-DE"/>
        </w:rPr>
        <w:instrText>s emerged during development when cell size scaled with genome size. Thus, ploidy affects metabolism by altering the cell surface area to volume ratio in a multicellular organism.","author":[{"dropping-particle":"","family":"Cadart","given":"Clotilde","non</w:instrText>
      </w:r>
      <w:r>
        <w:rPr>
          <w:rFonts w:ascii="Arial" w:eastAsia="Times New Roman" w:hAnsi="Arial" w:cs="Arial"/>
          <w:color w:val="000000"/>
          <w:lang w:val="en-US" w:eastAsia="de-DE"/>
        </w:rPr>
        <w:instrText>-dropping-particle":"","parse-names":false,"suffix":""},{"dropping-particle":"","family":"Bartz","given":"Julianne","non-dropping-particle":"","parse-names":false,"suffix":""},{"dropping-particle":"","family":"Oaks","given":"Gillian","non-dropping-particle</w:instrText>
      </w:r>
      <w:r>
        <w:rPr>
          <w:rFonts w:ascii="Arial" w:eastAsia="Times New Roman" w:hAnsi="Arial" w:cs="Arial"/>
          <w:color w:val="000000"/>
          <w:lang w:val="en-US" w:eastAsia="de-DE"/>
        </w:rPr>
        <w:instrText>":"","parse-names":false,"suffix":""},{"dropping-particle":"","family":"Liu","given":"Martin Ziyuan","non-dropping-particle":"","parse-names":false,"suffix":""},{"dropping-particle":"","family":"Correspondence","given":"Rebecca Heald","non-dropping-particl</w:instrText>
      </w:r>
      <w:r>
        <w:rPr>
          <w:rFonts w:ascii="Arial" w:eastAsia="Times New Roman" w:hAnsi="Arial" w:cs="Arial"/>
          <w:color w:val="000000"/>
          <w:lang w:val="en-US" w:eastAsia="de-DE"/>
        </w:rPr>
        <w:instrText>e":"","parse-names":false,"suffix":""},{"dropping-particle":"","family":"Heald","given":"Rebecca","non-dropping-particle":"","parse-names":false,"suffix":""}],"container-title":"Current Biology","id":"ITEM-1","issued":{"date-parts":[["2023"]]},"page":"1744</w:instrText>
      </w:r>
      <w:r>
        <w:rPr>
          <w:rFonts w:ascii="Arial" w:eastAsia="Times New Roman" w:hAnsi="Arial" w:cs="Arial"/>
          <w:color w:val="000000"/>
          <w:lang w:val="en-US" w:eastAsia="de-DE"/>
        </w:rPr>
        <w:instrText>-1752.e7","title":"Polyploidy in Xenopus lowers metabolic rate by decreasing total cell surface area","type":"article-journal","volume":"33"},"uris":["http://www.mendeley.com/documents/?uuid=6b2e6828-39bb-3d03-886c-7dea4841bf49"]}],"mendeley":{"formattedCi</w:instrText>
      </w:r>
      <w:r>
        <w:rPr>
          <w:rFonts w:ascii="Arial" w:eastAsia="Times New Roman" w:hAnsi="Arial" w:cs="Arial"/>
          <w:color w:val="000000"/>
          <w:lang w:val="en-US" w:eastAsia="de-DE"/>
        </w:rPr>
        <w:instrText>tation":"&lt;sup&gt;73&lt;/sup&gt;","plainTextFormattedCitation":"73","previouslyFormattedCitation":"&lt;sup&gt;73&lt;/sup&gt;"},"properties":{"noteIndex":0},"schema":"https://github.com/citation-style-language/schema/raw/master/csl-citation.json"}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16C80362"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2.5 Cell density is modul</w:t>
      </w:r>
      <w:r>
        <w:rPr>
          <w:rFonts w:ascii="Arial" w:eastAsia="Times New Roman" w:hAnsi="Arial" w:cs="Arial"/>
          <w:b/>
          <w:bCs/>
          <w:color w:val="000000"/>
          <w:lang w:val="en-US" w:eastAsia="de-DE"/>
        </w:rPr>
        <w:t xml:space="preserve">ated by cell </w:t>
      </w:r>
      <w:proofErr w:type="gramStart"/>
      <w:r>
        <w:rPr>
          <w:rFonts w:ascii="Arial" w:eastAsia="Times New Roman" w:hAnsi="Arial" w:cs="Arial"/>
          <w:b/>
          <w:bCs/>
          <w:color w:val="000000"/>
          <w:lang w:val="en-US" w:eastAsia="de-DE"/>
        </w:rPr>
        <w:t>size</w:t>
      </w:r>
      <w:proofErr w:type="gramEnd"/>
    </w:p>
    <w:p w14:paraId="12367193"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Cell density is a property determined by the cumulative concentrations of all cellular components, and cell density homeostasis therefore depends on a tight coordination of biosynthesis and cell growth</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w:instrText>
      </w:r>
      <w:r>
        <w:rPr>
          <w:rFonts w:ascii="Arial" w:eastAsia="Times New Roman" w:hAnsi="Arial" w:cs="Arial"/>
          <w:color w:val="000000"/>
          <w:lang w:val="en-US" w:eastAsia="de-DE"/>
        </w:rPr>
        <w:instrText>{"id":"ITEM-1","itemData":{"DOI":"10.1016/j.celrep.2019.04.034","abstract":"Graphical Abstract Highlights d The ion transporter NKCC1 forms a complex with the Leu transporter LAT1 d NKCC1 inhibits LAT1 function and Akt and Erk signaling, suppressing mTORC1</w:instrText>
      </w:r>
      <w:r>
        <w:rPr>
          <w:rFonts w:ascii="Arial" w:eastAsia="Times New Roman" w:hAnsi="Arial" w:cs="Arial"/>
          <w:color w:val="000000"/>
          <w:lang w:val="en-US" w:eastAsia="de-DE"/>
        </w:rPr>
        <w:instrText xml:space="preserve"> activation d NKCC1 depletion reduces [Na + ]i and cell volume and enhances cell proliferation d NKCC1 links the regulation of cell volume (size) to cell mass Correspondence drotin@sickkids.ca In Brief Demian et al. show that the Na/K/2Cl ion transporter N</w:instrText>
      </w:r>
      <w:r>
        <w:rPr>
          <w:rFonts w:ascii="Arial" w:eastAsia="Times New Roman" w:hAnsi="Arial" w:cs="Arial"/>
          <w:color w:val="000000"/>
          <w:lang w:val="en-US" w:eastAsia="de-DE"/>
        </w:rPr>
        <w:instrText>KCC1, a known regulator of cell volume, inhibits the Leu transporter LAT1 and the Akt/Erk pathways, thus inhibiting mTORC1 activation and providing a link between cell volume (size) and cell mass regulation.","author":[{"dropping-particle":"","family":"Dem</w:instrText>
      </w:r>
      <w:r>
        <w:rPr>
          <w:rFonts w:ascii="Arial" w:eastAsia="Times New Roman" w:hAnsi="Arial" w:cs="Arial"/>
          <w:color w:val="000000"/>
          <w:lang w:val="en-US" w:eastAsia="de-DE"/>
        </w:rPr>
        <w:instrText>ian","given":"Wael L","non-dropping-particle":"","parse-names":false,"suffix":""},{"dropping-particle":"","family":"Persaud","given":"Avinash","non-dropping-particle":"","parse-names":false,"suffix":""},{"dropping-particle":"","family":"Jiang","given":"Cho</w:instrText>
      </w:r>
      <w:r>
        <w:rPr>
          <w:rFonts w:ascii="Arial" w:eastAsia="Times New Roman" w:hAnsi="Arial" w:cs="Arial"/>
          <w:color w:val="000000"/>
          <w:lang w:val="en-US" w:eastAsia="de-DE"/>
        </w:rPr>
        <w:instrText>ng","non-dropping-particle":"","parse-names":false,"suffix":""},{"dropping-particle":"","family":"Kafri","given":"Ran","non-dropping-particle":"","parse-names":false,"suffix":""},{"dropping-particle":"","family":"Raught","given":"Brian","non-dropping-parti</w:instrText>
      </w:r>
      <w:r>
        <w:rPr>
          <w:rFonts w:ascii="Arial" w:eastAsia="Times New Roman" w:hAnsi="Arial" w:cs="Arial"/>
          <w:color w:val="000000"/>
          <w:lang w:val="en-US" w:eastAsia="de-DE"/>
        </w:rPr>
        <w:instrText>cle":"","parse-names":false,"suffix":""},{"dropping-particle":"","family":"Rotin","given":"Daniela","non-dropping-particle":"","parse-names":false,"suffix":""},{"dropping-particle":"","family":"Tienne Coyaud","given":"E ´","non-dropping-particle":"","parse</w:instrText>
      </w:r>
      <w:r>
        <w:rPr>
          <w:rFonts w:ascii="Arial" w:eastAsia="Times New Roman" w:hAnsi="Arial" w:cs="Arial"/>
          <w:color w:val="000000"/>
          <w:lang w:val="en-US" w:eastAsia="de-DE"/>
        </w:rPr>
        <w:instrText>-names":false,"suffix":""},{"dropping-particle":"","family":"Liu","given":"Shixuan","non-dropping-particle":"","parse-names":false,"suffix":""},{"dropping-particle":"","family":"Kapus","given":"Andras","non-dropping-particle":"","parse-names":false,"suffix</w:instrText>
      </w:r>
      <w:r>
        <w:rPr>
          <w:rFonts w:ascii="Arial" w:eastAsia="Times New Roman" w:hAnsi="Arial" w:cs="Arial"/>
          <w:color w:val="000000"/>
          <w:lang w:val="en-US" w:eastAsia="de-DE"/>
        </w:rPr>
        <w:instrText>":""}],"container-title":"Cell Reports","id":"ITEM-1","issued":{"date-parts":[["2019"]]},"title":"The Ion Transporter NKCC1 Links Cell Volume to Cell Mass Regulation by Suppressing mTORC1","type":"article-journal","volume":"27"},"uris":["http://www.mendele</w:instrText>
      </w:r>
      <w:r>
        <w:rPr>
          <w:rFonts w:ascii="Arial" w:eastAsia="Times New Roman" w:hAnsi="Arial" w:cs="Arial"/>
          <w:color w:val="000000"/>
          <w:lang w:val="en-US" w:eastAsia="de-DE"/>
        </w:rPr>
        <w:instrText>y.com/documents/?uuid=0b1441a7-4218-310f-a4b2-129fdf9f1e6c"]},{"id":"ITEM-2","itemData":{"DOI":"10.1016/j.cels.2019.10.001","abstract":"Graphical Abstract Highlights d Cell growth involves balance between rates of volume growth and protein synthesis d Inhi</w:instrText>
      </w:r>
      <w:r>
        <w:rPr>
          <w:rFonts w:ascii="Arial" w:eastAsia="Times New Roman" w:hAnsi="Arial" w:cs="Arial"/>
          <w:color w:val="000000"/>
          <w:lang w:val="en-US" w:eastAsia="de-DE"/>
        </w:rPr>
        <w:instrText>bition of volume growth leads to an increase in global protein density d Increased density drives accelerated growth after release from growth inhibition d Accelerated growth serves as a homeostatic mechanism to dilute excess protein In Brief During cell g</w:instrText>
      </w:r>
      <w:r>
        <w:rPr>
          <w:rFonts w:ascii="Arial" w:eastAsia="Times New Roman" w:hAnsi="Arial" w:cs="Arial"/>
          <w:color w:val="000000"/>
          <w:lang w:val="en-US" w:eastAsia="de-DE"/>
        </w:rPr>
        <w:instrText>rowth, rates of protein synthesis and cellular expansion must somehow be coordinated to maintain global protein concentrations. We find in fission yeast cells that upon inhibition of volume growth, protein biosynthesis nevertheless continues, leading to gl</w:instrText>
      </w:r>
      <w:r>
        <w:rPr>
          <w:rFonts w:ascii="Arial" w:eastAsia="Times New Roman" w:hAnsi="Arial" w:cs="Arial"/>
          <w:color w:val="000000"/>
          <w:lang w:val="en-US" w:eastAsia="de-DE"/>
        </w:rPr>
        <w:instrText>obal accumulation of proteins and increased cellular density. Upon release of growth inhibition, cells exhibit abnormally accelerated growth (supergrowth), which dilutes the excess protein. These phenomena demonstrate a proteome homeostasis mechanism based</w:instrText>
      </w:r>
      <w:r>
        <w:rPr>
          <w:rFonts w:ascii="Arial" w:eastAsia="Times New Roman" w:hAnsi="Arial" w:cs="Arial"/>
          <w:color w:val="000000"/>
          <w:lang w:val="en-US" w:eastAsia="de-DE"/>
        </w:rPr>
        <w:instrText xml:space="preserve"> upon cell growth regulation.","author":[{"dropping-particle":"","family":"Knapp","given":"Benjamin D","non-dropping-particle":"","parse-names":false,"suffix":""},{"dropping-particle":"","family":"Odermatt","given":"Pascal","non-dropping-particle":"","pars</w:instrText>
      </w:r>
      <w:r>
        <w:rPr>
          <w:rFonts w:ascii="Arial" w:eastAsia="Times New Roman" w:hAnsi="Arial" w:cs="Arial"/>
          <w:color w:val="000000"/>
          <w:lang w:val="en-US" w:eastAsia="de-DE"/>
        </w:rPr>
        <w:instrText>e-names":false,"suffix":""},{"dropping-particle":"","family":"Rojas","given":"Enrique R","non-dropping-particle":"","parse-names":false,"suffix":""},{"dropping-particle":"","family":"Cheng","given":"Wenpeng","non-dropping-particle":"","parse-names":false,"</w:instrText>
      </w:r>
      <w:r>
        <w:rPr>
          <w:rFonts w:ascii="Arial" w:eastAsia="Times New Roman" w:hAnsi="Arial" w:cs="Arial"/>
          <w:color w:val="000000"/>
          <w:lang w:val="en-US" w:eastAsia="de-DE"/>
        </w:rPr>
        <w:instrText>suffix":""},{"dropping-particle":"","family":"He","given":"Xiangwei","non-dropping-particle":"","parse-names":false,"suffix":""},{"dropping-particle":"","family":"Huang","given":"Kerwyn Casey","non-dropping-particle":"","parse-names":false,"suffix":""},{"d</w:instrText>
      </w:r>
      <w:r>
        <w:rPr>
          <w:rFonts w:ascii="Arial" w:eastAsia="Times New Roman" w:hAnsi="Arial" w:cs="Arial"/>
          <w:color w:val="000000"/>
          <w:lang w:val="en-US" w:eastAsia="de-DE"/>
        </w:rPr>
        <w:instrText>ropping-particle":"","family":"Correspondence","given":"Fred Chang","non-dropping-particle":"","parse-names":false,"suffix":""},{"dropping-particle":"","family":"Edu","given":"Kchuang@stanford","non-dropping-particle":"","parse-names":false,"suffix":""},{"</w:instrText>
      </w:r>
      <w:r>
        <w:rPr>
          <w:rFonts w:ascii="Arial" w:eastAsia="Times New Roman" w:hAnsi="Arial" w:cs="Arial"/>
          <w:color w:val="000000"/>
          <w:lang w:val="en-US" w:eastAsia="de-DE"/>
        </w:rPr>
        <w:instrText>dropping-particle":"","family":"Chang","given":"Fred","non-dropping-particle":"","parse-names":false,"suffix":""}],"container-title":"Cell Systems","id":"ITEM-2","issued":{"date-parts":[["2019"]]},"page":"434-445","title":"Decoupling of Rates of Protein Sy</w:instrText>
      </w:r>
      <w:r>
        <w:rPr>
          <w:rFonts w:ascii="Arial" w:eastAsia="Times New Roman" w:hAnsi="Arial" w:cs="Arial"/>
          <w:color w:val="000000"/>
          <w:lang w:val="en-US" w:eastAsia="de-DE"/>
        </w:rPr>
        <w:instrText>nthesis from Cell Expansion Leads to Supergrowth Article Decoupling of Rates of Protein Synthesis from Cell Expansion Leads to Supergrowth","type":"article-journal","volume":"9"},"uris":["http://www.mendeley.com/documents/?uuid=40a71847-da9d-3acc-a341-80b2</w:instrText>
      </w:r>
      <w:r>
        <w:rPr>
          <w:rFonts w:ascii="Arial" w:eastAsia="Times New Roman" w:hAnsi="Arial" w:cs="Arial"/>
          <w:color w:val="000000"/>
          <w:lang w:val="en-US" w:eastAsia="de-DE"/>
        </w:rPr>
        <w:instrText>72db7e28"]}],"mendeley":{"formattedCitation":"&lt;sup&gt;74,75&lt;/sup&gt;","plainTextFormattedCitation":"74,75","previouslyFormattedCitation":"&lt;sup&gt;74,75&lt;/sup&gt;"},"properties":{"noteIndex":0},"schema":"https://github.com/citation-style-language/schema/raw/master/csl-c</w:instrText>
      </w:r>
      <w:r>
        <w:rPr>
          <w:rFonts w:ascii="Arial" w:eastAsia="Times New Roman" w:hAnsi="Arial" w:cs="Arial"/>
          <w:color w:val="000000"/>
          <w:lang w:val="en-US" w:eastAsia="de-DE"/>
        </w:rPr>
        <w:instrText>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74,75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Depending on the experimental approach, the ratio of dry mass to total cell volume (cellular mass density)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{"citationItems":[{"id":"ITEM-1","itemData":{"DOI":"10.1073/PNAS.1104651108/SUPPL_FILE/PNAS.1104651108_SI.P</w:instrText>
      </w:r>
      <w:r>
        <w:rPr>
          <w:rFonts w:ascii="Arial" w:eastAsia="Times New Roman" w:hAnsi="Arial" w:cs="Arial"/>
          <w:color w:val="000000"/>
          <w:lang w:val="en-US" w:eastAsia="de-DE"/>
        </w:rPr>
        <w:instrText xml:space="preserve">DF","ISSN":"00278424","PMID":"21690360","abstract":"We have used a microfluidic mass sensor to measure the density of single living cells. By weighing each cell in two fluids of different densities, our technique measures the single-cell mass, volume, and </w:instrText>
      </w:r>
      <w:r>
        <w:rPr>
          <w:rFonts w:ascii="Arial" w:eastAsia="Times New Roman" w:hAnsi="Arial" w:cs="Arial"/>
          <w:color w:val="000000"/>
          <w:lang w:val="en-US" w:eastAsia="de-DE"/>
        </w:rPr>
        <w:instrText xml:space="preserve">density of approximately 500 cells per hour with a density precision of 0.001 gmL -1. We observe that the intrinsic cell-to-cell variation in density is nearly 100-fold smaller than the mass or volume variation. As a result, we can measure changes in cell </w:instrText>
      </w:r>
      <w:r>
        <w:rPr>
          <w:rFonts w:ascii="Arial" w:eastAsia="Times New Roman" w:hAnsi="Arial" w:cs="Arial"/>
          <w:color w:val="000000"/>
          <w:lang w:val="en-US" w:eastAsia="de-DE"/>
        </w:rPr>
        <w:instrText>density indicative of cellular processes that would be otherwise undetectable by mass or volume measurements. Here, we demonstrate this with four examples: identifying Plasmodium falciparum malariainfected erythrocytes in a culture, distinguishing transfus</w:instrText>
      </w:r>
      <w:r>
        <w:rPr>
          <w:rFonts w:ascii="Arial" w:eastAsia="Times New Roman" w:hAnsi="Arial" w:cs="Arial"/>
          <w:color w:val="000000"/>
          <w:lang w:val="en-US" w:eastAsia="de-DE"/>
        </w:rPr>
        <w:instrText>ed blood cells from a patient's own blood, identifying irreversibly sickled cells in a sickle cell patient, and identifying leukemia cells in the early stages of responding to a drug treatment. These demonstrations suggest that the ability to measure singl</w:instrText>
      </w:r>
      <w:r>
        <w:rPr>
          <w:rFonts w:ascii="Arial" w:eastAsia="Times New Roman" w:hAnsi="Arial" w:cs="Arial"/>
          <w:color w:val="000000"/>
          <w:lang w:val="en-US" w:eastAsia="de-DE"/>
        </w:rPr>
        <w:instrText>e-cell density will provide valuable insights into cell state for a wide range of biological processes.","author":[{"dropping-particle":"","family":"Grover","given":"William H.","non-dropping-particle":"","parse-names":false,"suffix":""},{"dropping-particl</w:instrText>
      </w:r>
      <w:r>
        <w:rPr>
          <w:rFonts w:ascii="Arial" w:eastAsia="Times New Roman" w:hAnsi="Arial" w:cs="Arial"/>
          <w:color w:val="000000"/>
          <w:lang w:val="en-US" w:eastAsia="de-DE"/>
        </w:rPr>
        <w:instrText>e":"","family":"Bryan","given":"Andrea K.","non-dropping-particle":"","parse-names":false,"suffix":""},{"dropping-particle":"","family":"Diez-Silva","given":"Monica","non-dropping-particle":"","parse-names":false,"suffix":""},{"dropping-particle":"","famil</w:instrText>
      </w:r>
      <w:r>
        <w:rPr>
          <w:rFonts w:ascii="Arial" w:eastAsia="Times New Roman" w:hAnsi="Arial" w:cs="Arial"/>
          <w:color w:val="000000"/>
          <w:lang w:val="en-US" w:eastAsia="de-DE"/>
        </w:rPr>
        <w:instrText>y":"Suresh","given":"Subra","non-dropping-particle":"","parse-names":false,"suffix":""},{"dropping-particle":"","family":"Higgins","given":"John M.","non-dropping-particle":"","parse-names":false,"suffix":""},{"dropping-particle":"","family":"Manalis","giv</w:instrText>
      </w:r>
      <w:r>
        <w:rPr>
          <w:rFonts w:ascii="Arial" w:eastAsia="Times New Roman" w:hAnsi="Arial" w:cs="Arial"/>
          <w:color w:val="000000"/>
          <w:lang w:val="en-US" w:eastAsia="de-DE"/>
        </w:rPr>
        <w:instrText>en":"Scott R.","non-dropping-particle":"","parse-names":false,"suffix":""}],"container-title":"Proceedings of the National Academy of Sciences of the United States of America","id":"ITEM-1","issue":"27","issued":{"date-parts":[["2011","7","5"]]},"page":"10</w:instrText>
      </w:r>
      <w:r>
        <w:rPr>
          <w:rFonts w:ascii="Arial" w:eastAsia="Times New Roman" w:hAnsi="Arial" w:cs="Arial"/>
          <w:color w:val="000000"/>
          <w:lang w:val="en-US" w:eastAsia="de-DE"/>
        </w:rPr>
        <w:instrText>992-10996","publisher":"National Academy of Sciences","title":"Measuring single-cell density","type":"article-journal","volume":"108"},"uris":["http://www.mendeley.com/documents/?uuid=15d603e0-4dea-3b99-b7dc-9e9c55d62f72"]},{"id":"ITEM-2","itemData":{"DOI"</w:instrText>
      </w:r>
      <w:r>
        <w:rPr>
          <w:rFonts w:ascii="Arial" w:eastAsia="Times New Roman" w:hAnsi="Arial" w:cs="Arial"/>
          <w:color w:val="000000"/>
          <w:lang w:val="en-US" w:eastAsia="de-DE"/>
        </w:rPr>
        <w:instrText>:"10.3389/FCELL.2022.1017499/BIBTEX","ISSN":"2296634X","abstract":"Cell dry mass is principally determined by the sum of biosynthesis and degradation. Measurable change in dry mass occurs on a time scale of hours. By contrast, cell volume can change in min</w:instrText>
      </w:r>
      <w:r>
        <w:rPr>
          <w:rFonts w:ascii="Arial" w:eastAsia="Times New Roman" w:hAnsi="Arial" w:cs="Arial"/>
          <w:color w:val="000000"/>
          <w:lang w:val="en-US" w:eastAsia="de-DE"/>
        </w:rPr>
        <w:instrText>utes by altering the osmotic conditions. How changes in dry mass and volume are coupled is a fundamental question in cell size control. If cell volume were proportional to cell dry mass during growth, the cell would always maintain the same cellular mass d</w:instrText>
      </w:r>
      <w:r>
        <w:rPr>
          <w:rFonts w:ascii="Arial" w:eastAsia="Times New Roman" w:hAnsi="Arial" w:cs="Arial"/>
          <w:color w:val="000000"/>
          <w:lang w:val="en-US" w:eastAsia="de-DE"/>
        </w:rPr>
        <w:instrText>ensity, defined as cell dry mass dividing by cell volume. The accuracy and stability against perturbation of this proportionality has never been stringently tested. Normalized Raman Imaging (NoRI), can measure both protein and lipid dry mass density direct</w:instrText>
      </w:r>
      <w:r>
        <w:rPr>
          <w:rFonts w:ascii="Arial" w:eastAsia="Times New Roman" w:hAnsi="Arial" w:cs="Arial"/>
          <w:color w:val="000000"/>
          <w:lang w:val="en-US" w:eastAsia="de-DE"/>
        </w:rPr>
        <w:instrText xml:space="preserve">ly. Using this new technique, we have been able to investigate the stability of mass density in response to pharmaceutical and physiological perturbations in three cultured mammalian cell lines. We find a remarkably narrow mass density distribution within </w:instrText>
      </w:r>
      <w:r>
        <w:rPr>
          <w:rFonts w:ascii="Arial" w:eastAsia="Times New Roman" w:hAnsi="Arial" w:cs="Arial"/>
          <w:color w:val="000000"/>
          <w:lang w:val="en-US" w:eastAsia="de-DE"/>
        </w:rPr>
        <w:instrText>cells, that is, significantly tighter than the variability of mass or volume distribution. The measured mass density is independent of the cell cycle. We find that mass density can be modulated directly by extracellular osmolytes or by disruptions of the c</w:instrText>
      </w:r>
      <w:r>
        <w:rPr>
          <w:rFonts w:ascii="Arial" w:eastAsia="Times New Roman" w:hAnsi="Arial" w:cs="Arial"/>
          <w:color w:val="000000"/>
          <w:lang w:val="en-US" w:eastAsia="de-DE"/>
        </w:rPr>
        <w:instrText xml:space="preserve">ytoskeleton. Yet, mass density is surprisingly resistant to pharmacological perturbations of protein synthesis or protein degradation, suggesting there must be some form of feedback control to maintain the homeostasis of mass density when mass is altered. </w:instrText>
      </w:r>
      <w:r>
        <w:rPr>
          <w:rFonts w:ascii="Arial" w:eastAsia="Times New Roman" w:hAnsi="Arial" w:cs="Arial"/>
          <w:color w:val="000000"/>
          <w:lang w:val="en-US" w:eastAsia="de-DE"/>
        </w:rPr>
        <w:instrText>By contrast, physiological perturbations such as starvation or senescence induce significant shifts in mass density. We have begun to shed light on how and why cell mass density remains fixed against some perturbations and yet is sensitive during transitio</w:instrText>
      </w:r>
      <w:r>
        <w:rPr>
          <w:rFonts w:ascii="Arial" w:eastAsia="Times New Roman" w:hAnsi="Arial" w:cs="Arial"/>
          <w:color w:val="000000"/>
          <w:lang w:val="en-US" w:eastAsia="de-DE"/>
        </w:rPr>
        <w:instrText>ns in physiological state.","author":[{"dropping-particle":"","family":"Liu","given":"Xili","non-dropping-particle":"","parse-names":false,"suffix":""},{"dropping-particle":"","family":"Oh","given":"Seungeun","non-dropping-particle":"","parse-names":false,</w:instrText>
      </w:r>
      <w:r>
        <w:rPr>
          <w:rFonts w:ascii="Arial" w:eastAsia="Times New Roman" w:hAnsi="Arial" w:cs="Arial"/>
          <w:color w:val="000000"/>
          <w:lang w:val="en-US" w:eastAsia="de-DE"/>
        </w:rPr>
        <w:instrText>"suffix":""},{"dropping-particle":"","family":"Kirschner","given":"Marc W.","non-dropping-particle":"","parse-names":false,"suffix":""}],"container-title":"Frontiers in Cell and Developmental Biology","id":"ITEM-2","issued":{"date-parts":[["2022","10","12"</w:instrText>
      </w:r>
      <w:r>
        <w:rPr>
          <w:rFonts w:ascii="Arial" w:eastAsia="Times New Roman" w:hAnsi="Arial" w:cs="Arial"/>
          <w:color w:val="000000"/>
          <w:lang w:val="en-US" w:eastAsia="de-DE"/>
        </w:rPr>
        <w:instrText>]]},"page":"1017499","publisher":"Frontiers Media S.A.","title":"The uniformity and stability of cellular mass density in mammalian cell culture","type":"article-journal","volume":"10"},"uris":["http://www.mendeley.com/documents/?uuid=b7047a84-fe52-316a-a6</w:instrText>
      </w:r>
      <w:r>
        <w:rPr>
          <w:rFonts w:ascii="Arial" w:eastAsia="Times New Roman" w:hAnsi="Arial" w:cs="Arial"/>
          <w:color w:val="000000"/>
          <w:lang w:val="en-US" w:eastAsia="de-DE"/>
        </w:rPr>
        <w:instrText>46-a4d1e1423bf6"]}],"mendeley":{"formattedCitation":"&lt;sup&gt;76,77&lt;/sup&gt;","plainTextFormattedCitation":"76,77","previouslyFormattedCitation":"&lt;sup&gt;76,77&lt;/sup&gt;"},"properties":{"noteIndex":0},"schema":"https://github.com/citation-style-language/schema/raw/maste</w:instrText>
      </w:r>
      <w:r>
        <w:rPr>
          <w:rFonts w:ascii="Arial" w:eastAsia="Times New Roman" w:hAnsi="Arial" w:cs="Arial"/>
          <w:color w:val="000000"/>
          <w:lang w:val="en-US" w:eastAsia="de-DE"/>
        </w:rPr>
        <w:instrText>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76,77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or dry mass to dry volume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{"citationItems":[{"id":"ITEM-1","itemData":{"DOI":"10.7554/ELIFE.76664","ISSN":"2050084X","PMID":"35535854","abstract":"Cell mass and composition change with cell cycle progression.</w:instrText>
      </w:r>
      <w:r>
        <w:rPr>
          <w:rFonts w:ascii="Arial" w:eastAsia="Times New Roman" w:hAnsi="Arial" w:cs="Arial"/>
          <w:color w:val="000000"/>
          <w:lang w:val="en-US" w:eastAsia="de-DE"/>
        </w:rPr>
        <w:instrText xml:space="preserve"> Our previous work characterized buoyant mass dynamics in mitosis (Miettinen et al., 2019), but how dry mass and cell composition change in mitosis has remained unclear. To better understand mitotic cell growth and compositional changes, we develop a singl</w:instrText>
      </w:r>
      <w:r>
        <w:rPr>
          <w:rFonts w:ascii="Arial" w:eastAsia="Times New Roman" w:hAnsi="Arial" w:cs="Arial"/>
          <w:color w:val="000000"/>
          <w:lang w:val="en-US" w:eastAsia="de-DE"/>
        </w:rPr>
        <w:instrText xml:space="preserve">e-cell approach for monitoring dry mass and the density of that dry mass every ~75 s with 1.3% and 0.3% measurement precision, respectively. We find that suspension grown mammalian cells lose dry mass and increase dry mass density following mitotic entry. </w:instrText>
      </w:r>
      <w:r>
        <w:rPr>
          <w:rFonts w:ascii="Arial" w:eastAsia="Times New Roman" w:hAnsi="Arial" w:cs="Arial"/>
          <w:color w:val="000000"/>
          <w:lang w:val="en-US" w:eastAsia="de-DE"/>
        </w:rPr>
        <w:instrText>These changes display large, non-genetic cell-to-cell variability, and the changes are reversed at metaphase-anaphase transition, after which dry mass continues accumulating. The change in dry mass density causes buoyant and dry mass to differ specifically</w:instrText>
      </w:r>
      <w:r>
        <w:rPr>
          <w:rFonts w:ascii="Arial" w:eastAsia="Times New Roman" w:hAnsi="Arial" w:cs="Arial"/>
          <w:color w:val="000000"/>
          <w:lang w:val="en-US" w:eastAsia="de-DE"/>
        </w:rPr>
        <w:instrText xml:space="preserve"> in early mitosis, thus reconciling existing literature on mitotic cell growth. Mechanistically, cells in early mitosis increase lysosomal exocytosis, and inhibition of lysosomal exocytosis decreases the dry mass loss and dry mass density increase in mitos</w:instrText>
      </w:r>
      <w:r>
        <w:rPr>
          <w:rFonts w:ascii="Arial" w:eastAsia="Times New Roman" w:hAnsi="Arial" w:cs="Arial"/>
          <w:color w:val="000000"/>
          <w:lang w:val="en-US" w:eastAsia="de-DE"/>
        </w:rPr>
        <w:instrText>is. Overall, our work provides a new approach for monitoring single-cell dry mass and dry mass density, and reveals that mitosis is coupled to extensive exocytosis-mediated secretion of cellular contents.","author":[{"dropping-particle":"","family":"Mietti</w:instrText>
      </w:r>
      <w:r>
        <w:rPr>
          <w:rFonts w:ascii="Arial" w:eastAsia="Times New Roman" w:hAnsi="Arial" w:cs="Arial"/>
          <w:color w:val="000000"/>
          <w:lang w:val="en-US" w:eastAsia="de-DE"/>
        </w:rPr>
        <w:instrText>nen","given":"Teemu P.","non-dropping-particle":"","parse-names":false,"suffix":""},{"dropping-particle":"","family":"Ly","given":"Kevin S.","non-dropping-particle":"","parse-names":false,"suffix":""},{"dropping-particle":"","family":"Lam","given":"Alice",</w:instrText>
      </w:r>
      <w:r>
        <w:rPr>
          <w:rFonts w:ascii="Arial" w:eastAsia="Times New Roman" w:hAnsi="Arial" w:cs="Arial"/>
          <w:color w:val="000000"/>
          <w:lang w:val="en-US" w:eastAsia="de-DE"/>
        </w:rPr>
        <w:instrText>"non-dropping-particle":"","parse-names":false,"suffix":""},{"dropping-particle":"","family":"Manalis","given":"Scott R.","non-dropping-particle":"","parse-names":false,"suffix":""}],"container-title":"eLife","id":"ITEM-1","issued":{"date-parts":[["2022"]]</w:instrText>
      </w:r>
      <w:r>
        <w:rPr>
          <w:rFonts w:ascii="Arial" w:eastAsia="Times New Roman" w:hAnsi="Arial" w:cs="Arial"/>
          <w:color w:val="000000"/>
          <w:lang w:val="en-US" w:eastAsia="de-DE"/>
        </w:rPr>
        <w:instrText>},"publisher":"eLife Sciences Publications Ltd","title":"Single-cell monitoring of dry mass and dry mass density reveals exocytosis of cellular dry contents in mitosis","type":"article-journal","volume":"11"},"uris":["http://www.mendeley.com/documents/?uui</w:instrText>
      </w:r>
      <w:r>
        <w:rPr>
          <w:rFonts w:ascii="Arial" w:eastAsia="Times New Roman" w:hAnsi="Arial" w:cs="Arial"/>
          <w:color w:val="000000"/>
          <w:lang w:val="en-US" w:eastAsia="de-DE"/>
        </w:rPr>
        <w:instrText>d=c4b5c91f-fb75-36a6-80bd-584e005e50c6"]}],"mendeley":{"formattedCitation":"&lt;sup&gt;78&lt;/sup&gt;","plainTextFormattedCitation":"78","previouslyFormattedCitation":"&lt;sup&gt;78&lt;/sup&gt;"},"properties":{"noteIndex":0},"schema":"https://github.com/citation-style-language/sc</w:instrText>
      </w:r>
      <w:r>
        <w:rPr>
          <w:rFonts w:ascii="Arial" w:eastAsia="Times New Roman" w:hAnsi="Arial" w:cs="Arial"/>
          <w:color w:val="000000"/>
          <w:lang w:val="en-US" w:eastAsia="de-DE"/>
        </w:rPr>
        <w:instrText>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can be used as proxy measurements. Dry mass is dominated by large macromolecules, including proteins, nucleic acids, and lipids. Cell volume on the other hand is dominated by highly abundant small metabolites such a</w:t>
      </w:r>
      <w:r>
        <w:rPr>
          <w:rFonts w:ascii="Arial" w:eastAsia="Times New Roman" w:hAnsi="Arial" w:cs="Arial"/>
          <w:color w:val="000000"/>
          <w:lang w:val="en-US" w:eastAsia="de-DE"/>
        </w:rPr>
        <w:t>s ions and amino acids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{"citationItems":[{"id":"ITEM-1","itemData":{"DOI":"10.7554/ELIFE.82490","ISSN":"2050084X","PMID":"37129354","abstract":"Cellular growth is the result of passive physical constraints and active biological processes.</w:instrText>
      </w:r>
      <w:r>
        <w:rPr>
          <w:rFonts w:ascii="Arial" w:eastAsia="Times New Roman" w:hAnsi="Arial" w:cs="Arial"/>
          <w:color w:val="000000"/>
          <w:lang w:val="en-US" w:eastAsia="de-DE"/>
        </w:rPr>
        <w:instrText xml:space="preserve"> Their interplay leads to the appearance of robust and ubiquitous scaling laws relating linearly cell size, dry mass, and nuclear size. Despite accumulating experimental evidence, their origin is still unclear. Here, we show that these laws can be explaine</w:instrText>
      </w:r>
      <w:r>
        <w:rPr>
          <w:rFonts w:ascii="Arial" w:eastAsia="Times New Roman" w:hAnsi="Arial" w:cs="Arial"/>
          <w:color w:val="000000"/>
          <w:lang w:val="en-US" w:eastAsia="de-DE"/>
        </w:rPr>
        <w:instrText>d quantitatively by a single model of size regulation based on three simple, yet generic, physical constraints defining altogether the Pump-Leak model. Based on quantitative estimates, we clearly map the Pump-Leak model coarse-grained parameters with the d</w:instrText>
      </w:r>
      <w:r>
        <w:rPr>
          <w:rFonts w:ascii="Arial" w:eastAsia="Times New Roman" w:hAnsi="Arial" w:cs="Arial"/>
          <w:color w:val="000000"/>
          <w:lang w:val="en-US" w:eastAsia="de-DE"/>
        </w:rPr>
        <w:instrText>ominant cellular components. We propose that dry mass density homeostasis arises from the scaling between proteins and small osmolytes, mainly amino-acids and ions. Our model predicts this scaling to naturally fail, both at senescence when DNA and RNAs are</w:instrText>
      </w:r>
      <w:r>
        <w:rPr>
          <w:rFonts w:ascii="Arial" w:eastAsia="Times New Roman" w:hAnsi="Arial" w:cs="Arial"/>
          <w:color w:val="000000"/>
          <w:lang w:val="en-US" w:eastAsia="de-DE"/>
        </w:rPr>
        <w:instrText xml:space="preserve"> saturated by RNA polymerases and ribosomes respectively, and at mitotic entry due to the counterion release following histone tail modifications. Based on the same physical laws, we further show that nuclear scaling results from a osmotic balance at the n</w:instrText>
      </w:r>
      <w:r>
        <w:rPr>
          <w:rFonts w:ascii="Arial" w:eastAsia="Times New Roman" w:hAnsi="Arial" w:cs="Arial"/>
          <w:color w:val="000000"/>
          <w:lang w:val="en-US" w:eastAsia="de-DE"/>
        </w:rPr>
        <w:instrText>uclear envelope and a large pool of metabolites, which dilutes chromatin counterions that do not scale during growth.","author":[{"dropping-particle":"","family":"Rollin","given":"Romain","non-dropping-particle":"","parse-names":false,"suffix":""},{"droppi</w:instrText>
      </w:r>
      <w:r>
        <w:rPr>
          <w:rFonts w:ascii="Arial" w:eastAsia="Times New Roman" w:hAnsi="Arial" w:cs="Arial"/>
          <w:color w:val="000000"/>
          <w:lang w:val="en-US" w:eastAsia="de-DE"/>
        </w:rPr>
        <w:instrText>ng-particle":"","family":"Joanny","given":"Jean François","non-dropping-particle":"","parse-names":false,"suffix":""},{"dropping-particle":"","family":"Sens","given":"Pierre","non-dropping-particle":"","parse-names":false,"suffix":""}],"container-title":"e</w:instrText>
      </w:r>
      <w:r>
        <w:rPr>
          <w:rFonts w:ascii="Arial" w:eastAsia="Times New Roman" w:hAnsi="Arial" w:cs="Arial"/>
          <w:color w:val="000000"/>
          <w:lang w:val="en-US" w:eastAsia="de-DE"/>
        </w:rPr>
        <w:instrText>Life","id":"ITEM-1","issued":{"date-parts":[["2023"]]},"publisher":"eLife Sciences Publications Ltd","title":"Physical basis of the cell size scaling laws","type":"article-journal","volume":"12"},"uris":["http://www.mendeley.com/documents/?uuid=25a63ee4-5c</w:instrText>
      </w:r>
      <w:r>
        <w:rPr>
          <w:rFonts w:ascii="Arial" w:eastAsia="Times New Roman" w:hAnsi="Arial" w:cs="Arial"/>
          <w:color w:val="000000"/>
          <w:lang w:val="en-US" w:eastAsia="de-DE"/>
        </w:rPr>
        <w:instrText>52-3d82-9ff9-10dbafa4cdd1"]},{"id":"ITEM-2","itemData":{"DOI":"10.7554/ELIFE.89415","ISSN":"2050084X","PMID":"37314067","author":[{"dropping-particle":"","family":"Ye","given":"Yiyang","non-dropping-particle":"","parse-names":false,"suffix":""},{"dropping-</w:instrText>
      </w:r>
      <w:r>
        <w:rPr>
          <w:rFonts w:ascii="Arial" w:eastAsia="Times New Roman" w:hAnsi="Arial" w:cs="Arial"/>
          <w:color w:val="000000"/>
          <w:lang w:val="en-US" w:eastAsia="de-DE"/>
        </w:rPr>
        <w:instrText>particle":"","family":"Lin","given":"Jie","non-dropping-particle":"","parse-names":false,"suffix":""}],"container-title":"eLife","id":"ITEM-2","issued":{"date-parts":[["2023","6","1"]]},"publisher":"eLife Sciences Publications Ltd","title":"Putting scaling</w:instrText>
      </w:r>
      <w:r>
        <w:rPr>
          <w:rFonts w:ascii="Arial" w:eastAsia="Times New Roman" w:hAnsi="Arial" w:cs="Arial"/>
          <w:color w:val="000000"/>
          <w:lang w:val="en-US" w:eastAsia="de-DE"/>
        </w:rPr>
        <w:instrText xml:space="preserve"> laws on a physical foundation","type":"article-journal","volume":"12"},"uris":["http://www.mendeley.com/documents/?uuid=302d3c03-4214-363e-b415-3fb0974c4d4c"]}],"mendeley":{"formattedCitation":"&lt;sup&gt;79,80&lt;/sup&gt;","plainTextFormattedCitation":"79,80","previ</w:instrText>
      </w:r>
      <w:r>
        <w:rPr>
          <w:rFonts w:ascii="Arial" w:eastAsia="Times New Roman" w:hAnsi="Arial" w:cs="Arial"/>
          <w:color w:val="000000"/>
          <w:lang w:val="en-US" w:eastAsia="de-DE"/>
        </w:rPr>
        <w:instrText>ouslyFormattedCitation":"&lt;sup&gt;79,80&lt;/sup&gt;"},"properties":{"noteIndex":0},"schema":"https://github.com/citation-style-language/schema/raw/master/csl-citation.json"}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79,80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Reflecting its importance in cell function maintenance, cellular mass density is ti</w:t>
      </w:r>
      <w:r>
        <w:rPr>
          <w:rFonts w:ascii="Arial" w:eastAsia="Times New Roman" w:hAnsi="Arial" w:cs="Arial"/>
          <w:color w:val="000000"/>
          <w:lang w:val="en-US" w:eastAsia="de-DE"/>
        </w:rPr>
        <w:t>ghtly regulated, even compared to dry mass or cell volume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{"citationItems":[{"id":"ITEM-1","itemData":{"DOI":"10.1039/C3LC51022K","ISSN":"1473-0189","PMID":"24296901","abstract":"Cell size, measured as either volume or mass, is a fundamen</w:instrText>
      </w:r>
      <w:r>
        <w:rPr>
          <w:rFonts w:ascii="Arial" w:eastAsia="Times New Roman" w:hAnsi="Arial" w:cs="Arial"/>
          <w:color w:val="000000"/>
          <w:lang w:val="en-US" w:eastAsia="de-DE"/>
        </w:rPr>
        <w:instrText>tal indicator of cell state. Far more tightly regulated than size is density, the ratio between mass and volume, which can be used to distinguish between cell populations even when volume and mass appear to remain constant. Here we expand upon a previous m</w:instrText>
      </w:r>
      <w:r>
        <w:rPr>
          <w:rFonts w:ascii="Arial" w:eastAsia="Times New Roman" w:hAnsi="Arial" w:cs="Arial"/>
          <w:color w:val="000000"/>
          <w:lang w:val="en-US" w:eastAsia="de-DE"/>
        </w:rPr>
        <w:instrText xml:space="preserve">ethod for measuring cell density involving a suspended microchannel resonator (SMR). We introduce a new device, the dual SMR, as a high-precision instrument for measuring single-cell mass, volume, and density using two resonators connected by a serpentine </w:instrText>
      </w:r>
      <w:r>
        <w:rPr>
          <w:rFonts w:ascii="Arial" w:eastAsia="Times New Roman" w:hAnsi="Arial" w:cs="Arial"/>
          <w:color w:val="000000"/>
          <w:lang w:val="en-US" w:eastAsia="de-DE"/>
        </w:rPr>
        <w:instrText>fluidic channel. The dual SMR designs considered herein demonstrate the critical role of channel geometry in ensuring proper mixing and damping of pressure fluctuations in microfluidic systems designed for precision measurement. We use the dual SMR to comp</w:instrText>
      </w:r>
      <w:r>
        <w:rPr>
          <w:rFonts w:ascii="Arial" w:eastAsia="Times New Roman" w:hAnsi="Arial" w:cs="Arial"/>
          <w:color w:val="000000"/>
          <w:lang w:val="en-US" w:eastAsia="de-DE"/>
        </w:rPr>
        <w:instrText>are the physical properties of two well-known cancer cell lines: human lung cancer cell H1650 and mouse lymphoblastic leukemia cell line L1210.","author":[{"dropping-particle":"","family":"Bryan","given":"Andrea K.","non-dropping-particle":"","parse-names"</w:instrText>
      </w:r>
      <w:r>
        <w:rPr>
          <w:rFonts w:ascii="Arial" w:eastAsia="Times New Roman" w:hAnsi="Arial" w:cs="Arial"/>
          <w:color w:val="000000"/>
          <w:lang w:val="en-US" w:eastAsia="de-DE"/>
        </w:rPr>
        <w:instrText>:false,"suffix":""},{"dropping-particle":"","family":"Hecht","given":"Vivian C.","non-dropping-particle":"","parse-names":false,"suffix":""},{"dropping-particle":"","family":"Shen","given":"Wenjiang","non-dropping-particle":"","parse-names":false,"suffix":</w:instrText>
      </w:r>
      <w:r>
        <w:rPr>
          <w:rFonts w:ascii="Arial" w:eastAsia="Times New Roman" w:hAnsi="Arial" w:cs="Arial"/>
          <w:color w:val="000000"/>
          <w:lang w:val="en-US" w:eastAsia="de-DE"/>
        </w:rPr>
        <w:instrText>""},{"dropping-particle":"","family":"Payer","given":"Kristofor","non-dropping-particle":"","parse-names":false,"suffix":""},{"dropping-particle":"","family":"Grover","given":"William H.","non-dropping-particle":"","parse-names":false,"suffix":""},{"droppi</w:instrText>
      </w:r>
      <w:r>
        <w:rPr>
          <w:rFonts w:ascii="Arial" w:eastAsia="Times New Roman" w:hAnsi="Arial" w:cs="Arial"/>
          <w:color w:val="000000"/>
          <w:lang w:val="en-US" w:eastAsia="de-DE"/>
        </w:rPr>
        <w:instrText>ng-particle":"","family":"Manalis","given":"Scott R.","non-dropping-particle":"","parse-names":false,"suffix":""}],"container-title":"Lab on a Chip","id":"ITEM-1","issue":"3","issued":{"date-parts":[["2013","12","23"]]},"page":"569-576","publisher":"The Ro</w:instrText>
      </w:r>
      <w:r>
        <w:rPr>
          <w:rFonts w:ascii="Arial" w:eastAsia="Times New Roman" w:hAnsi="Arial" w:cs="Arial"/>
          <w:color w:val="000000"/>
          <w:lang w:val="en-US" w:eastAsia="de-DE"/>
        </w:rPr>
        <w:instrText>yal Society of Chemistry","title":"Measuring single cell mass, volume, and density with dual suspended microchannel resonators","type":"article-journal","volume":"14"},"uris":["http://www.mendeley.com/documents/?uuid=ead889a1-115a-3f39-8ebd-cfaf999eb524"]}</w:instrText>
      </w:r>
      <w:r>
        <w:rPr>
          <w:rFonts w:ascii="Arial" w:eastAsia="Times New Roman" w:hAnsi="Arial" w:cs="Arial"/>
          <w:color w:val="000000"/>
          <w:lang w:val="en-US" w:eastAsia="de-DE"/>
        </w:rPr>
        <w:instrText>,{"id":"ITEM-2","itemData":{"DOI":"10.3389/FCELL.2022.1017499/BIBTEX","ISSN":"2296634X","abstract":"Cell dry mass is principally determined by the sum of biosynthesis and degradation. Measurable change in dry mass occurs on a time scale of hours. By contra</w:instrText>
      </w:r>
      <w:r>
        <w:rPr>
          <w:rFonts w:ascii="Arial" w:eastAsia="Times New Roman" w:hAnsi="Arial" w:cs="Arial"/>
          <w:color w:val="000000"/>
          <w:lang w:val="en-US" w:eastAsia="de-DE"/>
        </w:rPr>
        <w:instrText xml:space="preserve">st, cell volume can change in minutes by altering the osmotic conditions. How changes in dry mass and volume are coupled is a fundamental question in cell size control. If cell volume were proportional to cell dry mass during growth, the cell would always </w:instrText>
      </w:r>
      <w:r>
        <w:rPr>
          <w:rFonts w:ascii="Arial" w:eastAsia="Times New Roman" w:hAnsi="Arial" w:cs="Arial"/>
          <w:color w:val="000000"/>
          <w:lang w:val="en-US" w:eastAsia="de-DE"/>
        </w:rPr>
        <w:instrText xml:space="preserve">maintain the same cellular mass density, defined as cell dry mass dividing by cell volume. The accuracy and stability against perturbation of this proportionality has never been stringently tested. Normalized Raman Imaging (NoRI), can measure both protein </w:instrText>
      </w:r>
      <w:r>
        <w:rPr>
          <w:rFonts w:ascii="Arial" w:eastAsia="Times New Roman" w:hAnsi="Arial" w:cs="Arial"/>
          <w:color w:val="000000"/>
          <w:lang w:val="en-US" w:eastAsia="de-DE"/>
        </w:rPr>
        <w:instrText xml:space="preserve">and lipid dry mass density directly. Using this new technique, we have been able to investigate the stability of mass density in response to pharmaceutical and physiological perturbations in three cultured mammalian cell lines. We find a remarkably narrow </w:instrText>
      </w:r>
      <w:r>
        <w:rPr>
          <w:rFonts w:ascii="Arial" w:eastAsia="Times New Roman" w:hAnsi="Arial" w:cs="Arial"/>
          <w:color w:val="000000"/>
          <w:lang w:val="en-US" w:eastAsia="de-DE"/>
        </w:rPr>
        <w:instrText>mass density distribution within cells, that is, significantly tighter than the variability of mass or volume distribution. The measured mass density is independent of the cell cycle. We find that mass density can be modulated directly by extracellular osm</w:instrText>
      </w:r>
      <w:r>
        <w:rPr>
          <w:rFonts w:ascii="Arial" w:eastAsia="Times New Roman" w:hAnsi="Arial" w:cs="Arial"/>
          <w:color w:val="000000"/>
          <w:lang w:val="en-US" w:eastAsia="de-DE"/>
        </w:rPr>
        <w:instrText>olytes or by disruptions of the cytoskeleton. Yet, mass density is surprisingly resistant to pharmacological perturbations of protein synthesis or protein degradation, suggesting there must be some form of feedback control to maintain the homeostasis of ma</w:instrText>
      </w:r>
      <w:r>
        <w:rPr>
          <w:rFonts w:ascii="Arial" w:eastAsia="Times New Roman" w:hAnsi="Arial" w:cs="Arial"/>
          <w:color w:val="000000"/>
          <w:lang w:val="en-US" w:eastAsia="de-DE"/>
        </w:rPr>
        <w:instrText xml:space="preserve">ss density when mass is altered. By contrast, physiological perturbations such as starvation or senescence induce significant shifts in mass density. We have begun to shed light on how and why cell mass density remains fixed against some perturbations and </w:instrText>
      </w:r>
      <w:r>
        <w:rPr>
          <w:rFonts w:ascii="Arial" w:eastAsia="Times New Roman" w:hAnsi="Arial" w:cs="Arial"/>
          <w:color w:val="000000"/>
          <w:lang w:val="en-US" w:eastAsia="de-DE"/>
        </w:rPr>
        <w:instrText>yet is sensitive during transitions in physiological state.","author":[{"dropping-particle":"","family":"Liu","given":"Xili","non-dropping-particle":"","parse-names":false,"suffix":""},{"dropping-particle":"","family":"Oh","given":"Seungeun","non-dropping-</w:instrText>
      </w:r>
      <w:r>
        <w:rPr>
          <w:rFonts w:ascii="Arial" w:eastAsia="Times New Roman" w:hAnsi="Arial" w:cs="Arial"/>
          <w:color w:val="000000"/>
          <w:lang w:val="en-US" w:eastAsia="de-DE"/>
        </w:rPr>
        <w:instrText>particle":"","parse-names":false,"suffix":""},{"dropping-particle":"","family":"Kirschner","given":"Marc W.","non-dropping-particle":"","parse-names":false,"suffix":""}],"container-title":"Frontiers in Cell and Developmental Biology","id":"ITEM-2","issued"</w:instrText>
      </w:r>
      <w:r>
        <w:rPr>
          <w:rFonts w:ascii="Arial" w:eastAsia="Times New Roman" w:hAnsi="Arial" w:cs="Arial"/>
          <w:color w:val="000000"/>
          <w:lang w:val="en-US" w:eastAsia="de-DE"/>
        </w:rPr>
        <w:instrText>:{"date-parts":[["2022","10","12"]]},"page":"1017499","publisher":"Frontiers Media S.A.","title":"The uniformity and stability of cellular mass density in mammalian cell culture","type":"article-journal","volume":"10"},"uris":["http://www.mendeley.com/docu</w:instrText>
      </w:r>
      <w:r>
        <w:rPr>
          <w:rFonts w:ascii="Arial" w:eastAsia="Times New Roman" w:hAnsi="Arial" w:cs="Arial"/>
          <w:color w:val="000000"/>
          <w:lang w:val="en-US" w:eastAsia="de-DE"/>
        </w:rPr>
        <w:instrText>ments/?uuid=b7047a84-fe52-316a-a646-a4d1e1423bf6"]}],"mendeley":{"formattedCitation":"&lt;sup&gt;77,81&lt;/sup&gt;","plainTextFormattedCitation":"77,81","previouslyFormattedCitation":"&lt;sup&gt;77,81&lt;/sup&gt;"},"properties":{"noteIndex":0},"schema":"https://github.com/citatio</w:instrText>
      </w:r>
      <w:r>
        <w:rPr>
          <w:rFonts w:ascii="Arial" w:eastAsia="Times New Roman" w:hAnsi="Arial" w:cs="Arial"/>
          <w:color w:val="000000"/>
          <w:lang w:val="en-US" w:eastAsia="de-DE"/>
        </w:rPr>
        <w:instrText>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77,81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(see Neurohr &amp; Amon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{"citationItems":[{"id":"ITEM-1","itemData":{"DOI":"10.1016/J.TCB.2019.12.006","ISSN":"1879-3088","PMID":"31980346","abstract":"Cell density shows very little variation within a given cell type. For example, in humans variability in cell density among cell</w:instrText>
      </w:r>
      <w:r>
        <w:rPr>
          <w:rFonts w:ascii="Arial" w:eastAsia="Times New Roman" w:hAnsi="Arial" w:cs="Arial"/>
          <w:color w:val="000000"/>
          <w:lang w:val="en-US" w:eastAsia="de-DE"/>
        </w:rPr>
        <w:instrText>s of a given cell type is 100 times smaller than variation in cell mass. This tight control indicates that maintenance of a cell type-specific cell density is important for cell function. Indeed, pathological conditions such as cellular senescence are acco</w:instrText>
      </w:r>
      <w:r>
        <w:rPr>
          <w:rFonts w:ascii="Arial" w:eastAsia="Times New Roman" w:hAnsi="Arial" w:cs="Arial"/>
          <w:color w:val="000000"/>
          <w:lang w:val="en-US" w:eastAsia="de-DE"/>
        </w:rPr>
        <w:instrText>mpanied by changes in cell density. Despite the apparent importance of cell-type-specific density, we know little about how cell density affects cell function, how it is controlled, and how it sometimes changes as part of a developmental process or in resp</w:instrText>
      </w:r>
      <w:r>
        <w:rPr>
          <w:rFonts w:ascii="Arial" w:eastAsia="Times New Roman" w:hAnsi="Arial" w:cs="Arial"/>
          <w:color w:val="000000"/>
          <w:lang w:val="en-US" w:eastAsia="de-DE"/>
        </w:rPr>
        <w:instrText>onse to changes in the environment. The recent development of new technologies to accurately measure the cell density of single cells in suspension and in tissues is likely to provide answers to these important questions.","author":[{"dropping-particle":""</w:instrText>
      </w:r>
      <w:r>
        <w:rPr>
          <w:rFonts w:ascii="Arial" w:eastAsia="Times New Roman" w:hAnsi="Arial" w:cs="Arial"/>
          <w:color w:val="000000"/>
          <w:lang w:val="en-US" w:eastAsia="de-DE"/>
        </w:rPr>
        <w:instrText>,"family":"Neurohr","given":"Gabriel E.","non-dropping-particle":"","parse-names":false,"suffix":""},{"dropping-particle":"","family":"Amon","given":"Angelika","non-dropping-particle":"","parse-names":false,"suffix":""}],"container-title":"Trends in cell b</w:instrText>
      </w:r>
      <w:r>
        <w:rPr>
          <w:rFonts w:ascii="Arial" w:eastAsia="Times New Roman" w:hAnsi="Arial" w:cs="Arial"/>
          <w:color w:val="000000"/>
          <w:lang w:val="en-US" w:eastAsia="de-DE"/>
        </w:rPr>
        <w:instrText>iology","id":"ITEM-1","issue":"3","issued":{"date-parts":[["2020","3","1"]]},"page":"213-225","publisher":"Trends Cell Biol","title":"Relevance and Regulation of Cell Density","type":"article-journal","volume":"30"},"uris":["http://www.mendeley.com/documen</w:instrText>
      </w:r>
      <w:r>
        <w:rPr>
          <w:rFonts w:ascii="Arial" w:eastAsia="Times New Roman" w:hAnsi="Arial" w:cs="Arial"/>
          <w:color w:val="000000"/>
          <w:lang w:val="en-US" w:eastAsia="de-DE"/>
        </w:rPr>
        <w:instrText>ts/?uuid=0628e7cb-f400-322d-b961-8e1b8b21d235"]}],"mendeley":{"formattedCitation":"&lt;sup&gt;82&lt;/sup&gt;","plainTextFormattedCitation":"82","previouslyFormattedCitation":"&lt;sup&gt;82&lt;/sup&gt;"},"properties":{"noteIndex":0},"schema":"https://github.com/citation-style-lang</w:instrText>
      </w:r>
      <w:r>
        <w:rPr>
          <w:rFonts w:ascii="Arial" w:eastAsia="Times New Roman" w:hAnsi="Arial" w:cs="Arial"/>
          <w:color w:val="000000"/>
          <w:lang w:val="en-US" w:eastAsia="de-DE"/>
        </w:rPr>
        <w:instrText>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for a dedicated review). However, it changes as a function of cell cycle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{"citationItems":[{"id":"ITEM-1","itemData":{"DOI":"10.7554/ELIFE.64901","ISSN":"2050084X","PMID":"34100714","abstrac</w:instrText>
      </w:r>
      <w:r>
        <w:rPr>
          <w:rFonts w:ascii="Arial" w:eastAsia="Times New Roman" w:hAnsi="Arial" w:cs="Arial"/>
          <w:color w:val="000000"/>
          <w:lang w:val="en-US" w:eastAsia="de-DE"/>
        </w:rPr>
        <w:instrText>t":"Intracellular density impacts the physical nature of the cytoplasm and can globally affect cellular processes, yet density regulation remains poorly understood. Here, using a new quantitative phase imaging method, we determined that dry-mass density in</w:instrText>
      </w:r>
      <w:r>
        <w:rPr>
          <w:rFonts w:ascii="Arial" w:eastAsia="Times New Roman" w:hAnsi="Arial" w:cs="Arial"/>
          <w:color w:val="000000"/>
          <w:lang w:val="en-US" w:eastAsia="de-DE"/>
        </w:rPr>
        <w:instrText xml:space="preserve"> fission yeast is maintained in a narrow distribution and exhibits homeostatic behavior. However, density varied during the cell cycle, decreasing during G2, increasing in mitosis and cytokinesis, and dropping rapidly at cell birth. These density variation</w:instrText>
      </w:r>
      <w:r>
        <w:rPr>
          <w:rFonts w:ascii="Arial" w:eastAsia="Times New Roman" w:hAnsi="Arial" w:cs="Arial"/>
          <w:color w:val="000000"/>
          <w:lang w:val="en-US" w:eastAsia="de-DE"/>
        </w:rPr>
        <w:instrText xml:space="preserve">s were explained by a constant rate of biomass synthesis, coupled to slowdown of volume growth during cell division and rapid expansion post-cytokinesis. Arrest at specific cell-cycle stages exacerbated density changes. Spatially heterogeneous patterns of </w:instrText>
      </w:r>
      <w:r>
        <w:rPr>
          <w:rFonts w:ascii="Arial" w:eastAsia="Times New Roman" w:hAnsi="Arial" w:cs="Arial"/>
          <w:color w:val="000000"/>
          <w:lang w:val="en-US" w:eastAsia="de-DE"/>
        </w:rPr>
        <w:instrText>density suggested links between density regulation, tip growth, and intracellular osmotic pressure. Our results demonstrate that systematic density variations during the cell cycle are predominantly due to modulation of volume expansion, and reveal functio</w:instrText>
      </w:r>
      <w:r>
        <w:rPr>
          <w:rFonts w:ascii="Arial" w:eastAsia="Times New Roman" w:hAnsi="Arial" w:cs="Arial"/>
          <w:color w:val="000000"/>
          <w:lang w:val="en-US" w:eastAsia="de-DE"/>
        </w:rPr>
        <w:instrText>nal consequences of density gradients and cell-cycle arrests.","author":[{"dropping-particle":"","family":"Odermatt","given":"Pascal D.","non-dropping-particle":"","parse-names":false,"suffix":""},{"dropping-particle":"","family":"Miettinen","given":"Teemu</w:instrText>
      </w:r>
      <w:r>
        <w:rPr>
          <w:rFonts w:ascii="Arial" w:eastAsia="Times New Roman" w:hAnsi="Arial" w:cs="Arial"/>
          <w:color w:val="000000"/>
          <w:lang w:val="en-US" w:eastAsia="de-DE"/>
        </w:rPr>
        <w:instrText xml:space="preserve"> P.","non-dropping-particle":"","parse-names":false,"suffix":""},{"dropping-particle":"","family":"Lemière","given":"Joël","non-dropping-particle":"","parse-names":false,"suffix":""},{"dropping-particle":"","family":"Kang","given":"Joon Ho","non-dropping-p</w:instrText>
      </w:r>
      <w:r>
        <w:rPr>
          <w:rFonts w:ascii="Arial" w:eastAsia="Times New Roman" w:hAnsi="Arial" w:cs="Arial"/>
          <w:color w:val="000000"/>
          <w:lang w:val="en-US" w:eastAsia="de-DE"/>
        </w:rPr>
        <w:instrText>article":"","parse-names":false,"suffix":""},{"dropping-particle":"","family":"Bostan","given":"Emrah","non-dropping-particle":"","parse-names":false,"suffix":""},{"dropping-particle":"","family":"Manalis","given":"Scott R.","non-dropping-particle":"","par</w:instrText>
      </w:r>
      <w:r>
        <w:rPr>
          <w:rFonts w:ascii="Arial" w:eastAsia="Times New Roman" w:hAnsi="Arial" w:cs="Arial"/>
          <w:color w:val="000000"/>
          <w:lang w:val="en-US" w:eastAsia="de-DE"/>
        </w:rPr>
        <w:instrText>se-names":false,"suffix":""},{"dropping-particle":"","family":"Huang","given":"Kerwyn Casey","non-dropping-particle":"","parse-names":false,"suffix":""},{"dropping-particle":"","family":"Chang","given":"Fred","non-dropping-particle":"","parse-names":false,</w:instrText>
      </w:r>
      <w:r>
        <w:rPr>
          <w:rFonts w:ascii="Arial" w:eastAsia="Times New Roman" w:hAnsi="Arial" w:cs="Arial"/>
          <w:color w:val="000000"/>
          <w:lang w:val="en-US" w:eastAsia="de-DE"/>
        </w:rPr>
        <w:instrText>"suffix":""}],"container-title":"eLife","id":"ITEM-1","issued":{"date-parts":[["2021","6","1"]]},"publisher":"eLife Sciences Publications Ltd","title":"Variations of intracellular density during the cell cycle arise from tip-growth regulation in fission ye</w:instrText>
      </w:r>
      <w:r>
        <w:rPr>
          <w:rFonts w:ascii="Arial" w:eastAsia="Times New Roman" w:hAnsi="Arial" w:cs="Arial"/>
          <w:color w:val="000000"/>
          <w:lang w:val="en-US" w:eastAsia="de-DE"/>
        </w:rPr>
        <w:instrText>ast","type":"article-journal","volume":"10"},"uris":["http://www.mendeley.com/documents/?uuid=9da1b070-f0d9-3460-ac03-4dd6aade8522"]},{"id":"ITEM-2","itemData":{"DOI":"10.7554/ELIFE.76664","ISSN":"2050084X","PMID":"35535854","abstract":"Cell mass and compo</w:instrText>
      </w:r>
      <w:r>
        <w:rPr>
          <w:rFonts w:ascii="Arial" w:eastAsia="Times New Roman" w:hAnsi="Arial" w:cs="Arial"/>
          <w:color w:val="000000"/>
          <w:lang w:val="en-US" w:eastAsia="de-DE"/>
        </w:rPr>
        <w:instrText>sition change with cell cycle progression. Our previous work characterized buoyant mass dynamics in mitosis (Miettinen et al., 2019), but how dry mass and cell composition change in mitosis has remained unclear. To better understand mitotic cell growth and</w:instrText>
      </w:r>
      <w:r>
        <w:rPr>
          <w:rFonts w:ascii="Arial" w:eastAsia="Times New Roman" w:hAnsi="Arial" w:cs="Arial"/>
          <w:color w:val="000000"/>
          <w:lang w:val="en-US" w:eastAsia="de-DE"/>
        </w:rPr>
        <w:instrText xml:space="preserve"> compositional changes, we develop a single-cell approach for monitoring dry mass and the density of that dry mass every ~75 s with 1.3% and 0.3% measurement precision, respectively. We find that suspension grown mammalian cells lose dry mass and increase </w:instrText>
      </w:r>
      <w:r>
        <w:rPr>
          <w:rFonts w:ascii="Arial" w:eastAsia="Times New Roman" w:hAnsi="Arial" w:cs="Arial"/>
          <w:color w:val="000000"/>
          <w:lang w:val="en-US" w:eastAsia="de-DE"/>
        </w:rPr>
        <w:instrText>dry mass density following mitotic entry. These changes display large, non-genetic cell-to-cell variability, and the changes are reversed at metaphase-anaphase transition, after which dry mass continues accumulating. The change in dry mass density causes b</w:instrText>
      </w:r>
      <w:r>
        <w:rPr>
          <w:rFonts w:ascii="Arial" w:eastAsia="Times New Roman" w:hAnsi="Arial" w:cs="Arial"/>
          <w:color w:val="000000"/>
          <w:lang w:val="en-US" w:eastAsia="de-DE"/>
        </w:rPr>
        <w:instrText>uoyant and dry mass to differ specifically in early mitosis, thus reconciling existing literature on mitotic cell growth. Mechanistically, cells in early mitosis increase lysosomal exocytosis, and inhibition of lysosomal exocytosis decreases the dry mass l</w:instrText>
      </w:r>
      <w:r>
        <w:rPr>
          <w:rFonts w:ascii="Arial" w:eastAsia="Times New Roman" w:hAnsi="Arial" w:cs="Arial"/>
          <w:color w:val="000000"/>
          <w:lang w:val="en-US" w:eastAsia="de-DE"/>
        </w:rPr>
        <w:instrText>oss and dry mass density increase in mitosis. Overall, our work provides a new approach for monitoring single-cell dry mass and dry mass density, and reveals that mitosis is coupled to extensive exocytosis-mediated secretion of cellular contents.","author"</w:instrText>
      </w:r>
      <w:r>
        <w:rPr>
          <w:rFonts w:ascii="Arial" w:eastAsia="Times New Roman" w:hAnsi="Arial" w:cs="Arial"/>
          <w:color w:val="000000"/>
          <w:lang w:val="en-US" w:eastAsia="de-DE"/>
        </w:rPr>
        <w:instrText>:[{"dropping-particle":"","family":"Miettinen","given":"Teemu P.","non-dropping-particle":"","parse-names":false,"suffix":""},{"dropping-particle":"","family":"Ly","given":"Kevin S.","non-dropping-particle":"","parse-names":false,"suffix":""},{"dropping-pa</w:instrText>
      </w:r>
      <w:r>
        <w:rPr>
          <w:rFonts w:ascii="Arial" w:eastAsia="Times New Roman" w:hAnsi="Arial" w:cs="Arial"/>
          <w:color w:val="000000"/>
          <w:lang w:val="en-US" w:eastAsia="de-DE"/>
        </w:rPr>
        <w:instrText>rticle":"","family":"Lam","given":"Alice","non-dropping-particle":"","parse-names":false,"suffix":""},{"dropping-particle":"","family":"Manalis","given":"Scott R.","non-dropping-particle":"","parse-names":false,"suffix":""}],"container-title":"eLife","id":</w:instrText>
      </w:r>
      <w:r>
        <w:rPr>
          <w:rFonts w:ascii="Arial" w:eastAsia="Times New Roman" w:hAnsi="Arial" w:cs="Arial"/>
          <w:color w:val="000000"/>
          <w:lang w:val="en-US" w:eastAsia="de-DE"/>
        </w:rPr>
        <w:instrText>"ITEM-2","issued":{"date-parts":[["2022"]]},"publisher":"eLife Sciences Publications Ltd","title":"Single-cell monitoring of dry mass and dry mass density reveals exocytosis of cellular dry contents in mitosis","type":"article-journal","volume":"11"},"uris</w:instrText>
      </w:r>
      <w:r>
        <w:rPr>
          <w:rFonts w:ascii="Arial" w:eastAsia="Times New Roman" w:hAnsi="Arial" w:cs="Arial"/>
          <w:color w:val="000000"/>
          <w:lang w:val="en-US" w:eastAsia="de-DE"/>
        </w:rPr>
        <w:instrText>":["http://www.mendeley.com/documents/?uuid=c4b5c91f-fb75-36a6-80bd-584e005e50c6"]}],"mendeley":{"formattedCitation":"&lt;sup&gt;78,83&lt;/sup&gt;","plainTextFormattedCitation":"78,83","previouslyFormattedCitation":"&lt;sup&gt;78,83&lt;/sup&gt;"},"properties":{"noteIndex":0},"sch</w:instrText>
      </w:r>
      <w:r>
        <w:rPr>
          <w:rFonts w:ascii="Arial" w:eastAsia="Times New Roman" w:hAnsi="Arial" w:cs="Arial"/>
          <w:color w:val="000000"/>
          <w:lang w:val="en-US" w:eastAsia="de-DE"/>
        </w:rPr>
        <w:instrText>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78,83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cell differentiation, environmental conditions, diseases and senescence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{"citationItems":[{"id":"ITEM-1","itemData":{"DOI":"10.1016/J.TCB.2019</w:instrText>
      </w:r>
      <w:r>
        <w:rPr>
          <w:rFonts w:ascii="Arial" w:eastAsia="Times New Roman" w:hAnsi="Arial" w:cs="Arial"/>
          <w:color w:val="000000"/>
          <w:lang w:val="en-US" w:eastAsia="de-DE"/>
        </w:rPr>
        <w:instrText>.12.006","ISSN":"1879-3088","PMID":"31980346","abstract":"Cell density shows very little variation within a given cell type. For example, in humans variability in cell density among cells of a given cell type is 100 times smaller than variation in cell mas</w:instrText>
      </w:r>
      <w:r>
        <w:rPr>
          <w:rFonts w:ascii="Arial" w:eastAsia="Times New Roman" w:hAnsi="Arial" w:cs="Arial"/>
          <w:color w:val="000000"/>
          <w:lang w:val="en-US" w:eastAsia="de-DE"/>
        </w:rPr>
        <w:instrText>s. This tight control indicates that maintenance of a cell type-specific cell density is important for cell function. Indeed, pathological conditions such as cellular senescence are accompanied by changes in cell density. Despite the apparent importance of</w:instrText>
      </w:r>
      <w:r>
        <w:rPr>
          <w:rFonts w:ascii="Arial" w:eastAsia="Times New Roman" w:hAnsi="Arial" w:cs="Arial"/>
          <w:color w:val="000000"/>
          <w:lang w:val="en-US" w:eastAsia="de-DE"/>
        </w:rPr>
        <w:instrText xml:space="preserve"> cell-type-specific density, we know little about how cell density affects cell function, how it is controlled, and how it sometimes changes as part of a developmental process or in response to changes in the environment. The recent development of new tech</w:instrText>
      </w:r>
      <w:r>
        <w:rPr>
          <w:rFonts w:ascii="Arial" w:eastAsia="Times New Roman" w:hAnsi="Arial" w:cs="Arial"/>
          <w:color w:val="000000"/>
          <w:lang w:val="en-US" w:eastAsia="de-DE"/>
        </w:rPr>
        <w:instrText>nologies to accurately measure the cell density of single cells in suspension and in tissues is likely to provide answers to these important questions.","author":[{"dropping-particle":"","family":"Neurohr","given":"Gabriel E.","non-dropping-particle":"","p</w:instrText>
      </w:r>
      <w:r>
        <w:rPr>
          <w:rFonts w:ascii="Arial" w:eastAsia="Times New Roman" w:hAnsi="Arial" w:cs="Arial"/>
          <w:color w:val="000000"/>
          <w:lang w:val="en-US" w:eastAsia="de-DE"/>
        </w:rPr>
        <w:instrText>arse-names":false,"suffix":""},{"dropping-particle":"","family":"Amon","given":"Angelika","non-dropping-particle":"","parse-names":false,"suffix":""}],"container-title":"Trends in cell biology","id":"ITEM-1","issue":"3","issued":{"date-parts":[["2020","3",</w:instrText>
      </w:r>
      <w:r>
        <w:rPr>
          <w:rFonts w:ascii="Arial" w:eastAsia="Times New Roman" w:hAnsi="Arial" w:cs="Arial"/>
          <w:color w:val="000000"/>
          <w:lang w:val="en-US" w:eastAsia="de-DE"/>
        </w:rPr>
        <w:instrText>"1"]]},"page":"213-225","publisher":"Trends Cell Biol","title":"Relevance and Regulation of Cell Density","type":"article-journal","volume":"30"},"uris":["http://www.mendeley.com/documents/?uuid=0628e7cb-f400-322d-b961-8e1b8b21d235"]},{"id":"ITEM-2","itemD</w:instrText>
      </w:r>
      <w:r>
        <w:rPr>
          <w:rFonts w:ascii="Arial" w:eastAsia="Times New Roman" w:hAnsi="Arial" w:cs="Arial"/>
          <w:color w:val="000000"/>
          <w:lang w:val="en-US" w:eastAsia="de-DE"/>
        </w:rPr>
        <w:instrText>ata":{"DOI":"10.1073/PNAS.2117938119/SUPPL_FILE/PNAS.2117938119.SAPP.PDF","ISSN":"10916490","PMID":"35452314","abstract":"Cell mass and chemical composition are important aggregate cellular properties that are especially relevant to physiological processes</w:instrText>
      </w:r>
      <w:r>
        <w:rPr>
          <w:rFonts w:ascii="Arial" w:eastAsia="Times New Roman" w:hAnsi="Arial" w:cs="Arial"/>
          <w:color w:val="000000"/>
          <w:lang w:val="en-US" w:eastAsia="de-DE"/>
        </w:rPr>
        <w:instrText xml:space="preserve">, such as growth control and tissue homeostasis. Despite their importance, it has been difficult to measure these features quantitatively at the individual cell level in intact tissue. Here, we introduce normalized Raman imaging (NoRI), a stimulated Raman </w:instrText>
      </w:r>
      <w:r>
        <w:rPr>
          <w:rFonts w:ascii="Arial" w:eastAsia="Times New Roman" w:hAnsi="Arial" w:cs="Arial"/>
          <w:color w:val="000000"/>
          <w:lang w:val="en-US" w:eastAsia="de-DE"/>
        </w:rPr>
        <w:instrText>scattering (SRS) microscopy method that provides the local concentrations of protein, lipid, and water from live or fixed tissue samples with high spatial resolution. Using NoRI, we demonstrate that protein, lipid, and water concentrations at the single ce</w:instrText>
      </w:r>
      <w:r>
        <w:rPr>
          <w:rFonts w:ascii="Arial" w:eastAsia="Times New Roman" w:hAnsi="Arial" w:cs="Arial"/>
          <w:color w:val="000000"/>
          <w:lang w:val="en-US" w:eastAsia="de-DE"/>
        </w:rPr>
        <w:instrText>ll are maintained in a tight range in cells under the same physiological conditions and are altered in different physiological states, such as cell cycle stages, attachment to substrates of different stiffness, or by entering senescence. In animal tissues,</w:instrText>
      </w:r>
      <w:r>
        <w:rPr>
          <w:rFonts w:ascii="Arial" w:eastAsia="Times New Roman" w:hAnsi="Arial" w:cs="Arial"/>
          <w:color w:val="000000"/>
          <w:lang w:val="en-US" w:eastAsia="de-DE"/>
        </w:rPr>
        <w:instrText xml:space="preserve"> protein and lipid concentration varies with cell types, yet an unexpected cell-to-cell heterogeneity was found in cerebellar Purkinje cells. The protein and lipid concentration profile provides means to quantitatively compare disease-related pathology, as</w:instrText>
      </w:r>
      <w:r>
        <w:rPr>
          <w:rFonts w:ascii="Arial" w:eastAsia="Times New Roman" w:hAnsi="Arial" w:cs="Arial"/>
          <w:color w:val="000000"/>
          <w:lang w:val="en-US" w:eastAsia="de-DE"/>
        </w:rPr>
        <w:instrText xml:space="preserve"> demonstrated using models of Alzheimer's disease. This demonstration shows that NoRI is a broadly applicable technique for probing the biological regulation of protein mass, lipid mass, and water mass for studies of cellular and tissue growth, homeostasis</w:instrText>
      </w:r>
      <w:r>
        <w:rPr>
          <w:rFonts w:ascii="Arial" w:eastAsia="Times New Roman" w:hAnsi="Arial" w:cs="Arial"/>
          <w:color w:val="000000"/>
          <w:lang w:val="en-US" w:eastAsia="de-DE"/>
        </w:rPr>
        <w:instrText>, and disease.","author":[{"dropping-particle":"","family":"Oh","given":"Seungeun","non-dropping-particle":"","parse-names":false,"suffix":""},{"dropping-particle":"","family":"Lee","given":"Chang Hee","non-dropping-particle":"","parse-names":false,"suffix</w:instrText>
      </w:r>
      <w:r>
        <w:rPr>
          <w:rFonts w:ascii="Arial" w:eastAsia="Times New Roman" w:hAnsi="Arial" w:cs="Arial"/>
          <w:color w:val="000000"/>
          <w:lang w:val="en-US" w:eastAsia="de-DE"/>
        </w:rPr>
        <w:instrText>":""},{"dropping-particle":"","family":"Yang","given":"Wenlong","non-dropping-particle":"","parse-names":false,"suffix":""},{"dropping-particle":"","family":"Li","given":"Ang","non-dropping-particle":"","parse-names":false,"suffix":""},{"dropping-particle"</w:instrText>
      </w:r>
      <w:r>
        <w:rPr>
          <w:rFonts w:ascii="Arial" w:eastAsia="Times New Roman" w:hAnsi="Arial" w:cs="Arial"/>
          <w:color w:val="000000"/>
          <w:lang w:val="en-US" w:eastAsia="de-DE"/>
        </w:rPr>
        <w:instrText>:"","family":"Mukherjee","given":"Avik","non-dropping-particle":"","parse-names":false,"suffix":""},{"dropping-particle":"","family":"Basan","given":"Markus","non-dropping-particle":"","parse-names":false,"suffix":""},{"dropping-particle":"","family":"Ran"</w:instrText>
      </w:r>
      <w:r>
        <w:rPr>
          <w:rFonts w:ascii="Arial" w:eastAsia="Times New Roman" w:hAnsi="Arial" w:cs="Arial"/>
          <w:color w:val="000000"/>
          <w:lang w:val="en-US" w:eastAsia="de-DE"/>
        </w:rPr>
        <w:instrText>,"given":"Chongzhao","non-dropping-particle":"","parse-names":false,"suffix":""},{"dropping-particle":"","family":"Yin","given":"Wei","non-dropping-particle":"","parse-names":false,"suffix":""},{"dropping-particle":"","family":"Tabin","given":"Clifford J."</w:instrText>
      </w:r>
      <w:r>
        <w:rPr>
          <w:rFonts w:ascii="Arial" w:eastAsia="Times New Roman" w:hAnsi="Arial" w:cs="Arial"/>
          <w:color w:val="000000"/>
          <w:lang w:val="en-US" w:eastAsia="de-DE"/>
        </w:rPr>
        <w:instrText>,"non-dropping-particle":"","parse-names":false,"suffix":""},{"dropping-particle":"","family":"Fu","given":"Dan","non-dropping-particle":"","parse-names":false,"suffix":""},{"dropping-particle":"","family":"Xie","given":"X. Sunney","non-dropping-particle":</w:instrText>
      </w:r>
      <w:r>
        <w:rPr>
          <w:rFonts w:ascii="Arial" w:eastAsia="Times New Roman" w:hAnsi="Arial" w:cs="Arial"/>
          <w:color w:val="000000"/>
          <w:lang w:val="en-US" w:eastAsia="de-DE"/>
        </w:rPr>
        <w:instrText>"","parse-names":false,"suffix":""},{"dropping-particle":"","family":"Kirschner","given":"Marc W.","non-dropping-particle":"","parse-names":false,"suffix":""}],"container-title":"Proceedings of the National Academy of Sciences of the United States of Ameri</w:instrText>
      </w:r>
      <w:r>
        <w:rPr>
          <w:rFonts w:ascii="Arial" w:eastAsia="Times New Roman" w:hAnsi="Arial" w:cs="Arial"/>
          <w:color w:val="000000"/>
          <w:lang w:val="en-US" w:eastAsia="de-DE"/>
        </w:rPr>
        <w:instrText>ca","id":"ITEM-2","issue":"17","issued":{"date-parts":[["2022","4","26"]]},"page":"e2117938119","publisher":"National Academy of Sciences","title":"Protein and lipid mass concentration measurement in tissues by stimulated Raman scattering microscopy","type</w:instrText>
      </w:r>
      <w:r>
        <w:rPr>
          <w:rFonts w:ascii="Arial" w:eastAsia="Times New Roman" w:hAnsi="Arial" w:cs="Arial"/>
          <w:color w:val="000000"/>
          <w:lang w:val="en-US" w:eastAsia="de-DE"/>
        </w:rPr>
        <w:instrText>":"article-journal","volume":"119"},"uris":["http://www.mendeley.com/documents/?uuid=042f25fc-cf74-3626-a67d-7a97149f9faf"]}],"mendeley":{"formattedCitation":"&lt;sup&gt;82,84&lt;/sup&gt;","plainTextFormattedCitation":"82,84","previouslyFormattedCitation":"&lt;sup&gt;82,84&lt;</w:instrText>
      </w:r>
      <w:r>
        <w:rPr>
          <w:rFonts w:ascii="Arial" w:eastAsia="Times New Roman" w:hAnsi="Arial" w:cs="Arial"/>
          <w:color w:val="000000"/>
          <w:lang w:val="en-US" w:eastAsia="de-DE"/>
        </w:rPr>
        <w:instrTex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82,84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4DAFE19E"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 xml:space="preserve">Since the individual concentration of many cellular components changes with cell size, </w:t>
      </w:r>
      <w:proofErr w:type="gramStart"/>
      <w:r>
        <w:rPr>
          <w:rFonts w:ascii="Arial" w:eastAsia="Times New Roman" w:hAnsi="Arial" w:cs="Arial"/>
          <w:color w:val="000000"/>
          <w:lang w:val="en-US" w:eastAsia="de-DE"/>
        </w:rPr>
        <w:t>in particular in</w:t>
      </w:r>
      <w:proofErr w:type="gramEnd"/>
      <w:r>
        <w:rPr>
          <w:rFonts w:ascii="Arial" w:eastAsia="Times New Roman" w:hAnsi="Arial" w:cs="Arial"/>
          <w:color w:val="000000"/>
          <w:lang w:val="en-US" w:eastAsia="de-DE"/>
        </w:rPr>
        <w:t xml:space="preserve"> large cells, ce</w:t>
      </w:r>
      <w:r>
        <w:rPr>
          <w:rFonts w:ascii="Arial" w:eastAsia="Times New Roman" w:hAnsi="Arial" w:cs="Arial"/>
          <w:color w:val="000000"/>
          <w:lang w:val="en-US" w:eastAsia="de-DE"/>
        </w:rPr>
        <w:t>ll density will change accordingly. Indeed, a drastic decrease in cell density has been observed in excessively large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{"citationItems":[{"id":"ITEM-1","itemData":{"DOI":"10.1016/J.CELL.2019.01.018","ISSN":"0092-8674","abstract":"Cel</w:instrText>
      </w:r>
      <w:r>
        <w:rPr>
          <w:rFonts w:ascii="Arial" w:eastAsia="Times New Roman" w:hAnsi="Arial" w:cs="Arial"/>
          <w:color w:val="000000"/>
          <w:lang w:val="en-US" w:eastAsia="de-DE"/>
        </w:rPr>
        <w:instrText>l size varies greatly between cell types, yet within a specific cell type and growth condition, cell size is narrowly distributed. Why maintenance of a cell-type specific cell size is important remains poorly understood. Here we show that growing budding y</w:instrText>
      </w:r>
      <w:r>
        <w:rPr>
          <w:rFonts w:ascii="Arial" w:eastAsia="Times New Roman" w:hAnsi="Arial" w:cs="Arial"/>
          <w:color w:val="000000"/>
          <w:lang w:val="en-US" w:eastAsia="de-DE"/>
        </w:rPr>
        <w:instrText>east and primary mammalian cells beyond a certain size impairs gene induction, cell-cycle progression, and cell signaling. These defects are due to the inability of large cells to scale nucleic acid and protein biosynthesis in accordance with cell volume i</w:instrText>
      </w:r>
      <w:r>
        <w:rPr>
          <w:rFonts w:ascii="Arial" w:eastAsia="Times New Roman" w:hAnsi="Arial" w:cs="Arial"/>
          <w:color w:val="000000"/>
          <w:lang w:val="en-US" w:eastAsia="de-DE"/>
        </w:rPr>
        <w:instrText>ncrease, which effectively leads to cytoplasm dilution. We further show that loss of scaling beyond a certain critical size is due to DNA becoming limiting. Based on the observation that senescent cells are large and exhibit many of the phenotypes of large</w:instrText>
      </w:r>
      <w:r>
        <w:rPr>
          <w:rFonts w:ascii="Arial" w:eastAsia="Times New Roman" w:hAnsi="Arial" w:cs="Arial"/>
          <w:color w:val="000000"/>
          <w:lang w:val="en-US" w:eastAsia="de-DE"/>
        </w:rPr>
        <w:instrText xml:space="preserve"> cells, we propose that the range of DNA:cytoplasm ratio that supports optimal cell function is limited and that ratios outside these bounds contribute to aging.","author":[{"dropping-particle":"","family":"Neurohr","given":"Gabriel E.","non-dropping-parti</w:instrText>
      </w:r>
      <w:r>
        <w:rPr>
          <w:rFonts w:ascii="Arial" w:eastAsia="Times New Roman" w:hAnsi="Arial" w:cs="Arial"/>
          <w:color w:val="000000"/>
          <w:lang w:val="en-US" w:eastAsia="de-DE"/>
        </w:rPr>
        <w:instrText>cle":"","parse-names":false,"suffix":""},{"dropping-particle":"","family":"Terry","given":"Rachel L.","non-dropping-particle":"","parse-names":false,"suffix":""},{"dropping-particle":"","family":"Lengefeld","given":"Jette","non-dropping-particle":"","parse</w:instrText>
      </w:r>
      <w:r>
        <w:rPr>
          <w:rFonts w:ascii="Arial" w:eastAsia="Times New Roman" w:hAnsi="Arial" w:cs="Arial"/>
          <w:color w:val="000000"/>
          <w:lang w:val="en-US" w:eastAsia="de-DE"/>
        </w:rPr>
        <w:instrText>-names":false,"suffix":""},{"dropping-particle":"","family":"Bonney","given":"Megan","non-dropping-particle":"","parse-names":false,"suffix":""},{"dropping-particle":"","family":"Brittingham","given":"Gregory P.","non-dropping-particle":"","parse-names":fa</w:instrText>
      </w:r>
      <w:r>
        <w:rPr>
          <w:rFonts w:ascii="Arial" w:eastAsia="Times New Roman" w:hAnsi="Arial" w:cs="Arial"/>
          <w:color w:val="000000"/>
          <w:lang w:val="en-US" w:eastAsia="de-DE"/>
        </w:rPr>
        <w:instrText>lse,"suffix":""},{"dropping-particle":"","family":"Moretto","given":"Fabien","non-dropping-particle":"","parse-names":false,"suffix":""},{"dropping-particle":"","family":"Miettinen","given":"Teemu P.","non-dropping-particle":"","parse-names":false,"suffix"</w:instrText>
      </w:r>
      <w:r>
        <w:rPr>
          <w:rFonts w:ascii="Arial" w:eastAsia="Times New Roman" w:hAnsi="Arial" w:cs="Arial"/>
          <w:color w:val="000000"/>
          <w:lang w:val="en-US" w:eastAsia="de-DE"/>
        </w:rPr>
        <w:instrText>:""},{"dropping-particle":"","family":"Vaites","given":"Laura Pontano","non-dropping-particle":"","parse-names":false,"suffix":""},{"dropping-particle":"","family":"Soares","given":"Luis M.","non-dropping-particle":"","parse-names":false,"suffix":""},{"dro</w:instrText>
      </w:r>
      <w:r>
        <w:rPr>
          <w:rFonts w:ascii="Arial" w:eastAsia="Times New Roman" w:hAnsi="Arial" w:cs="Arial"/>
          <w:color w:val="000000"/>
          <w:lang w:val="en-US" w:eastAsia="de-DE"/>
        </w:rPr>
        <w:instrText>pping-particle":"","family":"Paulo","given":"Joao A.","non-dropping-particle":"","parse-names":false,"suffix":""},{"dropping-particle":"","family":"Harper","given":"J. Wade","non-dropping-particle":"","parse-names":false,"suffix":""},{"dropping-particle":"</w:instrText>
      </w:r>
      <w:r>
        <w:rPr>
          <w:rFonts w:ascii="Arial" w:eastAsia="Times New Roman" w:hAnsi="Arial" w:cs="Arial"/>
          <w:color w:val="000000"/>
          <w:lang w:val="en-US" w:eastAsia="de-DE"/>
        </w:rPr>
        <w:instrText>","family":"Buratowski","given":"Stephen","non-dropping-particle":"","parse-names":false,"suffix":""},{"dropping-particle":"","family":"Manalis","given":"Scott","non-dropping-particle":"","parse-names":false,"suffix":""},{"dropping-particle":"","family":"W</w:instrText>
      </w:r>
      <w:r>
        <w:rPr>
          <w:rFonts w:ascii="Arial" w:eastAsia="Times New Roman" w:hAnsi="Arial" w:cs="Arial"/>
          <w:color w:val="000000"/>
          <w:lang w:val="en-US" w:eastAsia="de-DE"/>
        </w:rPr>
        <w:instrText>erven","given":"Folkert J.","non-dropping-particle":"van","parse-names":false,"suffix":""},{"dropping-particle":"","family":"Holt","given":"Liam J.","non-dropping-particle":"","parse-names":false,"suffix":""},{"dropping-particle":"","family":"Amon","given"</w:instrText>
      </w:r>
      <w:r>
        <w:rPr>
          <w:rFonts w:ascii="Arial" w:eastAsia="Times New Roman" w:hAnsi="Arial" w:cs="Arial"/>
          <w:color w:val="000000"/>
          <w:lang w:val="en-US" w:eastAsia="de-DE"/>
        </w:rPr>
        <w:instrText>:"Angelika","non-dropping-particle":"","parse-names":false,"suffix":""}],"container-title":"Cell","id":"ITEM-1","issue":"5","issued":{"date-parts":[["2019","2","21"]]},"page":"1083-1097.e18","publisher":"Cell Press","title":"Excessive Cell Growth Causes Cy</w:instrText>
      </w:r>
      <w:r>
        <w:rPr>
          <w:rFonts w:ascii="Arial" w:eastAsia="Times New Roman" w:hAnsi="Arial" w:cs="Arial"/>
          <w:color w:val="000000"/>
          <w:lang w:val="en-US" w:eastAsia="de-DE"/>
        </w:rPr>
        <w:instrText>toplasm Dilution And Contributes to Senescence","type":"article-journal","volume":"176"},"uris":["http://www.mendeley.com/documents/?uuid=4833c8e1-6ce1-37ae-98d6-80963c92a809"]}],"mendeley":{"formattedCitation":"&lt;sup&gt;3&lt;/sup&gt;","plainTextFormattedCitation":"</w:instrText>
      </w:r>
      <w:r>
        <w:rPr>
          <w:rFonts w:ascii="Arial" w:eastAsia="Times New Roman" w:hAnsi="Arial" w:cs="Arial"/>
          <w:color w:val="000000"/>
          <w:lang w:val="en-US" w:eastAsia="de-DE"/>
        </w:rPr>
        <w:instrText>3","previouslyFormattedCitation":"&lt;sup&gt;3&lt;/sup&gt;"},"properties":{"noteIndex":0},"schema":"https://github.com/citation-style-language/schema/raw/master/csl-citation.json"}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Besides measurements of individual molecules, direct measurements of cell density </w:t>
      </w:r>
      <w:r>
        <w:rPr>
          <w:rFonts w:ascii="Arial" w:eastAsia="Times New Roman" w:hAnsi="Arial" w:cs="Arial"/>
          <w:color w:val="000000"/>
          <w:lang w:val="en-US" w:eastAsia="de-DE"/>
        </w:rPr>
        <w:t>will be needed to obtain a better understanding of its link to cell size. A prominent technique used to quantify cell density is based on suspended microchannel resonators (SMRs), with which buoyant mass of the cell can be measured with high accuracy and s</w:t>
      </w:r>
      <w:r>
        <w:rPr>
          <w:rFonts w:ascii="Arial" w:eastAsia="Times New Roman" w:hAnsi="Arial" w:cs="Arial"/>
          <w:color w:val="000000"/>
          <w:lang w:val="en-US" w:eastAsia="de-DE"/>
        </w:rPr>
        <w:t>ensitivity but which does not provide spatial information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{"citationItems":[{"id":"ITEM-1","itemData":{"DOI":"10.1063/1.2789694/334644","ISSN":"00036951","abstract":"We demonstrate the measurement of mass, density, and size of cells and n</w:instrText>
      </w:r>
      <w:r>
        <w:rPr>
          <w:rFonts w:ascii="Arial" w:eastAsia="Times New Roman" w:hAnsi="Arial" w:cs="Arial"/>
          <w:color w:val="000000"/>
          <w:lang w:val="en-US" w:eastAsia="de-DE"/>
        </w:rPr>
        <w:instrText xml:space="preserve">anoparticles using suspended microchannel resonators. The masses of individual particles are quantified as transient frequency shifts, while the particles transit a microfluidic channel embedded in the resonating cantilever. Mass histograms resulting from </w:instrText>
      </w:r>
      <w:r>
        <w:rPr>
          <w:rFonts w:ascii="Arial" w:eastAsia="Times New Roman" w:hAnsi="Arial" w:cs="Arial"/>
          <w:color w:val="000000"/>
          <w:lang w:val="en-US" w:eastAsia="de-DE"/>
        </w:rPr>
        <w:instrText xml:space="preserve">these data reveal the distribution of a population of heterogeneously sized particles. Particle density is inferred from measurements made in different carrier fluids since the frequency shift for a particle is proportional to the mass difference relative </w:instrText>
      </w:r>
      <w:r>
        <w:rPr>
          <w:rFonts w:ascii="Arial" w:eastAsia="Times New Roman" w:hAnsi="Arial" w:cs="Arial"/>
          <w:color w:val="000000"/>
          <w:lang w:val="en-US" w:eastAsia="de-DE"/>
        </w:rPr>
        <w:instrText>to the displaced solution. We have characterized the density of polystyrene particles, Escherichia coli, and human red blood cells with a resolution down to 10-4 g cm3. © 2007 American Institute of Physics.","author":[{"dropping-particle":"","family":"Godi</w:instrText>
      </w:r>
      <w:r>
        <w:rPr>
          <w:rFonts w:ascii="Arial" w:eastAsia="Times New Roman" w:hAnsi="Arial" w:cs="Arial"/>
          <w:color w:val="000000"/>
          <w:lang w:val="en-US" w:eastAsia="de-DE"/>
        </w:rPr>
        <w:instrText>n","given":"Michel","non-dropping-particle":"","parse-names":false,"suffix":""},{"dropping-particle":"","family":"Bryan","given":"Andrea K.","non-dropping-particle":"","parse-names":false,"suffix":""},{"dropping-particle":"","family":"Burg","given":"Thomas</w:instrText>
      </w:r>
      <w:r>
        <w:rPr>
          <w:rFonts w:ascii="Arial" w:eastAsia="Times New Roman" w:hAnsi="Arial" w:cs="Arial"/>
          <w:color w:val="000000"/>
          <w:lang w:val="en-US" w:eastAsia="de-DE"/>
        </w:rPr>
        <w:instrText xml:space="preserve"> P.","non-dropping-particle":"","parse-names":false,"suffix":""},{"dropping-particle":"","family":"Babcock","given":"Ken","non-dropping-particle":"","parse-names":false,"suffix":""},{"dropping-particle":"","family":"Manalis","given":"Scott R.","non-droppin</w:instrText>
      </w:r>
      <w:r>
        <w:rPr>
          <w:rFonts w:ascii="Arial" w:eastAsia="Times New Roman" w:hAnsi="Arial" w:cs="Arial"/>
          <w:color w:val="000000"/>
          <w:lang w:val="en-US" w:eastAsia="de-DE"/>
        </w:rPr>
        <w:instrText xml:space="preserve">g-particle":"","parse-names":false,"suffix":""}],"container-title":"Applied Physics Letters","id":"ITEM-1","issue":"12","issued":{"date-parts":[["2007","9","17"]]},"page":"123121","publisher":"AIP Publishing","title":"Measuring the mass, density, and size </w:instrText>
      </w:r>
      <w:r>
        <w:rPr>
          <w:rFonts w:ascii="Arial" w:eastAsia="Times New Roman" w:hAnsi="Arial" w:cs="Arial"/>
          <w:color w:val="000000"/>
          <w:lang w:val="en-US" w:eastAsia="de-DE"/>
        </w:rPr>
        <w:instrText>of particles and cells using a suspended microchannel resonator","type":"article-journal","volume":"91"},"uris":["http://www.mendeley.com/documents/?uuid=facff4e1-77ac-3833-a749-f900beb5a1ac"]},{"id":"ITEM-2","itemData":{"DOI":"10.1038/nmeth.1452","ISSN":"</w:instrText>
      </w:r>
      <w:r>
        <w:rPr>
          <w:rFonts w:ascii="Arial" w:eastAsia="Times New Roman" w:hAnsi="Arial" w:cs="Arial"/>
          <w:color w:val="000000"/>
          <w:lang w:val="en-US" w:eastAsia="de-DE"/>
        </w:rPr>
        <w:instrText>1548-7105","PMID":"20383132","abstract":"We used a suspended microchannel resonator (SMR) combined with picoliter-scale microfluidic control to measure buoyant mass and determine the 'instantaneous' growth rates of individual cells. The SMR measures mass w</w:instrText>
      </w:r>
      <w:r>
        <w:rPr>
          <w:rFonts w:ascii="Arial" w:eastAsia="Times New Roman" w:hAnsi="Arial" w:cs="Arial"/>
          <w:color w:val="000000"/>
          <w:lang w:val="en-US" w:eastAsia="de-DE"/>
        </w:rPr>
        <w:instrText xml:space="preserve">ith femtogram precision, allowing rapid determination of the growth rate in a fraction of a complete cell cycle. We found that for individual cells of Bacillus subtilis, Escherichia coli, Saccharomyces cerevisiae and mouse lymphoblasts, heavier cells grew </w:instrText>
      </w:r>
      <w:r>
        <w:rPr>
          <w:rFonts w:ascii="Arial" w:eastAsia="Times New Roman" w:hAnsi="Arial" w:cs="Arial"/>
          <w:color w:val="000000"/>
          <w:lang w:val="en-US" w:eastAsia="de-DE"/>
        </w:rPr>
        <w:instrText>faster than lighter cells.","author":[{"dropping-particle":"","family":"Godin","given":"Michel","non-dropping-particle":"","parse-names":false,"suffix":""},{"dropping-particle":"","family":"Delgado","given":"Francisco Feijó","non-dropping-particle":"","par</w:instrText>
      </w:r>
      <w:r>
        <w:rPr>
          <w:rFonts w:ascii="Arial" w:eastAsia="Times New Roman" w:hAnsi="Arial" w:cs="Arial"/>
          <w:color w:val="000000"/>
          <w:lang w:val="en-US" w:eastAsia="de-DE"/>
        </w:rPr>
        <w:instrText>se-names":false,"suffix":""},{"dropping-particle":"","family":"Son","given":"Sungmin","non-dropping-particle":"","parse-names":false,"suffix":""},{"dropping-particle":"","family":"Grover","given":"William H","non-dropping-particle":"","parse-names":false,"</w:instrText>
      </w:r>
      <w:r>
        <w:rPr>
          <w:rFonts w:ascii="Arial" w:eastAsia="Times New Roman" w:hAnsi="Arial" w:cs="Arial"/>
          <w:color w:val="000000"/>
          <w:lang w:val="en-US" w:eastAsia="de-DE"/>
        </w:rPr>
        <w:instrText>suffix":""},{"dropping-particle":"","family":"Bryan","given":"Andrea K","non-dropping-particle":"","parse-names":false,"suffix":""},{"dropping-particle":"","family":"Tzur","given":"Amit","non-dropping-particle":"","parse-names":false,"suffix":""},{"droppin</w:instrText>
      </w:r>
      <w:r>
        <w:rPr>
          <w:rFonts w:ascii="Arial" w:eastAsia="Times New Roman" w:hAnsi="Arial" w:cs="Arial"/>
          <w:color w:val="000000"/>
          <w:lang w:val="en-US" w:eastAsia="de-DE"/>
        </w:rPr>
        <w:instrText>g-particle":"","family":"Jorgensen","given":"Paul","non-dropping-particle":"","parse-names":false,"suffix":""},{"dropping-particle":"","family":"Payer","given":"Kris","non-dropping-particle":"","parse-names":false,"suffix":""},{"dropping-particle":"","fami</w:instrText>
      </w:r>
      <w:r>
        <w:rPr>
          <w:rFonts w:ascii="Arial" w:eastAsia="Times New Roman" w:hAnsi="Arial" w:cs="Arial"/>
          <w:color w:val="000000"/>
          <w:lang w:val="en-US" w:eastAsia="de-DE"/>
        </w:rPr>
        <w:instrText>ly":"Grossman","given":"Alan D","non-dropping-particle":"","parse-names":false,"suffix":""},{"dropping-particle":"","family":"Kirschner","given":"Marc W","non-dropping-particle":"","parse-names":false,"suffix":""},{"dropping-particle":"","family":"Manalis"</w:instrText>
      </w:r>
      <w:r>
        <w:rPr>
          <w:rFonts w:ascii="Arial" w:eastAsia="Times New Roman" w:hAnsi="Arial" w:cs="Arial"/>
          <w:color w:val="000000"/>
          <w:lang w:val="en-US" w:eastAsia="de-DE"/>
        </w:rPr>
        <w:instrText>,"given":"Scott R","non-dropping-particle":"","parse-names":false,"suffix":""}],"container-title":"Nature methods","id":"ITEM-2","issue":"5","issued":{"date-parts":[["2010","5"]]},"page":"387-90","publisher":"Nature Publishing Group","title":"Using buoyant</w:instrText>
      </w:r>
      <w:r>
        <w:rPr>
          <w:rFonts w:ascii="Arial" w:eastAsia="Times New Roman" w:hAnsi="Arial" w:cs="Arial"/>
          <w:color w:val="000000"/>
          <w:lang w:val="en-US" w:eastAsia="de-DE"/>
        </w:rPr>
        <w:instrText xml:space="preserve"> mass to measure the growth of single cells.","title-short":"Nat Meth","type":"article-journal","volume":"7"},"uris":["http://www.mendeley.com/documents/?uuid=dd962d46-b5f9-48fe-af4a-fe6e6bb79fd2"]},{"id":"ITEM-3","itemData":{"DOI":"10.1073/PNAS.1104651108</w:instrText>
      </w:r>
      <w:r>
        <w:rPr>
          <w:rFonts w:ascii="Arial" w:eastAsia="Times New Roman" w:hAnsi="Arial" w:cs="Arial"/>
          <w:color w:val="000000"/>
          <w:lang w:val="en-US" w:eastAsia="de-DE"/>
        </w:rPr>
        <w:instrText>/SUPPL_FILE/PNAS.1104651108_SI.PDF","ISSN":"00278424","PMID":"21690360","abstract":"We have used a microfluidic mass sensor to measure the density of single living cells. By weighing each cell in two fluids of different densities, our technique measures th</w:instrText>
      </w:r>
      <w:r>
        <w:rPr>
          <w:rFonts w:ascii="Arial" w:eastAsia="Times New Roman" w:hAnsi="Arial" w:cs="Arial"/>
          <w:color w:val="000000"/>
          <w:lang w:val="en-US" w:eastAsia="de-DE"/>
        </w:rPr>
        <w:instrText>e single-cell mass, volume, and density of approximately 500 cells per hour with a density precision of 0.001 gmL -1. We observe that the intrinsic cell-to-cell variation in density is nearly 100-fold smaller than the mass or volume variation. As a result,</w:instrText>
      </w:r>
      <w:r>
        <w:rPr>
          <w:rFonts w:ascii="Arial" w:eastAsia="Times New Roman" w:hAnsi="Arial" w:cs="Arial"/>
          <w:color w:val="000000"/>
          <w:lang w:val="en-US" w:eastAsia="de-DE"/>
        </w:rPr>
        <w:instrText xml:space="preserve"> we can measure changes in cell density indicative of cellular processes that would be otherwise undetectable by mass or volume measurements. Here, we demonstrate this with four examples: identifying Plasmodium falciparum malariainfected erythrocytes in a </w:instrText>
      </w:r>
      <w:r>
        <w:rPr>
          <w:rFonts w:ascii="Arial" w:eastAsia="Times New Roman" w:hAnsi="Arial" w:cs="Arial"/>
          <w:color w:val="000000"/>
          <w:lang w:val="en-US" w:eastAsia="de-DE"/>
        </w:rPr>
        <w:instrText>culture, distinguishing transfused blood cells from a patient's own blood, identifying irreversibly sickled cells in a sickle cell patient, and identifying leukemia cells in the early stages of responding to a drug treatment. These demonstrations suggest t</w:instrText>
      </w:r>
      <w:r>
        <w:rPr>
          <w:rFonts w:ascii="Arial" w:eastAsia="Times New Roman" w:hAnsi="Arial" w:cs="Arial"/>
          <w:color w:val="000000"/>
          <w:lang w:val="en-US" w:eastAsia="de-DE"/>
        </w:rPr>
        <w:instrText>hat the ability to measure single-cell density will provide valuable insights into cell state for a wide range of biological processes.","author":[{"dropping-particle":"","family":"Grover","given":"William H.","non-dropping-particle":"","parse-names":false</w:instrText>
      </w:r>
      <w:r>
        <w:rPr>
          <w:rFonts w:ascii="Arial" w:eastAsia="Times New Roman" w:hAnsi="Arial" w:cs="Arial"/>
          <w:color w:val="000000"/>
          <w:lang w:val="en-US" w:eastAsia="de-DE"/>
        </w:rPr>
        <w:instrText>,"suffix":""},{"dropping-particle":"","family":"Bryan","given":"Andrea K.","non-dropping-particle":"","parse-names":false,"suffix":""},{"dropping-particle":"","family":"Diez-Silva","given":"Monica","non-dropping-particle":"","parse-names":false,"suffix":""</w:instrText>
      </w:r>
      <w:r>
        <w:rPr>
          <w:rFonts w:ascii="Arial" w:eastAsia="Times New Roman" w:hAnsi="Arial" w:cs="Arial"/>
          <w:color w:val="000000"/>
          <w:lang w:val="en-US" w:eastAsia="de-DE"/>
        </w:rPr>
        <w:instrText>},{"dropping-particle":"","family":"Suresh","given":"Subra","non-dropping-particle":"","parse-names":false,"suffix":""},{"dropping-particle":"","family":"Higgins","given":"John M.","non-dropping-particle":"","parse-names":false,"suffix":""},{"dropping-part</w:instrText>
      </w:r>
      <w:r>
        <w:rPr>
          <w:rFonts w:ascii="Arial" w:eastAsia="Times New Roman" w:hAnsi="Arial" w:cs="Arial"/>
          <w:color w:val="000000"/>
          <w:lang w:val="en-US" w:eastAsia="de-DE"/>
        </w:rPr>
        <w:instrText>icle":"","family":"Manalis","given":"Scott R.","non-dropping-particle":"","parse-names":false,"suffix":""}],"container-title":"Proceedings of the National Academy of Sciences of the United States of America","id":"ITEM-3","issue":"27","issued":{"date-parts</w:instrText>
      </w:r>
      <w:r>
        <w:rPr>
          <w:rFonts w:ascii="Arial" w:eastAsia="Times New Roman" w:hAnsi="Arial" w:cs="Arial"/>
          <w:color w:val="000000"/>
          <w:lang w:val="en-US" w:eastAsia="de-DE"/>
        </w:rPr>
        <w:instrText>":[["2011","7","5"]]},"page":"10992-10996","publisher":"National Academy of Sciences","title":"Measuring single-cell density","type":"article-journal","volume":"108"},"uris":["http://www.mendeley.com/documents/?uuid=15d603e0-4dea-3b99-b7dc-9e9c55d62f72"]},</w:instrText>
      </w:r>
      <w:r>
        <w:rPr>
          <w:rFonts w:ascii="Arial" w:eastAsia="Times New Roman" w:hAnsi="Arial" w:cs="Arial"/>
          <w:color w:val="000000"/>
          <w:lang w:val="en-US" w:eastAsia="de-DE"/>
        </w:rPr>
        <w:instrText>{"id":"ITEM-4","itemData":{"DOI":"10.1039/C3LC51022K","ISSN":"1473-0189","PMID":"24296901","abstract":"Cell size, measured as either volume or mass, is a fundamental indicator of cell state. Far more tightly regulated than size is density, the ratio betwee</w:instrText>
      </w:r>
      <w:r>
        <w:rPr>
          <w:rFonts w:ascii="Arial" w:eastAsia="Times New Roman" w:hAnsi="Arial" w:cs="Arial"/>
          <w:color w:val="000000"/>
          <w:lang w:val="en-US" w:eastAsia="de-DE"/>
        </w:rPr>
        <w:instrText>n mass and volume, which can be used to distinguish between cell populations even when volume and mass appear to remain constant. Here we expand upon a previous method for measuring cell density involving a suspended microchannel resonator (SMR). We introd</w:instrText>
      </w:r>
      <w:r>
        <w:rPr>
          <w:rFonts w:ascii="Arial" w:eastAsia="Times New Roman" w:hAnsi="Arial" w:cs="Arial"/>
          <w:color w:val="000000"/>
          <w:lang w:val="en-US" w:eastAsia="de-DE"/>
        </w:rPr>
        <w:instrText>uce a new device, the dual SMR, as a high-precision instrument for measuring single-cell mass, volume, and density using two resonators connected by a serpentine fluidic channel. The dual SMR designs considered herein demonstrate the critical role of chann</w:instrText>
      </w:r>
      <w:r>
        <w:rPr>
          <w:rFonts w:ascii="Arial" w:eastAsia="Times New Roman" w:hAnsi="Arial" w:cs="Arial"/>
          <w:color w:val="000000"/>
          <w:lang w:val="en-US" w:eastAsia="de-DE"/>
        </w:rPr>
        <w:instrText xml:space="preserve">el geometry in ensuring proper mixing and damping of pressure fluctuations in microfluidic systems designed for precision measurement. We use the dual SMR to compare the physical properties of two well-known cancer cell lines: human lung cancer cell H1650 </w:instrText>
      </w:r>
      <w:r>
        <w:rPr>
          <w:rFonts w:ascii="Arial" w:eastAsia="Times New Roman" w:hAnsi="Arial" w:cs="Arial"/>
          <w:color w:val="000000"/>
          <w:lang w:val="en-US" w:eastAsia="de-DE"/>
        </w:rPr>
        <w:instrText>and mouse lymphoblastic leukemia cell line L1210.","author":[{"dropping-particle":"","family":"Bryan","given":"Andrea K.","non-dropping-particle":"","parse-names":false,"suffix":""},{"dropping-particle":"","family":"Hecht","given":"Vivian C.","non-dropping</w:instrText>
      </w:r>
      <w:r>
        <w:rPr>
          <w:rFonts w:ascii="Arial" w:eastAsia="Times New Roman" w:hAnsi="Arial" w:cs="Arial"/>
          <w:color w:val="000000"/>
          <w:lang w:val="en-US" w:eastAsia="de-DE"/>
        </w:rPr>
        <w:instrText>-particle":"","parse-names":false,"suffix":""},{"dropping-particle":"","family":"Shen","given":"Wenjiang","non-dropping-particle":"","parse-names":false,"suffix":""},{"dropping-particle":"","family":"Payer","given":"Kristofor","non-dropping-particle":"","p</w:instrText>
      </w:r>
      <w:r>
        <w:rPr>
          <w:rFonts w:ascii="Arial" w:eastAsia="Times New Roman" w:hAnsi="Arial" w:cs="Arial"/>
          <w:color w:val="000000"/>
          <w:lang w:val="en-US" w:eastAsia="de-DE"/>
        </w:rPr>
        <w:instrText>arse-names":false,"suffix":""},{"dropping-particle":"","family":"Grover","given":"William H.","non-dropping-particle":"","parse-names":false,"suffix":""},{"dropping-particle":"","family":"Manalis","given":"Scott R.","non-dropping-particle":"","parse-names"</w:instrText>
      </w:r>
      <w:r>
        <w:rPr>
          <w:rFonts w:ascii="Arial" w:eastAsia="Times New Roman" w:hAnsi="Arial" w:cs="Arial"/>
          <w:color w:val="000000"/>
          <w:lang w:val="en-US" w:eastAsia="de-DE"/>
        </w:rPr>
        <w:instrText>:false,"suffix":""}],"container-title":"Lab on a Chip","id":"ITEM-4","issue":"3","issued":{"date-parts":[["2013","12","23"]]},"page":"569-576","publisher":"The Royal Society of Chemistry","title":"Measuring single cell mass, volume, and density with dual s</w:instrText>
      </w:r>
      <w:r>
        <w:rPr>
          <w:rFonts w:ascii="Arial" w:eastAsia="Times New Roman" w:hAnsi="Arial" w:cs="Arial"/>
          <w:color w:val="000000"/>
          <w:lang w:val="en-US" w:eastAsia="de-DE"/>
        </w:rPr>
        <w:instrText>uspended microchannel resonators","type":"article-journal","volume":"14"},"uris":["http://www.mendeley.com/documents/?uuid=ead889a1-115a-3f39-8ebd-cfaf999eb524"]}],"mendeley":{"formattedCitation":"&lt;sup&gt;76,81,85,86&lt;/sup&gt;","plainTextFormattedCitation":"76,81</w:instrText>
      </w:r>
      <w:r>
        <w:rPr>
          <w:rFonts w:ascii="Arial" w:eastAsia="Times New Roman" w:hAnsi="Arial" w:cs="Arial"/>
          <w:color w:val="000000"/>
          <w:lang w:val="en-US" w:eastAsia="de-DE"/>
        </w:rPr>
        <w:instrText>,85,86","previouslyFormattedCitation":"&lt;sup&gt;76,81,85,86&lt;/sup&gt;"},"properties":{"noteIndex":0},"schema":"https://github.com/citation-style-language/schema/raw/master/csl-citation.json"}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76,81,85,86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By contrast, optical methods such as quantitative phase i</w:t>
      </w:r>
      <w:r>
        <w:rPr>
          <w:rFonts w:ascii="Arial" w:eastAsia="Times New Roman" w:hAnsi="Arial" w:cs="Arial"/>
          <w:color w:val="000000"/>
          <w:lang w:val="en-US" w:eastAsia="de-DE"/>
        </w:rPr>
        <w:t xml:space="preserve">maging or </w:t>
      </w:r>
      <w:proofErr w:type="spellStart"/>
      <w:r>
        <w:rPr>
          <w:rFonts w:ascii="Arial" w:eastAsia="Times New Roman" w:hAnsi="Arial" w:cs="Arial"/>
          <w:color w:val="000000"/>
          <w:lang w:val="en-US" w:eastAsia="de-DE"/>
        </w:rPr>
        <w:t>cryoelectron</w:t>
      </w:r>
      <w:proofErr w:type="spellEnd"/>
      <w:r>
        <w:rPr>
          <w:rFonts w:ascii="Arial" w:eastAsia="Times New Roman" w:hAnsi="Arial" w:cs="Arial"/>
          <w:color w:val="000000"/>
          <w:lang w:val="en-US" w:eastAsia="de-DE"/>
        </w:rPr>
        <w:t xml:space="preserve"> microscopy can also provide subcellular information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{"citationItems":[{"id":"ITEM-1","itemData":{"DOI":"10.1038/nmeth1078","ISSN":"1548-7105","PMID":"17694065","abstract":"We report a technique for quantitative thre</w:instrText>
      </w:r>
      <w:r>
        <w:rPr>
          <w:rFonts w:ascii="Arial" w:eastAsia="Times New Roman" w:hAnsi="Arial" w:cs="Arial"/>
          <w:color w:val="000000"/>
          <w:lang w:val="en-US" w:eastAsia="de-DE"/>
        </w:rPr>
        <w:instrText>e-dimensional (3D) mapping of refractive index in live cells and tissues using a phase-shifting laser interferometric microscope with variable illumination angle. We demonstrate tomographic imaging of cells and multicellular organisms, and time-dependent c</w:instrText>
      </w:r>
      <w:r>
        <w:rPr>
          <w:rFonts w:ascii="Arial" w:eastAsia="Times New Roman" w:hAnsi="Arial" w:cs="Arial"/>
          <w:color w:val="000000"/>
          <w:lang w:val="en-US" w:eastAsia="de-DE"/>
        </w:rPr>
        <w:instrText>hanges in cell structure. Our results will permit quantitative characterization of specimen-induced aberrations in high-resolution microscopy and have multiple applications in tissue light scattering.","author":[{"dropping-particle":"","family":"Choi","giv</w:instrText>
      </w:r>
      <w:r>
        <w:rPr>
          <w:rFonts w:ascii="Arial" w:eastAsia="Times New Roman" w:hAnsi="Arial" w:cs="Arial"/>
          <w:color w:val="000000"/>
          <w:lang w:val="en-US" w:eastAsia="de-DE"/>
        </w:rPr>
        <w:instrText>en":"Wonshik","non-dropping-particle":"","parse-names":false,"suffix":""},{"dropping-particle":"","family":"Fang-Yen","given":"Christopher","non-dropping-particle":"","parse-names":false,"suffix":""},{"dropping-particle":"","family":"Badizadegan","given":"</w:instrText>
      </w:r>
      <w:r>
        <w:rPr>
          <w:rFonts w:ascii="Arial" w:eastAsia="Times New Roman" w:hAnsi="Arial" w:cs="Arial"/>
          <w:color w:val="000000"/>
          <w:lang w:val="en-US" w:eastAsia="de-DE"/>
        </w:rPr>
        <w:instrText>Kamran","non-dropping-particle":"","parse-names":false,"suffix":""},{"dropping-particle":"","family":"Oh","given":"Seungeun","non-dropping-particle":"","parse-names":false,"suffix":""},{"dropping-particle":"","family":"Lue","given":"Niyom","non-dropping-pa</w:instrText>
      </w:r>
      <w:r>
        <w:rPr>
          <w:rFonts w:ascii="Arial" w:eastAsia="Times New Roman" w:hAnsi="Arial" w:cs="Arial"/>
          <w:color w:val="000000"/>
          <w:lang w:val="en-US" w:eastAsia="de-DE"/>
        </w:rPr>
        <w:instrText>rticle":"","parse-names":false,"suffix":""},{"dropping-particle":"","family":"Dasari","given":"Ramachandra R.","non-dropping-particle":"","parse-names":false,"suffix":""},{"dropping-particle":"","family":"Feld","given":"Michael S.","non-dropping-particle":</w:instrText>
      </w:r>
      <w:r>
        <w:rPr>
          <w:rFonts w:ascii="Arial" w:eastAsia="Times New Roman" w:hAnsi="Arial" w:cs="Arial"/>
          <w:color w:val="000000"/>
          <w:lang w:val="en-US" w:eastAsia="de-DE"/>
        </w:rPr>
        <w:instrText>"","parse-names":false,"suffix":""}],"container-title":"Nature Methods 2007 4:9","id":"ITEM-1","issue":"9","issued":{"date-parts":[["2007","8","12"]]},"page":"717-719","publisher":"Nature Publishing Group","title":"Tomographic phase microscopy","type":"art</w:instrText>
      </w:r>
      <w:r>
        <w:rPr>
          <w:rFonts w:ascii="Arial" w:eastAsia="Times New Roman" w:hAnsi="Arial" w:cs="Arial"/>
          <w:color w:val="000000"/>
          <w:lang w:val="en-US" w:eastAsia="de-DE"/>
        </w:rPr>
        <w:instrText>icle-journal","volume":"4"},"uris":["http://www.mendeley.com/documents/?uuid=56d31326-f1f4-39bf-ae76-ae015208fd13"]},{"id":"ITEM-2","itemData":{"DOI":"10.1016/J.JMB.2015.09.030","ISSN":"0022-2836","PMID":"26456135","abstract":"Cryo-electron tomography is a</w:instrText>
      </w:r>
      <w:r>
        <w:rPr>
          <w:rFonts w:ascii="Arial" w:eastAsia="Times New Roman" w:hAnsi="Arial" w:cs="Arial"/>
          <w:color w:val="000000"/>
          <w:lang w:val="en-US" w:eastAsia="de-DE"/>
        </w:rPr>
        <w:instrText xml:space="preserve"> powerful technique that can faithfully image the native cellular environment at nanometer resolution. Unlike many other imaging approaches, cryo-electron tomography provides a label-free method of detecting biological structures, relying on the intrinsic </w:instrText>
      </w:r>
      <w:r>
        <w:rPr>
          <w:rFonts w:ascii="Arial" w:eastAsia="Times New Roman" w:hAnsi="Arial" w:cs="Arial"/>
          <w:color w:val="000000"/>
          <w:lang w:val="en-US" w:eastAsia="de-DE"/>
        </w:rPr>
        <w:instrText>contrast of frozen cellular material for direct identification of macromolecules. Recent advances in sample preparation, detector technology, and phase plate imaging have enabled the structural characterization of protein complexes within intact cells. Her</w:instrText>
      </w:r>
      <w:r>
        <w:rPr>
          <w:rFonts w:ascii="Arial" w:eastAsia="Times New Roman" w:hAnsi="Arial" w:cs="Arial"/>
          <w:color w:val="000000"/>
          <w:lang w:val="en-US" w:eastAsia="de-DE"/>
        </w:rPr>
        <w:instrText>e, we review these technical developments and outline a detailed computational workflow for in situ structural analysis. Two recent studies are described to illustrate how this workflow can be adapted to examine both known and unknown cellular complexes. T</w:instrText>
      </w:r>
      <w:r>
        <w:rPr>
          <w:rFonts w:ascii="Arial" w:eastAsia="Times New Roman" w:hAnsi="Arial" w:cs="Arial"/>
          <w:color w:val="000000"/>
          <w:lang w:val="en-US" w:eastAsia="de-DE"/>
        </w:rPr>
        <w:instrText>he stage is now set to realize the promise of visual proteomics - a complete structural description of the cell's native molecular landscape.","author":[{"dropping-particle":"","family":"Asano","given":"Shoh","non-dropping-particle":"","parse-names":false,</w:instrText>
      </w:r>
      <w:r>
        <w:rPr>
          <w:rFonts w:ascii="Arial" w:eastAsia="Times New Roman" w:hAnsi="Arial" w:cs="Arial"/>
          <w:color w:val="000000"/>
          <w:lang w:val="en-US" w:eastAsia="de-DE"/>
        </w:rPr>
        <w:instrText>"suffix":""},{"dropping-particle":"","family":"Engel","given":"Benjamin D.","non-dropping-particle":"","parse-names":false,"suffix":""},{"dropping-particle":"","family":"Baumeister","given":"Wolfgang","non-dropping-particle":"","parse-names":false,"suffix"</w:instrText>
      </w:r>
      <w:r>
        <w:rPr>
          <w:rFonts w:ascii="Arial" w:eastAsia="Times New Roman" w:hAnsi="Arial" w:cs="Arial"/>
          <w:color w:val="000000"/>
          <w:lang w:val="en-US" w:eastAsia="de-DE"/>
        </w:rPr>
        <w:instrText>:""}],"container-title":"Journal of Molecular Biology","id":"ITEM-2","issue":"2","issued":{"date-parts":[["2016","1","29"]]},"page":"332-343","publisher":"Academic Press","title":"In Situ Cryo-Electron Tomography: A Post-Reductionist Approach to Structural</w:instrText>
      </w:r>
      <w:r>
        <w:rPr>
          <w:rFonts w:ascii="Arial" w:eastAsia="Times New Roman" w:hAnsi="Arial" w:cs="Arial"/>
          <w:color w:val="000000"/>
          <w:lang w:val="en-US" w:eastAsia="de-DE"/>
        </w:rPr>
        <w:instrText xml:space="preserve"> Biology","type":"article-journal","volume":"428"},"uris":["http://www.mendeley.com/documents/?uuid=8b6b94f2-be34-3df9-a598-a6065dec7c50"]},{"id":"ITEM-3","itemData":{"DOI":"10.1016/J.CELL.2018.05.042","ISSN":"0092-8674","PMID":"29937223","abstract":"Macro</w:instrText>
      </w:r>
      <w:r>
        <w:rPr>
          <w:rFonts w:ascii="Arial" w:eastAsia="Times New Roman" w:hAnsi="Arial" w:cs="Arial"/>
          <w:color w:val="000000"/>
          <w:lang w:val="en-US" w:eastAsia="de-DE"/>
        </w:rPr>
        <w:instrText xml:space="preserve">molecular crowding has a profound impact on reaction rates and the physical properties of the cell interior, but the mechanisms that regulate crowding are poorly understood. We developed genetically encoded multimeric nanoparticles (GEMs) to dissect these </w:instrText>
      </w:r>
      <w:r>
        <w:rPr>
          <w:rFonts w:ascii="Arial" w:eastAsia="Times New Roman" w:hAnsi="Arial" w:cs="Arial"/>
          <w:color w:val="000000"/>
          <w:lang w:val="en-US" w:eastAsia="de-DE"/>
        </w:rPr>
        <w:instrText>mechanisms. GEMs are homomultimeric scaffolds fused to a fluorescent protein that self-assemble into bright, stable particles of defined size and shape. By combining tracking of GEMs with genetic and pharmacological approaches, we discovered that the mTORC</w:instrText>
      </w:r>
      <w:r>
        <w:rPr>
          <w:rFonts w:ascii="Arial" w:eastAsia="Times New Roman" w:hAnsi="Arial" w:cs="Arial"/>
          <w:color w:val="000000"/>
          <w:lang w:val="en-US" w:eastAsia="de-DE"/>
        </w:rPr>
        <w:instrText>1 pathway can modulate the effective diffusion coefficient of particles ≥20 nm in diameter more than 2-fold by tuning ribosome concentration, without any discernable effect on the motion of molecules ≤5 nm. This change in ribosome concentration affected ph</w:instrText>
      </w:r>
      <w:r>
        <w:rPr>
          <w:rFonts w:ascii="Arial" w:eastAsia="Times New Roman" w:hAnsi="Arial" w:cs="Arial"/>
          <w:color w:val="000000"/>
          <w:lang w:val="en-US" w:eastAsia="de-DE"/>
        </w:rPr>
        <w:instrText>ase separation both in vitro and in vivo. Together, these results establish a role for mTORC1 in controlling both the mesoscale biophysical properties of the cytoplasm and biomolecular condensation. mTORC1 signaling controls phase transitions in the cytopl</w:instrText>
      </w:r>
      <w:r>
        <w:rPr>
          <w:rFonts w:ascii="Arial" w:eastAsia="Times New Roman" w:hAnsi="Arial" w:cs="Arial"/>
          <w:color w:val="000000"/>
          <w:lang w:val="en-US" w:eastAsia="de-DE"/>
        </w:rPr>
        <w:instrText>asm through its effects on molecular crowding.","author":[{"dropping-particle":"","family":"Delarue","given":"M.","non-dropping-particle":"","parse-names":false,"suffix":""},{"dropping-particle":"","family":"Brittingham","given":"G. P.","non-dropping-parti</w:instrText>
      </w:r>
      <w:r>
        <w:rPr>
          <w:rFonts w:ascii="Arial" w:eastAsia="Times New Roman" w:hAnsi="Arial" w:cs="Arial"/>
          <w:color w:val="000000"/>
          <w:lang w:val="en-US" w:eastAsia="de-DE"/>
        </w:rPr>
        <w:instrText>cle":"","parse-names":false,"suffix":""},{"dropping-particle":"","family":"Pfeffer","given":"S.","non-dropping-particle":"","parse-names":false,"suffix":""},{"dropping-particle":"V.","family":"Surovtsev","given":"I.","non-dropping-particle":"","parse-names</w:instrText>
      </w:r>
      <w:r>
        <w:rPr>
          <w:rFonts w:ascii="Arial" w:eastAsia="Times New Roman" w:hAnsi="Arial" w:cs="Arial"/>
          <w:color w:val="000000"/>
          <w:lang w:val="en-US" w:eastAsia="de-DE"/>
        </w:rPr>
        <w:instrText>":false,"suffix":""},{"dropping-particle":"","family":"Pinglay","given":"S.","non-dropping-particle":"","parse-names":false,"suffix":""},{"dropping-particle":"","family":"Kennedy","given":"K. J.","non-dropping-particle":"","parse-names":false,"suffix":""},</w:instrText>
      </w:r>
      <w:r>
        <w:rPr>
          <w:rFonts w:ascii="Arial" w:eastAsia="Times New Roman" w:hAnsi="Arial" w:cs="Arial"/>
          <w:color w:val="000000"/>
          <w:lang w:val="en-US" w:eastAsia="de-DE"/>
        </w:rPr>
        <w:instrText>{"dropping-particle":"","family":"Schaffer","given":"M.","non-dropping-particle":"","parse-names":false,"suffix":""},{"dropping-particle":"","family":"Gutierrez","given":"J. I.","non-dropping-particle":"","parse-names":false,"suffix":""},{"dropping-particl</w:instrText>
      </w:r>
      <w:r>
        <w:rPr>
          <w:rFonts w:ascii="Arial" w:eastAsia="Times New Roman" w:hAnsi="Arial" w:cs="Arial"/>
          <w:color w:val="000000"/>
          <w:lang w:val="en-US" w:eastAsia="de-DE"/>
        </w:rPr>
        <w:instrText>e":"","family":"Sang","given":"D.","non-dropping-particle":"","parse-names":false,"suffix":""},{"dropping-particle":"","family":"Poterewicz","given":"G.","non-dropping-particle":"","parse-names":false,"suffix":""},{"dropping-particle":"","family":"Chung","</w:instrText>
      </w:r>
      <w:r>
        <w:rPr>
          <w:rFonts w:ascii="Arial" w:eastAsia="Times New Roman" w:hAnsi="Arial" w:cs="Arial"/>
          <w:color w:val="000000"/>
          <w:lang w:val="en-US" w:eastAsia="de-DE"/>
        </w:rPr>
        <w:instrText>given":"J. K.","non-dropping-particle":"","parse-names":false,"suffix":""},{"dropping-particle":"","family":"Plitzko","given":"J. M.","non-dropping-particle":"","parse-names":false,"suffix":""},{"dropping-particle":"","family":"Groves","given":"J. T.","non</w:instrText>
      </w:r>
      <w:r>
        <w:rPr>
          <w:rFonts w:ascii="Arial" w:eastAsia="Times New Roman" w:hAnsi="Arial" w:cs="Arial"/>
          <w:color w:val="000000"/>
          <w:lang w:val="en-US" w:eastAsia="de-DE"/>
        </w:rPr>
        <w:instrText>-dropping-particle":"","parse-names":false,"suffix":""},{"dropping-particle":"","family":"Jacobs-Wagner","given":"C.","non-dropping-particle":"","parse-names":false,"suffix":""},{"dropping-particle":"","family":"Engel","given":"B. D.","non-dropping-particl</w:instrText>
      </w:r>
      <w:r>
        <w:rPr>
          <w:rFonts w:ascii="Arial" w:eastAsia="Times New Roman" w:hAnsi="Arial" w:cs="Arial"/>
          <w:color w:val="000000"/>
          <w:lang w:val="en-US" w:eastAsia="de-DE"/>
        </w:rPr>
        <w:instrText>e":"","parse-names":false,"suffix":""},{"dropping-particle":"","family":"Holt","given":"L. J.","non-dropping-particle":"","parse-names":false,"suffix":""}],"container-title":"Cell","id":"ITEM-3","issue":"2","issued":{"date-parts":[["2018","7","12"]]},"page</w:instrText>
      </w:r>
      <w:r>
        <w:rPr>
          <w:rFonts w:ascii="Arial" w:eastAsia="Times New Roman" w:hAnsi="Arial" w:cs="Arial"/>
          <w:color w:val="000000"/>
          <w:lang w:val="en-US" w:eastAsia="de-DE"/>
        </w:rPr>
        <w:instrText>":"338-349.e20","publisher":"Cell Press","title":"mTORC1 Controls Phase Separation and the Biophysical Properties of the Cytoplasm by Tuning Crowding","type":"article-journal","volume":"174"},"uris":["http://www.mendeley.com/documents/?uuid=533bbccf-e62e-3</w:instrText>
      </w:r>
      <w:r>
        <w:rPr>
          <w:rFonts w:ascii="Arial" w:eastAsia="Times New Roman" w:hAnsi="Arial" w:cs="Arial"/>
          <w:color w:val="000000"/>
          <w:lang w:val="en-US" w:eastAsia="de-DE"/>
        </w:rPr>
        <w:instrText>40f-ad1e-ae9714263304"]},{"id":"ITEM-4","itemData":{"ISSN":"00440086","PMID":"30258314","abstract":"Quantitative phase imaging (QPI†) has emerged as one of the powerful imaging tools for the study of live cells in a non-invasive manner. In particular, mult</w:instrText>
      </w:r>
      <w:r>
        <w:rPr>
          <w:rFonts w:ascii="Arial" w:eastAsia="Times New Roman" w:hAnsi="Arial" w:cs="Arial"/>
          <w:color w:val="000000"/>
          <w:lang w:val="en-US" w:eastAsia="de-DE"/>
        </w:rPr>
        <w:instrText>imodal approaches combining QPI and fluorescence microscopic techniques have been recently developed for superior spatiotemporal resolution as well as high molecular specificity. In this review, we briefly summarize recent advances in three-dimensional QPI</w:instrText>
      </w:r>
      <w:r>
        <w:rPr>
          <w:rFonts w:ascii="Arial" w:eastAsia="Times New Roman" w:hAnsi="Arial" w:cs="Arial"/>
          <w:color w:val="000000"/>
          <w:lang w:val="en-US" w:eastAsia="de-DE"/>
        </w:rPr>
        <w:instrText xml:space="preserve"> combined with fluorescence techniques for the correlative study of cell pathophysiology. Through this review, biologists and clinicians can be provided with insights on this rapidly growing field of research and may find broader applications to investigat</w:instrText>
      </w:r>
      <w:r>
        <w:rPr>
          <w:rFonts w:ascii="Arial" w:eastAsia="Times New Roman" w:hAnsi="Arial" w:cs="Arial"/>
          <w:color w:val="000000"/>
          <w:lang w:val="en-US" w:eastAsia="de-DE"/>
        </w:rPr>
        <w:instrText>e unrevealed nature in cell physiology and related diseases.","author":[{"dropping-particle":"","family":"Kim","given":"Young Seo","non-dropping-particle":"","parse-names":false,"suffix":""},{"dropping-particle":"","family":"Lee","given":"Sangyun","non-dro</w:instrText>
      </w:r>
      <w:r>
        <w:rPr>
          <w:rFonts w:ascii="Arial" w:eastAsia="Times New Roman" w:hAnsi="Arial" w:cs="Arial"/>
          <w:color w:val="000000"/>
          <w:lang w:val="en-US" w:eastAsia="de-DE"/>
        </w:rPr>
        <w:instrText>pping-particle":"","parse-names":false,"suffix":""},{"dropping-particle":"","family":"Jung","given":"Jaehwang","non-dropping-particle":"","parse-names":false,"suffix":""},{"dropping-particle":"","family":"Shin","given":"Seungwoo","non-dropping-particle":""</w:instrText>
      </w:r>
      <w:r>
        <w:rPr>
          <w:rFonts w:ascii="Arial" w:eastAsia="Times New Roman" w:hAnsi="Arial" w:cs="Arial"/>
          <w:color w:val="000000"/>
          <w:lang w:val="en-US" w:eastAsia="de-DE"/>
        </w:rPr>
        <w:instrText>,"parse-names":false,"suffix":""},{"dropping-particle":"","family":"Choi","given":"He Gwon","non-dropping-particle":"","parse-names":false,"suffix":""},{"dropping-particle":"","family":"Cha","given":"Guang Ho","non-dropping-particle":"","parse-names":false</w:instrText>
      </w:r>
      <w:r>
        <w:rPr>
          <w:rFonts w:ascii="Arial" w:eastAsia="Times New Roman" w:hAnsi="Arial" w:cs="Arial"/>
          <w:color w:val="000000"/>
          <w:lang w:val="en-US" w:eastAsia="de-DE"/>
        </w:rPr>
        <w:instrText>,"suffix":""},{"dropping-particle":"","family":"Park","given":"Weisun","non-dropping-particle":"","parse-names":false,"suffix":""},{"dropping-particle":"","family":"Lee","given":"Sumin","non-dropping-particle":"","parse-names":false,"suffix":""},{"dropping</w:instrText>
      </w:r>
      <w:r>
        <w:rPr>
          <w:rFonts w:ascii="Arial" w:eastAsia="Times New Roman" w:hAnsi="Arial" w:cs="Arial"/>
          <w:color w:val="000000"/>
          <w:lang w:val="en-US" w:eastAsia="de-DE"/>
        </w:rPr>
        <w:instrText>-particle":"","family":"Park","given":"Yongkeun","non-dropping-particle":"","parse-names":false,"suffix":""}],"container-title":"The Yale Journal of Biology and Medicine","id":"ITEM-4","issue":"3","issued":{"date-parts":[["2018","9","1"]]},"page":"267","pu</w:instrText>
      </w:r>
      <w:r>
        <w:rPr>
          <w:rFonts w:ascii="Arial" w:eastAsia="Times New Roman" w:hAnsi="Arial" w:cs="Arial"/>
          <w:color w:val="000000"/>
          <w:lang w:val="en-US" w:eastAsia="de-DE"/>
        </w:rPr>
        <w:instrText>blisher":"Yale Journal of Biology and Medicine","title":"Combining Three-Dimensional Quantitative Phase Imaging and Fluorescence Microscopy for the Study of Cell Pathophysiology","type":"article-journal","volume":"91"},"uris":["http://www.mendeley.com/docu</w:instrText>
      </w:r>
      <w:r>
        <w:rPr>
          <w:rFonts w:ascii="Arial" w:eastAsia="Times New Roman" w:hAnsi="Arial" w:cs="Arial"/>
          <w:color w:val="000000"/>
          <w:lang w:val="en-US" w:eastAsia="de-DE"/>
        </w:rPr>
        <w:instrText>ments/?uuid=e3f2e503-78b4-36dd-8a6e-49120e39b4b8"]}],"mendeley":{"formattedCitation":"&lt;sup&gt;87–90&lt;/sup&gt;","plainTextFormattedCitation":"87–90","previouslyFormattedCitation":"&lt;sup&gt;87–90&lt;/sup&gt;"},"properties":{"noteIndex":0},"schema":"https://github.com/citatio</w:instrText>
      </w:r>
      <w:r>
        <w:rPr>
          <w:rFonts w:ascii="Arial" w:eastAsia="Times New Roman" w:hAnsi="Arial" w:cs="Arial"/>
          <w:color w:val="000000"/>
          <w:lang w:val="en-US" w:eastAsia="de-DE"/>
        </w:rPr>
        <w:instrText>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87–90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While all these techniques cannot differentiate between macromolecules and thus cannot be used to reveal the dry mass composition, it is now possible to distinguish various macromolecules as w</w:t>
      </w:r>
      <w:r>
        <w:rPr>
          <w:rFonts w:ascii="Arial" w:eastAsia="Times New Roman" w:hAnsi="Arial" w:cs="Arial"/>
          <w:color w:val="000000"/>
          <w:lang w:val="en-US" w:eastAsia="de-DE"/>
        </w:rPr>
        <w:t>ell as obtain their spatial information using Raman scattering (SRS) microscopy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{"citationItems":[{"id":"ITEM-1","itemData":{"DOI":"10.1126/SCIENCE.1165758/SUPPL_FILE/SRLMICROSCOPYSKIN.ZIP","ISSN":"00368075","PMID":"19095943","abstract":"</w:instrText>
      </w:r>
      <w:r>
        <w:rPr>
          <w:rFonts w:ascii="Arial" w:eastAsia="Times New Roman" w:hAnsi="Arial" w:cs="Arial"/>
          <w:color w:val="000000"/>
          <w:lang w:val="en-US" w:eastAsia="de-DE"/>
        </w:rPr>
        <w:instrText>Label-free chemical contrast is highly desirable in biomedical imaging. Spontaneous Raman microscopy provides specific vibrational signatures of chemical bonds, but is often hindered by low sensitivity. Here we report a three-dimensional multiphoton vibrat</w:instrText>
      </w:r>
      <w:r>
        <w:rPr>
          <w:rFonts w:ascii="Arial" w:eastAsia="Times New Roman" w:hAnsi="Arial" w:cs="Arial"/>
          <w:color w:val="000000"/>
          <w:lang w:val="en-US" w:eastAsia="de-DE"/>
        </w:rPr>
        <w:instrText>ional imaging technique based on stimulated Raman scattering (SRS). The sensitivity of SRS imaging is significantly greater than that of spontaneous Raman microscopy, which is achieved by implementing high-frequency (megahertz) phase-sensitive detection. S</w:instrText>
      </w:r>
      <w:r>
        <w:rPr>
          <w:rFonts w:ascii="Arial" w:eastAsia="Times New Roman" w:hAnsi="Arial" w:cs="Arial"/>
          <w:color w:val="000000"/>
          <w:lang w:val="en-US" w:eastAsia="de-DE"/>
        </w:rPr>
        <w:instrText xml:space="preserve">RS microscopy has a major advantage over previous coherent Raman techniques in that it offers background-free and readily interpretable chemical contrast. We show a variety of biomedical applications, such as differentiating distributions of omega-3 fatty </w:instrText>
      </w:r>
      <w:r>
        <w:rPr>
          <w:rFonts w:ascii="Arial" w:eastAsia="Times New Roman" w:hAnsi="Arial" w:cs="Arial"/>
          <w:color w:val="000000"/>
          <w:lang w:val="en-US" w:eastAsia="de-DE"/>
        </w:rPr>
        <w:instrText>acids and saturated lipids in living cells, imaging of brain and skin tissues based on intrinsic lipid contrast, and monitoring drug delivery through the epidermis.","author":[{"dropping-particle":"","family":"Freudiger","given":"Christian W.","non-droppin</w:instrText>
      </w:r>
      <w:r>
        <w:rPr>
          <w:rFonts w:ascii="Arial" w:eastAsia="Times New Roman" w:hAnsi="Arial" w:cs="Arial"/>
          <w:color w:val="000000"/>
          <w:lang w:val="en-US" w:eastAsia="de-DE"/>
        </w:rPr>
        <w:instrText>g-particle":"","parse-names":false,"suffix":""},{"dropping-particle":"","family":"Min","given":"Wei","non-dropping-particle":"","parse-names":false,"suffix":""},{"dropping-particle":"","family":"Saar","given":"Brian G.","non-dropping-particle":"","parse-na</w:instrText>
      </w:r>
      <w:r>
        <w:rPr>
          <w:rFonts w:ascii="Arial" w:eastAsia="Times New Roman" w:hAnsi="Arial" w:cs="Arial"/>
          <w:color w:val="000000"/>
          <w:lang w:val="en-US" w:eastAsia="de-DE"/>
        </w:rPr>
        <w:instrText>mes":false,"suffix":""},{"dropping-particle":"","family":"Lu","given":"Sijia","non-dropping-particle":"","parse-names":false,"suffix":""},{"dropping-particle":"","family":"Holtom","given":"Gary R.","non-dropping-particle":"","parse-names":false,"suffix":""</w:instrText>
      </w:r>
      <w:r>
        <w:rPr>
          <w:rFonts w:ascii="Arial" w:eastAsia="Times New Roman" w:hAnsi="Arial" w:cs="Arial"/>
          <w:color w:val="000000"/>
          <w:lang w:val="en-US" w:eastAsia="de-DE"/>
        </w:rPr>
        <w:instrText>},{"dropping-particle":"","family":"He","given":"Chengwei","non-dropping-particle":"","parse-names":false,"suffix":""},{"dropping-particle":"","family":"Tsai","given":"Jason C.","non-dropping-particle":"","parse-names":false,"suffix":""},{"dropping-particl</w:instrText>
      </w:r>
      <w:r>
        <w:rPr>
          <w:rFonts w:ascii="Arial" w:eastAsia="Times New Roman" w:hAnsi="Arial" w:cs="Arial"/>
          <w:color w:val="000000"/>
          <w:lang w:val="en-US" w:eastAsia="de-DE"/>
        </w:rPr>
        <w:instrText>e":"","family":"Kang","given":"Jing X.","non-dropping-particle":"","parse-names":false,"suffix":""},{"dropping-particle":"","family":"Xie","given":"X. Sunney","non-dropping-particle":"","parse-names":false,"suffix":""}],"container-title":"Science","id":"IT</w:instrText>
      </w:r>
      <w:r>
        <w:rPr>
          <w:rFonts w:ascii="Arial" w:eastAsia="Times New Roman" w:hAnsi="Arial" w:cs="Arial"/>
          <w:color w:val="000000"/>
          <w:lang w:val="en-US" w:eastAsia="de-DE"/>
        </w:rPr>
        <w:instrText>EM-1","issue":"5909","issued":{"date-parts":[["2008","12","19"]]},"page":"1857-1861","publisher":"\n        American Association for the Advancement of Science\n      ","title":"Label-free biomedical imaging with high sensitivity by stimulated raman scatte</w:instrText>
      </w:r>
      <w:r>
        <w:rPr>
          <w:rFonts w:ascii="Arial" w:eastAsia="Times New Roman" w:hAnsi="Arial" w:cs="Arial"/>
          <w:color w:val="000000"/>
          <w:lang w:val="en-US" w:eastAsia="de-DE"/>
        </w:rPr>
        <w:instrText>ring microscopy","type":"article-journal","volume":"322"},"uris":["http://www.mendeley.com/documents/?uuid=5f1daceb-a448-3279-baa6-97cd473dc98c"]},{"id":"ITEM-2","itemData":{"DOI":"10.1038/lsa.2015.38","ISSN":"2047-7538","abstract":"Real-time vibrational s</w:instrText>
      </w:r>
      <w:r>
        <w:rPr>
          <w:rFonts w:ascii="Arial" w:eastAsia="Times New Roman" w:hAnsi="Arial" w:cs="Arial"/>
          <w:color w:val="000000"/>
          <w:lang w:val="en-US" w:eastAsia="de-DE"/>
        </w:rPr>
        <w:instrText>pectroscopic imaging is desired for monitoring cellular states and cellular processes in a label-free manner. Raman spectroscopic imaging of highly dynamic systems is inhibited by relatively slow spectral acquisition on millisecond to second scale. Here, w</w:instrText>
      </w:r>
      <w:r>
        <w:rPr>
          <w:rFonts w:ascii="Arial" w:eastAsia="Times New Roman" w:hAnsi="Arial" w:cs="Arial"/>
          <w:color w:val="000000"/>
          <w:lang w:val="en-US" w:eastAsia="de-DE"/>
        </w:rPr>
        <w:instrText>e report microsecond scale vibrational spectroscopic imaging by lock-in free parallel detection of spectrally dispersed stimulated Raman scattering signal. Using a homebuilt tuned amplifier array, our method enables Raman spectral acquisition, within the w</w:instrText>
      </w:r>
      <w:r>
        <w:rPr>
          <w:rFonts w:ascii="Arial" w:eastAsia="Times New Roman" w:hAnsi="Arial" w:cs="Arial"/>
          <w:color w:val="000000"/>
          <w:lang w:val="en-US" w:eastAsia="de-DE"/>
        </w:rPr>
        <w:instrText>indow defined by the broadband pulse, at the speed of 32 µs and with close to shot-noise limited detection sensitivity. Incorporated with multivariate curve resolution analysis, our platform allows compositional mapping of lipid droplets in single live cel</w:instrText>
      </w:r>
      <w:r>
        <w:rPr>
          <w:rFonts w:ascii="Arial" w:eastAsia="Times New Roman" w:hAnsi="Arial" w:cs="Arial"/>
          <w:color w:val="000000"/>
          <w:lang w:val="en-US" w:eastAsia="de-DE"/>
        </w:rPr>
        <w:instrText>ls, observation of intracellular retinoid metabolism, discrimination of fat droplets from protein-rich organelles in Caenorhabditis elegans, spectral detection of fast flowing tumor cells and monitoring drug diffusion through skin tissue in vivo. The repor</w:instrText>
      </w:r>
      <w:r>
        <w:rPr>
          <w:rFonts w:ascii="Arial" w:eastAsia="Times New Roman" w:hAnsi="Arial" w:cs="Arial"/>
          <w:color w:val="000000"/>
          <w:lang w:val="en-US" w:eastAsia="de-DE"/>
        </w:rPr>
        <w:instrText>ted technique opens new opportunities for compositional analysis of cellular compartment in a microscope setting and high-throughput spectral profiling of single cells in a flow cytometer setting. Vibrational spectroscopic imaging on a microsecond time sca</w:instrText>
      </w:r>
      <w:r>
        <w:rPr>
          <w:rFonts w:ascii="Arial" w:eastAsia="Times New Roman" w:hAnsi="Arial" w:cs="Arial"/>
          <w:color w:val="000000"/>
          <w:lang w:val="en-US" w:eastAsia="de-DE"/>
        </w:rPr>
        <w:instrText>le has been realized using multiplex Raman microscopy. Real-time vibrational spectroscopic imaging holds out the promise of enabling cellular processes to be monitored without labeling, but this has been difficult to achieve because of the long acquisition</w:instrText>
      </w:r>
      <w:r>
        <w:rPr>
          <w:rFonts w:ascii="Arial" w:eastAsia="Times New Roman" w:hAnsi="Arial" w:cs="Arial"/>
          <w:color w:val="000000"/>
          <w:lang w:val="en-US" w:eastAsia="de-DE"/>
        </w:rPr>
        <w:instrText xml:space="preserve"> times needed. Now, researchers at Purdue University in the USA have realized vibrational spectroscopic imaging by parallel detection of a spectrally dispersed stimulated Raman signal. Using a homemade system, they acquired Raman spectra in 32 microseconds</w:instrText>
      </w:r>
      <w:r>
        <w:rPr>
          <w:rFonts w:ascii="Arial" w:eastAsia="Times New Roman" w:hAnsi="Arial" w:cs="Arial"/>
          <w:color w:val="000000"/>
          <w:lang w:val="en-US" w:eastAsia="de-DE"/>
        </w:rPr>
        <w:instrText xml:space="preserve"> with a detection sensitivity that is nearly shot-noise limited. The scientists illustrate the potential of the technique by using it to obtain compositional maps of lipid droplets in living single cells, observe intracellular retinoid metabolism, and disc</w:instrText>
      </w:r>
      <w:r>
        <w:rPr>
          <w:rFonts w:ascii="Arial" w:eastAsia="Times New Roman" w:hAnsi="Arial" w:cs="Arial"/>
          <w:color w:val="000000"/>
          <w:lang w:val="en-US" w:eastAsia="de-DE"/>
        </w:rPr>
        <w:instrText>riminate between fat droplets and protein-rich organelles in a nematode.","author":[{"dropping-particle":"","family":"Liao","given":"Chien Sheng","non-dropping-particle":"","parse-names":false,"suffix":""},{"dropping-particle":"","family":"Slipchenko","giv</w:instrText>
      </w:r>
      <w:r>
        <w:rPr>
          <w:rFonts w:ascii="Arial" w:eastAsia="Times New Roman" w:hAnsi="Arial" w:cs="Arial"/>
          <w:color w:val="000000"/>
          <w:lang w:val="en-US" w:eastAsia="de-DE"/>
        </w:rPr>
        <w:instrText>en":"Mikhail N.","non-dropping-particle":"","parse-names":false,"suffix":""},{"dropping-particle":"","family":"Wang","given":"Ping","non-dropping-particle":"","parse-names":false,"suffix":""},{"dropping-particle":"","family":"Li","given":"Junjie","non-drop</w:instrText>
      </w:r>
      <w:r>
        <w:rPr>
          <w:rFonts w:ascii="Arial" w:eastAsia="Times New Roman" w:hAnsi="Arial" w:cs="Arial"/>
          <w:color w:val="000000"/>
          <w:lang w:val="en-US" w:eastAsia="de-DE"/>
        </w:rPr>
        <w:instrText>ping-particle":"","parse-names":false,"suffix":""},{"dropping-particle":"","family":"Lee","given":"Seung Young","non-dropping-particle":"","parse-names":false,"suffix":""},{"dropping-particle":"","family":"Oglesbee","given":"Robert A.","non-dropping-partic</w:instrText>
      </w:r>
      <w:r>
        <w:rPr>
          <w:rFonts w:ascii="Arial" w:eastAsia="Times New Roman" w:hAnsi="Arial" w:cs="Arial"/>
          <w:color w:val="000000"/>
          <w:lang w:val="en-US" w:eastAsia="de-DE"/>
        </w:rPr>
        <w:instrText>le":"","parse-names":false,"suffix":""},{"dropping-particle":"","family":"Cheng","given":"Ji Xin","non-dropping-particle":"","parse-names":false,"suffix":""}],"container-title":"Light: Science &amp; Applications 2015 4:3","id":"ITEM-2","issue":"3","issued":{"d</w:instrText>
      </w:r>
      <w:r>
        <w:rPr>
          <w:rFonts w:ascii="Arial" w:eastAsia="Times New Roman" w:hAnsi="Arial" w:cs="Arial"/>
          <w:color w:val="000000"/>
          <w:lang w:val="en-US" w:eastAsia="de-DE"/>
        </w:rPr>
        <w:instrText>ate-parts":[["2015","3","27"]]},"page":"e265-e265","publisher":"Nature Publishing Group","title":"Microsecond scale vibrational spectroscopic imaging by multiplex stimulated Raman scattering microscopy","type":"article-journal","volume":"4"},"uris":["http:</w:instrText>
      </w:r>
      <w:r>
        <w:rPr>
          <w:rFonts w:ascii="Arial" w:eastAsia="Times New Roman" w:hAnsi="Arial" w:cs="Arial"/>
          <w:color w:val="000000"/>
          <w:lang w:val="en-US" w:eastAsia="de-DE"/>
        </w:rPr>
        <w:instrText>//www.mendeley.com/documents/?uuid=2a2a8844-5a04-3f3f-b9a0-ba9d9a410547"]},{"id":"ITEM-3","itemData":{"DOI":"10.1073/PNAS.2117938119/SUPPL_FILE/PNAS.2117938119.SAPP.PDF","ISSN":"10916490","PMID":"35452314","abstract":"Cell mass and chemical composition are</w:instrText>
      </w:r>
      <w:r>
        <w:rPr>
          <w:rFonts w:ascii="Arial" w:eastAsia="Times New Roman" w:hAnsi="Arial" w:cs="Arial"/>
          <w:color w:val="000000"/>
          <w:lang w:val="en-US" w:eastAsia="de-DE"/>
        </w:rPr>
        <w:instrText xml:space="preserve"> important aggregate cellular properties that are especially relevant to physiological processes, such as growth control and tissue homeostasis. Despite their importance, it has been difficult to measure these features quantitatively at the individual cell</w:instrText>
      </w:r>
      <w:r>
        <w:rPr>
          <w:rFonts w:ascii="Arial" w:eastAsia="Times New Roman" w:hAnsi="Arial" w:cs="Arial"/>
          <w:color w:val="000000"/>
          <w:lang w:val="en-US" w:eastAsia="de-DE"/>
        </w:rPr>
        <w:instrText xml:space="preserve"> level in intact tissue. Here, we introduce normalized Raman imaging (NoRI), a stimulated Raman scattering (SRS) microscopy method that provides the local concentrations of protein, lipid, and water from live or fixed tissue samples with high spatial resol</w:instrText>
      </w:r>
      <w:r>
        <w:rPr>
          <w:rFonts w:ascii="Arial" w:eastAsia="Times New Roman" w:hAnsi="Arial" w:cs="Arial"/>
          <w:color w:val="000000"/>
          <w:lang w:val="en-US" w:eastAsia="de-DE"/>
        </w:rPr>
        <w:instrText>ution. Using NoRI, we demonstrate that protein, lipid, and water concentrations at the single cell are maintained in a tight range in cells under the same physiological conditions and are altered in different physiological states, such as cell cycle stages</w:instrText>
      </w:r>
      <w:r>
        <w:rPr>
          <w:rFonts w:ascii="Arial" w:eastAsia="Times New Roman" w:hAnsi="Arial" w:cs="Arial"/>
          <w:color w:val="000000"/>
          <w:lang w:val="en-US" w:eastAsia="de-DE"/>
        </w:rPr>
        <w:instrText>, attachment to substrates of different stiffness, or by entering senescence. In animal tissues, protein and lipid concentration varies with cell types, yet an unexpected cell-to-cell heterogeneity was found in cerebellar Purkinje cells. The protein and li</w:instrText>
      </w:r>
      <w:r>
        <w:rPr>
          <w:rFonts w:ascii="Arial" w:eastAsia="Times New Roman" w:hAnsi="Arial" w:cs="Arial"/>
          <w:color w:val="000000"/>
          <w:lang w:val="en-US" w:eastAsia="de-DE"/>
        </w:rPr>
        <w:instrText>pid concentration profile provides means to quantitatively compare disease-related pathology, as demonstrated using models of Alzheimer's disease. This demonstration shows that NoRI is a broadly applicable technique for probing the biological regulation of</w:instrText>
      </w:r>
      <w:r>
        <w:rPr>
          <w:rFonts w:ascii="Arial" w:eastAsia="Times New Roman" w:hAnsi="Arial" w:cs="Arial"/>
          <w:color w:val="000000"/>
          <w:lang w:val="en-US" w:eastAsia="de-DE"/>
        </w:rPr>
        <w:instrText xml:space="preserve"> protein mass, lipid mass, and water mass for studies of cellular and tissue growth, homeostasis, and disease.","author":[{"dropping-particle":"","family":"Oh","given":"Seungeun","non-dropping-particle":"","parse-names":false,"suffix":""},{"dropping-partic</w:instrText>
      </w:r>
      <w:r>
        <w:rPr>
          <w:rFonts w:ascii="Arial" w:eastAsia="Times New Roman" w:hAnsi="Arial" w:cs="Arial"/>
          <w:color w:val="000000"/>
          <w:lang w:val="en-US" w:eastAsia="de-DE"/>
        </w:rPr>
        <w:instrText>le":"","family":"Lee","given":"Chang Hee","non-dropping-particle":"","parse-names":false,"suffix":""},{"dropping-particle":"","family":"Yang","given":"Wenlong","non-dropping-particle":"","parse-names":false,"suffix":""},{"dropping-particle":"","family":"Li</w:instrText>
      </w:r>
      <w:r>
        <w:rPr>
          <w:rFonts w:ascii="Arial" w:eastAsia="Times New Roman" w:hAnsi="Arial" w:cs="Arial"/>
          <w:color w:val="000000"/>
          <w:lang w:val="en-US" w:eastAsia="de-DE"/>
        </w:rPr>
        <w:instrText>","given":"Ang","non-dropping-particle":"","parse-names":false,"suffix":""},{"dropping-particle":"","family":"Mukherjee","given":"Avik","non-dropping-particle":"","parse-names":false,"suffix":""},{"dropping-particle":"","family":"Basan","given":"Markus","n</w:instrText>
      </w:r>
      <w:r>
        <w:rPr>
          <w:rFonts w:ascii="Arial" w:eastAsia="Times New Roman" w:hAnsi="Arial" w:cs="Arial"/>
          <w:color w:val="000000"/>
          <w:lang w:val="en-US" w:eastAsia="de-DE"/>
        </w:rPr>
        <w:instrText>on-dropping-particle":"","parse-names":false,"suffix":""},{"dropping-particle":"","family":"Ran","given":"Chongzhao","non-dropping-particle":"","parse-names":false,"suffix":""},{"dropping-particle":"","family":"Yin","given":"Wei","non-dropping-particle":""</w:instrText>
      </w:r>
      <w:r>
        <w:rPr>
          <w:rFonts w:ascii="Arial" w:eastAsia="Times New Roman" w:hAnsi="Arial" w:cs="Arial"/>
          <w:color w:val="000000"/>
          <w:lang w:val="en-US" w:eastAsia="de-DE"/>
        </w:rPr>
        <w:instrText>,"parse-names":false,"suffix":""},{"dropping-particle":"","family":"Tabin","given":"Clifford J.","non-dropping-particle":"","parse-names":false,"suffix":""},{"dropping-particle":"","family":"Fu","given":"Dan","non-dropping-particle":"","parse-names":false,</w:instrText>
      </w:r>
      <w:r>
        <w:rPr>
          <w:rFonts w:ascii="Arial" w:eastAsia="Times New Roman" w:hAnsi="Arial" w:cs="Arial"/>
          <w:color w:val="000000"/>
          <w:lang w:val="en-US" w:eastAsia="de-DE"/>
        </w:rPr>
        <w:instrText>"suffix":""},{"dropping-particle":"","family":"Xie","given":"X. Sunney","non-dropping-particle":"","parse-names":false,"suffix":""},{"dropping-particle":"","family":"Kirschner","given":"Marc W.","non-dropping-particle":"","parse-names":false,"suffix":""}],</w:instrText>
      </w:r>
      <w:r>
        <w:rPr>
          <w:rFonts w:ascii="Arial" w:eastAsia="Times New Roman" w:hAnsi="Arial" w:cs="Arial"/>
          <w:color w:val="000000"/>
          <w:lang w:val="en-US" w:eastAsia="de-DE"/>
        </w:rPr>
        <w:instrText xml:space="preserve">"container-title":"Proceedings of the National Academy of Sciences of the United States of America","id":"ITEM-3","issue":"17","issued":{"date-parts":[["2022","4","26"]]},"page":"e2117938119","publisher":"National Academy of Sciences","title":"Protein and </w:instrText>
      </w:r>
      <w:r>
        <w:rPr>
          <w:rFonts w:ascii="Arial" w:eastAsia="Times New Roman" w:hAnsi="Arial" w:cs="Arial"/>
          <w:color w:val="000000"/>
          <w:lang w:val="en-US" w:eastAsia="de-DE"/>
        </w:rPr>
        <w:instrText>lipid mass concentration measurement in tissues by stimulated Raman scattering microscopy","type":"article-journal","volume":"119"},"uris":["http://www.mendeley.com/documents/?uuid=042f25fc-cf74-3626-a67d-7a97149f9faf"]}],"mendeley":{"formattedCitation":"&lt;</w:instrText>
      </w:r>
      <w:r>
        <w:rPr>
          <w:rFonts w:ascii="Arial" w:eastAsia="Times New Roman" w:hAnsi="Arial" w:cs="Arial"/>
          <w:color w:val="000000"/>
          <w:lang w:val="en-US" w:eastAsia="de-DE"/>
        </w:rPr>
        <w:instrText>sup&gt;84,91,92&lt;/sup&gt;","plainTextFormattedCitation":"84,91,92","previouslyFormattedCitation":"&lt;sup&gt;84,91,92&lt;/sup&gt;"},"properties":{"noteIndex":0},"schema":"https://github.com/citation-style-language/schema/raw/master/csl-citation.json"}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84,91,92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For example</w:t>
      </w:r>
      <w:r>
        <w:rPr>
          <w:rFonts w:ascii="Arial" w:eastAsia="Times New Roman" w:hAnsi="Arial" w:cs="Arial"/>
          <w:color w:val="000000"/>
          <w:lang w:val="en-US" w:eastAsia="de-DE"/>
        </w:rPr>
        <w:t>, using quantitative Raman microscopy, Oh et al. could resolve the contribution of protein and lipid concentrations to cytoplasmic dilution in senescent mammalian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{"citationItems":[{"id":"ITEM-1","itemData":{"DOI":"10.1073/PNAS.2117</w:instrText>
      </w:r>
      <w:r>
        <w:rPr>
          <w:rFonts w:ascii="Arial" w:eastAsia="Times New Roman" w:hAnsi="Arial" w:cs="Arial"/>
          <w:color w:val="000000"/>
          <w:lang w:val="en-US" w:eastAsia="de-DE"/>
        </w:rPr>
        <w:instrText>938119/SUPPL_FILE/PNAS.2117938119.SAPP.PDF","ISSN":"10916490","PMID":"35452314","abstract":"Cell mass and chemical composition are important aggregate cellular properties that are especially relevant to physiological processes, such as growth control and t</w:instrText>
      </w:r>
      <w:r>
        <w:rPr>
          <w:rFonts w:ascii="Arial" w:eastAsia="Times New Roman" w:hAnsi="Arial" w:cs="Arial"/>
          <w:color w:val="000000"/>
          <w:lang w:val="en-US" w:eastAsia="de-DE"/>
        </w:rPr>
        <w:instrText>issue homeostasis. Despite their importance, it has been difficult to measure these features quantitatively at the individual cell level in intact tissue. Here, we introduce normalized Raman imaging (NoRI), a stimulated Raman scattering (SRS) microscopy me</w:instrText>
      </w:r>
      <w:r>
        <w:rPr>
          <w:rFonts w:ascii="Arial" w:eastAsia="Times New Roman" w:hAnsi="Arial" w:cs="Arial"/>
          <w:color w:val="000000"/>
          <w:lang w:val="en-US" w:eastAsia="de-DE"/>
        </w:rPr>
        <w:instrText>thod that provides the local concentrations of protein, lipid, and water from live or fixed tissue samples with high spatial resolution. Using NoRI, we demonstrate that protein, lipid, and water concentrations at the single cell are maintained in a tight r</w:instrText>
      </w:r>
      <w:r>
        <w:rPr>
          <w:rFonts w:ascii="Arial" w:eastAsia="Times New Roman" w:hAnsi="Arial" w:cs="Arial"/>
          <w:color w:val="000000"/>
          <w:lang w:val="en-US" w:eastAsia="de-DE"/>
        </w:rPr>
        <w:instrText>ange in cells under the same physiological conditions and are altered in different physiological states, such as cell cycle stages, attachment to substrates of different stiffness, or by entering senescence. In animal tissues, protein and lipid concentrati</w:instrText>
      </w:r>
      <w:r>
        <w:rPr>
          <w:rFonts w:ascii="Arial" w:eastAsia="Times New Roman" w:hAnsi="Arial" w:cs="Arial"/>
          <w:color w:val="000000"/>
          <w:lang w:val="en-US" w:eastAsia="de-DE"/>
        </w:rPr>
        <w:instrText xml:space="preserve">on varies with cell types, yet an unexpected cell-to-cell heterogeneity was found in cerebellar Purkinje cells. The protein and lipid concentration profile provides means to quantitatively compare disease-related pathology, as demonstrated using models of </w:instrText>
      </w:r>
      <w:r>
        <w:rPr>
          <w:rFonts w:ascii="Arial" w:eastAsia="Times New Roman" w:hAnsi="Arial" w:cs="Arial"/>
          <w:color w:val="000000"/>
          <w:lang w:val="en-US" w:eastAsia="de-DE"/>
        </w:rPr>
        <w:instrText>Alzheimer's disease. This demonstration shows that NoRI is a broadly applicable technique for probing the biological regulation of protein mass, lipid mass, and water mass for studies of cellular and tissue growth, homeostasis, and disease.","author":[{"dr</w:instrText>
      </w:r>
      <w:r>
        <w:rPr>
          <w:rFonts w:ascii="Arial" w:eastAsia="Times New Roman" w:hAnsi="Arial" w:cs="Arial"/>
          <w:color w:val="000000"/>
          <w:lang w:val="en-US" w:eastAsia="de-DE"/>
        </w:rPr>
        <w:instrText>opping-particle":"","family":"Oh","given":"Seungeun","non-dropping-particle":"","parse-names":false,"suffix":""},{"dropping-particle":"","family":"Lee","given":"Chang Hee","non-dropping-particle":"","parse-names":false,"suffix":""},{"dropping-particle":"",</w:instrText>
      </w:r>
      <w:r>
        <w:rPr>
          <w:rFonts w:ascii="Arial" w:eastAsia="Times New Roman" w:hAnsi="Arial" w:cs="Arial"/>
          <w:color w:val="000000"/>
          <w:lang w:val="en-US" w:eastAsia="de-DE"/>
        </w:rPr>
        <w:instrText>"family":"Yang","given":"Wenlong","non-dropping-particle":"","parse-names":false,"suffix":""},{"dropping-particle":"","family":"Li","given":"Ang","non-dropping-particle":"","parse-names":false,"suffix":""},{"dropping-particle":"","family":"Mukherjee","give</w:instrText>
      </w:r>
      <w:r>
        <w:rPr>
          <w:rFonts w:ascii="Arial" w:eastAsia="Times New Roman" w:hAnsi="Arial" w:cs="Arial"/>
          <w:color w:val="000000"/>
          <w:lang w:val="en-US" w:eastAsia="de-DE"/>
        </w:rPr>
        <w:instrText>n":"Avik","non-dropping-particle":"","parse-names":false,"suffix":""},{"dropping-particle":"","family":"Basan","given":"Markus","non-dropping-particle":"","parse-names":false,"suffix":""},{"dropping-particle":"","family":"Ran","given":"Chongzhao","non-drop</w:instrText>
      </w:r>
      <w:r>
        <w:rPr>
          <w:rFonts w:ascii="Arial" w:eastAsia="Times New Roman" w:hAnsi="Arial" w:cs="Arial"/>
          <w:color w:val="000000"/>
          <w:lang w:val="en-US" w:eastAsia="de-DE"/>
        </w:rPr>
        <w:instrText>ping-particle":"","parse-names":false,"suffix":""},{"dropping-particle":"","family":"Yin","given":"Wei","non-dropping-particle":"","parse-names":false,"suffix":""},{"dropping-particle":"","family":"Tabin","given":"Clifford J.","non-dropping-particle":"","p</w:instrText>
      </w:r>
      <w:r>
        <w:rPr>
          <w:rFonts w:ascii="Arial" w:eastAsia="Times New Roman" w:hAnsi="Arial" w:cs="Arial"/>
          <w:color w:val="000000"/>
          <w:lang w:val="en-US" w:eastAsia="de-DE"/>
        </w:rPr>
        <w:instrText>arse-names":false,"suffix":""},{"dropping-particle":"","family":"Fu","given":"Dan","non-dropping-particle":"","parse-names":false,"suffix":""},{"dropping-particle":"","family":"Xie","given":"X. Sunney","non-dropping-particle":"","parse-names":false,"suffix</w:instrText>
      </w:r>
      <w:r>
        <w:rPr>
          <w:rFonts w:ascii="Arial" w:eastAsia="Times New Roman" w:hAnsi="Arial" w:cs="Arial"/>
          <w:color w:val="000000"/>
          <w:lang w:val="en-US" w:eastAsia="de-DE"/>
        </w:rPr>
        <w:instrText>":""},{"dropping-particle":"","family":"Kirschner","given":"Marc W.","non-dropping-particle":"","parse-names":false,"suffix":""}],"container-title":"Proceedings of the National Academy of Sciences of the United States of America","id":"ITEM-1","issue":"17"</w:instrText>
      </w:r>
      <w:r>
        <w:rPr>
          <w:rFonts w:ascii="Arial" w:eastAsia="Times New Roman" w:hAnsi="Arial" w:cs="Arial"/>
          <w:color w:val="000000"/>
          <w:lang w:val="en-US" w:eastAsia="de-DE"/>
        </w:rPr>
        <w:instrText>,"issued":{"date-parts":[["2022","4","26"]]},"page":"e2117938119","publisher":"National Academy of Sciences","title":"Protein and lipid mass concentration measurement in tissues by stimulated Raman scattering microscopy","type":"article-journal","volume":"</w:instrText>
      </w:r>
      <w:r>
        <w:rPr>
          <w:rFonts w:ascii="Arial" w:eastAsia="Times New Roman" w:hAnsi="Arial" w:cs="Arial"/>
          <w:color w:val="000000"/>
          <w:lang w:val="en-US" w:eastAsia="de-DE"/>
        </w:rPr>
        <w:instrText>119"},"uris":["http://www.mendeley.com/documents/?uuid=042f25fc-cf74-3626-a67d-7a97149f9faf"]}],"mendeley":{"formattedCitation":"&lt;sup&gt;84&lt;/sup&gt;","plainTextFormattedCitation":"84","previouslyFormattedCitation":"&lt;sup&gt;84&lt;/sup&gt;"},"properties":{"noteIndex":0},"s</w:instrText>
      </w:r>
      <w:r>
        <w:rPr>
          <w:rFonts w:ascii="Arial" w:eastAsia="Times New Roman" w:hAnsi="Arial" w:cs="Arial"/>
          <w:color w:val="000000"/>
          <w:lang w:val="en-US" w:eastAsia="de-DE"/>
        </w:rPr>
        <w:instrText>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6F6F37FC"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2.6 The relationship between cell size and nuclear DNA</w:t>
      </w:r>
    </w:p>
    <w:p w14:paraId="18C3AEF1"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One of the most striking but still poorly understood correlations with cell size is that of genome content</w:t>
      </w:r>
      <w:r>
        <w:rPr>
          <w:rFonts w:ascii="Arial" w:eastAsia="Times New Roman" w:hAnsi="Arial" w:cs="Arial"/>
          <w:color w:val="000000"/>
          <w:lang w:val="en-US" w:eastAsia="de-DE"/>
        </w:rPr>
        <w:t>. Across species, and over a range of several orders of magnitude, eukaryotic cell size increases almost in proportion to genome size, which in this context is often referred to as C-value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w:instrText>
      </w:r>
      <w:r>
        <w:rPr>
          <w:rFonts w:ascii="Arial" w:eastAsia="Times New Roman" w:hAnsi="Arial" w:cs="Arial"/>
          <w:color w:val="000000"/>
          <w:lang w:val="en-US" w:eastAsia="de-DE"/>
        </w:rPr>
        <w:instrText>":"10.1242/JCS.34.1.247","ISSN":"0021-9533","PMID":"372199","abstract":"The 40000-fold variation in eukaryote haploid DNA content is unrelated to organismic complexity or to the numbers of protein-coding genes. In eukaryote microorganisms, as well as in an</w:instrText>
      </w:r>
      <w:r>
        <w:rPr>
          <w:rFonts w:ascii="Arial" w:eastAsia="Times New Roman" w:hAnsi="Arial" w:cs="Arial"/>
          <w:color w:val="000000"/>
          <w:lang w:val="en-US" w:eastAsia="de-DE"/>
        </w:rPr>
        <w:instrText>imals and plants, DNA content is strongly correlated with cell volume and nuclear volume, and with cell cycle length and minimum generation time. These correlations are simply explained by postulating that DNA has 2 major functions unrelated to its protein</w:instrText>
      </w:r>
      <w:r>
        <w:rPr>
          <w:rFonts w:ascii="Arial" w:eastAsia="Times New Roman" w:hAnsi="Arial" w:cs="Arial"/>
          <w:color w:val="000000"/>
          <w:lang w:val="en-US" w:eastAsia="de-DE"/>
        </w:rPr>
        <w:instrText>-coding capacity: (1) the control of cell volume by the number of replicon origins, and (2) the determination of nuclear volume by the overall bulk of the DNA: cell growth rates are determined by the cell volume and by the area of the nuclear envelope avai</w:instrText>
      </w:r>
      <w:r>
        <w:rPr>
          <w:rFonts w:ascii="Arial" w:eastAsia="Times New Roman" w:hAnsi="Arial" w:cs="Arial"/>
          <w:color w:val="000000"/>
          <w:lang w:val="en-US" w:eastAsia="de-DE"/>
        </w:rPr>
        <w:instrText xml:space="preserve">lable for nucleocytoplasmic transport of RNA, which in turn depends on the nuclear volume and therefore on the DNA content. During evolution nuclear volume, and therefore DNA content, has to be adjusted to the cell volume to allow reasonable growth rates. </w:instrText>
      </w:r>
      <w:r>
        <w:rPr>
          <w:rFonts w:ascii="Arial" w:eastAsia="Times New Roman" w:hAnsi="Arial" w:cs="Arial"/>
          <w:color w:val="000000"/>
          <w:lang w:val="en-US" w:eastAsia="de-DE"/>
        </w:rPr>
        <w:instrText xml:space="preserve">The great diversity of cell volumes and growth rates, and therefore of DNA contents, among eukaryotes results from a varying balance in different species between r-selection, which favours small cells and rapid growth rates and therefore low DNA C-values, </w:instrText>
      </w:r>
      <w:r>
        <w:rPr>
          <w:rFonts w:ascii="Arial" w:eastAsia="Times New Roman" w:hAnsi="Arial" w:cs="Arial"/>
          <w:color w:val="000000"/>
          <w:lang w:val="en-US" w:eastAsia="de-DE"/>
        </w:rPr>
        <w:instrText>and if-selection which favours large cells and slow growth rates and therefore high DNA C-values. In multicellular organisms cell size needs to vary in different tissues: size differences between somatic cells result from polyteny, endopolyploidy, or the s</w:instrText>
      </w:r>
      <w:r>
        <w:rPr>
          <w:rFonts w:ascii="Arial" w:eastAsia="Times New Roman" w:hAnsi="Arial" w:cs="Arial"/>
          <w:color w:val="000000"/>
          <w:lang w:val="en-US" w:eastAsia="de-DE"/>
        </w:rPr>
        <w:instrText>ynthesis of nucleoskeletal RNA. Conflict between the need for large ova and small somatic cells explains why lampbrush chromosomes, nurse cells, chromatin diminution and chromosome elimination evolved. Similar evolutionary considerations clarify the nature</w:instrText>
      </w:r>
      <w:r>
        <w:rPr>
          <w:rFonts w:ascii="Arial" w:eastAsia="Times New Roman" w:hAnsi="Arial" w:cs="Arial"/>
          <w:color w:val="000000"/>
          <w:lang w:val="en-US" w:eastAsia="de-DE"/>
        </w:rPr>
        <w:instrText xml:space="preserve"> of polygenes, the significance of the distribution of haploidy, diploidy and dikaryosis in life cycles and of double fertilization in angiosperms, and of hetero-ploidy despite DNA constancy in cultured cells, and other puzzles in eukaryote chromosome biol</w:instrText>
      </w:r>
      <w:r>
        <w:rPr>
          <w:rFonts w:ascii="Arial" w:eastAsia="Times New Roman" w:hAnsi="Arial" w:cs="Arial"/>
          <w:color w:val="000000"/>
          <w:lang w:val="en-US" w:eastAsia="de-DE"/>
        </w:rPr>
        <w:instrText>ogy. Eukaryote DNA can be divided into genie DNA (G-DNA), which codes for proteins (or serves os recognition sites for proteins involved in transcription, replication and recombination), and nucleoskeletal DNA (S-DNA) which exists only because of its nucle</w:instrText>
      </w:r>
      <w:r>
        <w:rPr>
          <w:rFonts w:ascii="Arial" w:eastAsia="Times New Roman" w:hAnsi="Arial" w:cs="Arial"/>
          <w:color w:val="000000"/>
          <w:lang w:val="en-US" w:eastAsia="de-DE"/>
        </w:rPr>
        <w:instrText>oskeletal role in determining the nuclear volume (which it shares with G-DNA, and performs not only directly, but also indirectly by coding for nucleoskeletal RNA). Mechanistic and evolutionary implications of this are discussed.","author":[{"dropping-part</w:instrText>
      </w:r>
      <w:r>
        <w:rPr>
          <w:rFonts w:ascii="Arial" w:eastAsia="Times New Roman" w:hAnsi="Arial" w:cs="Arial"/>
          <w:color w:val="000000"/>
          <w:lang w:val="en-US" w:eastAsia="de-DE"/>
        </w:rPr>
        <w:instrText>icle":"","family":"Cavalier-Smith","given":"T.","non-dropping-particle":"","parse-names":false,"suffix":""}],"container-title":"Journal of Cell Science","id":"ITEM-1","issue":"1","issued":{"date-parts":[["1978","12","1"]]},"page":"247-278","publisher":"The</w:instrText>
      </w:r>
      <w:r>
        <w:rPr>
          <w:rFonts w:ascii="Arial" w:eastAsia="Times New Roman" w:hAnsi="Arial" w:cs="Arial"/>
          <w:color w:val="000000"/>
          <w:lang w:val="en-US" w:eastAsia="de-DE"/>
        </w:rPr>
        <w:instrText xml:space="preserve"> Company of Biologists","title":"Nuclear volume control by nucleoskeletal DNA, selection for cell volume and cell growth rate, and the solution of the DNA C-value paradox","type":"article-journal","volume":"34"},"uris":["http://www.mendeley.com/documents/?</w:instrText>
      </w:r>
      <w:r>
        <w:rPr>
          <w:rFonts w:ascii="Arial" w:eastAsia="Times New Roman" w:hAnsi="Arial" w:cs="Arial"/>
          <w:color w:val="000000"/>
          <w:lang w:val="en-US" w:eastAsia="de-DE"/>
        </w:rPr>
        <w:instrText>uuid=df12684a-f7c4-303b-af27-bb91da8406d0"]}],"mendeley":{"formattedCitation":"&lt;sup&gt;93&lt;/sup&gt;","plainTextFormattedCitation":"93","previouslyFormattedCitation":"&lt;sup&gt;93&lt;/sup&gt;"},"properties":{"noteIndex":0},"schema":"https://github.com/citation-style-language</w:instrText>
      </w:r>
      <w:r>
        <w:rPr>
          <w:rFonts w:ascii="Arial" w:eastAsia="Times New Roman" w:hAnsi="Arial" w:cs="Arial"/>
          <w:color w:val="000000"/>
          <w:lang w:val="en-US" w:eastAsia="de-DE"/>
        </w:rPr>
        <w:instrText>/schema/raw/master/csl-citation.json"}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By contrast, and highlighting the fundamentally different intracellular organization of DNA, a much weaker scaling is observed for bacteria</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w:instrText>
      </w:r>
      <w:r>
        <w:rPr>
          <w:rFonts w:ascii="Arial" w:eastAsia="Times New Roman" w:hAnsi="Arial" w:cs="Arial"/>
          <w:color w:val="000000"/>
          <w:lang w:val="en-US" w:eastAsia="de-DE"/>
        </w:rPr>
        <w:instrText>0.1093/AOB/MCI010","ISSN":"0305-7364","PMID":"15596464","abstract":"• Background: Nuclear genome size varies 300 000-fold, whereas transcriptome size varies merely 17-fold. In the largest genomes nearly all DNA is non-genic secondary DNA, mostly intergenic</w:instrText>
      </w:r>
      <w:r>
        <w:rPr>
          <w:rFonts w:ascii="Arial" w:eastAsia="Times New Roman" w:hAnsi="Arial" w:cs="Arial"/>
          <w:color w:val="000000"/>
          <w:lang w:val="en-US" w:eastAsia="de-DE"/>
        </w:rPr>
        <w:instrText xml:space="preserve"> but also within introns. There is now compelling evidence that secondary DNA is functional, i.e. positively selected by organismal selection, not the purely neutral or 'selfish' outcome of mutation pressure. The skeletal DNA theory argued that nuclear vol</w:instrText>
      </w:r>
      <w:r>
        <w:rPr>
          <w:rFonts w:ascii="Arial" w:eastAsia="Times New Roman" w:hAnsi="Arial" w:cs="Arial"/>
          <w:color w:val="000000"/>
          <w:lang w:val="en-US" w:eastAsia="de-DE"/>
        </w:rPr>
        <w:instrText>umes are genetically determined primarily by nuclear DNA amounts, modulated somewhat by genes affecting the degree of DNA packing or unfolding; the huge spread of nuclear genome sizes is the necessary consequence of the origin of the nuclear envelope and t</w:instrText>
      </w:r>
      <w:r>
        <w:rPr>
          <w:rFonts w:ascii="Arial" w:eastAsia="Times New Roman" w:hAnsi="Arial" w:cs="Arial"/>
          <w:color w:val="000000"/>
          <w:lang w:val="en-US" w:eastAsia="de-DE"/>
        </w:rPr>
        <w:instrText xml:space="preserve">he nucleation of its assembly by DNA, plus the adaptively significant 300 000-fold range of cell volumes and selection for balanced growth by optimizing karyoplasmic volume ratios (essentially invariant with cell volume in growing/multiplying cells). This </w:instrText>
      </w:r>
      <w:r>
        <w:rPr>
          <w:rFonts w:ascii="Arial" w:eastAsia="Times New Roman" w:hAnsi="Arial" w:cs="Arial"/>
          <w:color w:val="000000"/>
          <w:lang w:val="en-US" w:eastAsia="de-DE"/>
        </w:rPr>
        <w:instrText>simple explanation of the C-value paradox is refined here in the light of new insights into the nature of heterochromatin and the nuclear lamina, the genetic control of cell volume, and large-scale eukaryote phylogeny, placing special emphasis on protist t</w:instrText>
      </w:r>
      <w:r>
        <w:rPr>
          <w:rFonts w:ascii="Arial" w:eastAsia="Times New Roman" w:hAnsi="Arial" w:cs="Arial"/>
          <w:color w:val="000000"/>
          <w:lang w:val="en-US" w:eastAsia="de-DE"/>
        </w:rPr>
        <w:instrText>est cases of the basic principles of nuclear genome size evolution. • Genome Miniaturization and Expansion: Intracellular parasites (e.g. Plasmodium, microsporidia) dwarfed their genomes by gene loss and eliminating virtually all secondary DNA. The primary</w:instrText>
      </w:r>
      <w:r>
        <w:rPr>
          <w:rFonts w:ascii="Arial" w:eastAsia="Times New Roman" w:hAnsi="Arial" w:cs="Arial"/>
          <w:color w:val="000000"/>
          <w:lang w:val="en-US" w:eastAsia="de-DE"/>
        </w:rPr>
        <w:instrText xml:space="preserve"> driving forces for genome reduction are metabolic and spatial economy and cell multiplication speed. Most extreme nuclear shrinkage yielded genomes as tiny as 0.38 Mb (making the nuclear genome size range effectively 1.8 million-fold!) in some minute ensl</w:instrText>
      </w:r>
      <w:r>
        <w:rPr>
          <w:rFonts w:ascii="Arial" w:eastAsia="Times New Roman" w:hAnsi="Arial" w:cs="Arial"/>
          <w:color w:val="000000"/>
          <w:lang w:val="en-US" w:eastAsia="de-DE"/>
        </w:rPr>
        <w:instrText>aved nuclei (nucleomorphs) of cryptomonads and chlorarachneans, chimaeric cells that also retain a separate normal large nucleus. The latter shows typical correlation between genome size and cell volume, but nucleomorphs do not despite co-existing in the s</w:instrText>
      </w:r>
      <w:r>
        <w:rPr>
          <w:rFonts w:ascii="Arial" w:eastAsia="Times New Roman" w:hAnsi="Arial" w:cs="Arial"/>
          <w:color w:val="000000"/>
          <w:lang w:val="en-US" w:eastAsia="de-DE"/>
        </w:rPr>
        <w:instrText>ame cell for &gt;500 My. Thus mutation pressure does not inexorably increase genome size; selection can eliminate essentially all non-coding DNA if need be. Nucleomorphs and microsporidia even reduced gene size. Expansion of secondary DNA in the main nucleus,</w:instrText>
      </w:r>
      <w:r>
        <w:rPr>
          <w:rFonts w:ascii="Arial" w:eastAsia="Times New Roman" w:hAnsi="Arial" w:cs="Arial"/>
          <w:color w:val="000000"/>
          <w:lang w:val="en-US" w:eastAsia="de-DE"/>
        </w:rPr>
        <w:instrText xml:space="preserve"> and in large-celled eukaryotes generally, must be positively selected for function. Ciliate nuclear dimorphism provides a key test that refutes the selfish DNA and strongly supports the skeletal DNA/karyoplasmic ratio interpretation of genome size evoluti</w:instrText>
      </w:r>
      <w:r>
        <w:rPr>
          <w:rFonts w:ascii="Arial" w:eastAsia="Times New Roman" w:hAnsi="Arial" w:cs="Arial"/>
          <w:color w:val="000000"/>
          <w:lang w:val="en-US" w:eastAsia="de-DE"/>
        </w:rPr>
        <w:instrText>on. •…","author":[{"dropping-particle":"","family":"Cavalier-Smith","given":"Thomas","non-dropping-particle":"","parse-names":false,"suffix":""}],"container-title":"Annals of Botany","id":"ITEM-1","issue":"1","issued":{"date-parts":[["2005","1","1"]]},"pag</w:instrText>
      </w:r>
      <w:r>
        <w:rPr>
          <w:rFonts w:ascii="Arial" w:eastAsia="Times New Roman" w:hAnsi="Arial" w:cs="Arial"/>
          <w:color w:val="000000"/>
          <w:lang w:val="en-US" w:eastAsia="de-DE"/>
        </w:rPr>
        <w:instrText>e":"147-175","publisher":"Oxford Academic","title":"Economy, Speed and Size Matter: Evolutionary Forces Driving Nuclear Genome Miniaturization and Expansion","type":"article-journal","volume":"95"},"uris":["http://www.mendeley.com/documents/?uuid=85730979-</w:instrText>
      </w:r>
      <w:r>
        <w:rPr>
          <w:rFonts w:ascii="Arial" w:eastAsia="Times New Roman" w:hAnsi="Arial" w:cs="Arial"/>
          <w:color w:val="000000"/>
          <w:lang w:val="en-US" w:eastAsia="de-DE"/>
        </w:rPr>
        <w:instrText>052a-3f0f-a7cb-8dc4df233591"]}],"mendeley":{"formattedCitation":"&lt;sup&gt;94&lt;/sup&gt;","plainTextFormattedCitation":"94","previouslyFormattedCitation":"&lt;sup&gt;94&lt;/sup&gt;"},"properties":{"noteIndex":0},"schema":"https://github.com/citation-style-language/schema/raw/ma</w:instrText>
      </w:r>
      <w:r>
        <w:rPr>
          <w:rFonts w:ascii="Arial" w:eastAsia="Times New Roman" w:hAnsi="Arial" w:cs="Arial"/>
          <w:color w:val="000000"/>
          <w:lang w:val="en-US" w:eastAsia="de-DE"/>
        </w:rPr>
        <w:instrText>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Also for cells of the same or of closely related species, including plants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{"citationItems":[{"id":"ITEM-1","itemData":{"DOI":"10.1016/J.PBI.2003.09.009","ISSN":"1369-5266","PMID":"14611952","abstract":"Cell</w:instrText>
      </w:r>
      <w:r>
        <w:rPr>
          <w:rFonts w:ascii="Arial" w:eastAsia="Times New Roman" w:hAnsi="Arial" w:cs="Arial"/>
          <w:color w:val="000000"/>
          <w:lang w:val="en-US" w:eastAsia="de-DE"/>
        </w:rPr>
        <w:instrText>s undergoing endoreduplication replicate chromosomal DNA without intervening mitoses. The resulting larger, higher-ploidy nucleus is often associated with an increase in cell size, but the molecular basis for this correlation remains poorly understood. Rec</w:instrText>
      </w:r>
      <w:r>
        <w:rPr>
          <w:rFonts w:ascii="Arial" w:eastAsia="Times New Roman" w:hAnsi="Arial" w:cs="Arial"/>
          <w:color w:val="000000"/>
          <w:lang w:val="en-US" w:eastAsia="de-DE"/>
        </w:rPr>
        <w:instrText>ent advances in characterising various mutants and transgenic plants are beginning to unravel how this unique type of cell cycling is regulated and how it contributes to cell-size control. Both cell growth (i.e. increase in cytoplasmic macromolecular mass)</w:instrText>
      </w:r>
      <w:r>
        <w:rPr>
          <w:rFonts w:ascii="Arial" w:eastAsia="Times New Roman" w:hAnsi="Arial" w:cs="Arial"/>
          <w:color w:val="000000"/>
          <w:lang w:val="en-US" w:eastAsia="de-DE"/>
        </w:rPr>
        <w:instrText xml:space="preserve"> and cell expansion (i.e. increase in cell volume through vacuolation) contribute independently to increases in cell size in plants. A total organ-size checkpoint may also help to coordinate cell size and cell number within an organ, and can contribute to </w:instrText>
      </w:r>
      <w:r>
        <w:rPr>
          <w:rFonts w:ascii="Arial" w:eastAsia="Times New Roman" w:hAnsi="Arial" w:cs="Arial"/>
          <w:color w:val="000000"/>
          <w:lang w:val="en-US" w:eastAsia="de-DE"/>
        </w:rPr>
        <w:instrText>final cell-size determination in plants.","author":[{"dropping-particle":"","family":"Sugimoto-Shirasu","given":"Keiko","non-dropping-particle":"","parse-names":false,"suffix":""},{"dropping-particle":"","family":"Roberts","given":"Keith","non-dropping-par</w:instrText>
      </w:r>
      <w:r>
        <w:rPr>
          <w:rFonts w:ascii="Arial" w:eastAsia="Times New Roman" w:hAnsi="Arial" w:cs="Arial"/>
          <w:color w:val="000000"/>
          <w:lang w:val="en-US" w:eastAsia="de-DE"/>
        </w:rPr>
        <w:instrText>ticle":"","parse-names":false,"suffix":""}],"container-title":"Current Opinion in Plant Biology","id":"ITEM-1","issue":"6","issued":{"date-parts":[["2003","12","1"]]},"page":"544-553","publisher":"Elsevier Current Trends","title":"“Big it up”: endoreduplic</w:instrText>
      </w:r>
      <w:r>
        <w:rPr>
          <w:rFonts w:ascii="Arial" w:eastAsia="Times New Roman" w:hAnsi="Arial" w:cs="Arial"/>
          <w:color w:val="000000"/>
          <w:lang w:val="en-US" w:eastAsia="de-DE"/>
        </w:rPr>
        <w:instrText>ation and cell-size control in plants","type":"article-journal","volume":"6"},"uris":["http://www.mendeley.com/documents/?uuid=54752373-375f-321f-87ae-a3e7f184a64d"]}],"mendeley":{"formattedCitation":"&lt;sup&gt;95&lt;/sup&gt;","plainTextFormattedCitation":"95","previ</w:instrText>
      </w:r>
      <w:r>
        <w:rPr>
          <w:rFonts w:ascii="Arial" w:eastAsia="Times New Roman" w:hAnsi="Arial" w:cs="Arial"/>
          <w:color w:val="000000"/>
          <w:lang w:val="en-US" w:eastAsia="de-DE"/>
        </w:rPr>
        <w:instrText>ouslyFormattedCitation":"&lt;sup&gt;95&lt;/sup&gt;"},"properties":{"noteIndex":0},"schema":"https://github.com/citation-style-language/schema/raw/master/csl-citation.json"}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r>
        <w:rPr>
          <w:rFonts w:ascii="Arial" w:eastAsia="Times New Roman" w:hAnsi="Arial" w:cs="Arial"/>
          <w:color w:val="FF0000"/>
          <w:lang w:val="en-US" w:eastAsia="de-DE"/>
        </w:rPr>
        <w:t xml:space="preserve"> </w:t>
      </w:r>
      <w:r>
        <w:rPr>
          <w:rFonts w:ascii="Arial" w:eastAsia="Times New Roman" w:hAnsi="Arial" w:cs="Arial"/>
          <w:color w:val="000000"/>
          <w:lang w:val="en-US" w:eastAsia="de-DE"/>
        </w:rPr>
        <w:t>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{"citationItems":[{"id":"ITEM-1","itemData":{"author":[{"dropping</w:instrText>
      </w:r>
      <w:r>
        <w:rPr>
          <w:rFonts w:ascii="Arial" w:eastAsia="Times New Roman" w:hAnsi="Arial" w:cs="Arial"/>
          <w:color w:val="000000"/>
          <w:lang w:val="en-US" w:eastAsia="de-DE"/>
        </w:rPr>
        <w:instrText xml:space="preserve">-particle":"","family":"Mortimer","given":"Robert K","non-dropping-particle":"","parse-names":false,"suffix":""}],"container-title":"RADIATION RESEARCH","id":"ITEM-1","issued":{"date-parts":[["1958"]]},"page":"312-326","title":"Radiobiological and Genetic </w:instrText>
      </w:r>
      <w:r>
        <w:rPr>
          <w:rFonts w:ascii="Arial" w:eastAsia="Times New Roman" w:hAnsi="Arial" w:cs="Arial"/>
          <w:color w:val="000000"/>
          <w:lang w:val="en-US" w:eastAsia="de-DE"/>
        </w:rPr>
        <w:instrText>Studies on a Polyploid Series (Haploid to Hexaploid) of Saccharomyces cerevisiae1","type":"article-journal","volume":"9"},"uris":["http://www.mendeley.com/documents/?uuid=8d7bc06c-956b-3768-8820-a8f284d2c850"]}],"mendeley":{"formattedCitation":"&lt;sup&gt;96&lt;/su</w:instrText>
      </w:r>
      <w:r>
        <w:rPr>
          <w:rFonts w:ascii="Arial" w:eastAsia="Times New Roman" w:hAnsi="Arial" w:cs="Arial"/>
          <w:color w:val="000000"/>
          <w:lang w:val="en-US" w:eastAsia="de-DE"/>
        </w:rPr>
        <w:instrText>p&gt;","plainTextFormattedCitation":"96","previouslyFormattedCitation":"&lt;sup&gt;96&lt;/sup&gt;"},"properties":{"noteIndex":0},"schema":"https://github.com/citation-style-language/schema/raw/master/csl-citation.json"}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frogs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{"citationItems":[{"id":"ITEM-1","itemData":{"DOI":"10.1016/j.cub.2023.02.021","author":[{"dropping-particle":"","family":"Miller","given":"Kelly E","non-dropping-particle":"","parse-names":false,"suffix":""},{"dropping-particle":"","family":"Cadart","give</w:instrText>
      </w:r>
      <w:r>
        <w:rPr>
          <w:rFonts w:ascii="Arial" w:eastAsia="Times New Roman" w:hAnsi="Arial" w:cs="Arial"/>
          <w:color w:val="000000"/>
          <w:lang w:val="en-US" w:eastAsia="de-DE"/>
        </w:rPr>
        <w:instrText>n":"Clotilde","non-dropping-particle":"","parse-names":false,"suffix":""},{"dropping-particle":"","family":"Heald","given":"Rebecca","non-dropping-particle":"","parse-names":false,"suffix":""}],"container-title":"Current Biology","id":"ITEM-1","issued":{"d</w:instrText>
      </w:r>
      <w:r>
        <w:rPr>
          <w:rFonts w:ascii="Arial" w:eastAsia="Times New Roman" w:hAnsi="Arial" w:cs="Arial"/>
          <w:color w:val="000000"/>
          <w:lang w:val="en-US" w:eastAsia="de-DE"/>
        </w:rPr>
        <w:instrText>ate-parts":[["2023"]]},"page":"1327-1336.e4","title":"Dodecaploid Xenopus longipes provides insight into the emergence of size scaling relationships during development","type":"article-journal","volume":"33"},"uris":["http://www.mendeley.com/documents/?uui</w:instrText>
      </w:r>
      <w:r>
        <w:rPr>
          <w:rFonts w:ascii="Arial" w:eastAsia="Times New Roman" w:hAnsi="Arial" w:cs="Arial"/>
          <w:color w:val="000000"/>
          <w:lang w:val="en-US" w:eastAsia="de-DE"/>
        </w:rPr>
        <w:instrText>d=f0e29e2b-c08b-3814-ac06-318d461a6515"]},{"id":"ITEM-2","itemData":{"DOI":"10.1016/j.cub.2023.03.071","abstract":"Article Polyploidy in Xenopus lowers metabolic rate by decreasing total cell surface area Graphical abstract Highlights d Xenopus embryos sho</w:instrText>
      </w:r>
      <w:r>
        <w:rPr>
          <w:rFonts w:ascii="Arial" w:eastAsia="Times New Roman" w:hAnsi="Arial" w:cs="Arial"/>
          <w:color w:val="000000"/>
          <w:lang w:val="en-US" w:eastAsia="de-DE"/>
        </w:rPr>
        <w:instrText>w a power-law scaling relationship of metabolic rate with mass d Triploid embryos have fewer, larger cells than diploids, reducing metabolic rate d Energetic costs of the plasma membrane maintenance are lowered in triploid cells d Metabolic rate scales wit</w:instrText>
      </w:r>
      <w:r>
        <w:rPr>
          <w:rFonts w:ascii="Arial" w:eastAsia="Times New Roman" w:hAnsi="Arial" w:cs="Arial"/>
          <w:color w:val="000000"/>
          <w:lang w:val="en-US" w:eastAsia="de-DE"/>
        </w:rPr>
        <w:instrText>h cell size, not genome size across three Xenopus species In brief Cadart et al. show that triploid X. laevis tadpoles have fewer, larger cells and a lower oxygen consumption rate than diploids due to reduced total cell surface area, which decreases energy</w:instrText>
      </w:r>
      <w:r>
        <w:rPr>
          <w:rFonts w:ascii="Arial" w:eastAsia="Times New Roman" w:hAnsi="Arial" w:cs="Arial"/>
          <w:color w:val="000000"/>
          <w:lang w:val="en-US" w:eastAsia="de-DE"/>
        </w:rPr>
        <w:instrText xml:space="preserve"> required to maintain the plasma membrane. Comparing Xenopus species ranging 6-fold in ploidy reveals that metabolic rate scales with cell size, not genome size. SUMMARY Although polyploidization is frequent in development, cancer, and evolution, impacts o</w:instrText>
      </w:r>
      <w:r>
        <w:rPr>
          <w:rFonts w:ascii="Arial" w:eastAsia="Times New Roman" w:hAnsi="Arial" w:cs="Arial"/>
          <w:color w:val="000000"/>
          <w:lang w:val="en-US" w:eastAsia="de-DE"/>
        </w:rPr>
        <w:instrText>n animal metabolism are poorly understood. In Xenopus frogs, the number of genome copies (ploidy) varies across species and can be manipulated within a species. Here, we show that triploid tadpoles contain fewer, larger cells than dip-loids and consume oxy</w:instrText>
      </w:r>
      <w:r>
        <w:rPr>
          <w:rFonts w:ascii="Arial" w:eastAsia="Times New Roman" w:hAnsi="Arial" w:cs="Arial"/>
          <w:color w:val="000000"/>
          <w:lang w:val="en-US" w:eastAsia="de-DE"/>
        </w:rPr>
        <w:instrText>gen at a lower rate. Drug treatments revealed that the major processes accounting for tadpole energy expenditure include cell proliferation, biosynthesis, and maintenance of plasma membrane potential. While inhibiting cell proliferation did not abolish the</w:instrText>
      </w:r>
      <w:r>
        <w:rPr>
          <w:rFonts w:ascii="Arial" w:eastAsia="Times New Roman" w:hAnsi="Arial" w:cs="Arial"/>
          <w:color w:val="000000"/>
          <w:lang w:val="en-US" w:eastAsia="de-DE"/>
        </w:rPr>
        <w:instrText xml:space="preserve"> oxygen consumption difference between dip-loids and triploids, treatments that altered cellular biosynthesis or electrical potential did. Combining these results with a simple mathematical framework, we propose that the decrease in total cell surface area</w:instrText>
      </w:r>
      <w:r>
        <w:rPr>
          <w:rFonts w:ascii="Arial" w:eastAsia="Times New Roman" w:hAnsi="Arial" w:cs="Arial"/>
          <w:color w:val="000000"/>
          <w:lang w:val="en-US" w:eastAsia="de-DE"/>
        </w:rPr>
        <w:instrText xml:space="preserve"> lowered production and activity of plasma membrane components including the Na + /K + ATPase, reducing energy consumption in triploids. Comparison of Xenopus species that evolved through polyploidization revealed that metabolic differences emerged during </w:instrText>
      </w:r>
      <w:r>
        <w:rPr>
          <w:rFonts w:ascii="Arial" w:eastAsia="Times New Roman" w:hAnsi="Arial" w:cs="Arial"/>
          <w:color w:val="000000"/>
          <w:lang w:val="en-US" w:eastAsia="de-DE"/>
        </w:rPr>
        <w:instrText>development when cell size scaled with genome size. Thus, ploidy affects metabolism by altering the cell surface area to volume ratio in a multicellular organism.","author":[{"dropping-particle":"","family":"Cadart","given":"Clotilde","non-dropping-particl</w:instrText>
      </w:r>
      <w:r>
        <w:rPr>
          <w:rFonts w:ascii="Arial" w:eastAsia="Times New Roman" w:hAnsi="Arial" w:cs="Arial"/>
          <w:color w:val="000000"/>
          <w:lang w:val="en-US" w:eastAsia="de-DE"/>
        </w:rPr>
        <w:instrText>e":"","parse-names":false,"suffix":""},{"dropping-particle":"","family":"Bartz","given":"Julianne","non-dropping-particle":"","parse-names":false,"suffix":""},{"dropping-particle":"","family":"Oaks","given":"Gillian","non-dropping-particle":"","parse-names</w:instrText>
      </w:r>
      <w:r>
        <w:rPr>
          <w:rFonts w:ascii="Arial" w:eastAsia="Times New Roman" w:hAnsi="Arial" w:cs="Arial"/>
          <w:color w:val="000000"/>
          <w:lang w:val="en-US" w:eastAsia="de-DE"/>
        </w:rPr>
        <w:instrText>":false,"suffix":""},{"dropping-particle":"","family":"Liu","given":"Martin Ziyuan","non-dropping-particle":"","parse-names":false,"suffix":""},{"dropping-particle":"","family":"Correspondence","given":"Rebecca Heald","non-dropping-particle":"","parse-name</w:instrText>
      </w:r>
      <w:r>
        <w:rPr>
          <w:rFonts w:ascii="Arial" w:eastAsia="Times New Roman" w:hAnsi="Arial" w:cs="Arial"/>
          <w:color w:val="000000"/>
          <w:lang w:val="en-US" w:eastAsia="de-DE"/>
        </w:rPr>
        <w:instrText>s":false,"suffix":""},{"dropping-particle":"","family":"Heald","given":"Rebecca","non-dropping-particle":"","parse-names":false,"suffix":""}],"container-title":"Current Biology","id":"ITEM-2","issued":{"date-parts":[["2023"]]},"page":"1744-1752.e7","title"</w:instrText>
      </w:r>
      <w:r>
        <w:rPr>
          <w:rFonts w:ascii="Arial" w:eastAsia="Times New Roman" w:hAnsi="Arial" w:cs="Arial"/>
          <w:color w:val="000000"/>
          <w:lang w:val="en-US" w:eastAsia="de-DE"/>
        </w:rPr>
        <w:instrText>:"Polyploidy in Xenopus lowers metabolic rate by decreasing total cell surface area","type":"article-journal","volume":"33"},"uris":["http://www.mendeley.com/documents/?uuid=6b2e6828-39bb-3d03-886c-7dea4841bf49"]}],"mendeley":{"formattedCitation":"&lt;sup&gt;73,</w:instrText>
      </w:r>
      <w:r>
        <w:rPr>
          <w:rFonts w:ascii="Arial" w:eastAsia="Times New Roman" w:hAnsi="Arial" w:cs="Arial"/>
          <w:color w:val="000000"/>
          <w:lang w:val="en-US" w:eastAsia="de-DE"/>
        </w:rPr>
        <w:instrText>97&lt;/sup&gt;","plainTextFormattedCitation":"73,97","previouslyFormattedCitation":"&lt;sup&gt;73,97&lt;/sup&gt;"},"properties":{"noteIndex":0},"schema":"https://github.com/citation-style-language/schema/raw/master/csl-citation.json"}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73,97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and human stem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w:instrText>
      </w:r>
      <w:r>
        <w:rPr>
          <w:rFonts w:ascii="Arial" w:eastAsia="Times New Roman" w:hAnsi="Arial" w:cs="Arial"/>
          <w:color w:val="000000"/>
          <w:lang w:val="en-US" w:eastAsia="de-DE"/>
        </w:rPr>
        <w:instrText>CITATION {"citationItems":[{"id":"ITEM-1","itemData":{"DOI":"10.1038/nature17408","ISBN":"819202122X","ISSN":"1476-4687","PMID":"26982723","abstract":"Haploid human embryonic stem cells have been derived from haploid oocytes, the cells maintain a normal ha</w:instrText>
      </w:r>
      <w:r>
        <w:rPr>
          <w:rFonts w:ascii="Arial" w:eastAsia="Times New Roman" w:hAnsi="Arial" w:cs="Arial"/>
          <w:color w:val="000000"/>
          <w:lang w:val="en-US" w:eastAsia="de-DE"/>
        </w:rPr>
        <w:instrText>ploid karyotype as pluripotent cells and, unexpectedly, as differentiated cells — loss-of-function genetic screens previously performed with haploid embryonic stem cells in mice can now be performed in humans. Mammalian cells are diploids, carrying two cop</w:instrText>
      </w:r>
      <w:r>
        <w:rPr>
          <w:rFonts w:ascii="Arial" w:eastAsia="Times New Roman" w:hAnsi="Arial" w:cs="Arial"/>
          <w:color w:val="000000"/>
          <w:lang w:val="en-US" w:eastAsia="de-DE"/>
        </w:rPr>
        <w:instrText xml:space="preserve">ies of each chromosome, so gene function analysis can be a complicated process. The derivation of haploid embryonic stem cells in mice has allowed researchers to study gene function in a simpler and faster manner. Now a similar approach should be possible </w:instrText>
      </w:r>
      <w:r>
        <w:rPr>
          <w:rFonts w:ascii="Arial" w:eastAsia="Times New Roman" w:hAnsi="Arial" w:cs="Arial"/>
          <w:color w:val="000000"/>
          <w:lang w:val="en-US" w:eastAsia="de-DE"/>
        </w:rPr>
        <w:instrText>in human cells. Ido Sagi et al. have generated haploid human embryonic stem cells from haploid oocytes. The resulting cells maintain a normal haploid karyotype and pluripotent characteristics of self-renewal and differentiation, even if they differ from di</w:instrText>
      </w:r>
      <w:r>
        <w:rPr>
          <w:rFonts w:ascii="Arial" w:eastAsia="Times New Roman" w:hAnsi="Arial" w:cs="Arial"/>
          <w:color w:val="000000"/>
          <w:lang w:val="en-US" w:eastAsia="de-DE"/>
        </w:rPr>
        <w:instrText xml:space="preserve">ploid cells in terms of X chromosome inactivation or reduction of gene expression levels. The authors demonstrate the cells can be successfully used in a loss-of-function screen. Diploidy is a fundamental genetic feature in mammals, in which haploid cells </w:instrText>
      </w:r>
      <w:r>
        <w:rPr>
          <w:rFonts w:ascii="Arial" w:eastAsia="Times New Roman" w:hAnsi="Arial" w:cs="Arial"/>
          <w:color w:val="000000"/>
          <w:lang w:val="en-US" w:eastAsia="de-DE"/>
        </w:rPr>
        <w:instrText xml:space="preserve">normally arise only as post-meiotic germ cells that serve to ensure a diploid genome upon fertilization. Gamete manipulation has yielded haploid embryonic stem (ES) cells from several mammalian species1,2,3,4,5,6, but haploid human ES cells have yet to be </w:instrText>
      </w:r>
      <w:r>
        <w:rPr>
          <w:rFonts w:ascii="Arial" w:eastAsia="Times New Roman" w:hAnsi="Arial" w:cs="Arial"/>
          <w:color w:val="000000"/>
          <w:lang w:val="en-US" w:eastAsia="de-DE"/>
        </w:rPr>
        <w:instrText>reported. Here we generated and analysed a collection of human parthenogenetic ES cell lines originating from haploid oocytes, leading to the successful isolation and maintenance of human ES cell lines with a normal haploid karyotype. Haploid human ES cell</w:instrText>
      </w:r>
      <w:r>
        <w:rPr>
          <w:rFonts w:ascii="Arial" w:eastAsia="Times New Roman" w:hAnsi="Arial" w:cs="Arial"/>
          <w:color w:val="000000"/>
          <w:lang w:val="en-US" w:eastAsia="de-DE"/>
        </w:rPr>
        <w:instrText>s exhibited typical pluripotent stem cell characteristics, such as self-renewal capacity and a pluripotency-specific molecular signature. Moreover, we demonstrated the utility of these cells as a platform for loss-of-function genetic screening. Although ha</w:instrText>
      </w:r>
      <w:r>
        <w:rPr>
          <w:rFonts w:ascii="Arial" w:eastAsia="Times New Roman" w:hAnsi="Arial" w:cs="Arial"/>
          <w:color w:val="000000"/>
          <w:lang w:val="en-US" w:eastAsia="de-DE"/>
        </w:rPr>
        <w:instrText>ploid human ES cells resembled their diploid counterparts, they also displayed distinct properties including differential regulation of X chromosome inactivation and of genes involved in oxidative phosphorylation, alongside reduction in absolute gene expre</w:instrText>
      </w:r>
      <w:r>
        <w:rPr>
          <w:rFonts w:ascii="Arial" w:eastAsia="Times New Roman" w:hAnsi="Arial" w:cs="Arial"/>
          <w:color w:val="000000"/>
          <w:lang w:val="en-US" w:eastAsia="de-DE"/>
        </w:rPr>
        <w:instrText xml:space="preserve">ssion levels and cell size. Surprisingly, we found that a haploid human genome is compatible not only with the undifferentiated pluripotent state, but also with differentiated somatic fates representing all three embryonic germ layers both in vitro and in </w:instrText>
      </w:r>
      <w:r>
        <w:rPr>
          <w:rFonts w:ascii="Arial" w:eastAsia="Times New Roman" w:hAnsi="Arial" w:cs="Arial"/>
          <w:color w:val="000000"/>
          <w:lang w:val="en-US" w:eastAsia="de-DE"/>
        </w:rPr>
        <w:instrText>vivo, despite a persistent dosage imbalance between the autosomes and X chromosome. We e…","author":[{"dropping-particle":"","family":"Sagi","given":"Ido","non-dropping-particle":"","parse-names":false,"suffix":""},{"dropping-particle":"","family":"Chia","</w:instrText>
      </w:r>
      <w:r>
        <w:rPr>
          <w:rFonts w:ascii="Arial" w:eastAsia="Times New Roman" w:hAnsi="Arial" w:cs="Arial"/>
          <w:color w:val="000000"/>
          <w:lang w:val="en-US" w:eastAsia="de-DE"/>
        </w:rPr>
        <w:instrText>given":"Gloryn","non-dropping-particle":"","parse-names":false,"suffix":""},{"dropping-particle":"","family":"Golan-Lev","given":"Tamar","non-dropping-particle":"","parse-names":false,"suffix":""},{"dropping-particle":"","family":"Peretz","given":"Mordecai</w:instrText>
      </w:r>
      <w:r>
        <w:rPr>
          <w:rFonts w:ascii="Arial" w:eastAsia="Times New Roman" w:hAnsi="Arial" w:cs="Arial"/>
          <w:color w:val="000000"/>
          <w:lang w:val="en-US" w:eastAsia="de-DE"/>
        </w:rPr>
        <w:instrText>","non-dropping-particle":"","parse-names":false,"suffix":""},{"dropping-particle":"","family":"Weissbein","given":"Uri","non-dropping-particle":"","parse-names":false,"suffix":""},{"dropping-particle":"","family":"Sui","given":"Lina","non-dropping-particl</w:instrText>
      </w:r>
      <w:r>
        <w:rPr>
          <w:rFonts w:ascii="Arial" w:eastAsia="Times New Roman" w:hAnsi="Arial" w:cs="Arial"/>
          <w:color w:val="000000"/>
          <w:lang w:val="en-US" w:eastAsia="de-DE"/>
        </w:rPr>
        <w:instrText>e":"","parse-names":false,"suffix":""},{"dropping-particle":"V.","family":"Sauer","given":"Mark","non-dropping-particle":"","parse-names":false,"suffix":""},{"dropping-particle":"","family":"Yanuka","given":"Ofra","non-dropping-particle":"","parse-names":f</w:instrText>
      </w:r>
      <w:r>
        <w:rPr>
          <w:rFonts w:ascii="Arial" w:eastAsia="Times New Roman" w:hAnsi="Arial" w:cs="Arial"/>
          <w:color w:val="000000"/>
          <w:lang w:val="en-US" w:eastAsia="de-DE"/>
        </w:rPr>
        <w:instrText>alse,"suffix":""},{"dropping-particle":"","family":"Egli","given":"Dieter","non-dropping-particle":"","parse-names":false,"suffix":""},{"dropping-particle":"","family":"Benvenisty","given":"Nissim","non-dropping-particle":"","parse-names":false,"suffix":""</w:instrText>
      </w:r>
      <w:r>
        <w:rPr>
          <w:rFonts w:ascii="Arial" w:eastAsia="Times New Roman" w:hAnsi="Arial" w:cs="Arial"/>
          <w:color w:val="000000"/>
          <w:lang w:val="en-US" w:eastAsia="de-DE"/>
        </w:rPr>
        <w:instrText>}],"container-title":"Nature 2016 532:7597","id":"ITEM-1","issue":"7597","issued":{"date-parts":[["2016","3","16"]]},"page":"107-111","publisher":"Nature Publishing Group","title":"Derivation and differentiation of haploid human embryonic stem cells","type</w:instrText>
      </w:r>
      <w:r>
        <w:rPr>
          <w:rFonts w:ascii="Arial" w:eastAsia="Times New Roman" w:hAnsi="Arial" w:cs="Arial"/>
          <w:color w:val="000000"/>
          <w:lang w:val="en-US" w:eastAsia="de-DE"/>
        </w:rPr>
        <w:instrText>":"article-journal","volume":"532"},"uris":["http://www.mendeley.com/documents/?uuid=2be0a98e-71ab-34d5-a59e-2711d0ad9c1c"]}],"mendeley":{"formattedCitation":"&lt;sup&gt;98&lt;/sup&gt;","plainTextFormattedCitation":"98","previouslyFormattedCitation":"&lt;sup&gt;98&lt;/sup&gt;"},"</w:instrText>
      </w:r>
      <w:r>
        <w:rPr>
          <w:rFonts w:ascii="Arial" w:eastAsia="Times New Roman" w:hAnsi="Arial" w:cs="Arial"/>
          <w:color w:val="000000"/>
          <w:lang w:val="en-US" w:eastAsia="de-DE"/>
        </w:rPr>
        <w:instrTex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cell size is often tightly linked to DNA content, leading to a proportional increase of cell size with cell ploidy. For example, in</w:t>
      </w:r>
      <w:r>
        <w:rPr>
          <w:rFonts w:ascii="Arial" w:eastAsia="Times New Roman" w:hAnsi="Arial" w:cs="Arial"/>
          <w:color w:val="000000"/>
          <w:lang w:val="en-US" w:eastAsia="de-DE"/>
        </w:rPr>
        <w:t xml:space="preserve"> humans, polyploidy associated with increased cell size occurs in specific cell types, including megakaryocytes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{"citationItems":[{"id":"ITEM-1","itemData":{"DOI":"10.1002/JCP.10035","ISSN":"1097-4652","PMID":"11807806","abstract":"Polypl</w:instrText>
      </w:r>
      <w:r>
        <w:rPr>
          <w:rFonts w:ascii="Arial" w:eastAsia="Times New Roman" w:hAnsi="Arial" w:cs="Arial"/>
          <w:color w:val="000000"/>
          <w:lang w:val="en-US" w:eastAsia="de-DE"/>
        </w:rPr>
        <w:instrText>oidy, recognized by multiple copies of the haploid chromosome number, has been described in plants, insects, and in mammalian cells such as, the platelet precursors, the megakaryocytes. Several of these cell types reach high ploidy via a different cell cyc</w:instrText>
      </w:r>
      <w:r>
        <w:rPr>
          <w:rFonts w:ascii="Arial" w:eastAsia="Times New Roman" w:hAnsi="Arial" w:cs="Arial"/>
          <w:color w:val="000000"/>
          <w:lang w:val="en-US" w:eastAsia="de-DE"/>
        </w:rPr>
        <w:instrText>le. Megakaryocytes undergo an endomitotic cell cycle, which consists of an S phase interrupted by a gap, during which the cells enter mitosis but skip anaphase B and cytokinesis. Here, we review the mechanisms that lead to this cell cycle and to polyploidy</w:instrText>
      </w:r>
      <w:r>
        <w:rPr>
          <w:rFonts w:ascii="Arial" w:eastAsia="Times New Roman" w:hAnsi="Arial" w:cs="Arial"/>
          <w:color w:val="000000"/>
          <w:lang w:val="en-US" w:eastAsia="de-DE"/>
        </w:rPr>
        <w:instrText xml:space="preserve"> in megakaryocytes, while also comparing them to those described for other systems in which high ploidy is achieved. Overall, polyploidy is associated with an orchestrated change in expression of several genes, of which, some may be a result of high ploidy</w:instrText>
      </w:r>
      <w:r>
        <w:rPr>
          <w:rFonts w:ascii="Arial" w:eastAsia="Times New Roman" w:hAnsi="Arial" w:cs="Arial"/>
          <w:color w:val="000000"/>
          <w:lang w:val="en-US" w:eastAsia="de-DE"/>
        </w:rPr>
        <w:instrText xml:space="preserve"> and hence a determinant of a new cell physiology, while others are inducers of polyploidization. Future studies will aim to further explore these two groups of genes. © 2002 Wiley-Liss, Inc.","author":[{"dropping-particle":"","family":"Ravid","given":"Kat</w:instrText>
      </w:r>
      <w:r>
        <w:rPr>
          <w:rFonts w:ascii="Arial" w:eastAsia="Times New Roman" w:hAnsi="Arial" w:cs="Arial"/>
          <w:color w:val="000000"/>
          <w:lang w:val="en-US" w:eastAsia="de-DE"/>
        </w:rPr>
        <w:instrText>ya","non-dropping-particle":"","parse-names":false,"suffix":""},{"dropping-particle":"","family":"Lu","given":"Jun","non-dropping-particle":"","parse-names":false,"suffix":""},{"dropping-particle":"","family":"Zimmet","given":"Jeffrey M.","non-dropping-par</w:instrText>
      </w:r>
      <w:r>
        <w:rPr>
          <w:rFonts w:ascii="Arial" w:eastAsia="Times New Roman" w:hAnsi="Arial" w:cs="Arial"/>
          <w:color w:val="000000"/>
          <w:lang w:val="en-US" w:eastAsia="de-DE"/>
        </w:rPr>
        <w:instrText>ticle":"","parse-names":false,"suffix":""},{"dropping-particle":"","family":"Jones","given":"Matthew R.","non-dropping-particle":"","parse-names":false,"suffix":""}],"container-title":"Journal of Cellular Physiology","id":"ITEM-1","issue":"1","issued":{"da</w:instrText>
      </w:r>
      <w:r>
        <w:rPr>
          <w:rFonts w:ascii="Arial" w:eastAsia="Times New Roman" w:hAnsi="Arial" w:cs="Arial"/>
          <w:color w:val="000000"/>
          <w:lang w:val="en-US" w:eastAsia="de-DE"/>
        </w:rPr>
        <w:instrText>te-parts":[["2002","1","1"]]},"page":"7-20","publisher":"John Wiley &amp; Sons, Ltd","title":"Roads to polyploidy: The megakaryocyte example","type":"article-journal","volume":"190"},"uris":["http://www.mendeley.com/documents/?uuid=a44a5d4f-4d06-31aa-b938-513e</w:instrText>
      </w:r>
      <w:r>
        <w:rPr>
          <w:rFonts w:ascii="Arial" w:eastAsia="Times New Roman" w:hAnsi="Arial" w:cs="Arial"/>
          <w:color w:val="000000"/>
          <w:lang w:val="en-US" w:eastAsia="de-DE"/>
        </w:rPr>
        <w:instrText>28328adf"]}],"mendeley":{"formattedCitation":"&lt;sup&gt;99&lt;/sup&gt;","plainTextFormattedCitation":"99","previouslyFormattedCitation":"&lt;sup&gt;99&lt;/sup&gt;"},"properties":{"noteIndex":0},"schema":"https://github.com/citation-style-language/schema/raw/master/csl-citation.j</w:instrText>
      </w:r>
      <w:r>
        <w:rPr>
          <w:rFonts w:ascii="Arial" w:eastAsia="Times New Roman" w:hAnsi="Arial" w:cs="Arial"/>
          <w:color w:val="000000"/>
          <w:lang w:val="en-US" w:eastAsia="de-DE"/>
        </w:rPr>
        <w:instrText>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cardiomyocytes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{"citationItems":[{"id":"ITEM-1","itemData":{"DOI":"10.1073/PNAS.1214608110/-/DCSUPPLEMENTAL/SM06.MOV","ISSN":"00278424","PMID":"23302686","abstract":"The human heart is believed to grow by enlargement but not p</w:instrText>
      </w:r>
      <w:r>
        <w:rPr>
          <w:rFonts w:ascii="Arial" w:eastAsia="Times New Roman" w:hAnsi="Arial" w:cs="Arial"/>
          <w:color w:val="000000"/>
          <w:lang w:val="en-US" w:eastAsia="de-DE"/>
        </w:rPr>
        <w:instrText>roliferation of cardiomyocytes (heart muscle cells) during postnatal development. However, recent studies have shown that cardiomyocyte proliferation is a mechanism of cardiac growth and regeneration in animals. Combined with evidence for cardiomyocyte tur</w:instrText>
      </w:r>
      <w:r>
        <w:rPr>
          <w:rFonts w:ascii="Arial" w:eastAsia="Times New Roman" w:hAnsi="Arial" w:cs="Arial"/>
          <w:color w:val="000000"/>
          <w:lang w:val="en-US" w:eastAsia="de-DE"/>
        </w:rPr>
        <w:instrText xml:space="preserve">nover in adult humans, this suggests that cardiomyocyte proliferation may play an unrecognized role during the period of developmental heart growth between birth and adolescence. We tested this hypothesis by examining the cellular growth mechanisms of the </w:instrText>
      </w:r>
      <w:r>
        <w:rPr>
          <w:rFonts w:ascii="Arial" w:eastAsia="Times New Roman" w:hAnsi="Arial" w:cs="Arial"/>
          <w:color w:val="000000"/>
          <w:lang w:val="en-US" w:eastAsia="de-DE"/>
        </w:rPr>
        <w:instrText>left ventricle on a set of healthy hearts from humans aged 0-59 y (n = 36). The percentages of cardiomyocytes in mitosis and cytokinesis were highest in infants, decreasing to low levels by 20 y. Although cardiomyocyte mitosis was detectable throughout lif</w:instrText>
      </w:r>
      <w:r>
        <w:rPr>
          <w:rFonts w:ascii="Arial" w:eastAsia="Times New Roman" w:hAnsi="Arial" w:cs="Arial"/>
          <w:color w:val="000000"/>
          <w:lang w:val="en-US" w:eastAsia="de-DE"/>
        </w:rPr>
        <w:instrText>e, cardiomyocyte cytokinesis was not evident after 20 y. Between the first year and 20 y of life, the number of cardiomyocytes in the left ventricle increased 3.4-fold, which was consistent with our predictions based on measured cardiomyocyte cell cycle ac</w:instrText>
      </w:r>
      <w:r>
        <w:rPr>
          <w:rFonts w:ascii="Arial" w:eastAsia="Times New Roman" w:hAnsi="Arial" w:cs="Arial"/>
          <w:color w:val="000000"/>
          <w:lang w:val="en-US" w:eastAsia="de-DE"/>
        </w:rPr>
        <w:instrText>tivity. Our findings show that cardiomyocyte proliferation contributes to developmental heart growth in young humans. This suggests that children and adolescents may be able to regenerate myocardium, that abnormal cardiomyocyte proliferation may be involve</w:instrText>
      </w:r>
      <w:r>
        <w:rPr>
          <w:rFonts w:ascii="Arial" w:eastAsia="Times New Roman" w:hAnsi="Arial" w:cs="Arial"/>
          <w:color w:val="000000"/>
          <w:lang w:val="en-US" w:eastAsia="de-DE"/>
        </w:rPr>
        <w:instrText>d in myocardial diseases that affect this population, and that these diseases might be treatable through stimulation of cardiomyocyte proliferation.","author":[{"dropping-particle":"","family":"Mollova","given":"Mariya","non-dropping-particle":"","parse-na</w:instrText>
      </w:r>
      <w:r>
        <w:rPr>
          <w:rFonts w:ascii="Arial" w:eastAsia="Times New Roman" w:hAnsi="Arial" w:cs="Arial"/>
          <w:color w:val="000000"/>
          <w:lang w:val="en-US" w:eastAsia="de-DE"/>
        </w:rPr>
        <w:instrText>mes":false,"suffix":""},{"dropping-particle":"","family":"Bersell","given":"Kevin","non-dropping-particle":"","parse-names":false,"suffix":""},{"dropping-particle":"","family":"Walsh","given":"Stuart","non-dropping-particle":"","parse-names":false,"suffix"</w:instrText>
      </w:r>
      <w:r>
        <w:rPr>
          <w:rFonts w:ascii="Arial" w:eastAsia="Times New Roman" w:hAnsi="Arial" w:cs="Arial"/>
          <w:color w:val="000000"/>
          <w:lang w:val="en-US" w:eastAsia="de-DE"/>
        </w:rPr>
        <w:instrText>:""},{"dropping-particle":"","family":"Savla","given":"Jainy","non-dropping-particle":"","parse-names":false,"suffix":""},{"dropping-particle":"","family":"Das","given":"Lala Tanmoy","non-dropping-particle":"","parse-names":false,"suffix":""},{"dropping-pa</w:instrText>
      </w:r>
      <w:r>
        <w:rPr>
          <w:rFonts w:ascii="Arial" w:eastAsia="Times New Roman" w:hAnsi="Arial" w:cs="Arial"/>
          <w:color w:val="000000"/>
          <w:lang w:val="en-US" w:eastAsia="de-DE"/>
        </w:rPr>
        <w:instrText>rticle":"","family":"Park","given":"Shin Young","non-dropping-particle":"","parse-names":false,"suffix":""},{"dropping-particle":"","family":"Silberstein","given":"Leslie E.","non-dropping-particle":"","parse-names":false,"suffix":""},{"dropping-particle":</w:instrText>
      </w:r>
      <w:r>
        <w:rPr>
          <w:rFonts w:ascii="Arial" w:eastAsia="Times New Roman" w:hAnsi="Arial" w:cs="Arial"/>
          <w:color w:val="000000"/>
          <w:lang w:val="en-US" w:eastAsia="de-DE"/>
        </w:rPr>
        <w:instrText>"","family":"Remedios","given":"Cristobal G.","non-dropping-particle":"Dos","parse-names":false,"suffix":""},{"dropping-particle":"","family":"Graham","given":"Dionne","non-dropping-particle":"","parse-names":false,"suffix":""},{"dropping-particle":"","fam</w:instrText>
      </w:r>
      <w:r>
        <w:rPr>
          <w:rFonts w:ascii="Arial" w:eastAsia="Times New Roman" w:hAnsi="Arial" w:cs="Arial"/>
          <w:color w:val="000000"/>
          <w:lang w:val="en-US" w:eastAsia="de-DE"/>
        </w:rPr>
        <w:instrText>ily":"Colan","given":"Steven","non-dropping-particle":"","parse-names":false,"suffix":""},{"dropping-particle":"","family":"Kühn","given":"Bernhard","non-dropping-particle":"","parse-names":false,"suffix":""}],"container-title":"Proceedings of the National</w:instrText>
      </w:r>
      <w:r>
        <w:rPr>
          <w:rFonts w:ascii="Arial" w:eastAsia="Times New Roman" w:hAnsi="Arial" w:cs="Arial"/>
          <w:color w:val="000000"/>
          <w:lang w:val="en-US" w:eastAsia="de-DE"/>
        </w:rPr>
        <w:instrText xml:space="preserve"> Academy of Sciences of the United States of America","id":"ITEM-1","issue":"4","issued":{"date-parts":[["2013","1","22"]]},"page":"1446-1451","title":"Cardiomyocyte proliferation contributes to heart growth in young humans","type":"article-journal","volum</w:instrText>
      </w:r>
      <w:r>
        <w:rPr>
          <w:rFonts w:ascii="Arial" w:eastAsia="Times New Roman" w:hAnsi="Arial" w:cs="Arial"/>
          <w:color w:val="000000"/>
          <w:lang w:val="en-US" w:eastAsia="de-DE"/>
        </w:rPr>
        <w:instrText>e":"110"},"uris":["http://www.mendeley.com/documents/?uuid=83f6028f-7ff6-3d92-8902-62607e0ba501"]}],"mendeley":{"formattedCitation":"&lt;sup&gt;100&lt;/sup&gt;","plainTextFormattedCitation":"100","previouslyFormattedCitation":"&lt;sup&gt;100&lt;/sup&gt;"},"properties":{"noteIndex</w:instrText>
      </w:r>
      <w:r>
        <w:rPr>
          <w:rFonts w:ascii="Arial" w:eastAsia="Times New Roman" w:hAnsi="Arial" w:cs="Arial"/>
          <w:color w:val="000000"/>
          <w:lang w:val="en-US" w:eastAsia="de-DE"/>
        </w:rPr>
        <w:instrText>":0},"schema":"https://github.com/citation-style-language/schema/raw/master/csl-citation.json"}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and hepatocytes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{"citationItems":[{"id":"ITEM-1","itemData":{"DOI":"10.1038/s41575-020-0284-x","ISSN":"1759-5053","PMID":"32242122","ab</w:instrText>
      </w:r>
      <w:r>
        <w:rPr>
          <w:rFonts w:ascii="Arial" w:eastAsia="Times New Roman" w:hAnsi="Arial" w:cs="Arial"/>
          <w:color w:val="000000"/>
          <w:lang w:val="en-US" w:eastAsia="de-DE"/>
        </w:rPr>
        <w:instrText>stract":"Polyploidy (or whole-genome duplication) is the condition of having more than two&amp;nbsp;basic sets of chromosomes. Polyploidization is well tolerated in many species and can lead to&amp;nbsp;specific biological functions. In mammals, programmed polyplo</w:instrText>
      </w:r>
      <w:r>
        <w:rPr>
          <w:rFonts w:ascii="Arial" w:eastAsia="Times New Roman" w:hAnsi="Arial" w:cs="Arial"/>
          <w:color w:val="000000"/>
          <w:lang w:val="en-US" w:eastAsia="de-DE"/>
        </w:rPr>
        <w:instrText>idization takes place during development in certain tissues, such as the heart and placenta, and is considered a feature of differentiation. However, unscheduled polyploidization can cause genomic instability and has been observed in pathological condition</w:instrText>
      </w:r>
      <w:r>
        <w:rPr>
          <w:rFonts w:ascii="Arial" w:eastAsia="Times New Roman" w:hAnsi="Arial" w:cs="Arial"/>
          <w:color w:val="000000"/>
          <w:lang w:val="en-US" w:eastAsia="de-DE"/>
        </w:rPr>
        <w:instrText>s, such as cancer. Polyploidy of the liver parenchyma was first described more than 100 years ago. The liver is one of the few mammalian organs that display changes in polyploidy during homeostasis, regeneration and in response to damage. In the human live</w:instrText>
      </w:r>
      <w:r>
        <w:rPr>
          <w:rFonts w:ascii="Arial" w:eastAsia="Times New Roman" w:hAnsi="Arial" w:cs="Arial"/>
          <w:color w:val="000000"/>
          <w:lang w:val="en-US" w:eastAsia="de-DE"/>
        </w:rPr>
        <w:instrText xml:space="preserve">r, approximately 30% of hepatocytes are polyploid. The polyploidy of hepatocytes results from both nuclear polyploidy (an increase in the amount of DNA per nucleus) and cellular polyploidy (an increase in the number of nuclei per cell). In this Review, we </w:instrText>
      </w:r>
      <w:r>
        <w:rPr>
          <w:rFonts w:ascii="Arial" w:eastAsia="Times New Roman" w:hAnsi="Arial" w:cs="Arial"/>
          <w:color w:val="000000"/>
          <w:lang w:val="en-US" w:eastAsia="de-DE"/>
        </w:rPr>
        <w:instrText>discuss the regulation of polyploidy in liver development and pathophysiology. We also provide an overview of current knowledge about the mechanisms of hepatocyte polyploidization, its biological importance and the fate of polyploid hepatocytes during live</w:instrText>
      </w:r>
      <w:r>
        <w:rPr>
          <w:rFonts w:ascii="Arial" w:eastAsia="Times New Roman" w:hAnsi="Arial" w:cs="Arial"/>
          <w:color w:val="000000"/>
          <w:lang w:val="en-US" w:eastAsia="de-DE"/>
        </w:rPr>
        <w:instrText>r tumorigenesis. Mammalian livers are characterized by an alteration of chromosome numbers, or polyploidy. In this Review, Desdouets and collaborators describe the regulation of polyploidy in liver development and pathophysiology, and discuss the mechanism</w:instrText>
      </w:r>
      <w:r>
        <w:rPr>
          <w:rFonts w:ascii="Arial" w:eastAsia="Times New Roman" w:hAnsi="Arial" w:cs="Arial"/>
          <w:color w:val="000000"/>
          <w:lang w:val="en-US" w:eastAsia="de-DE"/>
        </w:rPr>
        <w:instrText>s of hepatocyte polyploidization and its role in liver tumorigenesis.","author":[{"dropping-particle":"","family":"Donne","given":"Romain","non-dropping-particle":"","parse-names":false,"suffix":""},{"dropping-particle":"","family":"Saroul-Aïnama","given":</w:instrText>
      </w:r>
      <w:r>
        <w:rPr>
          <w:rFonts w:ascii="Arial" w:eastAsia="Times New Roman" w:hAnsi="Arial" w:cs="Arial"/>
          <w:color w:val="000000"/>
          <w:lang w:val="en-US" w:eastAsia="de-DE"/>
        </w:rPr>
        <w:instrText>"Maëva","non-dropping-particle":"","parse-names":false,"suffix":""},{"dropping-particle":"","family":"Cordier","given":"Pierre","non-dropping-particle":"","parse-names":false,"suffix":""},{"dropping-particle":"","family":"Celton-Morizur","given":"Séverine"</w:instrText>
      </w:r>
      <w:r>
        <w:rPr>
          <w:rFonts w:ascii="Arial" w:eastAsia="Times New Roman" w:hAnsi="Arial" w:cs="Arial"/>
          <w:color w:val="000000"/>
          <w:lang w:val="en-US" w:eastAsia="de-DE"/>
        </w:rPr>
        <w:instrText>,"non-dropping-particle":"","parse-names":false,"suffix":""},{"dropping-particle":"","family":"Desdouets","given":"Chantal","non-dropping-particle":"","parse-names":false,"suffix":""}],"container-title":"Nature Reviews Gastroenterology &amp; Hepatology 2020 17</w:instrText>
      </w:r>
      <w:r>
        <w:rPr>
          <w:rFonts w:ascii="Arial" w:eastAsia="Times New Roman" w:hAnsi="Arial" w:cs="Arial"/>
          <w:color w:val="000000"/>
          <w:lang w:val="en-US" w:eastAsia="de-DE"/>
        </w:rPr>
        <w:instrText>:7","id":"ITEM-1","issue":"7","issued":{"date-parts":[["2020","4","2"]]},"page":"391-405","publisher":"Nature Publishing Group","title":"Polyploidy in liver development, homeostasis and disease","type":"article-journal","volume":"17"},"uris":["http://www.m</w:instrText>
      </w:r>
      <w:r>
        <w:rPr>
          <w:rFonts w:ascii="Arial" w:eastAsia="Times New Roman" w:hAnsi="Arial" w:cs="Arial"/>
          <w:color w:val="000000"/>
          <w:lang w:val="en-US" w:eastAsia="de-DE"/>
        </w:rPr>
        <w:instrText>endeley.com/documents/?uuid=54f41041-b43f-3417-80ec-d941001d06ff"]}],"mendeley":{"formattedCitation":"&lt;sup&gt;101&lt;/sup&gt;","plainTextFormattedCitation":"101","previouslyFormattedCitation":"&lt;sup&gt;101&lt;/sup&gt;"},"properties":{"noteIndex":0},"schema":"https://github.c</w:instrText>
      </w:r>
      <w:r>
        <w:rPr>
          <w:rFonts w:ascii="Arial" w:eastAsia="Times New Roman" w:hAnsi="Arial" w:cs="Arial"/>
          <w:color w:val="000000"/>
          <w:lang w:val="en-US" w:eastAsia="de-DE"/>
        </w:rPr>
        <w:instrText>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particular during aging</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{"citationItems":[{"id":"ITEM-1","itemData":{"DOI":"10.1016/J.CLINRE.2019.07.011","ISSN":"2210-7401","PMID":"31427197","abstract":"The agin</w:instrText>
      </w:r>
      <w:r>
        <w:rPr>
          <w:rFonts w:ascii="Arial" w:eastAsia="Times New Roman" w:hAnsi="Arial" w:cs="Arial"/>
          <w:color w:val="000000"/>
          <w:lang w:val="en-US" w:eastAsia="de-DE"/>
        </w:rPr>
        <w:instrText xml:space="preserve">g of the population, the increased prevalence of chronic liver diseases in elderly and the need to broaden the list of potential liver donors enjoin us to better understand what is an aged liver. In this review, we provide a brief introduction to cellular </w:instrText>
      </w:r>
      <w:r>
        <w:rPr>
          <w:rFonts w:ascii="Arial" w:eastAsia="Times New Roman" w:hAnsi="Arial" w:cs="Arial"/>
          <w:color w:val="000000"/>
          <w:lang w:val="en-US" w:eastAsia="de-DE"/>
        </w:rPr>
        <w:instrText>senescence, revisit the main morphological and functional modifications of the liver induced by aging, particularly concerning metabolism, immune response and regeneration, and try to elude some of the signalling pathways responsible for these modification</w:instrText>
      </w:r>
      <w:r>
        <w:rPr>
          <w:rFonts w:ascii="Arial" w:eastAsia="Times New Roman" w:hAnsi="Arial" w:cs="Arial"/>
          <w:color w:val="000000"/>
          <w:lang w:val="en-US" w:eastAsia="de-DE"/>
        </w:rPr>
        <w:instrText>s. Finally, we discuss the clinical consequences of aging on chronic liver diseases and the implications of older age for donors and recipients in liver transplantation.","author":[{"dropping-particle":"","family":"Allaire","given":"Manon","non-dropping-pa</w:instrText>
      </w:r>
      <w:r>
        <w:rPr>
          <w:rFonts w:ascii="Arial" w:eastAsia="Times New Roman" w:hAnsi="Arial" w:cs="Arial"/>
          <w:color w:val="000000"/>
          <w:lang w:val="en-US" w:eastAsia="de-DE"/>
        </w:rPr>
        <w:instrText>rticle":"","parse-names":false,"suffix":""},{"dropping-particle":"","family":"Gilgenkrantz","given":"Hélène","non-dropping-particle":"","parse-names":false,"suffix":""}],"container-title":"Clinics and Research in Hepatology and Gastroenterology","id":"ITEM</w:instrText>
      </w:r>
      <w:r>
        <w:rPr>
          <w:rFonts w:ascii="Arial" w:eastAsia="Times New Roman" w:hAnsi="Arial" w:cs="Arial"/>
          <w:color w:val="000000"/>
          <w:lang w:val="en-US" w:eastAsia="de-DE"/>
        </w:rPr>
        <w:instrText>-1","issue":"1","issued":{"date-parts":[["2020","2","1"]]},"page":"6-11","publisher":"Elsevier Masson","title":"The aged liver: Beyond cellular senescence","type":"article-journal","volume":"44"},"uris":["http://www.mendeley.com/documents/?uuid=98fa5aac-fa</w:instrText>
      </w:r>
      <w:r>
        <w:rPr>
          <w:rFonts w:ascii="Arial" w:eastAsia="Times New Roman" w:hAnsi="Arial" w:cs="Arial"/>
          <w:color w:val="000000"/>
          <w:lang w:val="en-US" w:eastAsia="de-DE"/>
        </w:rPr>
        <w:instrText>f9-3850-8a47-7864b4854d2f"]}],"mendeley":{"formattedCitation":"&lt;sup&gt;102&lt;/sup&gt;","plainTextFormattedCitation":"102","previouslyFormattedCitation":"&lt;sup&gt;102&lt;/sup&gt;"},"properties":{"noteIndex":0},"schema":"https://github.com/citation-style-language/schema/raw/m</w:instrText>
      </w:r>
      <w:r>
        <w:rPr>
          <w:rFonts w:ascii="Arial" w:eastAsia="Times New Roman" w:hAnsi="Arial" w:cs="Arial"/>
          <w:color w:val="000000"/>
          <w:lang w:val="en-US" w:eastAsia="de-DE"/>
        </w:rPr>
        <w:instrText>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261B18B6"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Interestingly, on an organismal level, polyploidy is often, but not always, also accompanied with an increase of body size. For example, many plants, particularly cultivated ones, are polyploid, with increased cell and </w:t>
      </w:r>
      <w:r>
        <w:rPr>
          <w:rFonts w:ascii="Arial" w:eastAsia="Times New Roman" w:hAnsi="Arial" w:cs="Arial"/>
          <w:color w:val="000000"/>
          <w:lang w:val="en-US" w:eastAsia="de-DE"/>
        </w:rPr>
        <w:t>body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{"citationItems":[{"id":"ITEM-1","itemData":{"DOI":"10.1016/S1369-5266(00)00118-7","author":[{"dropping-particle":"","family":"Kondorosi","given":"Eva","non-dropping-particle":"","parse-names":false,"suffix":""},{"dropping-parti</w:instrText>
      </w:r>
      <w:r>
        <w:rPr>
          <w:rFonts w:ascii="Arial" w:eastAsia="Times New Roman" w:hAnsi="Arial" w:cs="Arial"/>
          <w:color w:val="000000"/>
          <w:lang w:val="en-US" w:eastAsia="de-DE"/>
        </w:rPr>
        <w:instrText>cle":"","family":"Roudier","given":"François","non-dropping-particle":"","parse-names":false,"suffix":""},{"dropping-particle":"","family":"Gendreau","given":"Emmanuel","non-dropping-particle":"","parse-names":false,"suffix":""}],"container-title":"Current</w:instrText>
      </w:r>
      <w:r>
        <w:rPr>
          <w:rFonts w:ascii="Arial" w:eastAsia="Times New Roman" w:hAnsi="Arial" w:cs="Arial"/>
          <w:color w:val="000000"/>
          <w:lang w:val="en-US" w:eastAsia="de-DE"/>
        </w:rPr>
        <w:instrText xml:space="preserve"> Opinion in Plant Biology","id":"ITEM-1","issue":"6","issued":{"date-parts":[["2000","12"]]},"page":"488-492","title":"Plant cell-size control: growing by ploidy?","type":"article-journal","volume":"3"},"uris":["http://www.mendeley.com/documents/?uuid=9242</w:instrText>
      </w:r>
      <w:r>
        <w:rPr>
          <w:rFonts w:ascii="Arial" w:eastAsia="Times New Roman" w:hAnsi="Arial" w:cs="Arial"/>
          <w:color w:val="000000"/>
          <w:lang w:val="en-US" w:eastAsia="de-DE"/>
        </w:rPr>
        <w:instrText>ac75-0c36-32bd-8154-a90476da5d54"]}],"mendeley":{"formattedCitation":"&lt;sup&gt;103&lt;/sup&gt;","plainTextFormattedCitation":"103","previouslyFormattedCitation":"&lt;sup&gt;103&lt;/sup&gt;"},"properties":{"noteIndex":0},"schema":"https://github.com/citation-style-language/schem</w:instrText>
      </w:r>
      <w:r>
        <w:rPr>
          <w:rFonts w:ascii="Arial" w:eastAsia="Times New Roman" w:hAnsi="Arial" w:cs="Arial"/>
          <w:color w:val="000000"/>
          <w:lang w:val="en-US" w:eastAsia="de-DE"/>
        </w:rPr>
        <w:instrText>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Similarly, the well-studied allotetraploid frog </w:t>
      </w:r>
      <w:r>
        <w:rPr>
          <w:rFonts w:ascii="Arial" w:eastAsia="Times New Roman" w:hAnsi="Arial" w:cs="Arial"/>
          <w:i/>
          <w:iCs/>
          <w:color w:val="000000"/>
          <w:lang w:val="en-US" w:eastAsia="de-DE"/>
        </w:rPr>
        <w:t>Xenopus laevis</w:t>
      </w:r>
      <w:r>
        <w:rPr>
          <w:rFonts w:ascii="Arial" w:eastAsia="Times New Roman" w:hAnsi="Arial" w:cs="Arial"/>
          <w:color w:val="000000"/>
          <w:lang w:val="en-US" w:eastAsia="de-DE"/>
        </w:rPr>
        <w:t xml:space="preserve"> not only has larger cells than its diploid relative </w:t>
      </w:r>
      <w:r>
        <w:rPr>
          <w:rFonts w:ascii="Arial" w:eastAsia="Times New Roman" w:hAnsi="Arial" w:cs="Arial"/>
          <w:i/>
          <w:iCs/>
          <w:color w:val="000000"/>
          <w:lang w:val="en-US" w:eastAsia="de-DE"/>
        </w:rPr>
        <w:t>Xenopus tropicalis</w:t>
      </w:r>
      <w:r>
        <w:rPr>
          <w:rFonts w:ascii="Arial" w:eastAsia="Times New Roman" w:hAnsi="Arial" w:cs="Arial"/>
          <w:color w:val="000000"/>
          <w:lang w:val="en-US" w:eastAsia="de-DE"/>
        </w:rPr>
        <w:t>, but also exhibits a larger body size. However, this relationship is not universal</w:t>
      </w:r>
      <w:r>
        <w:rPr>
          <w:rFonts w:ascii="Arial" w:eastAsia="Times New Roman" w:hAnsi="Arial" w:cs="Arial"/>
          <w:color w:val="000000"/>
          <w:lang w:val="en-US" w:eastAsia="de-DE"/>
        </w:rPr>
        <w:t xml:space="preserve">, since the </w:t>
      </w:r>
      <w:proofErr w:type="spellStart"/>
      <w:r>
        <w:rPr>
          <w:rFonts w:ascii="Arial" w:eastAsia="Times New Roman" w:hAnsi="Arial" w:cs="Arial"/>
          <w:color w:val="000000"/>
          <w:lang w:val="en-US" w:eastAsia="de-DE"/>
        </w:rPr>
        <w:t>dodecaploid</w:t>
      </w:r>
      <w:proofErr w:type="spellEnd"/>
      <w:r>
        <w:rPr>
          <w:rFonts w:ascii="Arial" w:eastAsia="Times New Roman" w:hAnsi="Arial" w:cs="Arial"/>
          <w:color w:val="000000"/>
          <w:lang w:val="en-US" w:eastAsia="de-DE"/>
        </w:rPr>
        <w:t xml:space="preserve"> </w:t>
      </w:r>
      <w:r>
        <w:rPr>
          <w:rFonts w:ascii="Arial" w:eastAsia="Times New Roman" w:hAnsi="Arial" w:cs="Arial"/>
          <w:i/>
          <w:iCs/>
          <w:color w:val="000000"/>
          <w:lang w:val="en-US" w:eastAsia="de-DE"/>
        </w:rPr>
        <w:t xml:space="preserve">Xenopus </w:t>
      </w:r>
      <w:proofErr w:type="spellStart"/>
      <w:r>
        <w:rPr>
          <w:rFonts w:ascii="Arial" w:eastAsia="Times New Roman" w:hAnsi="Arial" w:cs="Arial"/>
          <w:i/>
          <w:iCs/>
          <w:color w:val="000000"/>
          <w:lang w:val="en-US" w:eastAsia="de-DE"/>
        </w:rPr>
        <w:t>longpipes</w:t>
      </w:r>
      <w:proofErr w:type="spellEnd"/>
      <w:r>
        <w:rPr>
          <w:rFonts w:ascii="Arial" w:eastAsia="Times New Roman" w:hAnsi="Arial" w:cs="Arial"/>
          <w:i/>
          <w:iCs/>
          <w:color w:val="000000"/>
          <w:lang w:val="en-US" w:eastAsia="de-DE"/>
        </w:rPr>
        <w:t xml:space="preserve"> </w:t>
      </w:r>
      <w:r>
        <w:rPr>
          <w:rFonts w:ascii="Arial" w:eastAsia="Times New Roman" w:hAnsi="Arial" w:cs="Arial"/>
          <w:color w:val="000000"/>
          <w:lang w:val="en-US" w:eastAsia="de-DE"/>
        </w:rPr>
        <w:t xml:space="preserve">is smaller than </w:t>
      </w:r>
      <w:r>
        <w:rPr>
          <w:rFonts w:ascii="Arial" w:eastAsia="Times New Roman" w:hAnsi="Arial" w:cs="Arial"/>
          <w:i/>
          <w:iCs/>
          <w:color w:val="000000"/>
          <w:lang w:val="en-US" w:eastAsia="de-DE"/>
        </w:rPr>
        <w:t>X. laevis</w:t>
      </w:r>
      <w:r>
        <w:rPr>
          <w:rFonts w:ascii="Arial" w:eastAsia="Times New Roman" w:hAnsi="Arial" w:cs="Arial"/>
          <w:color w:val="000000"/>
          <w:lang w:val="en-US" w:eastAsia="de-DE"/>
        </w:rPr>
        <w:t>, while still having larger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{"citationItems":[{"id":"ITEM-1","itemData":{"DOI":"10.1016/j.cub.2023.02.021","author":[{"dropping-particle":"","family":"Miller","given</w:instrText>
      </w:r>
      <w:r>
        <w:rPr>
          <w:rFonts w:ascii="Arial" w:eastAsia="Times New Roman" w:hAnsi="Arial" w:cs="Arial"/>
          <w:color w:val="000000"/>
          <w:lang w:val="en-US" w:eastAsia="de-DE"/>
        </w:rPr>
        <w:instrText>":"Kelly E","non-dropping-particle":"","parse-names":false,"suffix":""},{"dropping-particle":"","family":"Cadart","given":"Clotilde","non-dropping-particle":"","parse-names":false,"suffix":""},{"dropping-particle":"","family":"Heald","given":"Rebecca","non</w:instrText>
      </w:r>
      <w:r>
        <w:rPr>
          <w:rFonts w:ascii="Arial" w:eastAsia="Times New Roman" w:hAnsi="Arial" w:cs="Arial"/>
          <w:color w:val="000000"/>
          <w:lang w:val="en-US" w:eastAsia="de-DE"/>
        </w:rPr>
        <w:instrText>-dropping-particle":"","parse-names":false,"suffix":""}],"container-title":"Current Biology","id":"ITEM-1","issued":{"date-parts":[["2023"]]},"page":"1327-1336.e4","title":"Dodecaploid Xenopus longipes provides insight into the emergence of size scaling re</w:instrText>
      </w:r>
      <w:r>
        <w:rPr>
          <w:rFonts w:ascii="Arial" w:eastAsia="Times New Roman" w:hAnsi="Arial" w:cs="Arial"/>
          <w:color w:val="000000"/>
          <w:lang w:val="en-US" w:eastAsia="de-DE"/>
        </w:rPr>
        <w:instrText>lationships during development","type":"article-journal","volume":"33"},"uris":["http://www.mendeley.com/documents/?uuid=f0e29e2b-c08b-3814-ac06-318d461a6515"]}],"mendeley":{"formattedCitation":"&lt;sup&gt;97&lt;/sup&gt;","plainTextFormattedCitation":"97","previouslyF</w:instrText>
      </w:r>
      <w:r>
        <w:rPr>
          <w:rFonts w:ascii="Arial" w:eastAsia="Times New Roman" w:hAnsi="Arial" w:cs="Arial"/>
          <w:color w:val="000000"/>
          <w:lang w:val="en-US" w:eastAsia="de-DE"/>
        </w:rPr>
        <w:instrText>ormattedCitation":"&lt;sup&gt;97&lt;/sup&gt;"},"properties":{"noteIndex":0},"schema":"https://github.com/citation-style-language/schema/raw/master/csl-citation.json"}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97</w:t>
      </w:r>
      <w:r>
        <w:rPr>
          <w:rFonts w:ascii="Arial" w:eastAsia="Times New Roman" w:hAnsi="Arial" w:cs="Arial"/>
          <w:color w:val="000000"/>
          <w:lang w:val="en-US" w:eastAsia="de-DE"/>
        </w:rPr>
        <w:fldChar w:fldCharType="end"/>
      </w:r>
      <w:r>
        <w:rPr>
          <w:rFonts w:ascii="Arial" w:eastAsia="Times New Roman" w:hAnsi="Arial" w:cs="Arial"/>
          <w:i/>
          <w:iCs/>
          <w:color w:val="000000"/>
          <w:lang w:val="en-US" w:eastAsia="de-DE"/>
        </w:rPr>
        <w:t xml:space="preserve">. </w:t>
      </w:r>
      <w:r>
        <w:rPr>
          <w:rFonts w:ascii="Arial" w:eastAsia="Times New Roman" w:hAnsi="Arial" w:cs="Arial"/>
          <w:color w:val="000000"/>
          <w:lang w:val="en-US" w:eastAsia="de-DE"/>
        </w:rPr>
        <w:t>Similarly, salamanders of different ploidy were found to have constant organism size despite sc</w:t>
      </w:r>
      <w:r>
        <w:rPr>
          <w:rFonts w:ascii="Arial" w:eastAsia="Times New Roman" w:hAnsi="Arial" w:cs="Arial"/>
          <w:color w:val="000000"/>
          <w:lang w:val="en-US" w:eastAsia="de-DE"/>
        </w:rPr>
        <w:t>aling cell and nuclear sizes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{"citationItems":[{"id":"ITEM-1","itemData":{"DOI":"10.1002/JEZ.1401000310","ISSN":"1097010X","PMID":"21010861","author":[{"dropping-particle":"","family":"Fankhauser","given":"G.","non-dropping-particle":"","</w:instrText>
      </w:r>
      <w:r>
        <w:rPr>
          <w:rFonts w:ascii="Arial" w:eastAsia="Times New Roman" w:hAnsi="Arial" w:cs="Arial"/>
          <w:color w:val="000000"/>
          <w:lang w:val="en-US" w:eastAsia="de-DE"/>
        </w:rPr>
        <w:instrText>parse-names":false,"suffix":""}],"container-title":"Journal of Experimental Zoology","id":"ITEM-1","issue":"3","issued":{"date-parts":[["1945"]]},"page":"445-455","title":"Maintenance of normal structure in heteroploid salamander larvae, through compensati</w:instrText>
      </w:r>
      <w:r>
        <w:rPr>
          <w:rFonts w:ascii="Arial" w:eastAsia="Times New Roman" w:hAnsi="Arial" w:cs="Arial"/>
          <w:color w:val="000000"/>
          <w:lang w:val="en-US" w:eastAsia="de-DE"/>
        </w:rPr>
        <w:instrText>on of changes in cell size by adjustment of cell number and cell shape","type":"article-journal","volume":"100"},"uris":["http://www.mendeley.com/documents/?uuid=777eff10-d99a-3e32-ac71-e98bd70879eb"]}],"mendeley":{"formattedCitation":"&lt;sup&gt;104&lt;/sup&gt;","pla</w:instrText>
      </w:r>
      <w:r>
        <w:rPr>
          <w:rFonts w:ascii="Arial" w:eastAsia="Times New Roman" w:hAnsi="Arial" w:cs="Arial"/>
          <w:color w:val="000000"/>
          <w:lang w:val="en-US" w:eastAsia="de-DE"/>
        </w:rPr>
        <w:instrText>inTextFormattedCitation":"104","previouslyFormattedCitation":"&lt;sup&gt;104&lt;/sup&gt;"},"properties":{"noteIndex":0},"schema":"https://github.com/citation-style-language/schema/raw/master/csl-citation.json"}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788FCAB1"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The correlations observed between genome content, </w:t>
      </w:r>
      <w:r>
        <w:rPr>
          <w:rFonts w:ascii="Arial" w:eastAsia="Times New Roman" w:hAnsi="Arial" w:cs="Arial"/>
          <w:color w:val="000000"/>
          <w:lang w:val="en-US" w:eastAsia="de-DE"/>
        </w:rPr>
        <w:t xml:space="preserve">nuclear size (see section 3.1), and cell size naturally suggest a mechanistic link. Two possible explanations are evident: First, nuclear </w:t>
      </w:r>
      <w:r>
        <w:rPr>
          <w:rFonts w:ascii="Arial" w:eastAsia="Times New Roman" w:hAnsi="Arial" w:cs="Arial"/>
          <w:color w:val="000000"/>
          <w:lang w:val="en-US" w:eastAsia="de-DE"/>
        </w:rPr>
        <w:lastRenderedPageBreak/>
        <w:t xml:space="preserve">size may be set by genome content, and then </w:t>
      </w:r>
      <w:proofErr w:type="gramStart"/>
      <w:r>
        <w:rPr>
          <w:rFonts w:ascii="Arial" w:eastAsia="Times New Roman" w:hAnsi="Arial" w:cs="Arial"/>
          <w:color w:val="000000"/>
          <w:lang w:val="en-US" w:eastAsia="de-DE"/>
        </w:rPr>
        <w:t>as a consequence</w:t>
      </w:r>
      <w:proofErr w:type="gramEnd"/>
      <w:r>
        <w:rPr>
          <w:rFonts w:ascii="Arial" w:eastAsia="Times New Roman" w:hAnsi="Arial" w:cs="Arial"/>
          <w:color w:val="000000"/>
          <w:lang w:val="en-US" w:eastAsia="de-DE"/>
        </w:rPr>
        <w:t xml:space="preserve"> cause cell size to follow accordingly. However, recent pr</w:t>
      </w:r>
      <w:r>
        <w:rPr>
          <w:rFonts w:ascii="Arial" w:eastAsia="Times New Roman" w:hAnsi="Arial" w:cs="Arial"/>
          <w:color w:val="000000"/>
          <w:lang w:val="en-US" w:eastAsia="de-DE"/>
        </w:rPr>
        <w:t>ogress on understanding nuclear size homeostasis suggests that nuclear volume is determined by osmotic pressure rather than the volume occupied by DNA. Consistent with this idea, nuclear size at given cell size is rather independent of ploidy in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w:instrText>
      </w:r>
      <w:r>
        <w:rPr>
          <w:rFonts w:ascii="Arial" w:eastAsia="Times New Roman" w:hAnsi="Arial" w:cs="Arial"/>
          <w:color w:val="000000"/>
          <w:lang w:val="en-US" w:eastAsia="de-DE"/>
        </w:rPr>
        <w:instrText xml:space="preserve"> CSL_CITATION {"citationItems":[{"id":"ITEM-1","itemData":{"DOI":"10.1091/mbc.E06-10-0973","ISBN":"1059-1524","ISSN":"1059-1524","PMID":"17596521","abstract":"It is not known how the volume of the cell nucleus is set, nor how the ratio of nuclear volume to</w:instrText>
      </w:r>
      <w:r>
        <w:rPr>
          <w:rFonts w:ascii="Arial" w:eastAsia="Times New Roman" w:hAnsi="Arial" w:cs="Arial"/>
          <w:color w:val="000000"/>
          <w:lang w:val="en-US" w:eastAsia="de-DE"/>
        </w:rPr>
        <w:instrText xml:space="preserve"> cell volume (N/C) is determined. Here, we have measured the size of the nucleus in growing cells of the budding yeast Saccharomyces cerevisiae. Analysis of mutant yeast strains spanning a range of cell sizes revealed that the ratio of average nuclear volu</w:instrText>
      </w:r>
      <w:r>
        <w:rPr>
          <w:rFonts w:ascii="Arial" w:eastAsia="Times New Roman" w:hAnsi="Arial" w:cs="Arial"/>
          <w:color w:val="000000"/>
          <w:lang w:val="en-US" w:eastAsia="de-DE"/>
        </w:rPr>
        <w:instrText>me to average cell volume was quite consistent, with nuclear volume being approximately 7% that of cell volume. At the single cell level, nuclear and cell size were strongly correlated in growing wild-type cells, as determined by three different microscopi</w:instrText>
      </w:r>
      <w:r>
        <w:rPr>
          <w:rFonts w:ascii="Arial" w:eastAsia="Times New Roman" w:hAnsi="Arial" w:cs="Arial"/>
          <w:color w:val="000000"/>
          <w:lang w:val="en-US" w:eastAsia="de-DE"/>
        </w:rPr>
        <w:instrText>c approaches. Even in G1-phase, nuclear volume grew, although it did not grow quite as fast as overall cell volume. DNA content did not appear to have any immediate, direct influence on nuclear size, in that nuclear size did not increase sharply during S-p</w:instrText>
      </w:r>
      <w:r>
        <w:rPr>
          <w:rFonts w:ascii="Arial" w:eastAsia="Times New Roman" w:hAnsi="Arial" w:cs="Arial"/>
          <w:color w:val="000000"/>
          <w:lang w:val="en-US" w:eastAsia="de-DE"/>
        </w:rPr>
        <w:instrText>hase. The maintenance of nuclear size did not require continuous growth or ribosome biogenesis, as starvation and rapamycin treatment had little immediate impact on nuclear size. Blocking the nuclear export of new ribosomal subunits, among other proteins a</w:instrText>
      </w:r>
      <w:r>
        <w:rPr>
          <w:rFonts w:ascii="Arial" w:eastAsia="Times New Roman" w:hAnsi="Arial" w:cs="Arial"/>
          <w:color w:val="000000"/>
          <w:lang w:val="en-US" w:eastAsia="de-DE"/>
        </w:rPr>
        <w:instrText>nd RNAs, with leptomycin B also had no obvious effect on nuclear size. Nuclear expansion must now be factored into conceptual and mathematical models of budding yeast growth and division. These results raise questions as to the unknown force(s) that expand</w:instrText>
      </w:r>
      <w:r>
        <w:rPr>
          <w:rFonts w:ascii="Arial" w:eastAsia="Times New Roman" w:hAnsi="Arial" w:cs="Arial"/>
          <w:color w:val="000000"/>
          <w:lang w:val="en-US" w:eastAsia="de-DE"/>
        </w:rPr>
        <w:instrText xml:space="preserve"> the nucleus as yeast cells grow.","author":[{"dropping-particle":"","family":"Jorgensen","given":"Paul","non-dropping-particle":"","parse-names":false,"suffix":""},{"dropping-particle":"","family":"Edgington","given":"Nicholas P","non-dropping-particle":"</w:instrText>
      </w:r>
      <w:r>
        <w:rPr>
          <w:rFonts w:ascii="Arial" w:eastAsia="Times New Roman" w:hAnsi="Arial" w:cs="Arial"/>
          <w:color w:val="000000"/>
          <w:lang w:val="en-US" w:eastAsia="de-DE"/>
        </w:rPr>
        <w:instrText>","parse-names":false,"suffix":""},{"dropping-particle":"","family":"Schneider","given":"Brandt L","non-dropping-particle":"","parse-names":false,"suffix":""},{"dropping-particle":"","family":"Rupes","given":"Ivan","non-dropping-particle":"","parse-names":</w:instrText>
      </w:r>
      <w:r>
        <w:rPr>
          <w:rFonts w:ascii="Arial" w:eastAsia="Times New Roman" w:hAnsi="Arial" w:cs="Arial"/>
          <w:color w:val="000000"/>
          <w:lang w:val="en-US" w:eastAsia="de-DE"/>
        </w:rPr>
        <w:instrText>false,"suffix":""},{"dropping-particle":"","family":"Tyers","given":"Mike","non-dropping-particle":"","parse-names":false,"suffix":""},{"dropping-particle":"","family":"Futcher","given":"Bruce","non-dropping-particle":"","parse-names":false,"suffix":""}],"</w:instrText>
      </w:r>
      <w:r>
        <w:rPr>
          <w:rFonts w:ascii="Arial" w:eastAsia="Times New Roman" w:hAnsi="Arial" w:cs="Arial"/>
          <w:color w:val="000000"/>
          <w:lang w:val="en-US" w:eastAsia="de-DE"/>
        </w:rPr>
        <w:instrText>container-title":"Molecular biology of the cell","id":"ITEM-1","issue":"9","issued":{"date-parts":[["2007"]]},"page":"3523-3532","title":"The size of the nucleus increases as yeast cells grow.","type":"article-journal","volume":"18"},"uris":["http://www.me</w:instrText>
      </w:r>
      <w:r>
        <w:rPr>
          <w:rFonts w:ascii="Arial" w:eastAsia="Times New Roman" w:hAnsi="Arial" w:cs="Arial"/>
          <w:color w:val="000000"/>
          <w:lang w:val="en-US" w:eastAsia="de-DE"/>
        </w:rPr>
        <w:instrText>ndeley.com/documents/?uuid=022aa613-c4fe-414e-b681-c83ca76bd596"]}],"mendeley":{"formattedCitation":"&lt;sup&gt;105&lt;/sup&gt;","plainTextFormattedCitation":"105","previouslyFormattedCitation":"&lt;sup&gt;105&lt;/sup&gt;"},"properties":{"noteIndex":0},"schema":"https://github.co</w:instrText>
      </w:r>
      <w:r>
        <w:rPr>
          <w:rFonts w:ascii="Arial" w:eastAsia="Times New Roman" w:hAnsi="Arial" w:cs="Arial"/>
          <w:color w:val="000000"/>
          <w:lang w:val="en-US" w:eastAsia="de-DE"/>
        </w:rPr>
        <w:instrText>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Thus, even though </w:t>
      </w:r>
      <w:proofErr w:type="gramStart"/>
      <w:r>
        <w:rPr>
          <w:rFonts w:ascii="Arial" w:eastAsia="Times New Roman" w:hAnsi="Arial" w:cs="Arial"/>
          <w:color w:val="000000"/>
          <w:lang w:val="en-US" w:eastAsia="de-DE"/>
        </w:rPr>
        <w:t>it is clear that DNA</w:t>
      </w:r>
      <w:proofErr w:type="gramEnd"/>
      <w:r>
        <w:rPr>
          <w:rFonts w:ascii="Arial" w:eastAsia="Times New Roman" w:hAnsi="Arial" w:cs="Arial"/>
          <w:color w:val="000000"/>
          <w:lang w:val="en-US" w:eastAsia="de-DE"/>
        </w:rPr>
        <w:t xml:space="preserve"> content at least sets a lower limit of physically possible nuclear volumes, this is likely not the dominant reason for the correlation between cel</w:t>
      </w:r>
      <w:r>
        <w:rPr>
          <w:rFonts w:ascii="Arial" w:eastAsia="Times New Roman" w:hAnsi="Arial" w:cs="Arial"/>
          <w:color w:val="000000"/>
          <w:lang w:val="en-US" w:eastAsia="de-DE"/>
        </w:rPr>
        <w:t>l size and genome content.</w:t>
      </w:r>
    </w:p>
    <w:p w14:paraId="3F5FDA91"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This leaves us with the second explanation, namely that increased DNA content supports larger cell size through its limiting effect on biosynthesis. As discussed in section 2.3, at large cell sizes, the template DNA becomes limit</w:t>
      </w:r>
      <w:r>
        <w:rPr>
          <w:rFonts w:ascii="Arial" w:eastAsia="Times New Roman" w:hAnsi="Arial" w:cs="Arial"/>
          <w:color w:val="000000"/>
          <w:lang w:val="en-US" w:eastAsia="de-DE"/>
        </w:rPr>
        <w:t>ing for transcription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{"citationItems":[{"id":"ITEM-1","itemData":{"DOI":"10.1016/j.cub.2010.10.002","ISBN":"1879-0445 (Electronic)\\r0960-9822 (Linking)","ISSN":"09609822","PMID":"20970341","abstract":"Although much is known about the re</w:instrText>
      </w:r>
      <w:r>
        <w:rPr>
          <w:rFonts w:ascii="Arial" w:eastAsia="Times New Roman" w:hAnsi="Arial" w:cs="Arial"/>
          <w:color w:val="000000"/>
          <w:lang w:val="en-US" w:eastAsia="de-DE"/>
        </w:rPr>
        <w:instrText>gulation of gene transcription in eukaryotes, it is not clear whether cells have global controls that determine overall rates of transcription. We have investigated the effects that the DNA-to-protein ratio has on both total transcription and the transcrip</w:instrText>
      </w:r>
      <w:r>
        <w:rPr>
          <w:rFonts w:ascii="Arial" w:eastAsia="Times New Roman" w:hAnsi="Arial" w:cs="Arial"/>
          <w:color w:val="000000"/>
          <w:lang w:val="en-US" w:eastAsia="de-DE"/>
        </w:rPr>
        <w:instrText xml:space="preserve">tion of individual genes in the unicellular eukaryote fission yeast. Mutants altered in cell size and those blocked in cell-cycle progression were used to vary the DNA-to-protein ratio over a 5-fold range. We found that cells of sizes within 2-fold of the </w:instrText>
      </w:r>
      <w:r>
        <w:rPr>
          <w:rFonts w:ascii="Arial" w:eastAsia="Times New Roman" w:hAnsi="Arial" w:cs="Arial"/>
          <w:color w:val="000000"/>
          <w:lang w:val="en-US" w:eastAsia="de-DE"/>
        </w:rPr>
        <w:instrText>wild-type value regulated global transcription to maintain similar transcription rates per protein regardless of the cellular DNA content. These changes in total transcription correlated with coordinated changes in gene occupancy by RNA polymerase II. In c</w:instrText>
      </w:r>
      <w:r>
        <w:rPr>
          <w:rFonts w:ascii="Arial" w:eastAsia="Times New Roman" w:hAnsi="Arial" w:cs="Arial"/>
          <w:color w:val="000000"/>
          <w:lang w:val="en-US" w:eastAsia="de-DE"/>
        </w:rPr>
        <w:instrText>ell-cycle-arrested mutants exceeding a certain size, total transcription rates plateaued as DNA became limiting for transcription at low DNA-to-protein ratios [1]. Unexpectedly, expression levels of individual genes remained tightly coordinated with each o</w:instrText>
      </w:r>
      <w:r>
        <w:rPr>
          <w:rFonts w:ascii="Arial" w:eastAsia="Times New Roman" w:hAnsi="Arial" w:cs="Arial"/>
          <w:color w:val="000000"/>
          <w:lang w:val="en-US" w:eastAsia="de-DE"/>
        </w:rPr>
        <w:instrText>ther over the entire range of cell sizes. We propose that there is a coordinated, global control that determines the rate of transcription of most genes and that this control plays a role in regulating growth rate of the cell. © 2010 Elsevier Ltd All right</w:instrText>
      </w:r>
      <w:r>
        <w:rPr>
          <w:rFonts w:ascii="Arial" w:eastAsia="Times New Roman" w:hAnsi="Arial" w:cs="Arial"/>
          <w:color w:val="000000"/>
          <w:lang w:val="en-US" w:eastAsia="de-DE"/>
        </w:rPr>
        <w:instrText>s reserved.","author":[{"dropping-particle":"","family":"Zhurinsky","given":"Jacob","non-dropping-particle":"","parse-names":false,"suffix":""},{"dropping-particle":"","family":"Leonhard","given":"Klaus","non-dropping-particle":"","parse-names":false,"suff</w:instrText>
      </w:r>
      <w:r>
        <w:rPr>
          <w:rFonts w:ascii="Arial" w:eastAsia="Times New Roman" w:hAnsi="Arial" w:cs="Arial"/>
          <w:color w:val="000000"/>
          <w:lang w:val="en-US" w:eastAsia="de-DE"/>
        </w:rPr>
        <w:instrText>ix":""},{"dropping-particle":"","family":"Watt","given":"Stephen","non-dropping-particle":"","parse-names":false,"suffix":""},{"dropping-particle":"","family":"Marguerat","given":"Samuel","non-dropping-particle":"","parse-names":false,"suffix":""},{"droppi</w:instrText>
      </w:r>
      <w:r>
        <w:rPr>
          <w:rFonts w:ascii="Arial" w:eastAsia="Times New Roman" w:hAnsi="Arial" w:cs="Arial"/>
          <w:color w:val="000000"/>
          <w:lang w:val="en-US" w:eastAsia="de-DE"/>
        </w:rPr>
        <w:instrText>ng-particle":"","family":"Bähler","given":"Jürg","non-dropping-particle":"","parse-names":false,"suffix":""},{"dropping-particle":"","family":"Nurse","given":"Paul","non-dropping-particle":"","parse-names":false,"suffix":""}],"container-title":"Current Bio</w:instrText>
      </w:r>
      <w:r>
        <w:rPr>
          <w:rFonts w:ascii="Arial" w:eastAsia="Times New Roman" w:hAnsi="Arial" w:cs="Arial"/>
          <w:color w:val="000000"/>
          <w:lang w:val="en-US" w:eastAsia="de-DE"/>
        </w:rPr>
        <w:instrText>logy","id":"ITEM-1","issue":"22","issued":{"date-parts":[["2010"]]},"page":"2010-2015","title":"A coordinated global control over cellular transcription","type":"article-journal","volume":"20"},"uris":["http://www.mendeley.com/documents/?uuid=adce00d7-4d17</w:instrText>
      </w:r>
      <w:r>
        <w:rPr>
          <w:rFonts w:ascii="Arial" w:eastAsia="Times New Roman" w:hAnsi="Arial" w:cs="Arial"/>
          <w:color w:val="000000"/>
          <w:lang w:val="en-US" w:eastAsia="de-DE"/>
        </w:rPr>
        <w:instrText>-4290-bb17-7de651ab16fa"]},{"id":"ITEM-2","itemData":{"DOI":"10.1016/J.CELL.2019.01.018","ISSN":"0092-8674","abstract":"Cell size varies greatly between cell types, yet within a specific cell type and growth condition, cell size is narrowly distributed. Wh</w:instrText>
      </w:r>
      <w:r>
        <w:rPr>
          <w:rFonts w:ascii="Arial" w:eastAsia="Times New Roman" w:hAnsi="Arial" w:cs="Arial"/>
          <w:color w:val="000000"/>
          <w:lang w:val="en-US" w:eastAsia="de-DE"/>
        </w:rPr>
        <w:instrText>y maintenance of a cell-type specific cell size is important remains poorly understood. Here we show that growing budding yeast and primary mammalian cells beyond a certain size impairs gene induction, cell-cycle progression, and cell signaling. These defe</w:instrText>
      </w:r>
      <w:r>
        <w:rPr>
          <w:rFonts w:ascii="Arial" w:eastAsia="Times New Roman" w:hAnsi="Arial" w:cs="Arial"/>
          <w:color w:val="000000"/>
          <w:lang w:val="en-US" w:eastAsia="de-DE"/>
        </w:rPr>
        <w:instrText>cts are due to the inability of large cells to scale nucleic acid and protein biosynthesis in accordance with cell volume increase, which effectively leads to cytoplasm dilution. We further show that loss of scaling beyond a certain critical size is due to</w:instrText>
      </w:r>
      <w:r>
        <w:rPr>
          <w:rFonts w:ascii="Arial" w:eastAsia="Times New Roman" w:hAnsi="Arial" w:cs="Arial"/>
          <w:color w:val="000000"/>
          <w:lang w:val="en-US" w:eastAsia="de-DE"/>
        </w:rPr>
        <w:instrText xml:space="preserve"> DNA becoming limiting. Based on the observation that senescent cells are large and exhibit many of the phenotypes of large cells, we propose that the range of DNA:cytoplasm ratio that supports optimal cell function is limited and that ratios outside these</w:instrText>
      </w:r>
      <w:r>
        <w:rPr>
          <w:rFonts w:ascii="Arial" w:eastAsia="Times New Roman" w:hAnsi="Arial" w:cs="Arial"/>
          <w:color w:val="000000"/>
          <w:lang w:val="en-US" w:eastAsia="de-DE"/>
        </w:rPr>
        <w:instrText xml:space="preserve"> bounds contribute to aging.","author":[{"dropping-particle":"","family":"Neurohr","given":"Gabriel E.","non-dropping-particle":"","parse-names":false,"suffix":""},{"dropping-particle":"","family":"Terry","given":"Rachel L.","non-dropping-particle":"","par</w:instrText>
      </w:r>
      <w:r>
        <w:rPr>
          <w:rFonts w:ascii="Arial" w:eastAsia="Times New Roman" w:hAnsi="Arial" w:cs="Arial"/>
          <w:color w:val="000000"/>
          <w:lang w:val="en-US" w:eastAsia="de-DE"/>
        </w:rPr>
        <w:instrText>se-names":false,"suffix":""},{"dropping-particle":"","family":"Lengefeld","given":"Jette","non-dropping-particle":"","parse-names":false,"suffix":""},{"dropping-particle":"","family":"Bonney","given":"Megan","non-dropping-particle":"","parse-names":false,"</w:instrText>
      </w:r>
      <w:r>
        <w:rPr>
          <w:rFonts w:ascii="Arial" w:eastAsia="Times New Roman" w:hAnsi="Arial" w:cs="Arial"/>
          <w:color w:val="000000"/>
          <w:lang w:val="en-US" w:eastAsia="de-DE"/>
        </w:rPr>
        <w:instrText>suffix":""},{"dropping-particle":"","family":"Brittingham","given":"Gregory P.","non-dropping-particle":"","parse-names":false,"suffix":""},{"dropping-particle":"","family":"Moretto","given":"Fabien","non-dropping-particle":"","parse-names":false,"suffix":</w:instrText>
      </w:r>
      <w:r>
        <w:rPr>
          <w:rFonts w:ascii="Arial" w:eastAsia="Times New Roman" w:hAnsi="Arial" w:cs="Arial"/>
          <w:color w:val="000000"/>
          <w:lang w:val="en-US" w:eastAsia="de-DE"/>
        </w:rPr>
        <w:instrText>""},{"dropping-particle":"","family":"Miettinen","given":"Teemu P.","non-dropping-particle":"","parse-names":false,"suffix":""},{"dropping-particle":"","family":"Vaites","given":"Laura Pontano","non-dropping-particle":"","parse-names":false,"suffix":""},{"</w:instrText>
      </w:r>
      <w:r>
        <w:rPr>
          <w:rFonts w:ascii="Arial" w:eastAsia="Times New Roman" w:hAnsi="Arial" w:cs="Arial"/>
          <w:color w:val="000000"/>
          <w:lang w:val="en-US" w:eastAsia="de-DE"/>
        </w:rPr>
        <w:instrText>dropping-particle":"","family":"Soares","given":"Luis M.","non-dropping-particle":"","parse-names":false,"suffix":""},{"dropping-particle":"","family":"Paulo","given":"Joao A.","non-dropping-particle":"","parse-names":false,"suffix":""},{"dropping-particle</w:instrText>
      </w:r>
      <w:r>
        <w:rPr>
          <w:rFonts w:ascii="Arial" w:eastAsia="Times New Roman" w:hAnsi="Arial" w:cs="Arial"/>
          <w:color w:val="000000"/>
          <w:lang w:val="en-US" w:eastAsia="de-DE"/>
        </w:rPr>
        <w:instrText>":"","family":"Harper","given":"J. Wade","non-dropping-particle":"","parse-names":false,"suffix":""},{"dropping-particle":"","family":"Buratowski","given":"Stephen","non-dropping-particle":"","parse-names":false,"suffix":""},{"dropping-particle":"","family</w:instrText>
      </w:r>
      <w:r>
        <w:rPr>
          <w:rFonts w:ascii="Arial" w:eastAsia="Times New Roman" w:hAnsi="Arial" w:cs="Arial"/>
          <w:color w:val="000000"/>
          <w:lang w:val="en-US" w:eastAsia="de-DE"/>
        </w:rPr>
        <w:instrText>":"Manalis","given":"Scott","non-dropping-particle":"","parse-names":false,"suffix":""},{"dropping-particle":"","family":"Werven","given":"Folkert J.","non-dropping-particle":"van","parse-names":false,"suffix":""},{"dropping-particle":"","family":"Holt","g</w:instrText>
      </w:r>
      <w:r>
        <w:rPr>
          <w:rFonts w:ascii="Arial" w:eastAsia="Times New Roman" w:hAnsi="Arial" w:cs="Arial"/>
          <w:color w:val="000000"/>
          <w:lang w:val="en-US" w:eastAsia="de-DE"/>
        </w:rPr>
        <w:instrText>iven":"Liam J.","non-dropping-particle":"","parse-names":false,"suffix":""},{"dropping-particle":"","family":"Amon","given":"Angelika","non-dropping-particle":"","parse-names":false,"suffix":""}],"container-title":"Cell","id":"ITEM-2","issue":"5","issued":</w:instrText>
      </w:r>
      <w:r>
        <w:rPr>
          <w:rFonts w:ascii="Arial" w:eastAsia="Times New Roman" w:hAnsi="Arial" w:cs="Arial"/>
          <w:color w:val="000000"/>
          <w:lang w:val="en-US" w:eastAsia="de-DE"/>
        </w:rPr>
        <w:instrText>{"date-parts":[["2019","2","21"]]},"page":"1083-1097.e18","publisher":"Cell Press","title":"Excessive Cell Growth Causes Cytoplasm Dilution And Contributes to Senescence","type":"article-journal","volume":"176"},"uris":["http://www.mendeley.com/documents/?</w:instrText>
      </w:r>
      <w:r>
        <w:rPr>
          <w:rFonts w:ascii="Arial" w:eastAsia="Times New Roman" w:hAnsi="Arial" w:cs="Arial"/>
          <w:color w:val="000000"/>
          <w:lang w:val="en-US" w:eastAsia="de-DE"/>
        </w:rPr>
        <w:instrText>uuid=4833c8e1-6ce1-37ae-98d6-80963c92a809"]},{"id":"ITEM-3","itemData":{"DOI":"10.1016/j.cell.2023.10.012","author":[{"dropping-particle":"","family":"Swaffer","given":"Matthew P","non-dropping-particle":"","parse-names":false,"suffix":""},{"dropping-parti</w:instrText>
      </w:r>
      <w:r>
        <w:rPr>
          <w:rFonts w:ascii="Arial" w:eastAsia="Times New Roman" w:hAnsi="Arial" w:cs="Arial"/>
          <w:color w:val="000000"/>
          <w:lang w:val="en-US" w:eastAsia="de-DE"/>
        </w:rPr>
        <w:instrText>cle":"","family":"Marinov","given":"Georgi K","non-dropping-particle":"","parse-names":false,"suffix":""},{"dropping-particle":"","family":"Zheng","given":"Huan","non-dropping-particle":"","parse-names":false,"suffix":""},{"dropping-particle":"","family":"</w:instrText>
      </w:r>
      <w:r>
        <w:rPr>
          <w:rFonts w:ascii="Arial" w:eastAsia="Times New Roman" w:hAnsi="Arial" w:cs="Arial"/>
          <w:color w:val="000000"/>
          <w:lang w:val="en-US" w:eastAsia="de-DE"/>
        </w:rPr>
        <w:instrText>Fuentes Valenzuela","given":"Lucas","non-dropping-particle":"","parse-names":false,"suffix":""},{"dropping-particle":"","family":"Yee Tsui","given":"Crystal","non-dropping-particle":"","parse-names":false,"suffix":""},{"dropping-particle":"","family":"Jone</w:instrText>
      </w:r>
      <w:r>
        <w:rPr>
          <w:rFonts w:ascii="Arial" w:eastAsia="Times New Roman" w:hAnsi="Arial" w:cs="Arial"/>
          <w:color w:val="000000"/>
          <w:lang w:val="en-US" w:eastAsia="de-DE"/>
        </w:rPr>
        <w:instrText>s","given":"Andrew W","non-dropping-particle":"","parse-names":false,"suffix":""},{"dropping-particle":"","family":"Greenwood","given":"Jessica","non-dropping-particle":"","parse-names":false,"suffix":""},{"dropping-particle":"","family":"Kundaje","given":</w:instrText>
      </w:r>
      <w:r>
        <w:rPr>
          <w:rFonts w:ascii="Arial" w:eastAsia="Times New Roman" w:hAnsi="Arial" w:cs="Arial"/>
          <w:color w:val="000000"/>
          <w:lang w:val="en-US" w:eastAsia="de-DE"/>
        </w:rPr>
        <w:instrText>"Anshul","non-dropping-particle":"","parse-names":false,"suffix":""},{"dropping-particle":"","family":"Greenleaf","given":"William J","non-dropping-particle":"","parse-names":false,"suffix":""},{"dropping-particle":"","family":"Reyes-Lamothe","given":"Rodr</w:instrText>
      </w:r>
      <w:r>
        <w:rPr>
          <w:rFonts w:ascii="Arial" w:eastAsia="Times New Roman" w:hAnsi="Arial" w:cs="Arial"/>
          <w:color w:val="000000"/>
          <w:lang w:val="en-US" w:eastAsia="de-DE"/>
        </w:rPr>
        <w:instrText>igo","non-dropping-particle":"","parse-names":false,"suffix":""},{"dropping-particle":"","family":"Skotheim","given":"Jan M","non-dropping-particle":"","parse-names":false,"suffix":""}],"container-title":"Cell","id":"ITEM-3","issued":{"date-parts":[["2023"</w:instrText>
      </w:r>
      <w:r>
        <w:rPr>
          <w:rFonts w:ascii="Arial" w:eastAsia="Times New Roman" w:hAnsi="Arial" w:cs="Arial"/>
          <w:color w:val="000000"/>
          <w:lang w:val="en-US" w:eastAsia="de-DE"/>
        </w:rPr>
        <w:instrText>]]},"title":"RNA polymerase II dynamics and mRNA stability feedback scale mRNA amounts with cell size","type":"article-journal"},"uris":["http://www.mendeley.com/documents/?uuid=90d7390d-c1af-355e-ae58-d20591ab9167"]}],"mendeley":{"formattedCitation":"&lt;sup</w:instrText>
      </w:r>
      <w:r>
        <w:rPr>
          <w:rFonts w:ascii="Arial" w:eastAsia="Times New Roman" w:hAnsi="Arial" w:cs="Arial"/>
          <w:color w:val="000000"/>
          <w:lang w:val="en-US" w:eastAsia="de-DE"/>
        </w:rPr>
        <w:instrText>&gt;3,14,29&lt;/sup&gt;","plainTextFormattedCitation":"3,14,29","previouslyFormattedCitation":"&lt;sup&gt;3,14,29&lt;/sup&gt;"},"properties":{"noteIndex":0},"schema":"https://github.com/citation-style-language/schema/raw/master/csl-citation.json"}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3,14,29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thus </w:t>
      </w:r>
      <w:r>
        <w:rPr>
          <w:rFonts w:ascii="Arial" w:eastAsia="Times New Roman" w:hAnsi="Arial" w:cs="Arial"/>
          <w:color w:val="000000"/>
          <w:lang w:val="en-US" w:eastAsia="de-DE"/>
        </w:rPr>
        <w:t>ultimately for protein synthesis. Increasing cell ploidy then allows cells to overcome the problem of limiting DNA and enables larger cell sizes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{"citationItems":[{"id":"ITEM-1","itemData":{"DOI":"10.1073/PNAS.1922197117/-/DCSUPPLEMENTAL"</w:instrText>
      </w:r>
      <w:r>
        <w:rPr>
          <w:rFonts w:ascii="Arial" w:eastAsia="Times New Roman" w:hAnsi="Arial" w:cs="Arial"/>
          <w:color w:val="000000"/>
          <w:lang w:val="en-US" w:eastAsia="de-DE"/>
        </w:rPr>
        <w:instrText>,"ISSN":"10916490","PMID":"32581119","abstract":"Cell size is believed to influence cell growth and metabolism. Consistently, several studies have revealed that large cells have lower mass accumulation rates per unit mass (i.e., growth efficiency) than int</w:instrText>
      </w:r>
      <w:r>
        <w:rPr>
          <w:rFonts w:ascii="Arial" w:eastAsia="Times New Roman" w:hAnsi="Arial" w:cs="Arial"/>
          <w:color w:val="000000"/>
          <w:lang w:val="en-US" w:eastAsia="de-DE"/>
        </w:rPr>
        <w:instrText>ermediate-sized cells in the same population. Sizedependent growth is commonly attributed to transport limitations, such as increased diffusion timescales and decreased surface-to-volume ratio. However, separating cell size- and cell cycle-dependent growth</w:instrText>
      </w:r>
      <w:r>
        <w:rPr>
          <w:rFonts w:ascii="Arial" w:eastAsia="Times New Roman" w:hAnsi="Arial" w:cs="Arial"/>
          <w:color w:val="000000"/>
          <w:lang w:val="en-US" w:eastAsia="de-DE"/>
        </w:rPr>
        <w:instrText xml:space="preserve"> is challenging. To address this, we monitored growth efficiency of pseudodiploid mouse lymphocytic leukemia cells during normal proliferation and polyploidization. This was enabled by the development of large-channel suspended microchannel resonators that</w:instrText>
      </w:r>
      <w:r>
        <w:rPr>
          <w:rFonts w:ascii="Arial" w:eastAsia="Times New Roman" w:hAnsi="Arial" w:cs="Arial"/>
          <w:color w:val="000000"/>
          <w:lang w:val="en-US" w:eastAsia="de-DE"/>
        </w:rPr>
        <w:instrText xml:space="preserve"> allow us to monitor buoyant mass of single cells ranging from 40 pg (small pseudodiploid cell) to over 4,000 pg, with a resolution ranging from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 xml:space="preserve">1% to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0.05%. We find that cell growth efficiency increases, plateaus, and then decreases as cell cycle procee</w:instrText>
      </w:r>
      <w:r>
        <w:rPr>
          <w:rFonts w:ascii="Arial" w:eastAsia="Times New Roman" w:hAnsi="Arial" w:cs="Arial"/>
          <w:color w:val="000000"/>
          <w:lang w:val="en-US" w:eastAsia="de-DE"/>
        </w:rPr>
        <w:instrText xml:space="preserve">ds. This growth behavior repeats with every endomitotic cycle as cells grow into polyploidy. Overall, growth efficiency changes 33% throughout the cell cycle. In contrast, increasing cell mass by over 100-fold during polyploidization did not change growth </w:instrText>
      </w:r>
      <w:r>
        <w:rPr>
          <w:rFonts w:ascii="Arial" w:eastAsia="Times New Roman" w:hAnsi="Arial" w:cs="Arial"/>
          <w:color w:val="000000"/>
          <w:lang w:val="en-US" w:eastAsia="de-DE"/>
        </w:rPr>
        <w:instrText xml:space="preserve">efficiency, indicating exponential growth. Consistently, growth efficiency remained constant when cell cycle was arrested in G2. Thus, cell cycle is a primary determinant of growth efficiency. As growth remains exponential over large size scales, our work </w:instrText>
      </w:r>
      <w:r>
        <w:rPr>
          <w:rFonts w:ascii="Arial" w:eastAsia="Times New Roman" w:hAnsi="Arial" w:cs="Arial"/>
          <w:color w:val="000000"/>
          <w:lang w:val="en-US" w:eastAsia="de-DE"/>
        </w:rPr>
        <w:instrText>finds no evidence for transport limitations that would decrease growth efficiency.","author":[{"dropping-particle":"","family":"Mu","given":"Luye","non-dropping-particle":"","parse-names":false,"suffix":""},{"dropping-particle":"","family":"Kang","given":"</w:instrText>
      </w:r>
      <w:r>
        <w:rPr>
          <w:rFonts w:ascii="Arial" w:eastAsia="Times New Roman" w:hAnsi="Arial" w:cs="Arial"/>
          <w:color w:val="000000"/>
          <w:lang w:val="en-US" w:eastAsia="de-DE"/>
        </w:rPr>
        <w:instrText>Joon Ho","non-dropping-particle":"","parse-names":false,"suffix":""},{"dropping-particle":"","family":"Olcum","given":"Selim","non-dropping-particle":"","parse-names":false,"suffix":""},{"dropping-particle":"","family":"Payer","given":"Kristofor R.","non-d</w:instrText>
      </w:r>
      <w:r>
        <w:rPr>
          <w:rFonts w:ascii="Arial" w:eastAsia="Times New Roman" w:hAnsi="Arial" w:cs="Arial"/>
          <w:color w:val="000000"/>
          <w:lang w:val="en-US" w:eastAsia="de-DE"/>
        </w:rPr>
        <w:instrText>ropping-particle":"","parse-names":false,"suffix":""},{"dropping-particle":"","family":"Calistri","given":"Nicholas L.","non-dropping-particle":"","parse-names":false,"suffix":""},{"dropping-particle":"","family":"Kimmerling","given":"Robert J.","non-dropp</w:instrText>
      </w:r>
      <w:r>
        <w:rPr>
          <w:rFonts w:ascii="Arial" w:eastAsia="Times New Roman" w:hAnsi="Arial" w:cs="Arial"/>
          <w:color w:val="000000"/>
          <w:lang w:val="en-US" w:eastAsia="de-DE"/>
        </w:rPr>
        <w:instrText>ing-particle":"","parse-names":false,"suffix":""},{"dropping-particle":"","family":"Manalis","given":"Scott R.","non-dropping-particle":"","parse-names":false,"suffix":""},{"dropping-particle":"","family":"Miettinen","given":"Teemu P.","non-dropping-partic</w:instrText>
      </w:r>
      <w:r>
        <w:rPr>
          <w:rFonts w:ascii="Arial" w:eastAsia="Times New Roman" w:hAnsi="Arial" w:cs="Arial"/>
          <w:color w:val="000000"/>
          <w:lang w:val="en-US" w:eastAsia="de-DE"/>
        </w:rPr>
        <w:instrText>le":"","parse-names":false,"suffix":""}],"container-title":"Proceedings of the National Academy of Sciences of the United States of America","id":"ITEM-1","issue":"27","issued":{"date-parts":[["2020","7","7"]]},"page":"15659-15665","publisher":"National Ac</w:instrText>
      </w:r>
      <w:r>
        <w:rPr>
          <w:rFonts w:ascii="Arial" w:eastAsia="Times New Roman" w:hAnsi="Arial" w:cs="Arial"/>
          <w:color w:val="000000"/>
          <w:lang w:val="en-US" w:eastAsia="de-DE"/>
        </w:rPr>
        <w:instrText>ademy of Sciences","title":"Mass measurements during lymphocytic leukemia cell polyploidization decouple cell cycle- And cell size-dependent growth","type":"article-journal","volume":"117"},"uris":["http://www.mendeley.com/documents/?uuid=0d10d74e-fb8d-341</w:instrText>
      </w:r>
      <w:r>
        <w:rPr>
          <w:rFonts w:ascii="Arial" w:eastAsia="Times New Roman" w:hAnsi="Arial" w:cs="Arial"/>
          <w:color w:val="000000"/>
          <w:lang w:val="en-US" w:eastAsia="de-DE"/>
        </w:rPr>
        <w:instrText>0-a1b2-6a10decfd008"]}],"mendeley":{"formattedCitation":"&lt;sup&gt;106&lt;/sup&gt;","plainTextFormattedCitation":"106","previouslyFormattedCitation":"&lt;sup&gt;106&lt;/sup&gt;"},"properties":{"noteIndex":0},"schema":"https://github.com/citation-style-language/schema/raw/master/</w:instrText>
      </w:r>
      <w:r>
        <w:rPr>
          <w:rFonts w:ascii="Arial" w:eastAsia="Times New Roman" w:hAnsi="Arial" w:cs="Arial"/>
          <w:color w:val="000000"/>
          <w:lang w:val="en-US" w:eastAsia="de-DE"/>
        </w:rPr>
        <w:instrText>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Similarly, coevolution of increased genome size might therefore help to sustain larger cell size.</w:t>
      </w:r>
    </w:p>
    <w:p w14:paraId="5B50C6AA" w14:textId="77777777" w:rsidR="00066D11" w:rsidRDefault="00E55468">
      <w:pPr>
        <w:spacing w:before="240"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However, such a link between increased genome size and larger cell size requires that the increased genome size goes along with an </w:t>
      </w:r>
      <w:r>
        <w:rPr>
          <w:rFonts w:ascii="Arial" w:eastAsia="Times New Roman" w:hAnsi="Arial" w:cs="Arial"/>
          <w:color w:val="000000"/>
          <w:lang w:val="en-US" w:eastAsia="de-DE"/>
        </w:rPr>
        <w:t>increased amount of transcribed DNA, and matters are therefore complicated by the rather imperfect correlation between gene number and genome size across species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{"citationItems":[{"id":"ITEM-1","itemData":{"DOI":"10.1098/RSTB.2014.0331",</w:instrText>
      </w:r>
      <w:r>
        <w:rPr>
          <w:rFonts w:ascii="Arial" w:eastAsia="Times New Roman" w:hAnsi="Arial" w:cs="Arial"/>
          <w:color w:val="000000"/>
          <w:lang w:val="en-US" w:eastAsia="de-DE"/>
        </w:rPr>
        <w:instrText xml:space="preserve">"ISSN":"14712970","PMID":"26323762","abstract":"Some notable exceptions aside, eukaryotic genomes are distinguished from those of Bacteria and Archaea in a number of ways, including chromosome structure and number, repetitive DNA content, and the presence </w:instrText>
      </w:r>
      <w:r>
        <w:rPr>
          <w:rFonts w:ascii="Arial" w:eastAsia="Times New Roman" w:hAnsi="Arial" w:cs="Arial"/>
          <w:color w:val="000000"/>
          <w:lang w:val="en-US" w:eastAsia="de-DE"/>
        </w:rPr>
        <w:instrText xml:space="preserve">of introns in protein-coding regions. One of the most notable differences between eukaryotic and prokaryotic genomes is in size. Unlike their prokaryotic counterparts, eukaryotes exhibit enormous (more than 60 000-fold) variability in genome size which is </w:instrText>
      </w:r>
      <w:r>
        <w:rPr>
          <w:rFonts w:ascii="Arial" w:eastAsia="Times New Roman" w:hAnsi="Arial" w:cs="Arial"/>
          <w:color w:val="000000"/>
          <w:lang w:val="en-US" w:eastAsia="de-DE"/>
        </w:rPr>
        <w:instrText>not explained by differences in gene number. Genome size is known to correlate with cell size and division rate, and by extension with numerous organism-level traits such as metabolism, developmental rate or body size. Less well described are the relations</w:instrText>
      </w:r>
      <w:r>
        <w:rPr>
          <w:rFonts w:ascii="Arial" w:eastAsia="Times New Roman" w:hAnsi="Arial" w:cs="Arial"/>
          <w:color w:val="000000"/>
          <w:lang w:val="en-US" w:eastAsia="de-DE"/>
        </w:rPr>
        <w:instrText>hips between genome size and other properties of the genome, such as gene content, transposable element content, base pair composition and related features. The rapid expansion of ‘complete’ genome sequencing projects has, for the first time, made it possi</w:instrText>
      </w:r>
      <w:r>
        <w:rPr>
          <w:rFonts w:ascii="Arial" w:eastAsia="Times New Roman" w:hAnsi="Arial" w:cs="Arial"/>
          <w:color w:val="000000"/>
          <w:lang w:val="en-US" w:eastAsia="de-DE"/>
        </w:rPr>
        <w:instrText>ble to examine these relationships across a wide range of eukaryotes in order to shed new light on the causes and correlates of genome size diversity. This study presents the results of phylogenetically informed comparisons of genome data for more than 500</w:instrText>
      </w:r>
      <w:r>
        <w:rPr>
          <w:rFonts w:ascii="Arial" w:eastAsia="Times New Roman" w:hAnsi="Arial" w:cs="Arial"/>
          <w:color w:val="000000"/>
          <w:lang w:val="en-US" w:eastAsia="de-DE"/>
        </w:rPr>
        <w:instrText xml:space="preserve"> species of eukaryotes. Several relationships are described between genome size and other genomic parameters, and some recommendations are presented for how these insights can be extended even more broadly in the future.","author":[{"dropping-particle":"",</w:instrText>
      </w:r>
      <w:r>
        <w:rPr>
          <w:rFonts w:ascii="Arial" w:eastAsia="Times New Roman" w:hAnsi="Arial" w:cs="Arial"/>
          <w:color w:val="000000"/>
          <w:lang w:val="en-US" w:eastAsia="de-DE"/>
        </w:rPr>
        <w:instrText>"family":"Elliott","given":"Tyler A.","non-dropping-particle":"","parse-names":false,"suffix":""},{"dropping-particle":"","family":"Gregory","given":"T. Ryan","non-dropping-particle":"","parse-names":false,"suffix":""}],"container-title":"Philosophical Tra</w:instrText>
      </w:r>
      <w:r>
        <w:rPr>
          <w:rFonts w:ascii="Arial" w:eastAsia="Times New Roman" w:hAnsi="Arial" w:cs="Arial"/>
          <w:color w:val="000000"/>
          <w:lang w:val="en-US" w:eastAsia="de-DE"/>
        </w:rPr>
        <w:instrText>nsactions of the Royal Society B: Biological Sciences","id":"ITEM-1","issue":"1678","issued":{"date-parts":[["2015","8","31"]]},"publisher":"Royal Society of London","title":"What’s in a genome? The C-value enigma and the evolution of eukaryotic genome con</w:instrText>
      </w:r>
      <w:r>
        <w:rPr>
          <w:rFonts w:ascii="Arial" w:eastAsia="Times New Roman" w:hAnsi="Arial" w:cs="Arial"/>
          <w:color w:val="000000"/>
          <w:lang w:val="en-US" w:eastAsia="de-DE"/>
        </w:rPr>
        <w:instrText>tent","type":"article-journal","volume":"370"},"uris":["http://www.mendeley.com/documents/?uuid=f95d1aad-543b-30d0-b229-924311434470"]}],"mendeley":{"formattedCitation":"&lt;sup&gt;107&lt;/sup&gt;","plainTextFormattedCitation":"107","previouslyFormattedCitation":"&lt;sup</w:instrText>
      </w:r>
      <w:r>
        <w:rPr>
          <w:rFonts w:ascii="Arial" w:eastAsia="Times New Roman" w:hAnsi="Arial" w:cs="Arial"/>
          <w:color w:val="000000"/>
          <w:lang w:val="en-US" w:eastAsia="de-DE"/>
        </w:rPr>
        <w:instrText>&gt;107&lt;/sup&gt;"},"properties":{"noteIndex":0},"schema":"https://github.com/citation-style-language/schema/raw/master/csl-citation.json"}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Moreover, it is important to note that even the relationship between cell size and ploidy is not universal, even for</w:t>
      </w:r>
      <w:r>
        <w:rPr>
          <w:rFonts w:ascii="Arial" w:eastAsia="Times New Roman" w:hAnsi="Arial" w:cs="Arial"/>
          <w:color w:val="000000"/>
          <w:lang w:val="en-US" w:eastAsia="de-DE"/>
        </w:rPr>
        <w:t xml:space="preserve"> a given species. For example, endoreplication is common in plants, and often leads to an increase of cell size. Still, the dependency of cell size on ploidy is tissue-specific in </w:t>
      </w:r>
      <w:r>
        <w:rPr>
          <w:rFonts w:ascii="Arial" w:eastAsia="Times New Roman" w:hAnsi="Arial" w:cs="Arial"/>
          <w:i/>
          <w:iCs/>
          <w:color w:val="000000"/>
          <w:lang w:val="en-US" w:eastAsia="de-DE"/>
        </w:rPr>
        <w:t>Arabidopsis thaliana</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w:instrText>
      </w:r>
      <w:r>
        <w:rPr>
          <w:rFonts w:ascii="Arial" w:eastAsia="Times New Roman" w:hAnsi="Arial" w:cs="Arial"/>
          <w:i/>
          <w:iCs/>
          <w:color w:val="000000"/>
          <w:lang w:val="en-US" w:eastAsia="de-DE"/>
        </w:rPr>
        <w:instrText>mData":{"DOI":"10.1242/DEV.130021/264038/AM/THE-COORDINATION-OF-PLOIDY-AND-CELL-SIZE-DIFFERS","ISSN":"14779129","PMID":"26903507","abstract":"Growth and developmental processes are occasionally accompanied by multiple rounds of DNA replication, known as en</w:instrText>
      </w:r>
      <w:r>
        <w:rPr>
          <w:rFonts w:ascii="Arial" w:eastAsia="Times New Roman" w:hAnsi="Arial" w:cs="Arial"/>
          <w:i/>
          <w:iCs/>
          <w:color w:val="000000"/>
          <w:lang w:val="en-US" w:eastAsia="de-DE"/>
        </w:rPr>
        <w:instrText>doreduplication. Coordination between endoreduplication and cell size regulation often plays a crucial role in proper organogenesis and cell differentiation. Here, we report that the level of correlation between ploidy and cell volume is different in the o</w:instrText>
      </w:r>
      <w:r>
        <w:rPr>
          <w:rFonts w:ascii="Arial" w:eastAsia="Times New Roman" w:hAnsi="Arial" w:cs="Arial"/>
          <w:i/>
          <w:iCs/>
          <w:color w:val="000000"/>
          <w:lang w:val="en-US" w:eastAsia="de-DE"/>
        </w:rPr>
        <w:instrText>uter and inner cell layers of leaves of Arabidopsis thaliana using a novel imaging technique. Although there is a well-known, strong correlation between ploidy and cell volume in pavement cells of the epidermis, this correlation was extremely weak in palis</w:instrText>
      </w:r>
      <w:r>
        <w:rPr>
          <w:rFonts w:ascii="Arial" w:eastAsia="Times New Roman" w:hAnsi="Arial" w:cs="Arial"/>
          <w:i/>
          <w:iCs/>
          <w:color w:val="000000"/>
          <w:lang w:val="en-US" w:eastAsia="de-DE"/>
        </w:rPr>
        <w:instrText>ade mesophyll cells. Induction of epidermis cell identity based on the expression of the homeobox gene ATML1 in mesophyll cells enhanced the level of correlation between ploidy and cell volume to near that of wild-type epidermal cells. We therefore propose</w:instrText>
      </w:r>
      <w:r>
        <w:rPr>
          <w:rFonts w:ascii="Arial" w:eastAsia="Times New Roman" w:hAnsi="Arial" w:cs="Arial"/>
          <w:i/>
          <w:iCs/>
          <w:color w:val="000000"/>
          <w:lang w:val="en-US" w:eastAsia="de-DE"/>
        </w:rPr>
        <w:instrText xml:space="preserve"> that the correlation between ploidy and cell volume is regulated by cell identity.","author":[{"dropping-particle":"","family":"Katagiri","given":"Yohei","non-dropping-particle":"","parse-names":false,"suffix":""},{"dropping-particle":"","family":"Hasegaw</w:instrText>
      </w:r>
      <w:r>
        <w:rPr>
          <w:rFonts w:ascii="Arial" w:eastAsia="Times New Roman" w:hAnsi="Arial" w:cs="Arial"/>
          <w:i/>
          <w:iCs/>
          <w:color w:val="000000"/>
          <w:lang w:val="en-US" w:eastAsia="de-DE"/>
        </w:rPr>
        <w:instrText>a","given":"Junko","non-dropping-particle":"","parse-names":false,"suffix":""},{"dropping-particle":"","family":"Fujikura","given":"Ushio","non-dropping-particle":"","parse-names":false,"suffix":""},{"dropping-particle":"","family":"Hoshino","given":"Rina"</w:instrText>
      </w:r>
      <w:r>
        <w:rPr>
          <w:rFonts w:ascii="Arial" w:eastAsia="Times New Roman" w:hAnsi="Arial" w:cs="Arial"/>
          <w:i/>
          <w:iCs/>
          <w:color w:val="000000"/>
          <w:lang w:val="en-US" w:eastAsia="de-DE"/>
        </w:rPr>
        <w:instrText>,"non-dropping-particle":"","parse-names":false,"suffix":""},{"dropping-particle":"","family":"Matsunaga","given":"Sachihiro","non-dropping-particle":"","parse-names":false,"suffix":""},{"dropping-particle":"","family":"Tsukaya","given":"Hirokazu","non-dro</w:instrText>
      </w:r>
      <w:r>
        <w:rPr>
          <w:rFonts w:ascii="Arial" w:eastAsia="Times New Roman" w:hAnsi="Arial" w:cs="Arial"/>
          <w:i/>
          <w:iCs/>
          <w:color w:val="000000"/>
          <w:lang w:val="en-US" w:eastAsia="de-DE"/>
        </w:rPr>
        <w:instrText>pping-particle":"","parse-names":false,"suffix":""}],"container-title":"Development (Cambridge)","id":"ITEM-1","issue":"7","issued":{"date-parts":[["2016","4","1"]]},"page":"1120-1125","publisher":"Company of Biologists Ltd","title":"The coordination of pl</w:instrText>
      </w:r>
      <w:r>
        <w:rPr>
          <w:rFonts w:ascii="Arial" w:eastAsia="Times New Roman" w:hAnsi="Arial" w:cs="Arial"/>
          <w:i/>
          <w:iCs/>
          <w:color w:val="000000"/>
          <w:lang w:val="en-US" w:eastAsia="de-DE"/>
        </w:rPr>
        <w:instrText>oidy and cell size differs between cell layers in leaves","type":"article-journal","volume":"143"},"uris":["http://www.mendeley.com/documents/?uuid=43f7b356-0199-342c-a306-cd8722ba4348"]}],"mendeley":{"formattedCitation":"&lt;sup&gt;108&lt;/sup&gt;","plainTextFormatte</w:instrText>
      </w:r>
      <w:r>
        <w:rPr>
          <w:rFonts w:ascii="Arial" w:eastAsia="Times New Roman" w:hAnsi="Arial" w:cs="Arial"/>
          <w:i/>
          <w:iCs/>
          <w:color w:val="000000"/>
          <w:lang w:val="en-US" w:eastAsia="de-DE"/>
        </w:rPr>
        <w:instrText>dCitation":"108","previouslyFormattedCitation":"&lt;sup&gt;108&lt;/sup&gt;"},"properties":{"noteIndex":0},"schema":"https://github.com/citation-style-language/schema/raw/master/csl-citation.json"}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108</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xml:space="preserve">. Similarly, comparing cell sizes of </w:t>
      </w:r>
      <w:r>
        <w:rPr>
          <w:rFonts w:ascii="Arial" w:eastAsia="Times New Roman" w:hAnsi="Arial" w:cs="Arial"/>
          <w:i/>
          <w:iCs/>
          <w:color w:val="000000"/>
          <w:lang w:val="en-US" w:eastAsia="de-DE"/>
        </w:rPr>
        <w:t>Xenopus</w:t>
      </w:r>
      <w:r>
        <w:rPr>
          <w:rFonts w:ascii="Arial" w:eastAsia="Times New Roman" w:hAnsi="Arial" w:cs="Arial"/>
          <w:color w:val="000000"/>
          <w:lang w:val="en-US" w:eastAsia="de-DE"/>
        </w:rPr>
        <w:t xml:space="preserve"> species with differen</w:t>
      </w:r>
      <w:r>
        <w:rPr>
          <w:rFonts w:ascii="Arial" w:eastAsia="Times New Roman" w:hAnsi="Arial" w:cs="Arial"/>
          <w:color w:val="000000"/>
          <w:lang w:val="en-US" w:eastAsia="de-DE"/>
        </w:rPr>
        <w:t>t ploidy throughout development revealed that in the early embryo, cell size is determined by the egg size, while the size of the nucleus is dependent on the genome content. Only during development, a constant nuclear-to-cytoplasmic ratio is established, s</w:t>
      </w:r>
      <w:r>
        <w:rPr>
          <w:rFonts w:ascii="Arial" w:eastAsia="Times New Roman" w:hAnsi="Arial" w:cs="Arial"/>
          <w:color w:val="000000"/>
          <w:lang w:val="en-US" w:eastAsia="de-DE"/>
        </w:rPr>
        <w:t>uch that in adults, cell size then correlates with ploidy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{"citationItems":[{"id":"ITEM-1","itemData":{"DOI":"10.1016/j.cub.2023.02.021","author":[{"dropping-particle":"","family":"Miller","given":"Kelly E","non-dropping-particle":"","par</w:instrText>
      </w:r>
      <w:r>
        <w:rPr>
          <w:rFonts w:ascii="Arial" w:eastAsia="Times New Roman" w:hAnsi="Arial" w:cs="Arial"/>
          <w:color w:val="000000"/>
          <w:lang w:val="en-US" w:eastAsia="de-DE"/>
        </w:rPr>
        <w:instrText>se-names":false,"suffix":""},{"dropping-particle":"","family":"Cadart","given":"Clotilde","non-dropping-particle":"","parse-names":false,"suffix":""},{"dropping-particle":"","family":"Heald","given":"Rebecca","non-dropping-particle":"","parse-names":false,</w:instrText>
      </w:r>
      <w:r>
        <w:rPr>
          <w:rFonts w:ascii="Arial" w:eastAsia="Times New Roman" w:hAnsi="Arial" w:cs="Arial"/>
          <w:color w:val="000000"/>
          <w:lang w:val="en-US" w:eastAsia="de-DE"/>
        </w:rPr>
        <w:instrText>"suffix":""}],"container-title":"Current Biology","id":"ITEM-1","issued":{"date-parts":[["2023"]]},"page":"1327-1336.e4","title":"Dodecaploid Xenopus longipes provides insight into the emergence of size scaling relationships during development","type":"art</w:instrText>
      </w:r>
      <w:r>
        <w:rPr>
          <w:rFonts w:ascii="Arial" w:eastAsia="Times New Roman" w:hAnsi="Arial" w:cs="Arial"/>
          <w:color w:val="000000"/>
          <w:lang w:val="en-US" w:eastAsia="de-DE"/>
        </w:rPr>
        <w:instrText>icle-journal","volume":"33"},"uris":["http://www.mendeley.com/documents/?uuid=f0e29e2b-c08b-3814-ac06-318d461a6515"]}],"mendeley":{"formattedCitation":"&lt;sup&gt;97&lt;/sup&gt;","plainTextFormattedCitation":"97","previouslyFormattedCitation":"&lt;sup&gt;97&lt;/sup&gt;"},"propert</w:instrText>
      </w:r>
      <w:r>
        <w:rPr>
          <w:rFonts w:ascii="Arial" w:eastAsia="Times New Roman" w:hAnsi="Arial" w:cs="Arial"/>
          <w:color w:val="000000"/>
          <w:lang w:val="en-US" w:eastAsia="de-DE"/>
        </w:rPr>
        <w:instrTex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44E2475E" w14:textId="77777777" w:rsidR="00066D11" w:rsidRDefault="00066D11">
      <w:pPr>
        <w:spacing w:after="0" w:line="240" w:lineRule="auto"/>
        <w:jc w:val="both"/>
        <w:rPr>
          <w:rFonts w:ascii="Arial" w:eastAsia="Times New Roman" w:hAnsi="Arial" w:cs="Arial"/>
          <w:lang w:val="en-US" w:eastAsia="de-DE"/>
        </w:rPr>
      </w:pPr>
    </w:p>
    <w:p w14:paraId="37D8B24C"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u w:val="single"/>
          <w:lang w:val="en-US" w:eastAsia="de-DE"/>
        </w:rPr>
        <w:t>3 Organelle scaling with cell size</w:t>
      </w:r>
    </w:p>
    <w:p w14:paraId="0F3CDC96" w14:textId="77777777" w:rsidR="00066D11" w:rsidRDefault="00066D11">
      <w:pPr>
        <w:spacing w:after="0" w:line="240" w:lineRule="auto"/>
        <w:jc w:val="both"/>
        <w:rPr>
          <w:rFonts w:ascii="Arial" w:eastAsia="Times New Roman" w:hAnsi="Arial" w:cs="Arial"/>
          <w:lang w:val="en-US" w:eastAsia="de-DE"/>
        </w:rPr>
      </w:pPr>
    </w:p>
    <w:p w14:paraId="2CE72B34" w14:textId="77777777" w:rsidR="00066D11" w:rsidRDefault="00E55468">
      <w:pPr>
        <w:spacing w:after="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 xml:space="preserve">As cells change their size, they also need to adjust the scale of intracellular structures and </w:t>
      </w:r>
      <w:r>
        <w:rPr>
          <w:rFonts w:ascii="Arial" w:eastAsia="Times New Roman" w:hAnsi="Arial" w:cs="Arial"/>
          <w:color w:val="000000"/>
          <w:lang w:val="en-US" w:eastAsia="de-DE"/>
        </w:rPr>
        <w:t>compartments accordingly. Across species, the emerging picture is that the size or abundance of many organelles, including the nucleus, mitochondria, and the mitotic spindle, increases roughly in proportion to cell volume (Fig. 3). This leads to the questi</w:t>
      </w:r>
      <w:r>
        <w:rPr>
          <w:rFonts w:ascii="Arial" w:eastAsia="Times New Roman" w:hAnsi="Arial" w:cs="Arial"/>
          <w:color w:val="000000"/>
          <w:lang w:val="en-US" w:eastAsia="de-DE"/>
        </w:rPr>
        <w:t>on of how cells can couple organelle homeostasis to overall cell size. One intriguing regulatory principle is that organelle size could be set by a pool of limiting building blocks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w:instrText>
      </w:r>
      <w:r>
        <w:rPr>
          <w:rFonts w:ascii="Arial" w:eastAsia="Times New Roman" w:hAnsi="Arial" w:cs="Arial"/>
          <w:color w:val="000000"/>
          <w:lang w:val="en-US" w:eastAsia="de-DE"/>
        </w:rPr>
        <w:instrText xml:space="preserve">16/j.cub.2012.03.046","ISSN":"09609822","PMID":"22575475","abstract":"The critical importance of controlling the size and number of intracellular organelles has led to a variety of mechanisms for regulating the formation and growth of cellular structures. </w:instrText>
      </w:r>
      <w:r>
        <w:rPr>
          <w:rFonts w:ascii="Arial" w:eastAsia="Times New Roman" w:hAnsi="Arial" w:cs="Arial"/>
          <w:color w:val="000000"/>
          <w:lang w:val="en-US" w:eastAsia="de-DE"/>
        </w:rPr>
        <w:instrText>In this review, we explore a class of mechanisms for organelle growth control that rely primarily on the cytoplasm as a 'limiting pool' of available material. These mechanisms are based on the idea that, as organelles grow, they incorporate subunits from t</w:instrText>
      </w:r>
      <w:r>
        <w:rPr>
          <w:rFonts w:ascii="Arial" w:eastAsia="Times New Roman" w:hAnsi="Arial" w:cs="Arial"/>
          <w:color w:val="000000"/>
          <w:lang w:val="en-US" w:eastAsia="de-DE"/>
        </w:rPr>
        <w:instrText>he cytoplasm. If this subunit pool is limited, organelle growth will lead to depletion of subunits from the cytoplasm. Free subunit concentration therefore provides a measure of the number of incorporated subunits and thus the current size of the organelle</w:instrText>
      </w:r>
      <w:r>
        <w:rPr>
          <w:rFonts w:ascii="Arial" w:eastAsia="Times New Roman" w:hAnsi="Arial" w:cs="Arial"/>
          <w:color w:val="000000"/>
          <w:lang w:val="en-US" w:eastAsia="de-DE"/>
        </w:rPr>
        <w:instrText>. Because organelle growth rates are typically a function of subunit concentration, cytoplasmic depletion links organelle size, free subunit concentration, and growth rates, ensuring that as the organelle grows, its rate of growth slows. Thus, a limiting c</w:instrText>
      </w:r>
      <w:r>
        <w:rPr>
          <w:rFonts w:ascii="Arial" w:eastAsia="Times New Roman" w:hAnsi="Arial" w:cs="Arial"/>
          <w:color w:val="000000"/>
          <w:lang w:val="en-US" w:eastAsia="de-DE"/>
        </w:rPr>
        <w:instrText>ytoplasmic pool provides a powerful mechanism for size-dependent regulation of growth without recourse to active mechanisms to measure size or modulate growth rates. Variations of this general idea allow not only for size control, but also cell-size-depend</w:instrText>
      </w:r>
      <w:r>
        <w:rPr>
          <w:rFonts w:ascii="Arial" w:eastAsia="Times New Roman" w:hAnsi="Arial" w:cs="Arial"/>
          <w:color w:val="000000"/>
          <w:lang w:val="en-US" w:eastAsia="de-DE"/>
        </w:rPr>
        <w:instrText>ent scaling of cellular structures, coordination of growth between similar structures within a cell, and the enforcement of singularity in structure formation, when only a single copy of a structure is desired. Here, we review several examples of such mech</w:instrText>
      </w:r>
      <w:r>
        <w:rPr>
          <w:rFonts w:ascii="Arial" w:eastAsia="Times New Roman" w:hAnsi="Arial" w:cs="Arial"/>
          <w:color w:val="000000"/>
          <w:lang w:val="en-US" w:eastAsia="de-DE"/>
        </w:rPr>
        <w:instrText>anisms in cellular processes as diverse as centriole duplication, centrosome and nuclear size control, cell polarity, and growth of flagella. ?? 2012 Elsevier Ltd.","author":[{"dropping-particle":"","family":"Goehring","given":"Nathan W.","non-dropping-par</w:instrText>
      </w:r>
      <w:r>
        <w:rPr>
          <w:rFonts w:ascii="Arial" w:eastAsia="Times New Roman" w:hAnsi="Arial" w:cs="Arial"/>
          <w:color w:val="000000"/>
          <w:lang w:val="en-US" w:eastAsia="de-DE"/>
        </w:rPr>
        <w:instrText>ticle":"","parse-names":false,"suffix":""},{"dropping-particle":"","family":"Hyman","given":"Anthony A.","non-dropping-particle":"","parse-names":false,"suffix":""}],"container-title":"Current Biology","id":"ITEM-1","issue":"9","issued":{"date-parts":[["20</w:instrText>
      </w:r>
      <w:r>
        <w:rPr>
          <w:rFonts w:ascii="Arial" w:eastAsia="Times New Roman" w:hAnsi="Arial" w:cs="Arial"/>
          <w:color w:val="000000"/>
          <w:lang w:val="en-US" w:eastAsia="de-DE"/>
        </w:rPr>
        <w:instrText>12"]]},"page":"R330-9","title":"Organelle growth control through limiting pools of cytoplasmic components","type":"article-journal","volume":"22"},"uris":["http://www.mendeley.com/documents/?uuid=ea8bcce7-45dd-4295-841c-c99e3c89354e"]},{"id":"ITEM-2","item</w:instrText>
      </w:r>
      <w:r>
        <w:rPr>
          <w:rFonts w:ascii="Arial" w:eastAsia="Times New Roman" w:hAnsi="Arial" w:cs="Arial"/>
          <w:color w:val="000000"/>
          <w:lang w:val="en-US" w:eastAsia="de-DE"/>
        </w:rPr>
        <w:instrText>Data":{"DOI":"10.1371/JOURNAL.PCBI.1010253","ISBN":"1111111111","ISSN":"1553-7358","PMID":"35714135","abstract":"How cells regulate the size of intracellular structures and organelles is a longstanding question. Recent experiments suggest that size control</w:instrText>
      </w:r>
      <w:r>
        <w:rPr>
          <w:rFonts w:ascii="Arial" w:eastAsia="Times New Roman" w:hAnsi="Arial" w:cs="Arial"/>
          <w:color w:val="000000"/>
          <w:lang w:val="en-US" w:eastAsia="de-DE"/>
        </w:rPr>
        <w:instrText xml:space="preserve"> of intracellular structures is achieved through the depletion of a limiting subunit pool in the cytoplasm. While the limiting pool model ensures organelle-to-cell size scaling, it does not provide a mechanism for robust size control of multiple co-existin</w:instrText>
      </w:r>
      <w:r>
        <w:rPr>
          <w:rFonts w:ascii="Arial" w:eastAsia="Times New Roman" w:hAnsi="Arial" w:cs="Arial"/>
          <w:color w:val="000000"/>
          <w:lang w:val="en-US" w:eastAsia="de-DE"/>
        </w:rPr>
        <w:instrText>g structures. Here we develop a generalized theory for size-dependent growth of intracellular structures to demonstrate that robust size control of multiple intracellular structures, competing for a limiting subunit pool, is achieved via a negative feedbac</w:instrText>
      </w:r>
      <w:r>
        <w:rPr>
          <w:rFonts w:ascii="Arial" w:eastAsia="Times New Roman" w:hAnsi="Arial" w:cs="Arial"/>
          <w:color w:val="000000"/>
          <w:lang w:val="en-US" w:eastAsia="de-DE"/>
        </w:rPr>
        <w:instrText>k between the growth rate and the size of the individual structure. This design principle captures size maintenance of a wide variety of subcellular structures, from cytoskeletal filaments to three-dimensional organelles. We identify the feedback motifs fo</w:instrText>
      </w:r>
      <w:r>
        <w:rPr>
          <w:rFonts w:ascii="Arial" w:eastAsia="Times New Roman" w:hAnsi="Arial" w:cs="Arial"/>
          <w:color w:val="000000"/>
          <w:lang w:val="en-US" w:eastAsia="de-DE"/>
        </w:rPr>
        <w:instrText>r structure size regulation based on known molecular processes, and compare our theory to existing models of size regulation in biological assemblies. Furthermore, we show that positive feedback between structure size and growth rate can lead to bistable s</w:instrText>
      </w:r>
      <w:r>
        <w:rPr>
          <w:rFonts w:ascii="Arial" w:eastAsia="Times New Roman" w:hAnsi="Arial" w:cs="Arial"/>
          <w:color w:val="000000"/>
          <w:lang w:val="en-US" w:eastAsia="de-DE"/>
        </w:rPr>
        <w:instrText>ize distribution and spontaneous size selection.","author":[{"dropping-particle":"","family":"Banerjee","given":"Deb Sankar","non-dropping-particle":"","parse-names":false,"suffix":""},{"dropping-particle":"","family":"Banerjee","given":"Shiladitya","non-d</w:instrText>
      </w:r>
      <w:r>
        <w:rPr>
          <w:rFonts w:ascii="Arial" w:eastAsia="Times New Roman" w:hAnsi="Arial" w:cs="Arial"/>
          <w:color w:val="000000"/>
          <w:lang w:val="en-US" w:eastAsia="de-DE"/>
        </w:rPr>
        <w:instrText>ropping-particle":"","parse-names":false,"suffix":""}],"container-title":"PLOS Computational Biology","id":"ITEM-2","issue":"6","issued":{"date-parts":[["2022","6","1"]]},"page":"e1010253","publisher":"Public Library of Science","title":"Size regulation of</w:instrText>
      </w:r>
      <w:r>
        <w:rPr>
          <w:rFonts w:ascii="Arial" w:eastAsia="Times New Roman" w:hAnsi="Arial" w:cs="Arial"/>
          <w:color w:val="000000"/>
          <w:lang w:val="en-US" w:eastAsia="de-DE"/>
        </w:rPr>
        <w:instrText xml:space="preserve"> multiple organelles competing for a limiting subunit pool","type":"article-journal","volume":"18"},"uris":["http://www.mendeley.com/documents/?uuid=c39e5443-3ee1-352f-8b38-3fc5070a1d05"]}],"mendeley":{"formattedCitation":"&lt;sup&gt;109,110&lt;/sup&gt;","plainTextFor</w:instrText>
      </w:r>
      <w:r>
        <w:rPr>
          <w:rFonts w:ascii="Arial" w:eastAsia="Times New Roman" w:hAnsi="Arial" w:cs="Arial"/>
          <w:color w:val="000000"/>
          <w:lang w:val="en-US" w:eastAsia="de-DE"/>
        </w:rPr>
        <w:instrText>mattedCitation":"109,110","previouslyFormattedCitation":"&lt;sup&gt;109,110&lt;/sup&gt;"},"properties":{"noteIndex":0},"schema":"https://github.com/citation-style-language/schema/raw/master/csl-citation.json"}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109,110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Since global biosynthetic capacity of the cell </w:t>
      </w:r>
      <w:r>
        <w:rPr>
          <w:rFonts w:ascii="Arial" w:eastAsia="Times New Roman" w:hAnsi="Arial" w:cs="Arial"/>
          <w:color w:val="000000"/>
          <w:lang w:val="en-US" w:eastAsia="de-DE"/>
        </w:rPr>
        <w:t>increases with cell size</w:t>
      </w:r>
      <w:r>
        <w:rPr>
          <w:rFonts w:ascii="Arial" w:eastAsia="Times New Roman" w:hAnsi="Arial" w:cs="Arial"/>
          <w:lang w:val="en-US" w:eastAsia="de-DE"/>
        </w:rPr>
        <w:t xml:space="preserve"> (section 2)</w:t>
      </w:r>
      <w:r>
        <w:rPr>
          <w:rFonts w:ascii="Arial" w:eastAsia="Times New Roman" w:hAnsi="Arial" w:cs="Arial"/>
          <w:color w:val="000000"/>
          <w:lang w:val="en-US" w:eastAsia="de-DE"/>
        </w:rPr>
        <w:t xml:space="preserve">, the abundance of those building blocks, for example proteins, would then also increase with cell size. </w:t>
      </w:r>
      <w:proofErr w:type="gramStart"/>
      <w:r>
        <w:rPr>
          <w:rFonts w:ascii="Arial" w:eastAsia="Times New Roman" w:hAnsi="Arial" w:cs="Arial"/>
          <w:color w:val="000000"/>
          <w:lang w:val="en-US" w:eastAsia="de-DE"/>
        </w:rPr>
        <w:t>As a consequence</w:t>
      </w:r>
      <w:proofErr w:type="gramEnd"/>
      <w:r>
        <w:rPr>
          <w:rFonts w:ascii="Arial" w:eastAsia="Times New Roman" w:hAnsi="Arial" w:cs="Arial"/>
          <w:color w:val="000000"/>
          <w:lang w:val="en-US" w:eastAsia="de-DE"/>
        </w:rPr>
        <w:t>, this would allow larger cells to build larger organelles. Conceptually related mechanisms rely on</w:t>
      </w:r>
      <w:r>
        <w:rPr>
          <w:rFonts w:ascii="Arial" w:eastAsia="Times New Roman" w:hAnsi="Arial" w:cs="Arial"/>
          <w:color w:val="000000"/>
          <w:lang w:val="en-US" w:eastAsia="de-DE"/>
        </w:rPr>
        <w:t xml:space="preserve"> enzymes that are limiting for organelle maintenance and increase in abundance with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{"citationItems":[{"id":"ITEM-1","itemData":{"DOI":"10.1038/s41594-023-01091-8","ISSN":"15459985","abstract":"To maintain stable DNA concentrati</w:instrText>
      </w:r>
      <w:r>
        <w:rPr>
          <w:rFonts w:ascii="Arial" w:eastAsia="Times New Roman" w:hAnsi="Arial" w:cs="Arial"/>
          <w:color w:val="000000"/>
          <w:lang w:val="en-US" w:eastAsia="de-DE"/>
        </w:rPr>
        <w:instrText>ons, proliferating cells need to coordinate DNA replication with cell growth. For nuclear DNA, eukaryotic cells achieve this by coupling DNA replication to cell-cycle progression, ensuring that DNA is doubled exactly once per cell cycle. By contrast, mitoc</w:instrText>
      </w:r>
      <w:r>
        <w:rPr>
          <w:rFonts w:ascii="Arial" w:eastAsia="Times New Roman" w:hAnsi="Arial" w:cs="Arial"/>
          <w:color w:val="000000"/>
          <w:lang w:val="en-US" w:eastAsia="de-DE"/>
        </w:rPr>
        <w:instrText>hondrial DNA replication is typically not strictly coupled to the cell cycle, leaving the open question of how cells maintain the correct amount of mitochondrial DNA during cell growth. Here, we show that in budding yeast, mitochondrial DNA copy number inc</w:instrText>
      </w:r>
      <w:r>
        <w:rPr>
          <w:rFonts w:ascii="Arial" w:eastAsia="Times New Roman" w:hAnsi="Arial" w:cs="Arial"/>
          <w:color w:val="000000"/>
          <w:lang w:val="en-US" w:eastAsia="de-DE"/>
        </w:rPr>
        <w:instrText>reases with cell volume, both in asynchronously cycling populations and during G1 arrest. Our findings suggest that cell-volume-dependent mitochondrial DNA maintenance is achieved through nuclear-encoded limiting factors, including the mitochondrial DNA po</w:instrText>
      </w:r>
      <w:r>
        <w:rPr>
          <w:rFonts w:ascii="Arial" w:eastAsia="Times New Roman" w:hAnsi="Arial" w:cs="Arial"/>
          <w:color w:val="000000"/>
          <w:lang w:val="en-US" w:eastAsia="de-DE"/>
        </w:rPr>
        <w:instrText>lymerase Mip1 and the packaging factor Abf2, whose amount increases in proportion to cell volume. By directly linking mitochondrial DNA maintenance to nuclear protein synthesis and thus cell growth, constant mitochondrial DNA concentrations can be robustly</w:instrText>
      </w:r>
      <w:r>
        <w:rPr>
          <w:rFonts w:ascii="Arial" w:eastAsia="Times New Roman" w:hAnsi="Arial" w:cs="Arial"/>
          <w:color w:val="000000"/>
          <w:lang w:val="en-US" w:eastAsia="de-DE"/>
        </w:rPr>
        <w:instrText xml:space="preserve"> maintained without a need for cell-cycle-dependent regulation.","author":[{"dropping-particle":"","family":"Seel","given":"Anika","non-dropping-particle":"","parse-names":false,"suffix":""},{"dropping-particle":"","family":"Padovani","given":"Francesco","</w:instrText>
      </w:r>
      <w:r>
        <w:rPr>
          <w:rFonts w:ascii="Arial" w:eastAsia="Times New Roman" w:hAnsi="Arial" w:cs="Arial"/>
          <w:color w:val="000000"/>
          <w:lang w:val="en-US" w:eastAsia="de-DE"/>
        </w:rPr>
        <w:instrText>non-dropping-particle":"","parse-names":false,"suffix":""},{"dropping-particle":"","family":"Mayer","given":"Moritz","non-dropping-particle":"","parse-names":false,"suffix":""},{"dropping-particle":"","family":"Finster","given":"Alissa","non-dropping-parti</w:instrText>
      </w:r>
      <w:r>
        <w:rPr>
          <w:rFonts w:ascii="Arial" w:eastAsia="Times New Roman" w:hAnsi="Arial" w:cs="Arial"/>
          <w:color w:val="000000"/>
          <w:lang w:val="en-US" w:eastAsia="de-DE"/>
        </w:rPr>
        <w:instrText>cle":"","parse-names":false,"suffix":""},{"dropping-particle":"","family":"Bureik","given":"Daniela","non-dropping-particle":"","parse-names":false,"suffix":""},{"dropping-particle":"","family":"Thoma","given":"Felix","non-dropping-particle":"","parse-name</w:instrText>
      </w:r>
      <w:r>
        <w:rPr>
          <w:rFonts w:ascii="Arial" w:eastAsia="Times New Roman" w:hAnsi="Arial" w:cs="Arial"/>
          <w:color w:val="000000"/>
          <w:lang w:val="en-US" w:eastAsia="de-DE"/>
        </w:rPr>
        <w:instrText>s":false,"suffix":""},{"dropping-particle":"","family":"Osman","given":"Christof","non-dropping-particle":"","parse-names":false,"suffix":""},{"dropping-particle":"","family":"Klecker","given":"Till","non-dropping-particle":"","parse-names":false,"suffix":</w:instrText>
      </w:r>
      <w:r>
        <w:rPr>
          <w:rFonts w:ascii="Arial" w:eastAsia="Times New Roman" w:hAnsi="Arial" w:cs="Arial"/>
          <w:color w:val="000000"/>
          <w:lang w:val="en-US" w:eastAsia="de-DE"/>
        </w:rPr>
        <w:instrText>""},{"dropping-particle":"","family":"Schmoller","given":"Kurt M.","non-dropping-particle":"","parse-names":false,"suffix":""}],"container-title":"Nature Structural and Molecular Biology","id":"ITEM-1","issued":{"date-parts":[["2023","12","4"]]},"page":"20</w:instrText>
      </w:r>
      <w:r>
        <w:rPr>
          <w:rFonts w:ascii="Arial" w:eastAsia="Times New Roman" w:hAnsi="Arial" w:cs="Arial"/>
          <w:color w:val="000000"/>
          <w:lang w:val="en-US" w:eastAsia="de-DE"/>
        </w:rPr>
        <w:instrText>21.12.03.471050","publisher":"Cold Spring Harbor Laboratory","title":"Regulation with cell size ensures mitochondrial DNA homeostasis during cell growth","type":"article-journal"},"uris":["http://www.mendeley.com/documents/?uuid=6ec6caf1-d82d-3c45-a599-736</w:instrText>
      </w:r>
      <w:r>
        <w:rPr>
          <w:rFonts w:ascii="Arial" w:eastAsia="Times New Roman" w:hAnsi="Arial" w:cs="Arial"/>
          <w:color w:val="000000"/>
          <w:lang w:val="en-US" w:eastAsia="de-DE"/>
        </w:rPr>
        <w:instrText>665863533"]}],"mendeley":{"formattedCitation":"&lt;sup&gt;111&lt;/sup&gt;","plainTextFormattedCitation":"111","previouslyFormattedCitation":"&lt;sup&gt;111&lt;/sup&gt;"},"properties":{"noteIndex":0},"schema":"https://github.com/citation-style-language/schema/raw/master/csl-citati</w:instrText>
      </w:r>
      <w:r>
        <w:rPr>
          <w:rFonts w:ascii="Arial" w:eastAsia="Times New Roman" w:hAnsi="Arial" w:cs="Arial"/>
          <w:color w:val="000000"/>
          <w:lang w:val="en-US" w:eastAsia="de-DE"/>
        </w:rPr>
        <w:instrText>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or couple organelle formation to protein concentration and cell volume through phase separation mechanisms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{"citationItems":[{"id":"ITEM-1","itemData":{"DOI":"10.1083/JCB.201308087","ISSN":"0021-9525","PMID":"24368804","a</w:instrText>
      </w:r>
      <w:r>
        <w:rPr>
          <w:rFonts w:ascii="Arial" w:eastAsia="Times New Roman" w:hAnsi="Arial" w:cs="Arial"/>
          <w:color w:val="000000"/>
          <w:lang w:val="en-US" w:eastAsia="de-DE"/>
        </w:rPr>
        <w:instrText xml:space="preserve">bstract":"The coordinated growth of cells and their organelles is a fundamental and poorly understood problem, with implications for processes ranging from embryonic development to oncogenesis. Recent experiments have shed light on the cell size-dependent </w:instrText>
      </w:r>
      <w:r>
        <w:rPr>
          <w:rFonts w:ascii="Arial" w:eastAsia="Times New Roman" w:hAnsi="Arial" w:cs="Arial"/>
          <w:color w:val="000000"/>
          <w:lang w:val="en-US" w:eastAsia="de-DE"/>
        </w:rPr>
        <w:instrText>assembly of membrane-less cytoplasmic and nucleoplasmic structures, including ribonucleoprotein (RNP) granules and other intracellular bodies. Many of these structures behave as condensed liquid-like phases of the cytoplasm/nucleoplasm. The phase transitio</w:instrText>
      </w:r>
      <w:r>
        <w:rPr>
          <w:rFonts w:ascii="Arial" w:eastAsia="Times New Roman" w:hAnsi="Arial" w:cs="Arial"/>
          <w:color w:val="000000"/>
          <w:lang w:val="en-US" w:eastAsia="de-DE"/>
        </w:rPr>
        <w:instrText>ns that appear to govern their assembly exhibit an intrinsic dependence on cell size, and may explain the size scaling reported for a number of structures. This size scaling could, in turn, play a role in cell growth and size control. © 2013, Rockefeller U</w:instrText>
      </w:r>
      <w:r>
        <w:rPr>
          <w:rFonts w:ascii="Arial" w:eastAsia="Times New Roman" w:hAnsi="Arial" w:cs="Arial"/>
          <w:color w:val="000000"/>
          <w:lang w:val="en-US" w:eastAsia="de-DE"/>
        </w:rPr>
        <w:instrText>niversity Press., All rights reserved.","author":[{"dropping-particle":"","family":"Brangwynne","given":"Clifford P.","non-dropping-particle":"","parse-names":false,"suffix":""}],"container-title":"Journal of Cell Biology","id":"ITEM-1","issue":"6","issued</w:instrText>
      </w:r>
      <w:r>
        <w:rPr>
          <w:rFonts w:ascii="Arial" w:eastAsia="Times New Roman" w:hAnsi="Arial" w:cs="Arial"/>
          <w:color w:val="000000"/>
          <w:lang w:val="en-US" w:eastAsia="de-DE"/>
        </w:rPr>
        <w:instrText>":{"date-parts":[["2013","12","23"]]},"page":"875-881","publisher":"The Rockefeller University Press","title":"Phase transitions and size scaling of membrane-less organelles","type":"article-journal","volume":"203"},"uris":["http://www.mendeley.com/documen</w:instrText>
      </w:r>
      <w:r>
        <w:rPr>
          <w:rFonts w:ascii="Arial" w:eastAsia="Times New Roman" w:hAnsi="Arial" w:cs="Arial"/>
          <w:color w:val="000000"/>
          <w:lang w:val="en-US" w:eastAsia="de-DE"/>
        </w:rPr>
        <w:instrText>ts/?uuid=5e298f86-70a1-3974-8cf6-b44c0e072daa"]}],"mendeley":{"formattedCitation":"&lt;sup&gt;112&lt;/sup&gt;","plainTextFormattedCitation":"112","previouslyFormattedCitation":"&lt;sup&gt;112&lt;/sup&gt;"},"properties":{"noteIndex":0},"schema":"https://github.com/citation-style-l</w:instrText>
      </w:r>
      <w:r>
        <w:rPr>
          <w:rFonts w:ascii="Arial" w:eastAsia="Times New Roman" w:hAnsi="Arial" w:cs="Arial"/>
          <w:color w:val="000000"/>
          <w:lang w:val="en-US" w:eastAsia="de-DE"/>
        </w:rPr>
        <w:instrText>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While regulation of organelle homeostasis through limiting components provides an intuitive concept of how a coupling of organelle size to cell size can in principle be achieved, extensive studies on man</w:t>
      </w:r>
      <w:r>
        <w:rPr>
          <w:rFonts w:ascii="Arial" w:eastAsia="Times New Roman" w:hAnsi="Arial" w:cs="Arial"/>
          <w:color w:val="000000"/>
          <w:lang w:val="en-US" w:eastAsia="de-DE"/>
        </w:rPr>
        <w:t xml:space="preserve">y different organelles and biological systems revealed a much more complex picture. First, different organelles are regulated with cell size through different mechanisms. Second, the regulation of a specific organelle can also vary depending on biological </w:t>
      </w:r>
      <w:r>
        <w:rPr>
          <w:rFonts w:ascii="Arial" w:eastAsia="Times New Roman" w:hAnsi="Arial" w:cs="Arial"/>
          <w:color w:val="000000"/>
          <w:lang w:val="en-US" w:eastAsia="de-DE"/>
        </w:rPr>
        <w:t>context, including the species and its developmental stage. In the following, we will discuss the size-dependence of major organelles, and our current understanding of the underlying mechanisms. Additional information can be found in dedicated reviews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w:instrText>
      </w:r>
      <w:r>
        <w:rPr>
          <w:rFonts w:ascii="Arial" w:eastAsia="Times New Roman" w:hAnsi="Arial" w:cs="Arial"/>
          <w:color w:val="000000"/>
          <w:lang w:val="en-US" w:eastAsia="de-DE"/>
        </w:rPr>
        <w:instrText xml:space="preserve"> CSL_CITATION {"citationItems":[{"id":"ITEM-1","itemData":{"DOI":"10.1146/annurev-cellbio-020520-113246","ISSN":"1081-0706","abstract":"&lt;p&gt;As cells grow, the size and number of their internal organelles increase in order to keep up with increased metabolic</w:instrText>
      </w:r>
      <w:r>
        <w:rPr>
          <w:rFonts w:ascii="Arial" w:eastAsia="Times New Roman" w:hAnsi="Arial" w:cs="Arial"/>
          <w:color w:val="000000"/>
          <w:lang w:val="en-US" w:eastAsia="de-DE"/>
        </w:rPr>
        <w:instrText xml:space="preserve"> requirements. Abnormal size of organelles is a hallmark of cancer and an important aspect of diagnosis in cytopathology. Most organelles vary in either size or number, or both, as a function of cell size, but the mechanisms that create this variation rema</w:instrText>
      </w:r>
      <w:r>
        <w:rPr>
          <w:rFonts w:ascii="Arial" w:eastAsia="Times New Roman" w:hAnsi="Arial" w:cs="Arial"/>
          <w:color w:val="000000"/>
          <w:lang w:val="en-US" w:eastAsia="de-DE"/>
        </w:rPr>
        <w:instrText>in unclear. In some cases, organelle size appears to scale with cell size through processes of relative growth, but in others the size may be set by either active measurement systems or genetic programs that instruct organelle biosynthetic activities to cr</w:instrText>
      </w:r>
      <w:r>
        <w:rPr>
          <w:rFonts w:ascii="Arial" w:eastAsia="Times New Roman" w:hAnsi="Arial" w:cs="Arial"/>
          <w:color w:val="000000"/>
          <w:lang w:val="en-US" w:eastAsia="de-DE"/>
        </w:rPr>
        <w:instrText>eate organelles of a size appropriate to a given cell type.&lt;/p&gt;","author":[{"dropping-particle":"","family":"Marshall","given":"Wallace F.","non-dropping-particle":"","parse-names":false,"suffix":""}],"container-title":"Annual Review of Cell and Developmen</w:instrText>
      </w:r>
      <w:r>
        <w:rPr>
          <w:rFonts w:ascii="Arial" w:eastAsia="Times New Roman" w:hAnsi="Arial" w:cs="Arial"/>
          <w:color w:val="000000"/>
          <w:lang w:val="en-US" w:eastAsia="de-DE"/>
        </w:rPr>
        <w:instrText>tal Biology","id":"ITEM-1","issue":"1","issued":{"date-parts":[["2020","10"]]},"page":"219-236","publisher":" Annual Reviews ","title":"Scaling of Subcellular Structures","type":"article-journal","volume":"36"},"uris":["http://www.mendeley.com/documents/?u</w:instrText>
      </w:r>
      <w:r>
        <w:rPr>
          <w:rFonts w:ascii="Arial" w:eastAsia="Times New Roman" w:hAnsi="Arial" w:cs="Arial"/>
          <w:color w:val="000000"/>
          <w:lang w:val="en-US" w:eastAsia="de-DE"/>
        </w:rPr>
        <w:instrText>uid=9b8900c1-b059-49bc-ac3d-ecefc02d7c3c"]},{"id":"ITEM-2","itemData":{"DOI":"10.1016/J.SEMCDB.2022.02.002","ISSN":"1084-9521","PMID":"35148938","abstract":"During early embryogenesis, as cells divide in the developing embryo, the size of intracellular org</w:instrText>
      </w:r>
      <w:r>
        <w:rPr>
          <w:rFonts w:ascii="Arial" w:eastAsia="Times New Roman" w:hAnsi="Arial" w:cs="Arial"/>
          <w:color w:val="000000"/>
          <w:lang w:val="en-US" w:eastAsia="de-DE"/>
        </w:rPr>
        <w:instrText xml:space="preserve">anelles generally decreases to scale with the decrease in overall cell size. Organelle size scaling is thought to be important to establish and maintain proper cellular function, and defective scaling may lead to impaired development and disease. However, </w:instrText>
      </w:r>
      <w:r>
        <w:rPr>
          <w:rFonts w:ascii="Arial" w:eastAsia="Times New Roman" w:hAnsi="Arial" w:cs="Arial"/>
          <w:color w:val="000000"/>
          <w:lang w:val="en-US" w:eastAsia="de-DE"/>
        </w:rPr>
        <w:instrText>how the cell regulates organelle size and organization are largely unanswered questions. In this review, we summarize the process of size scaling at both the cell and organelle levels and discuss recently discovered mechanisms that regulate this process du</w:instrText>
      </w:r>
      <w:r>
        <w:rPr>
          <w:rFonts w:ascii="Arial" w:eastAsia="Times New Roman" w:hAnsi="Arial" w:cs="Arial"/>
          <w:color w:val="000000"/>
          <w:lang w:val="en-US" w:eastAsia="de-DE"/>
        </w:rPr>
        <w:instrText>ring early embryogenesis. In addition, we describe how some recently developed techniques and Xenopus as an animal model can be used to investigate the underlying mechanisms of size regulation and to uncover the significance of proper organelle size scalin</w:instrText>
      </w:r>
      <w:r>
        <w:rPr>
          <w:rFonts w:ascii="Arial" w:eastAsia="Times New Roman" w:hAnsi="Arial" w:cs="Arial"/>
          <w:color w:val="000000"/>
          <w:lang w:val="en-US" w:eastAsia="de-DE"/>
        </w:rPr>
        <w:instrText>g and organization.","author":[{"dropping-particle":"","family":"Chen","given":"Pan","non-dropping-particle":"","parse-names":false,"suffix":""},{"dropping-particle":"","family":"Levy","given":"Daniel L.","non-dropping-particle":"","parse-names":false,"suf</w:instrText>
      </w:r>
      <w:r>
        <w:rPr>
          <w:rFonts w:ascii="Arial" w:eastAsia="Times New Roman" w:hAnsi="Arial" w:cs="Arial"/>
          <w:color w:val="000000"/>
          <w:lang w:val="en-US" w:eastAsia="de-DE"/>
        </w:rPr>
        <w:instrText>fix":""}],"container-title":"Seminars in Cell &amp; Developmental Biology","id":"ITEM-2","issued":{"date-parts":[["2023","1","15"]]},"page":"53-64","publisher":"Academic Press","title":"Regulation of organelle size and organization during development","type":"</w:instrText>
      </w:r>
      <w:r>
        <w:rPr>
          <w:rFonts w:ascii="Arial" w:eastAsia="Times New Roman" w:hAnsi="Arial" w:cs="Arial"/>
          <w:color w:val="000000"/>
          <w:lang w:val="en-US" w:eastAsia="de-DE"/>
        </w:rPr>
        <w:instrText>article-journal","volume":"133"},"uris":["http://www.mendeley.com/documents/?uuid=69921877-0963-31c1-8972-3efd8761cce7"]}],"mendeley":{"formattedCitation":"&lt;sup&gt;2,113&lt;/sup&gt;","plainTextFormattedCitation":"2,113","previouslyFormattedCitation":"&lt;sup&gt;2,113&lt;/su</w:instrText>
      </w:r>
      <w:r>
        <w:rPr>
          <w:rFonts w:ascii="Arial" w:eastAsia="Times New Roman" w:hAnsi="Arial" w:cs="Arial"/>
          <w:color w:val="000000"/>
          <w:lang w:val="en-US" w:eastAsia="de-DE"/>
        </w:rPr>
        <w:instrText>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2,113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3B713305" w14:textId="77777777" w:rsidR="00066D11" w:rsidRDefault="00066D11">
      <w:pPr>
        <w:spacing w:after="0" w:line="240" w:lineRule="auto"/>
        <w:jc w:val="both"/>
        <w:rPr>
          <w:rFonts w:ascii="Arial" w:eastAsia="Times New Roman" w:hAnsi="Arial" w:cs="Arial"/>
          <w:color w:val="000000"/>
          <w:lang w:val="en-US" w:eastAsia="de-DE"/>
        </w:rPr>
      </w:pPr>
    </w:p>
    <w:p w14:paraId="00BF2B73" w14:textId="77777777" w:rsidR="00066D11" w:rsidRDefault="00E55468">
      <w:pPr>
        <w:spacing w:before="240" w:after="240" w:line="240" w:lineRule="auto"/>
        <w:jc w:val="center"/>
      </w:pPr>
      <w:r>
        <w:rPr>
          <w:noProof/>
          <w:lang w:eastAsia="de-DE"/>
        </w:rPr>
        <w:lastRenderedPageBreak/>
        <w:drawing>
          <wp:inline distT="0" distB="0" distL="0" distR="0" wp14:anchorId="01FDD426" wp14:editId="01C07952">
            <wp:extent cx="5731510" cy="8106410"/>
            <wp:effectExtent l="0" t="0" r="2540" b="8890"/>
            <wp:docPr id="1269513982" name="Picture 2" descr="A diagram of different types of mito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13982" name="Picture 2" descr="A diagram of different types of mitosis&#10;&#10;Description automatically generated"/>
                    <pic:cNvPicPr/>
                  </pic:nvPicPr>
                  <pic:blipFill>
                    <a:blip r:embed="rId10"/>
                    <a:stretch>
                      <a:fillRect/>
                    </a:stretch>
                  </pic:blipFill>
                  <pic:spPr>
                    <a:xfrm>
                      <a:off x="0" y="0"/>
                      <a:ext cx="5731510" cy="8106410"/>
                    </a:xfrm>
                    <a:prstGeom prst="rect">
                      <a:avLst/>
                    </a:prstGeom>
                  </pic:spPr>
                </pic:pic>
              </a:graphicData>
            </a:graphic>
          </wp:inline>
        </w:drawing>
      </w:r>
    </w:p>
    <w:p w14:paraId="40F28C15" w14:textId="77777777" w:rsidR="00066D11" w:rsidRDefault="00E55468">
      <w:pPr>
        <w:spacing w:before="240" w:after="240" w:line="240" w:lineRule="auto"/>
        <w:jc w:val="both"/>
        <w:rPr>
          <w:rFonts w:ascii="Arial" w:eastAsia="Times New Roman" w:hAnsi="Arial" w:cs="Arial"/>
          <w:b/>
          <w:bCs/>
          <w:color w:val="000000"/>
          <w:lang w:val="en-US" w:eastAsia="de-DE"/>
        </w:rPr>
      </w:pPr>
      <w:r>
        <w:rPr>
          <w:rFonts w:ascii="Arial" w:eastAsia="Times New Roman" w:hAnsi="Arial" w:cs="Arial"/>
          <w:b/>
          <w:bCs/>
          <w:i/>
          <w:color w:val="000000"/>
          <w:lang w:val="en-US" w:eastAsia="de-DE"/>
        </w:rPr>
        <w:t xml:space="preserve">Fig. 3: </w:t>
      </w:r>
      <w:r>
        <w:rPr>
          <w:rFonts w:ascii="Arial" w:eastAsia="Times New Roman" w:hAnsi="Arial" w:cs="Arial"/>
          <w:i/>
          <w:color w:val="000000"/>
          <w:lang w:val="en-US" w:eastAsia="de-DE"/>
        </w:rPr>
        <w:t xml:space="preserve">The size and/or number of many organelles is coupled to cell size. This is achieved through a wide range of </w:t>
      </w:r>
      <w:r>
        <w:rPr>
          <w:rFonts w:ascii="Arial" w:eastAsia="Times New Roman" w:hAnsi="Arial" w:cs="Arial"/>
          <w:i/>
          <w:color w:val="000000"/>
          <w:lang w:val="en-US" w:eastAsia="de-DE"/>
        </w:rPr>
        <w:t>mechanisms and can be regulated according to biological context.</w:t>
      </w:r>
      <w:r>
        <w:rPr>
          <w:rFonts w:ascii="Arial" w:eastAsia="Times New Roman" w:hAnsi="Arial" w:cs="Arial"/>
          <w:b/>
          <w:bCs/>
          <w:color w:val="000000"/>
          <w:lang w:val="en-US" w:eastAsia="de-DE"/>
        </w:rPr>
        <w:br w:type="page"/>
      </w:r>
    </w:p>
    <w:p w14:paraId="33F4C90A"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lastRenderedPageBreak/>
        <w:t>3.1 Nucleus</w:t>
      </w:r>
    </w:p>
    <w:p w14:paraId="50D1478B" w14:textId="77777777" w:rsidR="00066D11" w:rsidRDefault="00066D11">
      <w:pPr>
        <w:spacing w:after="0" w:line="240" w:lineRule="auto"/>
        <w:jc w:val="both"/>
        <w:rPr>
          <w:rFonts w:ascii="Arial" w:eastAsia="Times New Roman" w:hAnsi="Arial" w:cs="Arial"/>
          <w:lang w:val="en-US" w:eastAsia="de-DE"/>
        </w:rPr>
      </w:pPr>
    </w:p>
    <w:p w14:paraId="07B28135" w14:textId="77777777" w:rsidR="00066D11" w:rsidRDefault="00E55468">
      <w:pPr>
        <w:spacing w:after="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Maybe the most obvious relationship between organelle and cell size, noted already more than 100 years ago</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{"citationItems":[{"id":"ITEM-1","itemData":{"author</w:instrText>
      </w:r>
      <w:r>
        <w:rPr>
          <w:rFonts w:ascii="Arial" w:eastAsia="Times New Roman" w:hAnsi="Arial" w:cs="Arial"/>
          <w:color w:val="000000"/>
          <w:lang w:val="en-US" w:eastAsia="de-DE"/>
        </w:rPr>
        <w:instrText>":[{"dropping-particle":"","family":"Boveri","given":"Theoror","non-dropping-particle":"","parse-names":false,"suffix":""}],"id":"ITEM-1","issued":{"date-parts":[["1905"]]},"number-of-pages":"1-80","publisher":"Gustav Fischer Verlag","title":"Zellen-Studie</w:instrText>
      </w:r>
      <w:r>
        <w:rPr>
          <w:rFonts w:ascii="Arial" w:eastAsia="Times New Roman" w:hAnsi="Arial" w:cs="Arial"/>
          <w:color w:val="000000"/>
          <w:lang w:val="en-US" w:eastAsia="de-DE"/>
        </w:rPr>
        <w:instrText>n, Heft 5. Ueber die Abhängigkeit der Kerngröße und Zellenzahl der Seeigel-Larven von der Chromosomenzahl der Ausgangszellen.","type":"book"},"uris":["http://www.mendeley.com/documents/?uuid=8f96287e-46ff-30a4-8aa1-f5abbfe587dc"]}],"mendeley":{"formattedCi</w:instrText>
      </w:r>
      <w:r>
        <w:rPr>
          <w:rFonts w:ascii="Arial" w:eastAsia="Times New Roman" w:hAnsi="Arial" w:cs="Arial"/>
          <w:color w:val="000000"/>
          <w:lang w:val="en-US" w:eastAsia="de-DE"/>
        </w:rPr>
        <w:instrText>tation":"&lt;sup&gt;114&lt;/sup&gt;","plainTextFormattedCitation":"114","previouslyFormattedCitation":"&lt;sup&gt;114&lt;/sup&gt;"},"properties":{"noteIndex":0},"schema":"https://github.com/citation-style-language/schema/raw/master/csl-citation.json"}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is the constant ratio</w:t>
      </w:r>
      <w:r>
        <w:rPr>
          <w:rFonts w:ascii="Arial" w:eastAsia="Times New Roman" w:hAnsi="Arial" w:cs="Arial"/>
          <w:color w:val="000000"/>
          <w:lang w:val="en-US" w:eastAsia="de-DE"/>
        </w:rPr>
        <w:t xml:space="preserve"> between nuclear and cell volume, leading to a constant nuclear-to-cytoplasmic volume ratio. Since across eukaryotes, the volumes of both the nucleus and the cell itself scale with genome size (section 2.6), this suggested that nuclear DNA content sets the</w:t>
      </w:r>
      <w:r>
        <w:rPr>
          <w:rFonts w:ascii="Arial" w:eastAsia="Times New Roman" w:hAnsi="Arial" w:cs="Arial"/>
          <w:color w:val="000000"/>
          <w:lang w:val="en-US" w:eastAsia="de-DE"/>
        </w:rPr>
        <w:t xml:space="preserve"> range of possible nuclear volumes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{"citationItems":[{"id":"ITEM-1","itemData":{"DOI":"10.1093/AOB/MCI010","ISSN":"0305-7364","PMID":"15596464","abstract":"• Background: Nuclear genome size varies 300 000-fold, whereas transcriptome size </w:instrText>
      </w:r>
      <w:r>
        <w:rPr>
          <w:rFonts w:ascii="Arial" w:eastAsia="Times New Roman" w:hAnsi="Arial" w:cs="Arial"/>
          <w:color w:val="000000"/>
          <w:lang w:val="en-US" w:eastAsia="de-DE"/>
        </w:rPr>
        <w:instrText>varies merely 17-fold. In the largest genomes nearly all DNA is non-genic secondary DNA, mostly intergenic but also within introns. There is now compelling evidence that secondary DNA is functional, i.e. positively selected by organismal selection, not the</w:instrText>
      </w:r>
      <w:r>
        <w:rPr>
          <w:rFonts w:ascii="Arial" w:eastAsia="Times New Roman" w:hAnsi="Arial" w:cs="Arial"/>
          <w:color w:val="000000"/>
          <w:lang w:val="en-US" w:eastAsia="de-DE"/>
        </w:rPr>
        <w:instrText xml:space="preserve"> purely neutral or 'selfish' outcome of mutation pressure. The skeletal DNA theory argued that nuclear volumes are genetically determined primarily by nuclear DNA amounts, modulated somewhat by genes affecting the degree of DNA packing or unfolding; the hu</w:instrText>
      </w:r>
      <w:r>
        <w:rPr>
          <w:rFonts w:ascii="Arial" w:eastAsia="Times New Roman" w:hAnsi="Arial" w:cs="Arial"/>
          <w:color w:val="000000"/>
          <w:lang w:val="en-US" w:eastAsia="de-DE"/>
        </w:rPr>
        <w:instrText>ge spread of nuclear genome sizes is the necessary consequence of the origin of the nuclear envelope and the nucleation of its assembly by DNA, plus the adaptively significant 300 000-fold range of cell volumes and selection for balanced growth by optimizi</w:instrText>
      </w:r>
      <w:r>
        <w:rPr>
          <w:rFonts w:ascii="Arial" w:eastAsia="Times New Roman" w:hAnsi="Arial" w:cs="Arial"/>
          <w:color w:val="000000"/>
          <w:lang w:val="en-US" w:eastAsia="de-DE"/>
        </w:rPr>
        <w:instrText xml:space="preserve">ng karyoplasmic volume ratios (essentially invariant with cell volume in growing/multiplying cells). This simple explanation of the C-value paradox is refined here in the light of new insights into the nature of heterochromatin and the nuclear lamina, the </w:instrText>
      </w:r>
      <w:r>
        <w:rPr>
          <w:rFonts w:ascii="Arial" w:eastAsia="Times New Roman" w:hAnsi="Arial" w:cs="Arial"/>
          <w:color w:val="000000"/>
          <w:lang w:val="en-US" w:eastAsia="de-DE"/>
        </w:rPr>
        <w:instrText xml:space="preserve">genetic control of cell volume, and large-scale eukaryote phylogeny, placing special emphasis on protist test cases of the basic principles of nuclear genome size evolution. • Genome Miniaturization and Expansion: Intracellular parasites (e.g. Plasmodium, </w:instrText>
      </w:r>
      <w:r>
        <w:rPr>
          <w:rFonts w:ascii="Arial" w:eastAsia="Times New Roman" w:hAnsi="Arial" w:cs="Arial"/>
          <w:color w:val="000000"/>
          <w:lang w:val="en-US" w:eastAsia="de-DE"/>
        </w:rPr>
        <w:instrText>microsporidia) dwarfed their genomes by gene loss and eliminating virtually all secondary DNA. The primary driving forces for genome reduction are metabolic and spatial economy and cell multiplication speed. Most extreme nuclear shrinkage yielded genomes a</w:instrText>
      </w:r>
      <w:r>
        <w:rPr>
          <w:rFonts w:ascii="Arial" w:eastAsia="Times New Roman" w:hAnsi="Arial" w:cs="Arial"/>
          <w:color w:val="000000"/>
          <w:lang w:val="en-US" w:eastAsia="de-DE"/>
        </w:rPr>
        <w:instrText>s tiny as 0.38 Mb (making the nuclear genome size range effectively 1.8 million-fold!) in some minute enslaved nuclei (nucleomorphs) of cryptomonads and chlorarachneans, chimaeric cells that also retain a separate normal large nucleus. The latter shows typ</w:instrText>
      </w:r>
      <w:r>
        <w:rPr>
          <w:rFonts w:ascii="Arial" w:eastAsia="Times New Roman" w:hAnsi="Arial" w:cs="Arial"/>
          <w:color w:val="000000"/>
          <w:lang w:val="en-US" w:eastAsia="de-DE"/>
        </w:rPr>
        <w:instrText xml:space="preserve">ical correlation between genome size and cell volume, but nucleomorphs do not despite co-existing in the same cell for &gt;500 My. Thus mutation pressure does not inexorably increase genome size; selection can eliminate essentially all non-coding DNA if need </w:instrText>
      </w:r>
      <w:r>
        <w:rPr>
          <w:rFonts w:ascii="Arial" w:eastAsia="Times New Roman" w:hAnsi="Arial" w:cs="Arial"/>
          <w:color w:val="000000"/>
          <w:lang w:val="en-US" w:eastAsia="de-DE"/>
        </w:rPr>
        <w:instrText>be. Nucleomorphs and microsporidia even reduced gene size. Expansion of secondary DNA in the main nucleus, and in large-celled eukaryotes generally, must be positively selected for function. Ciliate nuclear dimorphism provides a key test that refutes the s</w:instrText>
      </w:r>
      <w:r>
        <w:rPr>
          <w:rFonts w:ascii="Arial" w:eastAsia="Times New Roman" w:hAnsi="Arial" w:cs="Arial"/>
          <w:color w:val="000000"/>
          <w:lang w:val="en-US" w:eastAsia="de-DE"/>
        </w:rPr>
        <w:instrText>elfish DNA and strongly supports the skeletal DNA/karyoplasmic ratio interpretation of genome size evolution. •…","author":[{"dropping-particle":"","family":"Cavalier-Smith","given":"Thomas","non-dropping-particle":"","parse-names":false,"suffix":""}],"con</w:instrText>
      </w:r>
      <w:r>
        <w:rPr>
          <w:rFonts w:ascii="Arial" w:eastAsia="Times New Roman" w:hAnsi="Arial" w:cs="Arial"/>
          <w:color w:val="000000"/>
          <w:lang w:val="en-US" w:eastAsia="de-DE"/>
        </w:rPr>
        <w:instrText>tainer-title":"Annals of Botany","id":"ITEM-1","issue":"1","issued":{"date-parts":[["2005","1","1"]]},"page":"147-175","publisher":"Oxford Academic","title":"Economy, Speed and Size Matter: Evolutionary Forces Driving Nuclear Genome Miniaturization and Exp</w:instrText>
      </w:r>
      <w:r>
        <w:rPr>
          <w:rFonts w:ascii="Arial" w:eastAsia="Times New Roman" w:hAnsi="Arial" w:cs="Arial"/>
          <w:color w:val="000000"/>
          <w:lang w:val="en-US" w:eastAsia="de-DE"/>
        </w:rPr>
        <w:instrText>ansion","type":"article-journal","volume":"95"},"uris":["http://www.mendeley.com/documents/?uuid=85730979-052a-3f0f-a7cb-8dc4df233591"]}],"mendeley":{"formattedCitation":"&lt;sup&gt;94&lt;/sup&gt;","plainTextFormattedCitation":"94","previouslyFormattedCitation":"&lt;sup&gt;</w:instrText>
      </w:r>
      <w:r>
        <w:rPr>
          <w:rFonts w:ascii="Arial" w:eastAsia="Times New Roman" w:hAnsi="Arial" w:cs="Arial"/>
          <w:color w:val="000000"/>
          <w:lang w:val="en-US" w:eastAsia="de-DE"/>
        </w:rPr>
        <w:instrText>94&lt;/sup&gt;"},"properties":{"noteIndex":0},"schema":"https://github.com/citation-style-language/schema/raw/master/csl-citation.json"}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94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However, detailed measurements of nuclear sizes during the cell cycle revealed that in yeast nuclear volume increases w</w:t>
      </w:r>
      <w:r>
        <w:rPr>
          <w:rFonts w:ascii="Arial" w:eastAsia="Times New Roman" w:hAnsi="Arial" w:cs="Arial"/>
          <w:color w:val="000000"/>
          <w:lang w:val="en-US" w:eastAsia="de-DE"/>
        </w:rPr>
        <w:t>ith cell volume even at a given cell cycle stage, and thus at a constant DNA content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{"citationItems":[{"id":"ITEM-1","itemData":{"DOI":"10.1091/mbc.E06-10-0973","ISBN":"1059-1524","ISSN":"1059-1524","PMID":"17596521","abstract":"It is no</w:instrText>
      </w:r>
      <w:r>
        <w:rPr>
          <w:rFonts w:ascii="Arial" w:eastAsia="Times New Roman" w:hAnsi="Arial" w:cs="Arial"/>
          <w:color w:val="000000"/>
          <w:lang w:val="en-US" w:eastAsia="de-DE"/>
        </w:rPr>
        <w:instrText>t known how the volume of the cell nucleus is set, nor how the ratio of nuclear volume to cell volume (N/C) is determined. Here, we have measured the size of the nucleus in growing cells of the budding yeast Saccharomyces cerevisiae. Analysis of mutant yea</w:instrText>
      </w:r>
      <w:r>
        <w:rPr>
          <w:rFonts w:ascii="Arial" w:eastAsia="Times New Roman" w:hAnsi="Arial" w:cs="Arial"/>
          <w:color w:val="000000"/>
          <w:lang w:val="en-US" w:eastAsia="de-DE"/>
        </w:rPr>
        <w:instrText>st strains spanning a range of cell sizes revealed that the ratio of average nuclear volume to average cell volume was quite consistent, with nuclear volume being approximately 7% that of cell volume. At the single cell level, nuclear and cell size were st</w:instrText>
      </w:r>
      <w:r>
        <w:rPr>
          <w:rFonts w:ascii="Arial" w:eastAsia="Times New Roman" w:hAnsi="Arial" w:cs="Arial"/>
          <w:color w:val="000000"/>
          <w:lang w:val="en-US" w:eastAsia="de-DE"/>
        </w:rPr>
        <w:instrText>rongly correlated in growing wild-type cells, as determined by three different microscopic approaches. Even in G1-phase, nuclear volume grew, although it did not grow quite as fast as overall cell volume. DNA content did not appear to have any immediate, d</w:instrText>
      </w:r>
      <w:r>
        <w:rPr>
          <w:rFonts w:ascii="Arial" w:eastAsia="Times New Roman" w:hAnsi="Arial" w:cs="Arial"/>
          <w:color w:val="000000"/>
          <w:lang w:val="en-US" w:eastAsia="de-DE"/>
        </w:rPr>
        <w:instrText>irect influence on nuclear size, in that nuclear size did not increase sharply during S-phase. The maintenance of nuclear size did not require continuous growth or ribosome biogenesis, as starvation and rapamycin treatment had little immediate impact on nu</w:instrText>
      </w:r>
      <w:r>
        <w:rPr>
          <w:rFonts w:ascii="Arial" w:eastAsia="Times New Roman" w:hAnsi="Arial" w:cs="Arial"/>
          <w:color w:val="000000"/>
          <w:lang w:val="en-US" w:eastAsia="de-DE"/>
        </w:rPr>
        <w:instrText xml:space="preserve">clear size. Blocking the nuclear export of new ribosomal subunits, among other proteins and RNAs, with leptomycin B also had no obvious effect on nuclear size. Nuclear expansion must now be factored into conceptual and mathematical models of budding yeast </w:instrText>
      </w:r>
      <w:r>
        <w:rPr>
          <w:rFonts w:ascii="Arial" w:eastAsia="Times New Roman" w:hAnsi="Arial" w:cs="Arial"/>
          <w:color w:val="000000"/>
          <w:lang w:val="en-US" w:eastAsia="de-DE"/>
        </w:rPr>
        <w:instrText>growth and division. These results raise questions as to the unknown force(s) that expand the nucleus as yeast cells grow.","author":[{"dropping-particle":"","family":"Jorgensen","given":"Paul","non-dropping-particle":"","parse-names":false,"suffix":""},{"</w:instrText>
      </w:r>
      <w:r>
        <w:rPr>
          <w:rFonts w:ascii="Arial" w:eastAsia="Times New Roman" w:hAnsi="Arial" w:cs="Arial"/>
          <w:color w:val="000000"/>
          <w:lang w:val="en-US" w:eastAsia="de-DE"/>
        </w:rPr>
        <w:instrText>dropping-particle":"","family":"Edgington","given":"Nicholas P","non-dropping-particle":"","parse-names":false,"suffix":""},{"dropping-particle":"","family":"Schneider","given":"Brandt L","non-dropping-particle":"","parse-names":false,"suffix":""},{"droppi</w:instrText>
      </w:r>
      <w:r>
        <w:rPr>
          <w:rFonts w:ascii="Arial" w:eastAsia="Times New Roman" w:hAnsi="Arial" w:cs="Arial"/>
          <w:color w:val="000000"/>
          <w:lang w:val="en-US" w:eastAsia="de-DE"/>
        </w:rPr>
        <w:instrText>ng-particle":"","family":"Rupes","given":"Ivan","non-dropping-particle":"","parse-names":false,"suffix":""},{"dropping-particle":"","family":"Tyers","given":"Mike","non-dropping-particle":"","parse-names":false,"suffix":""},{"dropping-particle":"","family"</w:instrText>
      </w:r>
      <w:r>
        <w:rPr>
          <w:rFonts w:ascii="Arial" w:eastAsia="Times New Roman" w:hAnsi="Arial" w:cs="Arial"/>
          <w:color w:val="000000"/>
          <w:lang w:val="en-US" w:eastAsia="de-DE"/>
        </w:rPr>
        <w:instrText>:"Futcher","given":"Bruce","non-dropping-particle":"","parse-names":false,"suffix":""}],"container-title":"Molecular biology of the cell","id":"ITEM-1","issue":"9","issued":{"date-parts":[["2007"]]},"page":"3523-3532","title":"The size of the nucleus incre</w:instrText>
      </w:r>
      <w:r>
        <w:rPr>
          <w:rFonts w:ascii="Arial" w:eastAsia="Times New Roman" w:hAnsi="Arial" w:cs="Arial"/>
          <w:color w:val="000000"/>
          <w:lang w:val="en-US" w:eastAsia="de-DE"/>
        </w:rPr>
        <w:instrText>ases as yeast cells grow.","type":"article-journal","volume":"18"},"uris":["http://www.mendeley.com/documents/?uuid=022aa613-c4fe-414e-b681-c83ca76bd596"]},{"id":"ITEM-2","itemData":{"DOI":"10.1083/jcb.200708054","ISBN":"0021-9525","ISSN":"00219525","PMID"</w:instrText>
      </w:r>
      <w:r>
        <w:rPr>
          <w:rFonts w:ascii="Arial" w:eastAsia="Times New Roman" w:hAnsi="Arial" w:cs="Arial"/>
          <w:color w:val="000000"/>
          <w:lang w:val="en-US" w:eastAsia="de-DE"/>
        </w:rPr>
        <w:instrText>:"17998401","abstract":"A long-standing biological question is how a eukaryotic cell controls the size of its nucleus. We report here that in fission yeast, nuclear size is proportional to cell size over a 35-fold range, and use mutants to show that a 16-f</w:instrText>
      </w:r>
      <w:r>
        <w:rPr>
          <w:rFonts w:ascii="Arial" w:eastAsia="Times New Roman" w:hAnsi="Arial" w:cs="Arial"/>
          <w:color w:val="000000"/>
          <w:lang w:val="en-US" w:eastAsia="de-DE"/>
        </w:rPr>
        <w:instrText>old change in nuclear DNA content does not influence the relative size of the nucleus. Multi-nucleated cells with unevenly distributed nuclei reveal that nuclei surrounded by a greater volume of cytoplasm grow more rapidly. During interphase of the cell cy</w:instrText>
      </w:r>
      <w:r>
        <w:rPr>
          <w:rFonts w:ascii="Arial" w:eastAsia="Times New Roman" w:hAnsi="Arial" w:cs="Arial"/>
          <w:color w:val="000000"/>
          <w:lang w:val="en-US" w:eastAsia="de-DE"/>
        </w:rPr>
        <w:instrText xml:space="preserve">cle nuclear growth is proportional to cell growth, and during mitosis there is a rapid expansion of the nuclear envelope. When the nuclear/cell (N/C) volume ratio is increased by centrifugation or genetic manipulation, nuclear growth is arrested while the </w:instrText>
      </w:r>
      <w:r>
        <w:rPr>
          <w:rFonts w:ascii="Arial" w:eastAsia="Times New Roman" w:hAnsi="Arial" w:cs="Arial"/>
          <w:color w:val="000000"/>
          <w:lang w:val="en-US" w:eastAsia="de-DE"/>
        </w:rPr>
        <w:instrText>cell continues to grow; in contrast, low N/C ratios are rapidly corrected by nuclear growth. We propose that there is a general cellular control linking nuclear growth to cell size.","author":[{"dropping-particle":"","family":"Neumann","given":"Frank R.","</w:instrText>
      </w:r>
      <w:r>
        <w:rPr>
          <w:rFonts w:ascii="Arial" w:eastAsia="Times New Roman" w:hAnsi="Arial" w:cs="Arial"/>
          <w:color w:val="000000"/>
          <w:lang w:val="en-US" w:eastAsia="de-DE"/>
        </w:rPr>
        <w:instrText>non-dropping-particle":"","parse-names":false,"suffix":""},{"dropping-particle":"","family":"Nurse","given":"Paul","non-dropping-particle":"","parse-names":false,"suffix":""}],"container-title":"Journal of Cell Biology","id":"ITEM-2","issue":"4","issued":{</w:instrText>
      </w:r>
      <w:r>
        <w:rPr>
          <w:rFonts w:ascii="Arial" w:eastAsia="Times New Roman" w:hAnsi="Arial" w:cs="Arial"/>
          <w:color w:val="000000"/>
          <w:lang w:val="en-US" w:eastAsia="de-DE"/>
        </w:rPr>
        <w:instrText>"date-parts":[["2007"]]},"page":"593-600","title":"Nuclear size control in fission yeast","type":"article-journal","volume":"179"},"uris":["http://www.mendeley.com/documents/?uuid=b82e77f9-d846-443a-bfe0-85a33ecdb7aa"]}],"mendeley":{"formattedCitation":"&lt;s</w:instrText>
      </w:r>
      <w:r>
        <w:rPr>
          <w:rFonts w:ascii="Arial" w:eastAsia="Times New Roman" w:hAnsi="Arial" w:cs="Arial"/>
          <w:color w:val="000000"/>
          <w:lang w:val="en-US" w:eastAsia="de-DE"/>
        </w:rPr>
        <w:instrText>up&gt;105,115&lt;/sup&gt;","plainTextFormattedCitation":"105,115","previouslyFormattedCitation":"&lt;sup&gt;105,115&lt;/sup&gt;"},"properties":{"noteIndex":0},"schema":"https://github.com/citation-style-language/schema/raw/master/csl-citation.json"}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105,115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addition, rep</w:t>
      </w:r>
      <w:r>
        <w:rPr>
          <w:rFonts w:ascii="Arial" w:eastAsia="Times New Roman" w:hAnsi="Arial" w:cs="Arial"/>
          <w:color w:val="000000"/>
          <w:lang w:val="en-US" w:eastAsia="de-DE"/>
        </w:rPr>
        <w:t xml:space="preserve">lication of DNA during S-phase does not lead to a dramatic increase of nuclear volume, suggesting that nuclear volume must be linked directly to cell volume rather than just to DNA content. More recently, attention has been brought to specific situations, </w:t>
      </w:r>
      <w:r>
        <w:rPr>
          <w:rFonts w:ascii="Arial" w:eastAsia="Times New Roman" w:hAnsi="Arial" w:cs="Arial"/>
          <w:color w:val="000000"/>
          <w:lang w:val="en-US" w:eastAsia="de-DE"/>
        </w:rPr>
        <w:t>where the coupling of nuclear and cellular size breaks down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{"citationItems":[{"id":"ITEM-1","itemData":{"DOI":"10.1016/j.devcel.2020.05.003","abstract":"Graphical Abstract Highlights d Developmental nuclear size scaling is imaged in live</w:instrText>
      </w:r>
      <w:r>
        <w:rPr>
          <w:rFonts w:ascii="Arial" w:eastAsia="Times New Roman" w:hAnsi="Arial" w:cs="Arial"/>
          <w:color w:val="000000"/>
          <w:lang w:val="en-US" w:eastAsia="de-DE"/>
        </w:rPr>
        <w:instrText xml:space="preserve"> dividing sea urchin embryos d Nuclear growth and size can be uncoupled from cell size d Perinuclear ER membrane limits nuclear growth and size during early development d Partitioning of ER into dividing cells scales nuclear size in sea urchins and Xenopus</w:instrText>
      </w:r>
      <w:r>
        <w:rPr>
          <w:rFonts w:ascii="Arial" w:eastAsia="Times New Roman" w:hAnsi="Arial" w:cs="Arial"/>
          <w:color w:val="000000"/>
          <w:lang w:val="en-US" w:eastAsia="de-DE"/>
        </w:rPr>
        <w:instrText>","author":[{"dropping-particle":"","family":"Mukherjee","given":"Richik Nilay","non-dropping-particle":"","parse-names":false,"suffix":""},{"dropping-particle":"","family":"Sallé","given":"Jérémy","non-dropping-particle":"","parse-names":false,"suffix":""</w:instrText>
      </w:r>
      <w:r>
        <w:rPr>
          <w:rFonts w:ascii="Arial" w:eastAsia="Times New Roman" w:hAnsi="Arial" w:cs="Arial"/>
          <w:color w:val="000000"/>
          <w:lang w:val="en-US" w:eastAsia="de-DE"/>
        </w:rPr>
        <w:instrText>},{"dropping-particle":"","family":"Dmitrieff","given":"Serge","non-dropping-particle":"","parse-names":false,"suffix":""},{"dropping-particle":"","family":"Nelson","given":"Katherine M","non-dropping-particle":"","parse-names":false,"suffix":""},{"droppin</w:instrText>
      </w:r>
      <w:r>
        <w:rPr>
          <w:rFonts w:ascii="Arial" w:eastAsia="Times New Roman" w:hAnsi="Arial" w:cs="Arial"/>
          <w:color w:val="000000"/>
          <w:lang w:val="en-US" w:eastAsia="de-DE"/>
        </w:rPr>
        <w:instrText>g-particle":"","family":"Oakey","given":"John","non-dropping-particle":"","parse-names":false,"suffix":""},{"dropping-particle":"","family":"Minc","given":"Nicolas","non-dropping-particle":"","parse-names":false,"suffix":""},{"dropping-particle":"","family</w:instrText>
      </w:r>
      <w:r>
        <w:rPr>
          <w:rFonts w:ascii="Arial" w:eastAsia="Times New Roman" w:hAnsi="Arial" w:cs="Arial"/>
          <w:color w:val="000000"/>
          <w:lang w:val="en-US" w:eastAsia="de-DE"/>
        </w:rPr>
        <w:instrText>":"Levy","given":"Daniel L","non-dropping-particle":"","parse-names":false,"suffix":""}],"container-title":"Developmental Cell","id":"ITEM-1","issued":{"date-parts":[["2020"]]},"page":"395-409.e7","title":"The Perinuclear ER Scales Nuclear Size Independent</w:instrText>
      </w:r>
      <w:r>
        <w:rPr>
          <w:rFonts w:ascii="Arial" w:eastAsia="Times New Roman" w:hAnsi="Arial" w:cs="Arial"/>
          <w:color w:val="000000"/>
          <w:lang w:val="en-US" w:eastAsia="de-DE"/>
        </w:rPr>
        <w:instrText>ly of Cell Size in Early Embryos","type":"article-journal","volume":"54"},"uris":["http://www.mendeley.com/documents/?uuid=63df0347-2ddf-3467-b2c3-0387a258d441"]}],"mendeley":{"formattedCitation":"&lt;sup&gt;116&lt;/sup&gt;","plainTextFormattedCitation":"116","previou</w:instrText>
      </w:r>
      <w:r>
        <w:rPr>
          <w:rFonts w:ascii="Arial" w:eastAsia="Times New Roman" w:hAnsi="Arial" w:cs="Arial"/>
          <w:color w:val="000000"/>
          <w:lang w:val="en-US" w:eastAsia="de-DE"/>
        </w:rPr>
        <w:instrText>slyFormattedCitation":"&lt;sup&gt;116&lt;/sup&gt;"},"properties":{"noteIndex":0},"schema":"https://github.com/citation-style-language/schema/raw/master/csl-citation.json"}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It was then proposed that, instead, it is actually the nuclear-cytoplasmic density ratio </w:t>
      </w:r>
      <w:r>
        <w:rPr>
          <w:rFonts w:ascii="Arial" w:eastAsia="Times New Roman" w:hAnsi="Arial" w:cs="Arial"/>
          <w:color w:val="000000"/>
          <w:lang w:val="en-US" w:eastAsia="de-DE"/>
        </w:rPr>
        <w:t>that is maintained constant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{"citationItems":[{"id":"ITEM-1","itemData":{"abstract":"The packing and confinement of macromolecules in the cytoplasm and nucleoplasm has profound implications for cellular biochemistry. How intracellular den</w:instrText>
      </w:r>
      <w:r>
        <w:rPr>
          <w:rFonts w:ascii="Arial" w:eastAsia="Times New Roman" w:hAnsi="Arial" w:cs="Arial"/>
          <w:color w:val="000000"/>
          <w:lang w:val="en-US" w:eastAsia="de-DE"/>
        </w:rPr>
        <w:instrText>sity distributions vary and affect cellular physiology remains largely unknown. Here, we show that the nucleus is less dense than the cytoplasm and that living systems establish and maintain a constant density ratio between these compartments. Using label-</w:instrText>
      </w:r>
      <w:r>
        <w:rPr>
          <w:rFonts w:ascii="Arial" w:eastAsia="Times New Roman" w:hAnsi="Arial" w:cs="Arial"/>
          <w:color w:val="000000"/>
          <w:lang w:val="en-US" w:eastAsia="de-DE"/>
        </w:rPr>
        <w:instrText>free biophotonics and theory, we show that nuclear density is set by a pressure balance across the nuclear envelope in vitro, in vivo and during early development. Nuclear transport establishes a specific nuclear proteome that exerts a colloid osmotic pres</w:instrText>
      </w:r>
      <w:r>
        <w:rPr>
          <w:rFonts w:ascii="Arial" w:eastAsia="Times New Roman" w:hAnsi="Arial" w:cs="Arial"/>
          <w:color w:val="000000"/>
          <w:lang w:val="en-US" w:eastAsia="de-DE"/>
        </w:rPr>
        <w:instrText>sure, which, assisted by entropic chromatin pressure, draws water into the nucleus. Using C. elegans, we show that while nuclear-to-cytoplasmic (N/C) volume ratios change during early development, the N/C density ratio is robustly maintained. We propose th</w:instrText>
      </w:r>
      <w:r>
        <w:rPr>
          <w:rFonts w:ascii="Arial" w:eastAsia="Times New Roman" w:hAnsi="Arial" w:cs="Arial"/>
          <w:color w:val="000000"/>
          <w:lang w:val="en-US" w:eastAsia="de-DE"/>
        </w:rPr>
        <w:instrText>at the maintenance of a constant N/C density ratio is the biophysical driver of one of the oldest tenets of cell biology: the N/C volume ratio. In summary, this study reveals a previously unidentified homeostatic coupling of macromolecular densities that d</w:instrText>
      </w:r>
      <w:r>
        <w:rPr>
          <w:rFonts w:ascii="Arial" w:eastAsia="Times New Roman" w:hAnsi="Arial" w:cs="Arial"/>
          <w:color w:val="000000"/>
          <w:lang w:val="en-US" w:eastAsia="de-DE"/>
        </w:rPr>
        <w:instrText>rives cellular organization with implications for pathophysiologies such as senescence and cancer. 2","author":[{"dropping-particle":"","family":"Biswas","given":"Abin","non-dropping-particle":"","parse-names":false,"suffix":""},{"dropping-particle":"","fa</w:instrText>
      </w:r>
      <w:r>
        <w:rPr>
          <w:rFonts w:ascii="Arial" w:eastAsia="Times New Roman" w:hAnsi="Arial" w:cs="Arial"/>
          <w:color w:val="000000"/>
          <w:lang w:val="en-US" w:eastAsia="de-DE"/>
        </w:rPr>
        <w:instrText>mily":"Muñoz","given":"Omar","non-dropping-particle":"","parse-names":false,"suffix":""},{"dropping-particle":"","family":"Kim","given":"Kyoohyun","non-dropping-particle":"","parse-names":false,"suffix":""},{"dropping-particle":"","family":"Hoege","given":</w:instrText>
      </w:r>
      <w:r>
        <w:rPr>
          <w:rFonts w:ascii="Arial" w:eastAsia="Times New Roman" w:hAnsi="Arial" w:cs="Arial"/>
          <w:color w:val="000000"/>
          <w:lang w:val="en-US" w:eastAsia="de-DE"/>
        </w:rPr>
        <w:instrText>"Carsten","non-dropping-particle":"","parse-names":false,"suffix":""},{"dropping-particle":"","family":"Lorton","given":"Benjamin M","non-dropping-particle":"","parse-names":false,"suffix":""},{"dropping-particle":"","family":"Shechter","given":"David","no</w:instrText>
      </w:r>
      <w:r>
        <w:rPr>
          <w:rFonts w:ascii="Arial" w:eastAsia="Times New Roman" w:hAnsi="Arial" w:cs="Arial"/>
          <w:color w:val="000000"/>
          <w:lang w:val="en-US" w:eastAsia="de-DE"/>
        </w:rPr>
        <w:instrText>n-dropping-particle":"","parse-names":false,"suffix":""},{"dropping-particle":"","family":"Guck","given":"Jochen","non-dropping-particle":"","parse-names":false,"suffix":""},{"dropping-particle":"","family":"Zaburdaev","given":"Vasily","non-dropping-partic</w:instrText>
      </w:r>
      <w:r>
        <w:rPr>
          <w:rFonts w:ascii="Arial" w:eastAsia="Times New Roman" w:hAnsi="Arial" w:cs="Arial"/>
          <w:color w:val="000000"/>
          <w:lang w:val="en-US" w:eastAsia="de-DE"/>
        </w:rPr>
        <w:instrText>le":"","parse-names":false,"suffix":""},{"dropping-particle":"","family":"Reber","given":"Simone","non-dropping-particle":"","parse-names":false,"suffix":""}],"id":"ITEM-1","issued":{"date-parts":[["0"]]},"title":"Conserved nucleocytoplasmic density homeos</w:instrText>
      </w:r>
      <w:r>
        <w:rPr>
          <w:rFonts w:ascii="Arial" w:eastAsia="Times New Roman" w:hAnsi="Arial" w:cs="Arial"/>
          <w:color w:val="000000"/>
          <w:lang w:val="en-US" w:eastAsia="de-DE"/>
        </w:rPr>
        <w:instrText>tasis drives cellular organization across eukaryotes","type":"article-journal"},"uris":["http://www.mendeley.com/documents/?uuid=6de5f2d2-d25f-3239-bfff-8ae9ddf37e0e"]}],"mendeley":{"formattedCitation":"&lt;sup&gt;117&lt;/sup&gt;","plainTextFormattedCitation":"117","p</w:instrText>
      </w:r>
      <w:r>
        <w:rPr>
          <w:rFonts w:ascii="Arial" w:eastAsia="Times New Roman" w:hAnsi="Arial" w:cs="Arial"/>
          <w:color w:val="000000"/>
          <w:lang w:val="en-US" w:eastAsia="de-DE"/>
        </w:rPr>
        <w:instrText>reviouslyFormattedCitation":"&lt;sup&gt;117&lt;/sup&gt;"},"properties":{"noteIndex":0},"schema":"https://github.com/citation-style-language/schema/raw/master/csl-citation.json"}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66137C55"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br/>
        <w:t>But how is nuclear size controlled? Analysis of fission yeast nuclear size homeost</w:t>
      </w:r>
      <w:r>
        <w:rPr>
          <w:rFonts w:ascii="Arial" w:eastAsia="Times New Roman" w:hAnsi="Arial" w:cs="Arial"/>
          <w:color w:val="000000"/>
          <w:lang w:val="en-US" w:eastAsia="de-DE"/>
        </w:rPr>
        <w:t>asis upon perturbation of the nuclear-to-cytoplasmic volume ratio revealed fast recovery on the time-scale of the cell doubling time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{"citationItems":[{"id":"ITEM-1","itemData":{"DOI":"10.1242/JCS.235911","ISSN":"1477-9137","PMID":"316491</w:instrText>
      </w:r>
      <w:r>
        <w:rPr>
          <w:rFonts w:ascii="Arial" w:eastAsia="Times New Roman" w:hAnsi="Arial" w:cs="Arial"/>
          <w:color w:val="000000"/>
          <w:lang w:val="en-US" w:eastAsia="de-DE"/>
        </w:rPr>
        <w:instrText>42","abstract":"Nuclear size scales with cell size across a wide range of cell types. The mechanism by which this scaling is maintained in growing cells remains unclear. Here, we investigate the mechanism of nuclear size homeostasis in the simple eukaryote</w:instrText>
      </w:r>
      <w:r>
        <w:rPr>
          <w:rFonts w:ascii="Arial" w:eastAsia="Times New Roman" w:hAnsi="Arial" w:cs="Arial"/>
          <w:color w:val="000000"/>
          <w:lang w:val="en-US" w:eastAsia="de-DE"/>
        </w:rPr>
        <w:instrText xml:space="preserve"> fission yeast, by monitoring the recovery of aberrant nuclear volume to cell volume (N/C) ratios following perturbation. We demonstrate that both high and low N/C ratios correct rapidly, maintaining nuclear size homeostasis. We assess the kinetics of nucl</w:instrText>
      </w:r>
      <w:r>
        <w:rPr>
          <w:rFonts w:ascii="Arial" w:eastAsia="Times New Roman" w:hAnsi="Arial" w:cs="Arial"/>
          <w:color w:val="000000"/>
          <w:lang w:val="en-US" w:eastAsia="de-DE"/>
        </w:rPr>
        <w:instrText>ear and cellular growth and of N/C ratio correction, and demonstrate that nuclear and cellular growth rates are not directly coupled. We propose that the mechanism underlying nuclear size homeostasis involves multiple limiting factors implicated in process</w:instrText>
      </w:r>
      <w:r>
        <w:rPr>
          <w:rFonts w:ascii="Arial" w:eastAsia="Times New Roman" w:hAnsi="Arial" w:cs="Arial"/>
          <w:color w:val="000000"/>
          <w:lang w:val="en-US" w:eastAsia="de-DE"/>
        </w:rPr>
        <w:instrText>es including nucleocytoplasmic transport, lipid biogenesis and RNA processing. We speculate that these link cellular size increases to changes in nuclear contents, which in turn lead to changes in nuclear membrane surface area. Our study reveals that there</w:instrText>
      </w:r>
      <w:r>
        <w:rPr>
          <w:rFonts w:ascii="Arial" w:eastAsia="Times New Roman" w:hAnsi="Arial" w:cs="Arial"/>
          <w:color w:val="000000"/>
          <w:lang w:val="en-US" w:eastAsia="de-DE"/>
        </w:rPr>
        <w:instrText xml:space="preserve"> is rapid nuclear size homeostasis in cells, informing understanding of nuclear size control and size homeostasis of other membrane-bound organelles.","author":[{"dropping-particle":"","family":"Cantwell","given":"Helena","non-dropping-particle":"","parse-</w:instrText>
      </w:r>
      <w:r>
        <w:rPr>
          <w:rFonts w:ascii="Arial" w:eastAsia="Times New Roman" w:hAnsi="Arial" w:cs="Arial"/>
          <w:color w:val="000000"/>
          <w:lang w:val="en-US" w:eastAsia="de-DE"/>
        </w:rPr>
        <w:instrText>names":false,"suffix":""},{"dropping-particle":"","family":"Nurse","given":"Paul","non-dropping-particle":"","parse-names":false,"suffix":""}],"container-title":"Journal of cell science","id":"ITEM-1","issue":"22","issued":{"date-parts":[["2019"]]},"publis</w:instrText>
      </w:r>
      <w:r>
        <w:rPr>
          <w:rFonts w:ascii="Arial" w:eastAsia="Times New Roman" w:hAnsi="Arial" w:cs="Arial"/>
          <w:color w:val="000000"/>
          <w:lang w:val="en-US" w:eastAsia="de-DE"/>
        </w:rPr>
        <w:instrText>her":"J Cell Sci","title":"A homeostatic mechanism rapidly corrects aberrant nucleocytoplasmic ratios maintaining nuclear size in fission yeast","type":"article-journal","volume":"132"},"uris":["http://www.mendeley.com/documents/?uuid=0fe0a223-f010-3c93-a6</w:instrText>
      </w:r>
      <w:r>
        <w:rPr>
          <w:rFonts w:ascii="Arial" w:eastAsia="Times New Roman" w:hAnsi="Arial" w:cs="Arial"/>
          <w:color w:val="000000"/>
          <w:lang w:val="en-US" w:eastAsia="de-DE"/>
        </w:rPr>
        <w:instrText>5c-1d6d667e62ef"]}],"mendeley":{"formattedCitation":"&lt;sup&gt;118&lt;/sup&gt;","plainTextFormattedCitation":"118","previouslyFormattedCitation":"&lt;sup&gt;118&lt;/sup&gt;"},"properties":{"noteIndex":0},"schema":"https://github.com/citation-style-language/schema/raw/master/csl-</w:instrText>
      </w:r>
      <w:r>
        <w:rPr>
          <w:rFonts w:ascii="Arial" w:eastAsia="Times New Roman" w:hAnsi="Arial" w:cs="Arial"/>
          <w:color w:val="000000"/>
          <w:lang w:val="en-US" w:eastAsia="de-DE"/>
        </w:rPr>
        <w:instrText>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work led Cantwell and Nurse to suggest that nuclear size is determined by the amount of nuclear content, which itself is given by the balance of nuclear import and export. This idea was developed into a refined model by two stud</w:t>
      </w:r>
      <w:r>
        <w:rPr>
          <w:rFonts w:ascii="Arial" w:eastAsia="Times New Roman" w:hAnsi="Arial" w:cs="Arial"/>
          <w:color w:val="000000"/>
          <w:lang w:val="en-US" w:eastAsia="de-DE"/>
        </w:rPr>
        <w:t>ies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{"citationItems":[{"id":"ITEM-1","itemData":{"DOI":"10.1073/PNAS.2118301119/SUPPL_FILE/PNAS.2118301119.SAPP.PDF","ISSN":"10916490","PMID":"35580183","abstract":"The volume of the cell nucleus varies across cell types and species and i</w:instrText>
      </w:r>
      <w:r>
        <w:rPr>
          <w:rFonts w:ascii="Arial" w:eastAsia="Times New Roman" w:hAnsi="Arial" w:cs="Arial"/>
          <w:color w:val="000000"/>
          <w:lang w:val="en-US" w:eastAsia="de-DE"/>
        </w:rPr>
        <w:instrText>s commonly thought to be determined by the size of the genome and degree of chromatin compaction. However, this notion has been challenged over the years by much experimental evidence. Here, we consider the physical condition of mechanical force balance as</w:instrText>
      </w:r>
      <w:r>
        <w:rPr>
          <w:rFonts w:ascii="Arial" w:eastAsia="Times New Roman" w:hAnsi="Arial" w:cs="Arial"/>
          <w:color w:val="000000"/>
          <w:lang w:val="en-US" w:eastAsia="de-DE"/>
        </w:rPr>
        <w:instrText xml:space="preserve"> a determining condition of the nuclear volume and use quantitative, order-of-magnitude analysis to estimate the forces from different sources of nuclear and cytoplasmic pressure. Our estimates suggest that the dominant pressure within the nucleus and cyto</w:instrText>
      </w:r>
      <w:r>
        <w:rPr>
          <w:rFonts w:ascii="Arial" w:eastAsia="Times New Roman" w:hAnsi="Arial" w:cs="Arial"/>
          <w:color w:val="000000"/>
          <w:lang w:val="en-US" w:eastAsia="de-DE"/>
        </w:rPr>
        <w:instrText>plasm of nonstriated muscle cells originates from the osmotic pressure of proteins and RNA molecules that are localized to the nucleus or cytoplasm by out-of-equilibrium, active nucleocytoplasmic transport rather than from chromatin or its associated ions.</w:instrText>
      </w:r>
      <w:r>
        <w:rPr>
          <w:rFonts w:ascii="Arial" w:eastAsia="Times New Roman" w:hAnsi="Arial" w:cs="Arial"/>
          <w:color w:val="000000"/>
          <w:lang w:val="en-US" w:eastAsia="de-DE"/>
        </w:rPr>
        <w:instrText xml:space="preserve"> This motivates us to formulate a physical model for the ratio of the cell and nuclear volumes in which osmotic pressures of localized proteins determine the relative volumes. In accordance with unexplained observations that are a century old, our model pr</w:instrText>
      </w:r>
      <w:r>
        <w:rPr>
          <w:rFonts w:ascii="Arial" w:eastAsia="Times New Roman" w:hAnsi="Arial" w:cs="Arial"/>
          <w:color w:val="000000"/>
          <w:lang w:val="en-US" w:eastAsia="de-DE"/>
        </w:rPr>
        <w:instrText>edicts that the ratio of the cell and nuclear volumes is a constant, robust to a wide variety of biochemical and biophysical manipulations, and is changed only if gene expression or nucleocytoplasmic transport is modulated.","author":[{"dropping-particle":</w:instrText>
      </w:r>
      <w:r>
        <w:rPr>
          <w:rFonts w:ascii="Arial" w:eastAsia="Times New Roman" w:hAnsi="Arial" w:cs="Arial"/>
          <w:color w:val="000000"/>
          <w:lang w:val="en-US" w:eastAsia="de-DE"/>
        </w:rPr>
        <w:instrText xml:space="preserve">"","family":"Deviri","given":"Dan","non-dropping-particle":"","parse-names":false,"suffix":""},{"dropping-particle":"","family":"Safran","given":"Samuel A.","non-dropping-particle":"","parse-names":false,"suffix":""}],"container-title":"Proceedings of the </w:instrText>
      </w:r>
      <w:r>
        <w:rPr>
          <w:rFonts w:ascii="Arial" w:eastAsia="Times New Roman" w:hAnsi="Arial" w:cs="Arial"/>
          <w:color w:val="000000"/>
          <w:lang w:val="en-US" w:eastAsia="de-DE"/>
        </w:rPr>
        <w:instrText>National Academy of Sciences of the United States of America","id":"ITEM-1","issue":"21","issued":{"date-parts":[["2022","5","24"]]},"page":"e2118301119","publisher":"National Academy of Sciences","title":"Balance of osmotic pressures determines the nuclea</w:instrText>
      </w:r>
      <w:r>
        <w:rPr>
          <w:rFonts w:ascii="Arial" w:eastAsia="Times New Roman" w:hAnsi="Arial" w:cs="Arial"/>
          <w:color w:val="000000"/>
          <w:lang w:val="en-US" w:eastAsia="de-DE"/>
        </w:rPr>
        <w:instrText>r-to-cytoplasmic volume ratio of the cell","type":"article-journal","volume":"119"},"uris":["http://www.mendeley.com/documents/?uuid=97bd61f2-687c-33f1-a3f1-d2a3f58e779d"]},{"id":"ITEM-2","itemData":{"DOI":"10.7554/ELIFE.76075","ISSN":"2050084X","PMID":"35</w:instrText>
      </w:r>
      <w:r>
        <w:rPr>
          <w:rFonts w:ascii="Arial" w:eastAsia="Times New Roman" w:hAnsi="Arial" w:cs="Arial"/>
          <w:color w:val="000000"/>
          <w:lang w:val="en-US" w:eastAsia="de-DE"/>
        </w:rPr>
        <w:instrText>856499","abstract":"The size of the nucleus scales robustly with cell size so that the nuclear-to-cell volume ratio (N/C ratio) is maintained during cell growth in many cell types. The mechanism responsible for this scaling remains mysterious. Previous stu</w:instrText>
      </w:r>
      <w:r>
        <w:rPr>
          <w:rFonts w:ascii="Arial" w:eastAsia="Times New Roman" w:hAnsi="Arial" w:cs="Arial"/>
          <w:color w:val="000000"/>
          <w:lang w:val="en-US" w:eastAsia="de-DE"/>
        </w:rPr>
        <w:instrText>dies have established that the N/C ratio is not determined by DNA amount but is instead influenced by factors such as nuclear envelope mechanics and nuclear transport. Here, we developed a quantitative model for nuclear size control based upon colloid osmo</w:instrText>
      </w:r>
      <w:r>
        <w:rPr>
          <w:rFonts w:ascii="Arial" w:eastAsia="Times New Roman" w:hAnsi="Arial" w:cs="Arial"/>
          <w:color w:val="000000"/>
          <w:lang w:val="en-US" w:eastAsia="de-DE"/>
        </w:rPr>
        <w:instrText xml:space="preserve">tic pressure and tested key predictions in the fission yeast Schizosaccharomyces pombe. This model posits that the N/C ratio is determined by the numbers of macromolecules in the nucleoplasm and cytoplasm. Osmotic shift experiments showed that the fission </w:instrText>
      </w:r>
      <w:r>
        <w:rPr>
          <w:rFonts w:ascii="Arial" w:eastAsia="Times New Roman" w:hAnsi="Arial" w:cs="Arial"/>
          <w:color w:val="000000"/>
          <w:lang w:val="en-US" w:eastAsia="de-DE"/>
        </w:rPr>
        <w:instrText>yeast nucleus behaves as an ideal osmometer whose volume is primarily dictated by osmotic forces. Inhibition of nuclear export caused accumulation of macromolecules and an increase in crowding in the nucleoplasm, leading to nuclear swelling. We further dem</w:instrText>
      </w:r>
      <w:r>
        <w:rPr>
          <w:rFonts w:ascii="Arial" w:eastAsia="Times New Roman" w:hAnsi="Arial" w:cs="Arial"/>
          <w:color w:val="000000"/>
          <w:lang w:val="en-US" w:eastAsia="de-DE"/>
        </w:rPr>
        <w:instrText>onstrated that the N/C ratio is maintained by a homeostasis mechanism based upon synthesis of macromolecules during growth. These studies demonstrate the functions of colloid osmotic pressure in intracellular organization and size control.","author":[{"dro</w:instrText>
      </w:r>
      <w:r>
        <w:rPr>
          <w:rFonts w:ascii="Arial" w:eastAsia="Times New Roman" w:hAnsi="Arial" w:cs="Arial"/>
          <w:color w:val="000000"/>
          <w:lang w:val="en-US" w:eastAsia="de-DE"/>
        </w:rPr>
        <w:instrText>pping-particle":"","family":"Lemière","given":"Joël","non-dropping-particle":"","parse-names":false,"suffix":""},{"dropping-particle":"","family":"Real-Calderon","given":"Paula","non-dropping-particle":"","parse-names":false,"suffix":""},{"dropping-particl</w:instrText>
      </w:r>
      <w:r>
        <w:rPr>
          <w:rFonts w:ascii="Arial" w:eastAsia="Times New Roman" w:hAnsi="Arial" w:cs="Arial"/>
          <w:color w:val="000000"/>
          <w:lang w:val="en-US" w:eastAsia="de-DE"/>
        </w:rPr>
        <w:instrText>e":"","family":"Holt","given":"Liam J.","non-dropping-particle":"","parse-names":false,"suffix":""},{"dropping-particle":"","family":"Fai","given":"Thomas G.","non-dropping-particle":"","parse-names":false,"suffix":""},{"dropping-particle":"","family":"Cha</w:instrText>
      </w:r>
      <w:r>
        <w:rPr>
          <w:rFonts w:ascii="Arial" w:eastAsia="Times New Roman" w:hAnsi="Arial" w:cs="Arial"/>
          <w:color w:val="000000"/>
          <w:lang w:val="en-US" w:eastAsia="de-DE"/>
        </w:rPr>
        <w:instrText>ng","given":"Fred","non-dropping-particle":"","parse-names":false,"suffix":""}],"container-title":"eLife","id":"ITEM-2","issued":{"date-parts":[["2022","7","1"]]},"publisher":"eLife Sciences Publications Ltd","title":"Control of nuclear size by osmotic for</w:instrText>
      </w:r>
      <w:r>
        <w:rPr>
          <w:rFonts w:ascii="Arial" w:eastAsia="Times New Roman" w:hAnsi="Arial" w:cs="Arial"/>
          <w:color w:val="000000"/>
          <w:lang w:val="en-US" w:eastAsia="de-DE"/>
        </w:rPr>
        <w:instrText>ces in Schizosaccharomyces pombe","type":"article-journal","volume":"11"},"uris":["http://www.mendeley.com/documents/?uuid=86ada493-f836-3dee-85d4-cb545d6d5cbb"]}],"mendeley":{"formattedCitation":"&lt;sup&gt;119,120&lt;/sup&gt;","plainTextFormattedCitation":"119,120",</w:instrText>
      </w:r>
      <w:r>
        <w:rPr>
          <w:rFonts w:ascii="Arial" w:eastAsia="Times New Roman" w:hAnsi="Arial" w:cs="Arial"/>
          <w:color w:val="000000"/>
          <w:lang w:val="en-US" w:eastAsia="de-DE"/>
        </w:rPr>
        <w:instrText>"previouslyFormattedCitation":"&lt;sup&gt;119,120&lt;/sup&gt;"},"properties":{"noteIndex":0},"schema":"https://github.com/citation-style-language/schema/raw/master/csl-citation.json"}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119,120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which proposed that the dominant pressure controlling nuclear volume is o</w:t>
      </w:r>
      <w:r>
        <w:rPr>
          <w:rFonts w:ascii="Arial" w:eastAsia="Times New Roman" w:hAnsi="Arial" w:cs="Arial"/>
          <w:color w:val="000000"/>
          <w:lang w:val="en-US" w:eastAsia="de-DE"/>
        </w:rPr>
        <w:t>smotic, and nuclear-to-cytoplasmic volume ratio is therefore determined by the number of macromolecules, that is proteins and RNA, in the nucleoplasm and cytoplasm. This model predicts a constant nuclear-to-cytoplasmic volume ratio across changing cell siz</w:t>
      </w:r>
      <w:r>
        <w:rPr>
          <w:rFonts w:ascii="Arial" w:eastAsia="Times New Roman" w:hAnsi="Arial" w:cs="Arial"/>
          <w:color w:val="000000"/>
          <w:lang w:val="en-US" w:eastAsia="de-DE"/>
        </w:rPr>
        <w:t>es. It also implies that the nuclear volume occupied by DNA is negligible for overall nuclear size, and that the available nuclear membrane area is not a limiting factor. Recently, Rollin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w:instrText>
      </w:r>
      <w:r>
        <w:rPr>
          <w:rFonts w:ascii="Arial" w:eastAsia="Times New Roman" w:hAnsi="Arial" w:cs="Arial"/>
          <w:color w:val="000000"/>
          <w:lang w:val="en-US" w:eastAsia="de-DE"/>
        </w:rPr>
        <w:instrText>:{"DOI":"10.7554/ELIFE.82490","ISSN":"2050084X","PMID":"37129354","abstract":"Cellular growth is the result of passive physical constraints and active biological processes. Their interplay leads to the appearance of robust and ubiquitous scaling laws relat</w:instrText>
      </w:r>
      <w:r>
        <w:rPr>
          <w:rFonts w:ascii="Arial" w:eastAsia="Times New Roman" w:hAnsi="Arial" w:cs="Arial"/>
          <w:color w:val="000000"/>
          <w:lang w:val="en-US" w:eastAsia="de-DE"/>
        </w:rPr>
        <w:instrText>ing linearly cell size, dry mass, and nuclear size. Despite accumulating experimental evidence, their origin is still unclear. Here, we show that these laws can be explained quantitatively by a single model of size regulation based on three simple, yet gen</w:instrText>
      </w:r>
      <w:r>
        <w:rPr>
          <w:rFonts w:ascii="Arial" w:eastAsia="Times New Roman" w:hAnsi="Arial" w:cs="Arial"/>
          <w:color w:val="000000"/>
          <w:lang w:val="en-US" w:eastAsia="de-DE"/>
        </w:rPr>
        <w:instrText>eric, physical constraints defining altogether the Pump-Leak model. Based on quantitative estimates, we clearly map the Pump-Leak model coarse-grained parameters with the dominant cellular components. We propose that dry mass density homeostasis arises fro</w:instrText>
      </w:r>
      <w:r>
        <w:rPr>
          <w:rFonts w:ascii="Arial" w:eastAsia="Times New Roman" w:hAnsi="Arial" w:cs="Arial"/>
          <w:color w:val="000000"/>
          <w:lang w:val="en-US" w:eastAsia="de-DE"/>
        </w:rPr>
        <w:instrText>m the scaling between proteins and small osmolytes, mainly amino-acids and ions. Our model predicts this scaling to naturally fail, both at senescence when DNA and RNAs are saturated by RNA polymerases and ribosomes respectively, and at mitotic entry due t</w:instrText>
      </w:r>
      <w:r>
        <w:rPr>
          <w:rFonts w:ascii="Arial" w:eastAsia="Times New Roman" w:hAnsi="Arial" w:cs="Arial"/>
          <w:color w:val="000000"/>
          <w:lang w:val="en-US" w:eastAsia="de-DE"/>
        </w:rPr>
        <w:instrText>o the counterion release following histone tail modifications. Based on the same physical laws, we further show that nuclear scaling results from a osmotic balance at the nuclear envelope and a large pool of metabolites, which dilutes chromatin counterions</w:instrText>
      </w:r>
      <w:r>
        <w:rPr>
          <w:rFonts w:ascii="Arial" w:eastAsia="Times New Roman" w:hAnsi="Arial" w:cs="Arial"/>
          <w:color w:val="000000"/>
          <w:lang w:val="en-US" w:eastAsia="de-DE"/>
        </w:rPr>
        <w:instrText xml:space="preserve"> that do not scale during growth.","author":[{"dropping-particle":"","family":"Rollin","given":"Romain","non-dropping-particle":"","parse-names":false,"suffix":""},{"dropping-particle":"","family":"Joanny","given":"Jean François","non-dropping-particle":""</w:instrText>
      </w:r>
      <w:r>
        <w:rPr>
          <w:rFonts w:ascii="Arial" w:eastAsia="Times New Roman" w:hAnsi="Arial" w:cs="Arial"/>
          <w:color w:val="000000"/>
          <w:lang w:val="en-US" w:eastAsia="de-DE"/>
        </w:rPr>
        <w:instrText>,"parse-names":false,"suffix":""},{"dropping-particle":"","family":"Sens","given":"Pierre","non-dropping-particle":"","parse-names":false,"suffix":""}],"container-title":"eLife","id":"ITEM-1","issued":{"date-parts":[["2023"]]},"publisher":"eLife Sciences P</w:instrText>
      </w:r>
      <w:r>
        <w:rPr>
          <w:rFonts w:ascii="Arial" w:eastAsia="Times New Roman" w:hAnsi="Arial" w:cs="Arial"/>
          <w:color w:val="000000"/>
          <w:lang w:val="en-US" w:eastAsia="de-DE"/>
        </w:rPr>
        <w:instrText>ublications Ltd","title":"Physical basis of the cell size scaling laws","type":"article-journal","volume":"12"},"uris":["http://www.mendeley.com/documents/?uuid=25a63ee4-5c52-3d82-9ff9-10dbafa4cdd1"]}],"mendeley":{"formattedCitation":"&lt;sup&gt;79&lt;/sup&gt;","plain</w:instrText>
      </w:r>
      <w:r>
        <w:rPr>
          <w:rFonts w:ascii="Arial" w:eastAsia="Times New Roman" w:hAnsi="Arial" w:cs="Arial"/>
          <w:color w:val="000000"/>
          <w:lang w:val="en-US" w:eastAsia="de-DE"/>
        </w:rPr>
        <w:instrText>TextFormattedCitation":"79","previouslyFormattedCitation":"&lt;sup&gt;79&lt;/sup&gt;"},"properties":{"noteIndex":0},"schema":"https://github.com/citation-style-language/schema/raw/master/csl-citation.json"}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pointed out that in addition to proteins and RNA, also t</w:t>
      </w:r>
      <w:r>
        <w:rPr>
          <w:rFonts w:ascii="Arial" w:eastAsia="Times New Roman" w:hAnsi="Arial" w:cs="Arial"/>
          <w:color w:val="000000"/>
          <w:lang w:val="en-US" w:eastAsia="de-DE"/>
        </w:rPr>
        <w:t>he large pool of metabolites plays a role in nuclear size homeostasis, by contributing to nuclear and cell volume, and diluting chromatin charge.</w:t>
      </w:r>
    </w:p>
    <w:p w14:paraId="1495BDEB" w14:textId="77777777" w:rsidR="00066D11" w:rsidRDefault="00066D11">
      <w:pPr>
        <w:spacing w:after="0" w:line="240" w:lineRule="auto"/>
        <w:jc w:val="both"/>
        <w:rPr>
          <w:rFonts w:ascii="Arial" w:eastAsia="Times New Roman" w:hAnsi="Arial" w:cs="Arial"/>
          <w:lang w:val="en-US" w:eastAsia="de-DE"/>
        </w:rPr>
      </w:pPr>
    </w:p>
    <w:p w14:paraId="4FA3AF92"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While this model provides an intriguing framework for nuclear size control, additional factors are </w:t>
      </w:r>
      <w:r>
        <w:rPr>
          <w:rFonts w:ascii="Arial" w:eastAsia="Times New Roman" w:hAnsi="Arial" w:cs="Arial"/>
          <w:color w:val="000000"/>
          <w:lang w:val="en-US" w:eastAsia="de-DE"/>
        </w:rPr>
        <w:t>likely to contribute, at least for some cell types and environments. Specifically, the increased nuclear-to-cytoplasmic ratio observed for small epithelial cells points towards a minimal nuclear size set by the volume occupied by chromatin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w:instrText>
      </w:r>
      <w:r>
        <w:rPr>
          <w:rFonts w:ascii="Arial" w:eastAsia="Times New Roman" w:hAnsi="Arial" w:cs="Arial"/>
          <w:color w:val="000000"/>
          <w:lang w:val="en-US" w:eastAsia="de-DE"/>
        </w:rPr>
        <w:instrText>N {"citationItems":[{"id":"ITEM-1","itemData":{"DOI":"10.1016/j.devcel.2023.05.018","abstract":"Graphical abstract Highlights d In epithelia, regulation of cell growth and cycle are not directly coupled d Cell growth rate is regulated by tissue-scale growt</w:instrText>
      </w:r>
      <w:r>
        <w:rPr>
          <w:rFonts w:ascii="Arial" w:eastAsia="Times New Roman" w:hAnsi="Arial" w:cs="Arial"/>
          <w:color w:val="000000"/>
          <w:lang w:val="en-US" w:eastAsia="de-DE"/>
        </w:rPr>
        <w:instrText>h dynamics d Cell cycle in epithelia is described by G1 sizer model with a tunable growth rate d Volume of cells in epithelia is near a minimum set by genome volume In brief Devany et al. show that cell growth and division respond to different cues in epit</w:instrText>
      </w:r>
      <w:r>
        <w:rPr>
          <w:rFonts w:ascii="Arial" w:eastAsia="Times New Roman" w:hAnsi="Arial" w:cs="Arial"/>
          <w:color w:val="000000"/>
          <w:lang w:val="en-US" w:eastAsia="de-DE"/>
        </w:rPr>
        <w:instrText>helia. They find that cell growth rate is constrained by tissue growth rate and that growth-arrested cells can continue to reduce their volume by division until reaching a minimum size. SUMMARY Cell proliferation is a central process in tissue development,</w:instrText>
      </w:r>
      <w:r>
        <w:rPr>
          <w:rFonts w:ascii="Arial" w:eastAsia="Times New Roman" w:hAnsi="Arial" w:cs="Arial"/>
          <w:color w:val="000000"/>
          <w:lang w:val="en-US" w:eastAsia="de-DE"/>
        </w:rPr>
        <w:instrText xml:space="preserve"> homeostasis, and disease, yet how proliferation is regulated in the tissue context remains poorly understood. Here, we introduce a quantitative framework to elucidate how tissue growth dynamics regulate cell proliferation. Using MDCK epithelial monolayers</w:instrText>
      </w:r>
      <w:r>
        <w:rPr>
          <w:rFonts w:ascii="Arial" w:eastAsia="Times New Roman" w:hAnsi="Arial" w:cs="Arial"/>
          <w:color w:val="000000"/>
          <w:lang w:val="en-US" w:eastAsia="de-DE"/>
        </w:rPr>
        <w:instrText>, we show that a limiting rate of tissue expansion creates confinement that suppresses cell growth; however, this confinement does not directly affect the cell cycle. This leads to uncoupling between rates of cell growth and division in epithelia and, ther</w:instrText>
      </w:r>
      <w:r>
        <w:rPr>
          <w:rFonts w:ascii="Arial" w:eastAsia="Times New Roman" w:hAnsi="Arial" w:cs="Arial"/>
          <w:color w:val="000000"/>
          <w:lang w:val="en-US" w:eastAsia="de-DE"/>
        </w:rPr>
        <w:instrText>eby, reduces cell volume. Division becomes arrested at a minimal cell volume , which is consistent across diverse epithelia in vivo. Here, the nucleus approaches the minimum volume capable of packaging the genome. Loss of cyclin D1-dependent cell-volume re</w:instrText>
      </w:r>
      <w:r>
        <w:rPr>
          <w:rFonts w:ascii="Arial" w:eastAsia="Times New Roman" w:hAnsi="Arial" w:cs="Arial"/>
          <w:color w:val="000000"/>
          <w:lang w:val="en-US" w:eastAsia="de-DE"/>
        </w:rPr>
        <w:instrText>gulation results in an abnormally high nuclear-to-cytoplasmic volume ratio and DNA damage. Overall, we demonstrate how epithelial proliferation is regulated by the interplay between tissue confinement and cell-volume regulation.","author":[{"dropping-parti</w:instrText>
      </w:r>
      <w:r>
        <w:rPr>
          <w:rFonts w:ascii="Arial" w:eastAsia="Times New Roman" w:hAnsi="Arial" w:cs="Arial"/>
          <w:color w:val="000000"/>
          <w:lang w:val="en-US" w:eastAsia="de-DE"/>
        </w:rPr>
        <w:instrText>cle":"","family":"Devany","given":"John","non-dropping-particle":"","parse-names":false,"suffix":""},{"dropping-particle":"","family":"Falk","given":"Martin J","non-dropping-particle":"","parse-names":false,"suffix":""},{"dropping-particle":"","family":"Ho</w:instrText>
      </w:r>
      <w:r>
        <w:rPr>
          <w:rFonts w:ascii="Arial" w:eastAsia="Times New Roman" w:hAnsi="Arial" w:cs="Arial"/>
          <w:color w:val="000000"/>
          <w:lang w:val="en-US" w:eastAsia="de-DE"/>
        </w:rPr>
        <w:instrText>lt","given":"Liam J","non-dropping-particle":"","parse-names":false,"suffix":""},{"dropping-particle":"","family":"Murugan","given":"Arvind","non-dropping-particle":"","parse-names":false,"suffix":""},{"dropping-particle":"","family":"Correspondence","give</w:instrText>
      </w:r>
      <w:r>
        <w:rPr>
          <w:rFonts w:ascii="Arial" w:eastAsia="Times New Roman" w:hAnsi="Arial" w:cs="Arial"/>
          <w:color w:val="000000"/>
          <w:lang w:val="en-US" w:eastAsia="de-DE"/>
        </w:rPr>
        <w:instrText>n":"Margaret L Gardel","non-dropping-particle":"","parse-names":false,"suffix":""},{"dropping-particle":"","family":"Gardel","given":"Margaret L","non-dropping-particle":"","parse-names":false,"suffix":""}],"container-title":"Developmental Cell","id":"ITEM</w:instrText>
      </w:r>
      <w:r>
        <w:rPr>
          <w:rFonts w:ascii="Arial" w:eastAsia="Times New Roman" w:hAnsi="Arial" w:cs="Arial"/>
          <w:color w:val="000000"/>
          <w:lang w:val="en-US" w:eastAsia="de-DE"/>
        </w:rPr>
        <w:instrText>-1","issued":{"date-parts":[["2023"]]},"page":"1462-1476.e8","title":"Epithelial tissue confinement inhibits cell growth and leads to volume-reducing divisions","type":"article-journal","volume":"58"},"uris":["http://www.mendeley.com/documents/?uuid=ffc740</w:instrText>
      </w:r>
      <w:r>
        <w:rPr>
          <w:rFonts w:ascii="Arial" w:eastAsia="Times New Roman" w:hAnsi="Arial" w:cs="Arial"/>
          <w:color w:val="000000"/>
          <w:lang w:val="en-US" w:eastAsia="de-DE"/>
        </w:rPr>
        <w:instrText>79-4fda-37d6-997c-0ba49b509767"]}],"mendeley":{"formattedCitation":"&lt;sup&gt;121&lt;/sup&gt;","plainTextFormattedCitation":"121","previouslyFormattedCitation":"&lt;sup&gt;121&lt;/sup&gt;"},"properties":{"noteIndex":0},"schema":"https://github.com/citation-style-language/schema/</w:instrText>
      </w:r>
      <w:r>
        <w:rPr>
          <w:rFonts w:ascii="Arial" w:eastAsia="Times New Roman" w:hAnsi="Arial" w:cs="Arial"/>
          <w:color w:val="000000"/>
          <w:lang w:val="en-US" w:eastAsia="de-DE"/>
        </w:rPr>
        <w:instrText>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121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Along those lines, Biswas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{"citationItems":[{"id":"ITEM-1","itemData":{"abstract":"The packing and confinement of macromolecules in the cytoplasm and nucleoplasm has profound implications for c</w:instrText>
      </w:r>
      <w:r>
        <w:rPr>
          <w:rFonts w:ascii="Arial" w:eastAsia="Times New Roman" w:hAnsi="Arial" w:cs="Arial"/>
          <w:color w:val="000000"/>
          <w:lang w:val="en-US" w:eastAsia="de-DE"/>
        </w:rPr>
        <w:instrText>ellular biochemistry. How intracellular density distributions vary and affect cellular physiology remains largely unknown. Here, we show that the nucleus is less dense than the cytoplasm and that living systems establish and maintain a constant density rat</w:instrText>
      </w:r>
      <w:r>
        <w:rPr>
          <w:rFonts w:ascii="Arial" w:eastAsia="Times New Roman" w:hAnsi="Arial" w:cs="Arial"/>
          <w:color w:val="000000"/>
          <w:lang w:val="en-US" w:eastAsia="de-DE"/>
        </w:rPr>
        <w:instrText xml:space="preserve">io between these compartments. Using label-free biophotonics and theory, we show that nuclear density is set by a pressure balance across the nuclear envelope in vitro, in vivo and during early development. Nuclear transport establishes a specific nuclear </w:instrText>
      </w:r>
      <w:r>
        <w:rPr>
          <w:rFonts w:ascii="Arial" w:eastAsia="Times New Roman" w:hAnsi="Arial" w:cs="Arial"/>
          <w:color w:val="000000"/>
          <w:lang w:val="en-US" w:eastAsia="de-DE"/>
        </w:rPr>
        <w:instrText xml:space="preserve">proteome that exerts a colloid osmotic pressure, which, assisted by entropic chromatin pressure, draws water into the nucleus. Using C. elegans, we show that while nuclear-to-cytoplasmic (N/C) volume ratios change during early development, the N/C density </w:instrText>
      </w:r>
      <w:r>
        <w:rPr>
          <w:rFonts w:ascii="Arial" w:eastAsia="Times New Roman" w:hAnsi="Arial" w:cs="Arial"/>
          <w:color w:val="000000"/>
          <w:lang w:val="en-US" w:eastAsia="de-DE"/>
        </w:rPr>
        <w:instrText xml:space="preserve">ratio is robustly maintained. We propose that the maintenance of a constant N/C density ratio is the biophysical driver of one of the oldest tenets of cell biology: the N/C volume ratio. In summary, this study reveals a previously unidentified homeostatic </w:instrText>
      </w:r>
      <w:r>
        <w:rPr>
          <w:rFonts w:ascii="Arial" w:eastAsia="Times New Roman" w:hAnsi="Arial" w:cs="Arial"/>
          <w:color w:val="000000"/>
          <w:lang w:val="en-US" w:eastAsia="de-DE"/>
        </w:rPr>
        <w:instrText>coupling of macromolecular densities that drives cellular organization with implications for pathophysiologies such as senescence and cancer. 2","author":[{"dropping-particle":"","family":"Biswas","given":"Abin","non-dropping-particle":"","parse-names":fal</w:instrText>
      </w:r>
      <w:r>
        <w:rPr>
          <w:rFonts w:ascii="Arial" w:eastAsia="Times New Roman" w:hAnsi="Arial" w:cs="Arial"/>
          <w:color w:val="000000"/>
          <w:lang w:val="en-US" w:eastAsia="de-DE"/>
        </w:rPr>
        <w:instrText>se,"suffix":""},{"dropping-particle":"","family":"Muñoz","given":"Omar","non-dropping-particle":"","parse-names":false,"suffix":""},{"dropping-particle":"","family":"Kim","given":"Kyoohyun","non-dropping-particle":"","parse-names":false,"suffix":""},{"drop</w:instrText>
      </w:r>
      <w:r>
        <w:rPr>
          <w:rFonts w:ascii="Arial" w:eastAsia="Times New Roman" w:hAnsi="Arial" w:cs="Arial"/>
          <w:color w:val="000000"/>
          <w:lang w:val="en-US" w:eastAsia="de-DE"/>
        </w:rPr>
        <w:instrText>ping-particle":"","family":"Hoege","given":"Carsten","non-dropping-particle":"","parse-names":false,"suffix":""},{"dropping-particle":"","family":"Lorton","given":"Benjamin M","non-dropping-particle":"","parse-names":false,"suffix":""},{"dropping-particle"</w:instrText>
      </w:r>
      <w:r>
        <w:rPr>
          <w:rFonts w:ascii="Arial" w:eastAsia="Times New Roman" w:hAnsi="Arial" w:cs="Arial"/>
          <w:color w:val="000000"/>
          <w:lang w:val="en-US" w:eastAsia="de-DE"/>
        </w:rPr>
        <w:instrText>:"","family":"Shechter","given":"David","non-dropping-particle":"","parse-names":false,"suffix":""},{"dropping-particle":"","family":"Guck","given":"Jochen","non-dropping-particle":"","parse-names":false,"suffix":""},{"dropping-particle":"","family":"Zabur</w:instrText>
      </w:r>
      <w:r>
        <w:rPr>
          <w:rFonts w:ascii="Arial" w:eastAsia="Times New Roman" w:hAnsi="Arial" w:cs="Arial"/>
          <w:color w:val="000000"/>
          <w:lang w:val="en-US" w:eastAsia="de-DE"/>
        </w:rPr>
        <w:instrText>daev","given":"Vasily","non-dropping-particle":"","parse-names":false,"suffix":""},{"dropping-particle":"","family":"Reber","given":"Simone","non-dropping-particle":"","parse-names":false,"suffix":""}],"id":"ITEM-1","issued":{"date-parts":[["0"]]},"title":</w:instrText>
      </w:r>
      <w:r>
        <w:rPr>
          <w:rFonts w:ascii="Arial" w:eastAsia="Times New Roman" w:hAnsi="Arial" w:cs="Arial"/>
          <w:color w:val="000000"/>
          <w:lang w:val="en-US" w:eastAsia="de-DE"/>
        </w:rPr>
        <w:instrText>"Conserved nucleocytoplasmic density homeostasis drives cellular organization across eukaryotes","type":"article-journal"},"uris":["http://www.mendeley.com/documents/?uuid=6de5f2d2-d25f-3239-bfff-8ae9ddf37e0e"]}],"mendeley":{"formattedCitation":"&lt;sup&gt;117&lt;/</w:instrText>
      </w:r>
      <w:r>
        <w:rPr>
          <w:rFonts w:ascii="Arial" w:eastAsia="Times New Roman" w:hAnsi="Arial" w:cs="Arial"/>
          <w:color w:val="000000"/>
          <w:lang w:val="en-US" w:eastAsia="de-DE"/>
        </w:rPr>
        <w:instrText>sup&gt;","plainTextFormattedCitation":"117","previouslyFormattedCitation":"&lt;sup&gt;117&lt;/sup&gt;"},"properties":{"noteIndex":0},"schema":"https://github.com/citation-style-language/schema/raw/master/csl-citation.json"}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suggested that the entropic pressure exer</w:t>
      </w:r>
      <w:r>
        <w:rPr>
          <w:rFonts w:ascii="Arial" w:eastAsia="Times New Roman" w:hAnsi="Arial" w:cs="Arial"/>
          <w:color w:val="000000"/>
          <w:lang w:val="en-US" w:eastAsia="de-DE"/>
        </w:rPr>
        <w:t xml:space="preserve">ted by chromatin contributes significantly (about 20%) to the volume of </w:t>
      </w:r>
      <w:r>
        <w:rPr>
          <w:rFonts w:ascii="Arial" w:eastAsia="Times New Roman" w:hAnsi="Arial" w:cs="Arial"/>
          <w:i/>
          <w:iCs/>
          <w:color w:val="000000"/>
          <w:lang w:val="en-US" w:eastAsia="de-DE"/>
        </w:rPr>
        <w:t>Xenopus laevis</w:t>
      </w:r>
      <w:r>
        <w:rPr>
          <w:rFonts w:ascii="Arial" w:eastAsia="Times New Roman" w:hAnsi="Arial" w:cs="Arial"/>
          <w:color w:val="000000"/>
          <w:lang w:val="en-US" w:eastAsia="de-DE"/>
        </w:rPr>
        <w:t xml:space="preserve"> nuclei. In addition, chromatin has an indirect effect on nuclear size homeostasis by regulating nuclear import. In mammalian cells, an additional contribution may come f</w:t>
      </w:r>
      <w:r>
        <w:rPr>
          <w:rFonts w:ascii="Arial" w:eastAsia="Times New Roman" w:hAnsi="Arial" w:cs="Arial"/>
          <w:color w:val="000000"/>
          <w:lang w:val="en-US" w:eastAsia="de-DE"/>
        </w:rPr>
        <w:t>rom forces exerted on the nuclear envelope by the cytoskeleton. By modulating nuclear transport, mechanical forces can then lead to a decoupling of nuclear and cell volume during cell growth</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w:instrText>
      </w:r>
      <w:r>
        <w:rPr>
          <w:rFonts w:ascii="Arial" w:eastAsia="Times New Roman" w:hAnsi="Arial" w:cs="Arial"/>
          <w:color w:val="000000"/>
          <w:lang w:val="en-US" w:eastAsia="de-DE"/>
        </w:rPr>
        <w:instrText>OI":"10.1101/2022.06.07.494975","ISSN":"26928205","abstract":"In eukaryotes, cytoplasmic and nuclear volumes are tightly regulated to ensure proper cell homeostasis. However, the detailed mechanisms underlying nucleus-cytoplasm volumetric coupling remain u</w:instrText>
      </w:r>
      <w:r>
        <w:rPr>
          <w:rFonts w:ascii="Arial" w:eastAsia="Times New Roman" w:hAnsi="Arial" w:cs="Arial"/>
          <w:color w:val="000000"/>
          <w:lang w:val="en-US" w:eastAsia="de-DE"/>
        </w:rPr>
        <w:instrText xml:space="preserve">nknown. Recent evidence supports a primary role of osmotic mechanisms in determining a tight link between nuclear and cytoplasmic volume, but this hypothesis remains largely untested in mammalian cells. We approach the question in single cultured adhering </w:instrText>
      </w:r>
      <w:r>
        <w:rPr>
          <w:rFonts w:ascii="Arial" w:eastAsia="Times New Roman" w:hAnsi="Arial" w:cs="Arial"/>
          <w:color w:val="000000"/>
          <w:lang w:val="en-US" w:eastAsia="de-DE"/>
        </w:rPr>
        <w:instrText>human cells, by jointly measuring cytoplasmic and nuclear volumes, in real time and across cell cycles. Surprisingly, we find that cytoplasmic and nuclear volumes follow different average growth laws: while the cytoplasm grows exponentially, the nucleus gr</w:instrText>
      </w:r>
      <w:r>
        <w:rPr>
          <w:rFonts w:ascii="Arial" w:eastAsia="Times New Roman" w:hAnsi="Arial" w:cs="Arial"/>
          <w:color w:val="000000"/>
          <w:lang w:val="en-US" w:eastAsia="de-DE"/>
        </w:rPr>
        <w:instrText>ows linearly. Moreover, by combining several experimental perturbations and analyzing a mathematical model including osmotic effects and tension, we conclude that the mechanical forces exerted by the cytoskeleton on the nuclear envelope can strongly affect</w:instrText>
      </w:r>
      <w:r>
        <w:rPr>
          <w:rFonts w:ascii="Arial" w:eastAsia="Times New Roman" w:hAnsi="Arial" w:cs="Arial"/>
          <w:color w:val="000000"/>
          <w:lang w:val="en-US" w:eastAsia="de-DE"/>
        </w:rPr>
        <w:instrText xml:space="preserve"> nucleus-cytoplasm volumetric coupling by biasing nuclear import. Our results unveil how osmo-mechanical equilibrium regulates nuclear size in mammalian cells.\n\nOne-Sentence Summary Cytoskeletal forces exerted on the nuclear envelope impact on nuclear vo</w:instrText>
      </w:r>
      <w:r>
        <w:rPr>
          <w:rFonts w:ascii="Arial" w:eastAsia="Times New Roman" w:hAnsi="Arial" w:cs="Arial"/>
          <w:color w:val="000000"/>
          <w:lang w:val="en-US" w:eastAsia="de-DE"/>
        </w:rPr>
        <w:instrText>lume through modulation of force-coupled nucleo-cytoplasmic transport, affecting osmosis.\n\n### Competing Interest Statement\n\nThe authors have declared no competing interest.","author":[{"dropping-particle":"","family":"Pennacchio","given":"Fabrizio A."</w:instrText>
      </w:r>
      <w:r>
        <w:rPr>
          <w:rFonts w:ascii="Arial" w:eastAsia="Times New Roman" w:hAnsi="Arial" w:cs="Arial"/>
          <w:color w:val="000000"/>
          <w:lang w:val="en-US" w:eastAsia="de-DE"/>
        </w:rPr>
        <w:instrText>,"non-dropping-particle":"","parse-names":false,"suffix":""},{"dropping-particle":"","family":"Poli","given":"Alessandro","non-dropping-particle":"","parse-names":false,"suffix":""},{"dropping-particle":"","family":"Pramotton","given":"Francesca Michela","</w:instrText>
      </w:r>
      <w:r>
        <w:rPr>
          <w:rFonts w:ascii="Arial" w:eastAsia="Times New Roman" w:hAnsi="Arial" w:cs="Arial"/>
          <w:color w:val="000000"/>
          <w:lang w:val="en-US" w:eastAsia="de-DE"/>
        </w:rPr>
        <w:instrText>non-dropping-particle":"","parse-names":false,"suffix":""},{"dropping-particle":"","family":"Lavore","given":"Stefania","non-dropping-particle":"","parse-names":false,"suffix":""},{"dropping-particle":"","family":"Rancati","given":"Ilaria","non-dropping-pa</w:instrText>
      </w:r>
      <w:r>
        <w:rPr>
          <w:rFonts w:ascii="Arial" w:eastAsia="Times New Roman" w:hAnsi="Arial" w:cs="Arial"/>
          <w:color w:val="000000"/>
          <w:lang w:val="en-US" w:eastAsia="de-DE"/>
        </w:rPr>
        <w:instrText>rticle":"","parse-names":false,"suffix":""},{"dropping-particle":"","family":"Cinquanta","given":"Mario","non-dropping-particle":"","parse-names":false,"suffix":""},{"dropping-particle":"","family":"Vorselen","given":"Daan","non-dropping-particle":"","pars</w:instrText>
      </w:r>
      <w:r>
        <w:rPr>
          <w:rFonts w:ascii="Arial" w:eastAsia="Times New Roman" w:hAnsi="Arial" w:cs="Arial"/>
          <w:color w:val="000000"/>
          <w:lang w:val="en-US" w:eastAsia="de-DE"/>
        </w:rPr>
        <w:instrText>e-names":false,"suffix":""},{"dropping-particle":"","family":"Prina","given":"Elisabetta","non-dropping-particle":"","parse-names":false,"suffix":""},{"dropping-particle":"","family":"Romano","given":"Orso Maria","non-dropping-particle":"","parse-names":fa</w:instrText>
      </w:r>
      <w:r>
        <w:rPr>
          <w:rFonts w:ascii="Arial" w:eastAsia="Times New Roman" w:hAnsi="Arial" w:cs="Arial"/>
          <w:color w:val="000000"/>
          <w:lang w:val="en-US" w:eastAsia="de-DE"/>
        </w:rPr>
        <w:instrText>lse,"suffix":""},{"dropping-particle":"","family":"Ferrari","given":"Aldo","non-dropping-particle":"","parse-names":false,"suffix":""},{"dropping-particle":"","family":"Piel","given":"Matthieu","non-dropping-particle":"","parse-names":false,"suffix":""},{"</w:instrText>
      </w:r>
      <w:r>
        <w:rPr>
          <w:rFonts w:ascii="Arial" w:eastAsia="Times New Roman" w:hAnsi="Arial" w:cs="Arial"/>
          <w:color w:val="000000"/>
          <w:lang w:val="en-US" w:eastAsia="de-DE"/>
        </w:rPr>
        <w:instrText>dropping-particle":"","family":"Lagomarsino","given":"Marco Cosentino","non-dropping-particle":"","parse-names":false,"suffix":""},{"dropping-particle":"","family":"Maiuri","given":"Paolo","non-dropping-particle":"","parse-names":false,"suffix":""}],"conta</w:instrText>
      </w:r>
      <w:r>
        <w:rPr>
          <w:rFonts w:ascii="Arial" w:eastAsia="Times New Roman" w:hAnsi="Arial" w:cs="Arial"/>
          <w:color w:val="000000"/>
          <w:lang w:val="en-US" w:eastAsia="de-DE"/>
        </w:rPr>
        <w:instrText>iner-title":"bioRxiv","id":"ITEM-1","issued":{"date-parts":[["2022","6","7"]]},"page":"2022.06.07.494975","publisher":"Cold Spring Harbor Laboratory","title":"Force-biased nuclear import sets nuclear-cytoplasmic volumetric coupling by osmosis","type":"arti</w:instrText>
      </w:r>
      <w:r>
        <w:rPr>
          <w:rFonts w:ascii="Arial" w:eastAsia="Times New Roman" w:hAnsi="Arial" w:cs="Arial"/>
          <w:color w:val="000000"/>
          <w:lang w:val="en-US" w:eastAsia="de-DE"/>
        </w:rPr>
        <w:instrText>cle-journal"},"uris":["http://www.mendeley.com/documents/?uuid=b28e78be-c944-3ea2-abac-1f167b7a759a"]}],"mendeley":{"formattedCitation":"&lt;sup&gt;122&lt;/sup&gt;","plainTextFormattedCitation":"122","previouslyFormattedCitation":"&lt;sup&gt;122&lt;/sup&gt;"},"properties":{"noteI</w:instrText>
      </w:r>
      <w:r>
        <w:rPr>
          <w:rFonts w:ascii="Arial" w:eastAsia="Times New Roman" w:hAnsi="Arial" w:cs="Arial"/>
          <w:color w:val="000000"/>
          <w:lang w:val="en-US" w:eastAsia="de-DE"/>
        </w:rPr>
        <w:instrText>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122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55934DA7" w14:textId="77777777" w:rsidR="00066D11" w:rsidRDefault="00066D11">
      <w:pPr>
        <w:spacing w:after="0" w:line="240" w:lineRule="auto"/>
        <w:jc w:val="both"/>
        <w:rPr>
          <w:rFonts w:ascii="Arial" w:eastAsia="Times New Roman" w:hAnsi="Arial" w:cs="Arial"/>
          <w:lang w:val="en-US" w:eastAsia="de-DE"/>
        </w:rPr>
      </w:pPr>
    </w:p>
    <w:p w14:paraId="0F16E2CD"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3.2 Nucleolus</w:t>
      </w:r>
    </w:p>
    <w:p w14:paraId="7C0791DC" w14:textId="77777777" w:rsidR="00066D11" w:rsidRDefault="00066D11">
      <w:pPr>
        <w:spacing w:after="0" w:line="240" w:lineRule="auto"/>
        <w:jc w:val="both"/>
        <w:rPr>
          <w:rFonts w:ascii="Arial" w:eastAsia="Times New Roman" w:hAnsi="Arial" w:cs="Arial"/>
          <w:lang w:val="en-US" w:eastAsia="de-DE"/>
        </w:rPr>
      </w:pPr>
    </w:p>
    <w:p w14:paraId="49739863"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Besides the nucleus itself, also the size of the nucleolus scales with cell size. Using </w:t>
      </w:r>
      <w:r>
        <w:rPr>
          <w:rFonts w:ascii="Arial" w:eastAsia="Times New Roman" w:hAnsi="Arial" w:cs="Arial"/>
          <w:i/>
          <w:iCs/>
          <w:color w:val="000000"/>
          <w:lang w:val="en-US" w:eastAsia="de-DE"/>
        </w:rPr>
        <w:t xml:space="preserve">Caenorhabditis elegans </w:t>
      </w:r>
      <w:r>
        <w:rPr>
          <w:rFonts w:ascii="Arial" w:eastAsia="Times New Roman" w:hAnsi="Arial" w:cs="Arial"/>
          <w:color w:val="000000"/>
          <w:lang w:val="en-US" w:eastAsia="de-DE"/>
        </w:rPr>
        <w:t>development as a model</w:t>
      </w:r>
      <w:r>
        <w:rPr>
          <w:rFonts w:ascii="Arial" w:eastAsia="Times New Roman" w:hAnsi="Arial" w:cs="Arial"/>
          <w:color w:val="000000"/>
          <w:lang w:val="en-US" w:eastAsia="de-DE"/>
        </w:rPr>
        <w:t>, Weber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{"citationItems":[{"id":"ITEM-1","itemData":{"DOI":"10.1016/j.cub.2015.01.012","ISSN":"1879-0445","PMID":"25702583","abstract":"Just as organ size typically increases with body size, the size of intracellular structures cha</w:instrText>
      </w:r>
      <w:r>
        <w:rPr>
          <w:rFonts w:ascii="Arial" w:eastAsia="Times New Roman" w:hAnsi="Arial" w:cs="Arial"/>
          <w:color w:val="000000"/>
          <w:lang w:val="en-US" w:eastAsia="de-DE"/>
        </w:rPr>
        <w:instrText>nges as cells grow and divide. Indeed, many organelles, such as the nucleus [1, 2], mitochondria [3], mitotic spindle [4, 5], and centrosome [6], exhibit size scaling, a phenomenon in which organelle size depends linearly on cell size. However, the mechani</w:instrText>
      </w:r>
      <w:r>
        <w:rPr>
          <w:rFonts w:ascii="Arial" w:eastAsia="Times New Roman" w:hAnsi="Arial" w:cs="Arial"/>
          <w:color w:val="000000"/>
          <w:lang w:val="en-US" w:eastAsia="de-DE"/>
        </w:rPr>
        <w:instrText>sms of organelle size scaling remain unclear. Here, we show that the size of the nucleolus, a membraneless organelle important for cell-size homeostasis [7], is coupled to cell size by an intracellular phase transition. We find that nucleolar size directly</w:instrText>
      </w:r>
      <w:r>
        <w:rPr>
          <w:rFonts w:ascii="Arial" w:eastAsia="Times New Roman" w:hAnsi="Arial" w:cs="Arial"/>
          <w:color w:val="000000"/>
          <w:lang w:val="en-US" w:eastAsia="de-DE"/>
        </w:rPr>
        <w:instrText xml:space="preserve"> scales with cell size in early C. elegans embryos. Surprisingly, however, when embryo size is altered, we observe inverse scaling: nucleolar size increases in small cells and decreases in large cells. We demonstrate that this seemingly contradictory resul</w:instrText>
      </w:r>
      <w:r>
        <w:rPr>
          <w:rFonts w:ascii="Arial" w:eastAsia="Times New Roman" w:hAnsi="Arial" w:cs="Arial"/>
          <w:color w:val="000000"/>
          <w:lang w:val="en-US" w:eastAsia="de-DE"/>
        </w:rPr>
        <w:instrText xml:space="preserve">t arises from maternal loading of a fixed number rather than a fixed concentration of nucleolar components, which condense into nucleoli only above a threshold concentration. Our results suggest that the physics of phase transitions can dictate whether an </w:instrText>
      </w:r>
      <w:r>
        <w:rPr>
          <w:rFonts w:ascii="Arial" w:eastAsia="Times New Roman" w:hAnsi="Arial" w:cs="Arial"/>
          <w:color w:val="000000"/>
          <w:lang w:val="en-US" w:eastAsia="de-DE"/>
        </w:rPr>
        <w:instrText>organelle assembles, and, if so, its size, providing a mechanistic link between organelle assembly and cell size. Since the nucleolus is known to play a key role in cell growth, this biophysical readout of cell size could provide a novel feedback mechanism</w:instrText>
      </w:r>
      <w:r>
        <w:rPr>
          <w:rFonts w:ascii="Arial" w:eastAsia="Times New Roman" w:hAnsi="Arial" w:cs="Arial"/>
          <w:color w:val="000000"/>
          <w:lang w:val="en-US" w:eastAsia="de-DE"/>
        </w:rPr>
        <w:instrText xml:space="preserve"> for growth control.","author":[{"dropping-particle":"","family":"Weber","given":"Stephanie C","non-dropping-particle":"","parse-names":false,"suffix":""},{"dropping-particle":"","family":"Brangwynne","given":"Clifford P","non-dropping-particle":"","parse-</w:instrText>
      </w:r>
      <w:r>
        <w:rPr>
          <w:rFonts w:ascii="Arial" w:eastAsia="Times New Roman" w:hAnsi="Arial" w:cs="Arial"/>
          <w:color w:val="000000"/>
          <w:lang w:val="en-US" w:eastAsia="de-DE"/>
        </w:rPr>
        <w:instrText>names":false,"suffix":""}],"container-title":"Current biology","id":"ITEM-1","issue":"5","issued":{"date-parts":[["2015","3","2"]]},"page":"641-6","title":"Inverse size scaling of the nucleolus by a concentration-dependent phase transition.","type":"articl</w:instrText>
      </w:r>
      <w:r>
        <w:rPr>
          <w:rFonts w:ascii="Arial" w:eastAsia="Times New Roman" w:hAnsi="Arial" w:cs="Arial"/>
          <w:color w:val="000000"/>
          <w:lang w:val="en-US" w:eastAsia="de-DE"/>
        </w:rPr>
        <w:instrText>e-journal","volume":"25"},"uris":["http://www.mendeley.com/documents/?uuid=647d9d5b-b88c-4f5d-8c5e-c424c0d0047c"]}],"mendeley":{"formattedCitation":"&lt;sup&gt;123&lt;/sup&gt;","plainTextFormattedCitation":"123","previouslyFormattedCitation":"&lt;sup&gt;123&lt;/sup&gt;"},"propert</w:instrText>
      </w:r>
      <w:r>
        <w:rPr>
          <w:rFonts w:ascii="Arial" w:eastAsia="Times New Roman" w:hAnsi="Arial" w:cs="Arial"/>
          <w:color w:val="000000"/>
          <w:lang w:val="en-US" w:eastAsia="de-DE"/>
        </w:rPr>
        <w:instrTex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123</w:t>
      </w:r>
      <w:r>
        <w:rPr>
          <w:rFonts w:ascii="Arial" w:eastAsia="Times New Roman" w:hAnsi="Arial" w:cs="Arial"/>
          <w:color w:val="000000"/>
          <w:lang w:val="en-US" w:eastAsia="de-DE"/>
        </w:rPr>
        <w:fldChar w:fldCharType="end"/>
      </w:r>
      <w:r>
        <w:rPr>
          <w:rFonts w:ascii="Arial" w:eastAsia="Times New Roman" w:hAnsi="Arial" w:cs="Arial"/>
          <w:color w:val="FF0000"/>
          <w:lang w:val="en-US" w:eastAsia="de-DE"/>
        </w:rPr>
        <w:t xml:space="preserve"> </w:t>
      </w:r>
      <w:r>
        <w:rPr>
          <w:rFonts w:ascii="Arial" w:eastAsia="Times New Roman" w:hAnsi="Arial" w:cs="Arial"/>
          <w:color w:val="000000"/>
          <w:lang w:val="en-US" w:eastAsia="de-DE"/>
        </w:rPr>
        <w:t>showed that nucleolar scaling can be explained by a phase separation mechanism of its components. During development, this leads to propor</w:t>
      </w:r>
      <w:r>
        <w:rPr>
          <w:rFonts w:ascii="Arial" w:eastAsia="Times New Roman" w:hAnsi="Arial" w:cs="Arial"/>
          <w:color w:val="000000"/>
          <w:lang w:val="en-US" w:eastAsia="de-DE"/>
        </w:rPr>
        <w:t>tional increase of nucleolar volume with cell volume, even though nuclear volume subscales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{"citationItems":[{"id":"ITEM-1","itemData":{"DOI":"10.1016/j.celrep.2016.09.007","abstract":"Graphical Abstract Highlights d During multicellular </w:instrText>
      </w:r>
      <w:r>
        <w:rPr>
          <w:rFonts w:ascii="Arial" w:eastAsia="Times New Roman" w:hAnsi="Arial" w:cs="Arial"/>
          <w:color w:val="000000"/>
          <w:lang w:val="en-US" w:eastAsia="de-DE"/>
        </w:rPr>
        <w:instrText>growth, the nucleus does not grow as fast as the cell d The nucleolus grows at the same rate as the cell, occupying a constant volume fraction d Changing the volume fraction of the nucleolus results in changes in worm growth d Larger nucleoli result in mor</w:instrText>
      </w:r>
      <w:r>
        <w:rPr>
          <w:rFonts w:ascii="Arial" w:eastAsia="Times New Roman" w:hAnsi="Arial" w:cs="Arial"/>
          <w:color w:val="000000"/>
          <w:lang w:val="en-US" w:eastAsia="de-DE"/>
        </w:rPr>
        <w:instrText>e ribosomes and could be responsible for faster growth In Brief Using the C. elegans intestinal system, Uppaluri et. al. identify distinct size-scaling laws spanning five hierarchical levels of biological organization during larval growth. This quantificat</w:instrText>
      </w:r>
      <w:r>
        <w:rPr>
          <w:rFonts w:ascii="Arial" w:eastAsia="Times New Roman" w:hAnsi="Arial" w:cs="Arial"/>
          <w:color w:val="000000"/>
          <w:lang w:val="en-US" w:eastAsia="de-DE"/>
        </w:rPr>
        <w:instrText xml:space="preserve">ion establishes a connection between the size of a subcellular organelle, the nucleolus, and the whole organism by linking the organelle to worm-growth rate. Their results highlight the importance of organelle size control for organismal function. SUMMARY </w:instrText>
      </w:r>
      <w:r>
        <w:rPr>
          <w:rFonts w:ascii="Arial" w:eastAsia="Times New Roman" w:hAnsi="Arial" w:cs="Arial"/>
          <w:color w:val="000000"/>
          <w:lang w:val="en-US" w:eastAsia="de-DE"/>
        </w:rPr>
        <w:instrText>Multicellular organisms must regulate their growth across the diverse length scales of biological organization , but how this growth is controlled from organ-elle to body, while coordinating interdependent functions at each scale, remains poorly understood</w:instrText>
      </w:r>
      <w:r>
        <w:rPr>
          <w:rFonts w:ascii="Arial" w:eastAsia="Times New Roman" w:hAnsi="Arial" w:cs="Arial"/>
          <w:color w:val="000000"/>
          <w:lang w:val="en-US" w:eastAsia="de-DE"/>
        </w:rPr>
        <w:instrText>. We utilized the C. elegans worm intestine as a model system to identify distinct allometric scaling laws, revealing that the growth of individual structures is differentially regulated during development. We show that the volume of the nucleolus, a subce</w:instrText>
      </w:r>
      <w:r>
        <w:rPr>
          <w:rFonts w:ascii="Arial" w:eastAsia="Times New Roman" w:hAnsi="Arial" w:cs="Arial"/>
          <w:color w:val="000000"/>
          <w:lang w:val="en-US" w:eastAsia="de-DE"/>
        </w:rPr>
        <w:instrText>llular organelle, is directly proportional (isometric) to cell size during larval development. In contrast to findings in a variety of other systems, the size of the nucleus grows more slowly and is hypoallometric to the cell. We further demonstrate that t</w:instrText>
      </w:r>
      <w:r>
        <w:rPr>
          <w:rFonts w:ascii="Arial" w:eastAsia="Times New Roman" w:hAnsi="Arial" w:cs="Arial"/>
          <w:color w:val="000000"/>
          <w:lang w:val="en-US" w:eastAsia="de-DE"/>
        </w:rPr>
        <w:instrText>he relative size of the nucleolus, the site of ribosome biogenesis, is predic-tive of the growth rate of the entire worm. These results highlight the importance of subcellular size for organism-level function in multicellular organisms.","author":[{"droppi</w:instrText>
      </w:r>
      <w:r>
        <w:rPr>
          <w:rFonts w:ascii="Arial" w:eastAsia="Times New Roman" w:hAnsi="Arial" w:cs="Arial"/>
          <w:color w:val="000000"/>
          <w:lang w:val="en-US" w:eastAsia="de-DE"/>
        </w:rPr>
        <w:instrText>ng-particle":"","family":"Uppaluri","given":"Sravanti","non-dropping-particle":"","parse-names":false,"suffix":""},{"dropping-particle":"","family":"Weber","given":"Stephanie C","non-dropping-particle":"","parse-names":false,"suffix":""},{"dropping-particl</w:instrText>
      </w:r>
      <w:r>
        <w:rPr>
          <w:rFonts w:ascii="Arial" w:eastAsia="Times New Roman" w:hAnsi="Arial" w:cs="Arial"/>
          <w:color w:val="000000"/>
          <w:lang w:val="en-US" w:eastAsia="de-DE"/>
        </w:rPr>
        <w:instrText>e":"","family":"Correspondence","given":"Clifford P Brangwynne","non-dropping-particle":"","parse-names":false,"suffix":""},{"dropping-particle":"","family":"Brangwynne","given":"Clifford P","non-dropping-particle":"","parse-names":false,"suffix":""}],"con</w:instrText>
      </w:r>
      <w:r>
        <w:rPr>
          <w:rFonts w:ascii="Arial" w:eastAsia="Times New Roman" w:hAnsi="Arial" w:cs="Arial"/>
          <w:color w:val="000000"/>
          <w:lang w:val="en-US" w:eastAsia="de-DE"/>
        </w:rPr>
        <w:instrText>tainer-title":"Cell Reports","id":"ITEM-1","issued":{"date-parts":[["2016"]]},"page":"345-352","title":"Hierarchical Size Scaling during Multicellular Growth and Development","type":"article-journal","volume":"17"},"uris":["http://www.mendeley.com/document</w:instrText>
      </w:r>
      <w:r>
        <w:rPr>
          <w:rFonts w:ascii="Arial" w:eastAsia="Times New Roman" w:hAnsi="Arial" w:cs="Arial"/>
          <w:color w:val="000000"/>
          <w:lang w:val="en-US" w:eastAsia="de-DE"/>
        </w:rPr>
        <w:instrText>s/?uuid=ac64344e-46f3-378c-91a9-4570e9efde7e"]}],"mendeley":{"formattedCitation":"&lt;sup&gt;124&lt;/sup&gt;","plainTextFormattedCitation":"124","previouslyFormattedCitation":"&lt;sup&gt;124&lt;/sup&gt;"},"properties":{"noteIndex":0},"schema":"https://github.com/citation-style-la</w:instrText>
      </w:r>
      <w:r>
        <w:rPr>
          <w:rFonts w:ascii="Arial" w:eastAsia="Times New Roman" w:hAnsi="Arial" w:cs="Arial"/>
          <w:color w:val="000000"/>
          <w:lang w:val="en-US" w:eastAsia="de-DE"/>
        </w:rPr>
        <w:instrText>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124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Highlighting the importance of nucleolar size regulation, and consistent with its role in ribosome biogenesis, organismal growth rate depends on the size of the nucleolus relative to the cell.</w:t>
      </w:r>
    </w:p>
    <w:p w14:paraId="72A9E45B" w14:textId="77777777" w:rsidR="00066D11" w:rsidRDefault="00066D11">
      <w:pPr>
        <w:spacing w:after="0" w:line="240" w:lineRule="auto"/>
        <w:jc w:val="both"/>
        <w:rPr>
          <w:rFonts w:ascii="Arial" w:eastAsia="Times New Roman" w:hAnsi="Arial" w:cs="Arial"/>
          <w:lang w:val="en-US" w:eastAsia="de-DE"/>
        </w:rPr>
      </w:pPr>
    </w:p>
    <w:p w14:paraId="7AAA6174"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3.3 Mitoch</w:t>
      </w:r>
      <w:r>
        <w:rPr>
          <w:rFonts w:ascii="Arial" w:eastAsia="Times New Roman" w:hAnsi="Arial" w:cs="Arial"/>
          <w:b/>
          <w:bCs/>
          <w:color w:val="000000"/>
          <w:lang w:val="en-US" w:eastAsia="de-DE"/>
        </w:rPr>
        <w:t>ondria and chloroplasts</w:t>
      </w:r>
    </w:p>
    <w:p w14:paraId="75699CA5" w14:textId="77777777" w:rsidR="00066D11" w:rsidRDefault="00066D11">
      <w:pPr>
        <w:spacing w:after="0" w:line="240" w:lineRule="auto"/>
        <w:jc w:val="both"/>
        <w:rPr>
          <w:rFonts w:ascii="Arial" w:eastAsia="Times New Roman" w:hAnsi="Arial" w:cs="Arial"/>
          <w:lang w:val="en-US" w:eastAsia="de-DE"/>
        </w:rPr>
      </w:pPr>
    </w:p>
    <w:p w14:paraId="6FAB495E"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Mitochondria and chloroplasts are thought to have originated from endosymbiotic uptake of an </w:t>
      </w:r>
      <w:proofErr w:type="spellStart"/>
      <w:r>
        <w:rPr>
          <w:rFonts w:ascii="Arial" w:eastAsia="Times New Roman" w:hAnsi="Arial" w:cs="Arial"/>
          <w:color w:val="000000"/>
          <w:lang w:val="en-US" w:eastAsia="de-DE"/>
        </w:rPr>
        <w:t>alphaproteobacterium</w:t>
      </w:r>
      <w:proofErr w:type="spellEnd"/>
      <w:r>
        <w:rPr>
          <w:rFonts w:ascii="Arial" w:eastAsia="Times New Roman" w:hAnsi="Arial" w:cs="Arial"/>
          <w:color w:val="000000"/>
          <w:lang w:val="en-US" w:eastAsia="de-DE"/>
        </w:rPr>
        <w:t xml:space="preserve"> and a cyanobacterium, respectively. They both still maintain their </w:t>
      </w:r>
      <w:r>
        <w:rPr>
          <w:rFonts w:ascii="Arial" w:eastAsia="Times New Roman" w:hAnsi="Arial" w:cs="Arial"/>
          <w:color w:val="000000"/>
          <w:lang w:val="en-US" w:eastAsia="de-DE"/>
        </w:rPr>
        <w:lastRenderedPageBreak/>
        <w:t>own genome, which often is present in multiple copies. Accordingly, proliferating cells need to coordinate growth of mitochondria and chloroplasts, as well as replication of their respecti</w:t>
      </w:r>
      <w:r>
        <w:rPr>
          <w:rFonts w:ascii="Arial" w:eastAsia="Times New Roman" w:hAnsi="Arial" w:cs="Arial"/>
          <w:color w:val="000000"/>
          <w:lang w:val="en-US" w:eastAsia="de-DE"/>
        </w:rPr>
        <w:t>ve DNA with cell growth and division. One intuitive strategy to maintain stable concentrations of an endosymbiont is for the host cell to control endosymbiont division and directly couple it to its own cell cycle. Indeed, tight coupling to the host cell cy</w:t>
      </w:r>
      <w:r>
        <w:rPr>
          <w:rFonts w:ascii="Arial" w:eastAsia="Times New Roman" w:hAnsi="Arial" w:cs="Arial"/>
          <w:color w:val="000000"/>
          <w:lang w:val="en-US" w:eastAsia="de-DE"/>
        </w:rPr>
        <w:t xml:space="preserve">cle has been observed for the division of the endosymbiont of the </w:t>
      </w:r>
      <w:proofErr w:type="spellStart"/>
      <w:r>
        <w:rPr>
          <w:rFonts w:ascii="Arial" w:eastAsia="Times New Roman" w:hAnsi="Arial" w:cs="Arial"/>
          <w:color w:val="000000"/>
          <w:lang w:val="en-US" w:eastAsia="de-DE"/>
        </w:rPr>
        <w:t>trypanosomatid</w:t>
      </w:r>
      <w:proofErr w:type="spellEnd"/>
      <w:r>
        <w:rPr>
          <w:rFonts w:ascii="Arial" w:eastAsia="Times New Roman" w:hAnsi="Arial" w:cs="Arial"/>
          <w:color w:val="000000"/>
          <w:lang w:val="en-US" w:eastAsia="de-DE"/>
        </w:rPr>
        <w:t xml:space="preserve"> </w:t>
      </w:r>
      <w:proofErr w:type="spellStart"/>
      <w:r>
        <w:rPr>
          <w:rFonts w:ascii="Arial" w:eastAsia="Times New Roman" w:hAnsi="Arial" w:cs="Arial"/>
          <w:i/>
          <w:iCs/>
          <w:color w:val="000000"/>
          <w:lang w:val="en-US" w:eastAsia="de-DE"/>
        </w:rPr>
        <w:t>Angonomas</w:t>
      </w:r>
      <w:proofErr w:type="spellEnd"/>
      <w:r>
        <w:rPr>
          <w:rFonts w:ascii="Arial" w:eastAsia="Times New Roman" w:hAnsi="Arial" w:cs="Arial"/>
          <w:i/>
          <w:iCs/>
          <w:color w:val="000000"/>
          <w:lang w:val="en-US" w:eastAsia="de-DE"/>
        </w:rPr>
        <w:t xml:space="preserve"> deanei</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{"citationItems":[{"id":"ITEM-1","itemData":{"DOI":"10.1016/J.CUB.2022.11.020","ISSN":"1879-0445","PMID":"36480982","abstract":"The trypanos</w:instrText>
      </w:r>
      <w:r>
        <w:rPr>
          <w:rFonts w:ascii="Arial" w:eastAsia="Times New Roman" w:hAnsi="Arial" w:cs="Arial"/>
          <w:i/>
          <w:iCs/>
          <w:color w:val="000000"/>
          <w:lang w:val="en-US" w:eastAsia="de-DE"/>
        </w:rPr>
        <w:instrText>omatid Angomonas deanei is a model to study endosymbiosis. Each cell contains a single β-proteobacterial endosymbiont that divides at a defined point in the host cell cycle and contributes essential metabolites to the host metabolism. Additionally, one end</w:instrText>
      </w:r>
      <w:r>
        <w:rPr>
          <w:rFonts w:ascii="Arial" w:eastAsia="Times New Roman" w:hAnsi="Arial" w:cs="Arial"/>
          <w:i/>
          <w:iCs/>
          <w:color w:val="000000"/>
          <w:lang w:val="en-US" w:eastAsia="de-DE"/>
        </w:rPr>
        <w:instrText>osymbiont gene, encoding an ornithine cyclodeaminase (OCD), was transferred by endosymbiotic gene transfer (EGT) to the nucleus. However, the molecular mechanisms mediating the intricate host/symbiont interactions are largely unexplored. Here, we used prot</w:instrText>
      </w:r>
      <w:r>
        <w:rPr>
          <w:rFonts w:ascii="Arial" w:eastAsia="Times New Roman" w:hAnsi="Arial" w:cs="Arial"/>
          <w:i/>
          <w:iCs/>
          <w:color w:val="000000"/>
          <w:lang w:val="en-US" w:eastAsia="de-DE"/>
        </w:rPr>
        <w:instrText>ein mass spectrometry to identify nucleus-encoded proteins that co-purify with the endosymbiont. Expression of fluorescent fusion constructs of these proteins in A. deanei confirmed seven host proteins to be recruited to specific sites within the endosymbi</w:instrText>
      </w:r>
      <w:r>
        <w:rPr>
          <w:rFonts w:ascii="Arial" w:eastAsia="Times New Roman" w:hAnsi="Arial" w:cs="Arial"/>
          <w:i/>
          <w:iCs/>
          <w:color w:val="000000"/>
          <w:lang w:val="en-US" w:eastAsia="de-DE"/>
        </w:rPr>
        <w:instrText>ont. These endosymbiont-targeted proteins (ETPs) include two proteins annotated as dynamin-like protein and peptidoglycan hydrolase that form a ring-shaped structure around the endosymbiont division site that remarkably resembles organellar division machin</w:instrText>
      </w:r>
      <w:r>
        <w:rPr>
          <w:rFonts w:ascii="Arial" w:eastAsia="Times New Roman" w:hAnsi="Arial" w:cs="Arial"/>
          <w:i/>
          <w:iCs/>
          <w:color w:val="000000"/>
          <w:lang w:val="en-US" w:eastAsia="de-DE"/>
        </w:rPr>
        <w:instrText>eries. The EGT-derived OCD was not among the ETPs, but instead localizes to the glycosome, likely enabling proline production in the glycosome. We hypothesize that recalibration of the metabolic capacity of the glycosomes that are closely associated with t</w:instrText>
      </w:r>
      <w:r>
        <w:rPr>
          <w:rFonts w:ascii="Arial" w:eastAsia="Times New Roman" w:hAnsi="Arial" w:cs="Arial"/>
          <w:i/>
          <w:iCs/>
          <w:color w:val="000000"/>
          <w:lang w:val="en-US" w:eastAsia="de-DE"/>
        </w:rPr>
        <w:instrText>he endosymbiont helps to supply the endosymbiont with metabolites it is auxotrophic for and thus supports the integration of host and endosymbiont metabolic networks. Hence, scrutiny of endosymbiosis-induced protein re-localization patterns in A. deanei yi</w:instrText>
      </w:r>
      <w:r>
        <w:rPr>
          <w:rFonts w:ascii="Arial" w:eastAsia="Times New Roman" w:hAnsi="Arial" w:cs="Arial"/>
          <w:i/>
          <w:iCs/>
          <w:color w:val="000000"/>
          <w:lang w:val="en-US" w:eastAsia="de-DE"/>
        </w:rPr>
        <w:instrText>elded profound insights into how an endosymbiotic relationship can stabilize and deepen over time far beyond the level of metabolite exchange.","author":[{"dropping-particle":"","family":"Morales","given":"Jorge","non-dropping-particle":"","parse-names":fa</w:instrText>
      </w:r>
      <w:r>
        <w:rPr>
          <w:rFonts w:ascii="Arial" w:eastAsia="Times New Roman" w:hAnsi="Arial" w:cs="Arial"/>
          <w:i/>
          <w:iCs/>
          <w:color w:val="000000"/>
          <w:lang w:val="en-US" w:eastAsia="de-DE"/>
        </w:rPr>
        <w:instrText>lse,"suffix":""},{"dropping-particle":"","family":"Ehret","given":"Georg","non-dropping-particle":"","parse-names":false,"suffix":""},{"dropping-particle":"","family":"Poschmann","given":"Gereon","non-dropping-particle":"","parse-names":false,"suffix":""},</w:instrText>
      </w:r>
      <w:r>
        <w:rPr>
          <w:rFonts w:ascii="Arial" w:eastAsia="Times New Roman" w:hAnsi="Arial" w:cs="Arial"/>
          <w:i/>
          <w:iCs/>
          <w:color w:val="000000"/>
          <w:lang w:val="en-US" w:eastAsia="de-DE"/>
        </w:rPr>
        <w:instrText>{"dropping-particle":"","family":"Reinicke","given":"Tobias","non-dropping-particle":"","parse-names":false,"suffix":""},{"dropping-particle":"","family":"Maurya","given":"Anay K.","non-dropping-particle":"","parse-names":false,"suffix":""},{"dropping-part</w:instrText>
      </w:r>
      <w:r>
        <w:rPr>
          <w:rFonts w:ascii="Arial" w:eastAsia="Times New Roman" w:hAnsi="Arial" w:cs="Arial"/>
          <w:i/>
          <w:iCs/>
          <w:color w:val="000000"/>
          <w:lang w:val="en-US" w:eastAsia="de-DE"/>
        </w:rPr>
        <w:instrText>icle":"","family":"Kröninger","given":"Lena","non-dropping-particle":"","parse-names":false,"suffix":""},{"dropping-particle":"","family":"Zanini","given":"Davide","non-dropping-particle":"","parse-names":false,"suffix":""},{"dropping-particle":"","family"</w:instrText>
      </w:r>
      <w:r>
        <w:rPr>
          <w:rFonts w:ascii="Arial" w:eastAsia="Times New Roman" w:hAnsi="Arial" w:cs="Arial"/>
          <w:i/>
          <w:iCs/>
          <w:color w:val="000000"/>
          <w:lang w:val="en-US" w:eastAsia="de-DE"/>
        </w:rPr>
        <w:instrText>:"Wolters","given":"Rebecca","non-dropping-particle":"","parse-names":false,"suffix":""},{"dropping-particle":"","family":"Kalyanaraman","given":"Dhevi","non-dropping-particle":"","parse-names":false,"suffix":""},{"dropping-particle":"","family":"Krakovka"</w:instrText>
      </w:r>
      <w:r>
        <w:rPr>
          <w:rFonts w:ascii="Arial" w:eastAsia="Times New Roman" w:hAnsi="Arial" w:cs="Arial"/>
          <w:i/>
          <w:iCs/>
          <w:color w:val="000000"/>
          <w:lang w:val="en-US" w:eastAsia="de-DE"/>
        </w:rPr>
        <w:instrText>,"given":"Michael","non-dropping-particle":"","parse-names":false,"suffix":""},{"dropping-particle":"","family":"Bäumers","given":"Miriam","non-dropping-particle":"","parse-names":false,"suffix":""},{"dropping-particle":"","family":"Stühler","given":"Kai",</w:instrText>
      </w:r>
      <w:r>
        <w:rPr>
          <w:rFonts w:ascii="Arial" w:eastAsia="Times New Roman" w:hAnsi="Arial" w:cs="Arial"/>
          <w:i/>
          <w:iCs/>
          <w:color w:val="000000"/>
          <w:lang w:val="en-US" w:eastAsia="de-DE"/>
        </w:rPr>
        <w:instrText>"non-dropping-particle":"","parse-names":false,"suffix":""},{"dropping-particle":"","family":"Nowack","given":"Eva C.M.","non-dropping-particle":"","parse-names":false,"suffix":""}],"container-title":"Current biology : CB","id":"ITEM-1","issue":"1","issued</w:instrText>
      </w:r>
      <w:r>
        <w:rPr>
          <w:rFonts w:ascii="Arial" w:eastAsia="Times New Roman" w:hAnsi="Arial" w:cs="Arial"/>
          <w:i/>
          <w:iCs/>
          <w:color w:val="000000"/>
          <w:lang w:val="en-US" w:eastAsia="de-DE"/>
        </w:rPr>
        <w:instrText>":{"date-parts":[["2023","1","9"]]},"page":"28-40.e7","publisher":"Curr Biol","title":"Host-symbiont interactions in Angomonas deanei include the evolution of a host-derived dynamin ring around the endosymbiont division site","type":"article-journal","volu</w:instrText>
      </w:r>
      <w:r>
        <w:rPr>
          <w:rFonts w:ascii="Arial" w:eastAsia="Times New Roman" w:hAnsi="Arial" w:cs="Arial"/>
          <w:i/>
          <w:iCs/>
          <w:color w:val="000000"/>
          <w:lang w:val="en-US" w:eastAsia="de-DE"/>
        </w:rPr>
        <w:instrText>me":"33"},"uris":["http://www.mendeley.com/documents/?uuid=2b685c80-f74a-36e1-96b0-98bc1cbc8dc6"]}],"mendeley":{"formattedCitation":"&lt;sup&gt;125&lt;/sup&gt;","plainTextFormattedCitation":"125","previouslyFormattedCitation":"&lt;sup&gt;125&lt;/sup&gt;"},"properties":{"noteIndex</w:instrText>
      </w:r>
      <w:r>
        <w:rPr>
          <w:rFonts w:ascii="Arial" w:eastAsia="Times New Roman" w:hAnsi="Arial" w:cs="Arial"/>
          <w:i/>
          <w:iCs/>
          <w:color w:val="000000"/>
          <w:lang w:val="en-US" w:eastAsia="de-DE"/>
        </w:rPr>
        <w:instrText>":0},"schema":"https://github.com/citation-style-language/schema/raw/master/csl-citation.json"}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125</w:t>
      </w:r>
      <w:r>
        <w:rPr>
          <w:rFonts w:ascii="Arial" w:eastAsia="Times New Roman" w:hAnsi="Arial" w:cs="Arial"/>
          <w:i/>
          <w:iCs/>
          <w:color w:val="000000"/>
          <w:lang w:val="en-US" w:eastAsia="de-DE"/>
        </w:rPr>
        <w:fldChar w:fldCharType="end"/>
      </w:r>
      <w:r>
        <w:rPr>
          <w:rFonts w:ascii="Arial" w:eastAsia="Times New Roman" w:hAnsi="Arial" w:cs="Arial"/>
          <w:iCs/>
          <w:color w:val="000000"/>
          <w:lang w:val="en-US" w:eastAsia="de-DE"/>
        </w:rPr>
        <w:t>,</w:t>
      </w:r>
      <w:r>
        <w:rPr>
          <w:rFonts w:ascii="Arial" w:eastAsia="Times New Roman" w:hAnsi="Arial" w:cs="Arial"/>
          <w:i/>
          <w:iCs/>
          <w:color w:val="000000"/>
          <w:lang w:val="en-US" w:eastAsia="de-DE"/>
        </w:rPr>
        <w:t xml:space="preserve"> </w:t>
      </w:r>
      <w:r>
        <w:rPr>
          <w:rFonts w:ascii="Arial" w:eastAsia="Times New Roman" w:hAnsi="Arial" w:cs="Arial"/>
          <w:color w:val="000000"/>
          <w:lang w:val="en-US" w:eastAsia="de-DE"/>
        </w:rPr>
        <w:t xml:space="preserve">and chromatophores of </w:t>
      </w:r>
      <w:proofErr w:type="spellStart"/>
      <w:r>
        <w:rPr>
          <w:rFonts w:ascii="Arial" w:eastAsia="Times New Roman" w:hAnsi="Arial" w:cs="Arial"/>
          <w:i/>
          <w:iCs/>
          <w:color w:val="000000"/>
          <w:lang w:val="en-US" w:eastAsia="de-DE"/>
        </w:rPr>
        <w:t>Paulinella</w:t>
      </w:r>
      <w:proofErr w:type="spellEnd"/>
      <w:r>
        <w:rPr>
          <w:rFonts w:ascii="Arial" w:eastAsia="Times New Roman" w:hAnsi="Arial" w:cs="Arial"/>
          <w:i/>
          <w:iCs/>
          <w:color w:val="000000"/>
          <w:lang w:val="en-US" w:eastAsia="de-DE"/>
        </w:rPr>
        <w:t xml:space="preserve"> chromatophora</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{"citationItems":[{"id":"ITEM-1","itemData":{"DOI":"10.1016/J.CUB.2008.02.051","ISSN":"0960-9822","PMID":"18356055","abstract":"Background: It is commonly accepted that a single primary endosymbiosis gave rise to the photosynthetic organelles of plants, th</w:instrText>
      </w:r>
      <w:r>
        <w:rPr>
          <w:rFonts w:ascii="Arial" w:eastAsia="Times New Roman" w:hAnsi="Arial" w:cs="Arial"/>
          <w:color w:val="000000"/>
          <w:lang w:val="en-US" w:eastAsia="de-DE"/>
        </w:rPr>
        <w:instrText>e plastids. Recently, we presented evidence that photosynthetic inclusions, termed \"chromatophores,\" present in the filose thecamoeba Paulinella chromatophora originated from an independent, more recent primary endosymbiotic event. To clarify metabolic c</w:instrText>
      </w:r>
      <w:r>
        <w:rPr>
          <w:rFonts w:ascii="Arial" w:eastAsia="Times New Roman" w:hAnsi="Arial" w:cs="Arial"/>
          <w:color w:val="000000"/>
          <w:lang w:val="en-US" w:eastAsia="de-DE"/>
        </w:rPr>
        <w:instrText>apabilities of the chromatophore and its state of integration into the host, we present here the complete genome sequence of the chromatophore. Results: Our data reveal a fundamental reduction of the chromatophore genome. The single, circular chromosome of</w:instrText>
      </w:r>
      <w:r>
        <w:rPr>
          <w:rFonts w:ascii="Arial" w:eastAsia="Times New Roman" w:hAnsi="Arial" w:cs="Arial"/>
          <w:color w:val="000000"/>
          <w:lang w:val="en-US" w:eastAsia="de-DE"/>
        </w:rPr>
        <w:instrText xml:space="preserve"> 1.02 Mb encodes 867 protein-coding genes and is, therewith, the smallest cyanobacterial genome reported to date. Compared to Synechococcus WH5701, a free-living relative of the chromatophore, only 26% of the genes were retained. Eleven putative pseudogene</w:instrText>
      </w:r>
      <w:r>
        <w:rPr>
          <w:rFonts w:ascii="Arial" w:eastAsia="Times New Roman" w:hAnsi="Arial" w:cs="Arial"/>
          <w:color w:val="000000"/>
          <w:lang w:val="en-US" w:eastAsia="de-DE"/>
        </w:rPr>
        <w:instrText xml:space="preserve">s were identified, indicating that reductive genome evolution is ongoing. Although the chromatophore genome contains a complete set of photosynthesis genes, it lacks not only genes thought to be dispensable for an intracellular lifestyle but also genes of </w:instrText>
      </w:r>
      <w:r>
        <w:rPr>
          <w:rFonts w:ascii="Arial" w:eastAsia="Times New Roman" w:hAnsi="Arial" w:cs="Arial"/>
          <w:color w:val="000000"/>
          <w:lang w:val="en-US" w:eastAsia="de-DE"/>
        </w:rPr>
        <w:instrText>essential pathways for amino acid and cofactor synthesis. Conclusions: Our data characterize the chromatophore as a photosynthetic entity that is absolutely dependent on its host for growth and survival. Thus, the chromatophores of P. chromatophora are the</w:instrText>
      </w:r>
      <w:r>
        <w:rPr>
          <w:rFonts w:ascii="Arial" w:eastAsia="Times New Roman" w:hAnsi="Arial" w:cs="Arial"/>
          <w:color w:val="000000"/>
          <w:lang w:val="en-US" w:eastAsia="de-DE"/>
        </w:rPr>
        <w:instrText xml:space="preserve"> only known cyanobacterial descendants besides plastids with a significantly reduced genome that confer photosynthesis to their eukaryotic host. Their comparison with plastids and bacterial endosymbionts of invertebrates sheds light on early steps of the i</w:instrText>
      </w:r>
      <w:r>
        <w:rPr>
          <w:rFonts w:ascii="Arial" w:eastAsia="Times New Roman" w:hAnsi="Arial" w:cs="Arial"/>
          <w:color w:val="000000"/>
          <w:lang w:val="en-US" w:eastAsia="de-DE"/>
        </w:rPr>
        <w:instrText>ntegration of a photosynthetic prokaryote into a eukaryotic cell. © 2008 Elsevier Ltd. All rights reserved.","author":[{"dropping-particle":"","family":"Nowack","given":"Eva C.M.","non-dropping-particle":"","parse-names":false,"suffix":""},{"dropping-parti</w:instrText>
      </w:r>
      <w:r>
        <w:rPr>
          <w:rFonts w:ascii="Arial" w:eastAsia="Times New Roman" w:hAnsi="Arial" w:cs="Arial"/>
          <w:color w:val="000000"/>
          <w:lang w:val="en-US" w:eastAsia="de-DE"/>
        </w:rPr>
        <w:instrText xml:space="preserve">cle":"","family":"Melkonian","given":"Michael","non-dropping-particle":"","parse-names":false,"suffix":""},{"dropping-particle":"","family":"Glöckner","given":"Gernot","non-dropping-particle":"","parse-names":false,"suffix":""}],"container-title":"Current </w:instrText>
      </w:r>
      <w:r>
        <w:rPr>
          <w:rFonts w:ascii="Arial" w:eastAsia="Times New Roman" w:hAnsi="Arial" w:cs="Arial"/>
          <w:color w:val="000000"/>
          <w:lang w:val="en-US" w:eastAsia="de-DE"/>
        </w:rPr>
        <w:instrText>biology : CB","id":"ITEM-1","issue":"6","issued":{"date-parts":[["2008","3","25"]]},"page":"410-418","publisher":"Curr Biol","title":"Chromatophore genome sequence of Paulinella sheds light on acquisition of photosynthesis by eukaryotes","type":"article-jo</w:instrText>
      </w:r>
      <w:r>
        <w:rPr>
          <w:rFonts w:ascii="Arial" w:eastAsia="Times New Roman" w:hAnsi="Arial" w:cs="Arial"/>
          <w:color w:val="000000"/>
          <w:lang w:val="en-US" w:eastAsia="de-DE"/>
        </w:rPr>
        <w:instrText>urnal","volume":"18"},"uris":["http://www.mendeley.com/documents/?uuid=fdcdbe50-5163-3efb-88c6-3141493343ea"]}],"mendeley":{"formattedCitation":"&lt;sup&gt;126&lt;/sup&gt;","plainTextFormattedCitation":"126","previouslyFormattedCitation":"&lt;sup&gt;126&lt;/sup&gt;"},"properties"</w:instrText>
      </w:r>
      <w:r>
        <w:rPr>
          <w:rFonts w:ascii="Arial" w:eastAsia="Times New Roman" w:hAnsi="Arial" w:cs="Arial"/>
          <w:color w:val="000000"/>
          <w:lang w:val="en-US" w:eastAsia="de-DE"/>
        </w:rPr>
        <w:instrText>:{"noteIndex":0},"schema":"https://github.com/citation-style-language/schema/raw/master/csl-citation.json"}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126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latter are the only photosynthetic organelles which originated from a primary endosymbiotic event separate from the origin of chloroplast</w:t>
      </w:r>
      <w:r>
        <w:rPr>
          <w:rFonts w:ascii="Arial" w:eastAsia="Times New Roman" w:hAnsi="Arial" w:cs="Arial"/>
          <w:color w:val="000000"/>
          <w:lang w:val="en-US" w:eastAsia="de-DE"/>
        </w:rPr>
        <w:t xml:space="preserve">s. For some species, including the </w:t>
      </w:r>
      <w:proofErr w:type="spellStart"/>
      <w:r>
        <w:rPr>
          <w:rFonts w:ascii="Arial" w:eastAsia="Times New Roman" w:hAnsi="Arial" w:cs="Arial"/>
          <w:color w:val="000000"/>
          <w:lang w:val="en-US" w:eastAsia="de-DE"/>
        </w:rPr>
        <w:t>kinetoplastid</w:t>
      </w:r>
      <w:proofErr w:type="spellEnd"/>
      <w:r>
        <w:rPr>
          <w:rFonts w:ascii="Arial" w:eastAsia="Times New Roman" w:hAnsi="Arial" w:cs="Arial"/>
          <w:color w:val="000000"/>
          <w:lang w:val="en-US" w:eastAsia="de-DE"/>
        </w:rPr>
        <w:t xml:space="preserve"> </w:t>
      </w:r>
      <w:r>
        <w:rPr>
          <w:rFonts w:ascii="Arial" w:eastAsia="Times New Roman" w:hAnsi="Arial" w:cs="Arial"/>
          <w:i/>
          <w:iCs/>
          <w:color w:val="000000"/>
          <w:lang w:val="en-US" w:eastAsia="de-DE"/>
        </w:rPr>
        <w:t>Trypanosoma brucei</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{"citationItems":[{"id":"ITEM-1","itemData":{"DOI":"10.1242/jcs.95.1.49","ISSN":"00219533","PMID":"2190996","abstract":"We have used immunofluorescent detection of 5-brom</w:instrText>
      </w:r>
      <w:r>
        <w:rPr>
          <w:rFonts w:ascii="Arial" w:eastAsia="Times New Roman" w:hAnsi="Arial" w:cs="Arial"/>
          <w:i/>
          <w:iCs/>
          <w:color w:val="000000"/>
          <w:lang w:val="en-US" w:eastAsia="de-DE"/>
        </w:rPr>
        <w:instrText>o-2-deoxyuridine-substituted DNA in order to determine the timing of initiation and the duration of nuclear and kinetoplast S-phases within the procyclic stage of the Trypanosoma brucei cell cycle. Both nuclear and kinetoplast S-phases were shown to be per</w:instrText>
      </w:r>
      <w:r>
        <w:rPr>
          <w:rFonts w:ascii="Arial" w:eastAsia="Times New Roman" w:hAnsi="Arial" w:cs="Arial"/>
          <w:i/>
          <w:iCs/>
          <w:color w:val="000000"/>
          <w:lang w:val="en-US" w:eastAsia="de-DE"/>
        </w:rPr>
        <w:instrText>iodic, occupying 0.18 and 0.12 of the unit cell cycle, respectively. In addition, initiation of both of these S-phases were in approximate synchrony, differing by only 0.03 of the unit cell cycle. We have also used a monoclonal antibody that recognises the</w:instrText>
      </w:r>
      <w:r>
        <w:rPr>
          <w:rFonts w:ascii="Arial" w:eastAsia="Times New Roman" w:hAnsi="Arial" w:cs="Arial"/>
          <w:i/>
          <w:iCs/>
          <w:color w:val="000000"/>
          <w:lang w:val="en-US" w:eastAsia="de-DE"/>
        </w:rPr>
        <w:instrText xml:space="preserve"> basal bodies of T. brucei in order to visualise cells possessing a new pro-basal body and hence determine the time of pro-basal body formation within the cell cycle. Pro-basal body formation occurred within a few minutes of the initiation of nuclear S-pha</w:instrText>
      </w:r>
      <w:r>
        <w:rPr>
          <w:rFonts w:ascii="Arial" w:eastAsia="Times New Roman" w:hAnsi="Arial" w:cs="Arial"/>
          <w:i/>
          <w:iCs/>
          <w:color w:val="000000"/>
          <w:lang w:val="en-US" w:eastAsia="de-DE"/>
        </w:rPr>
        <w:instrText>se, at 0.41 of the unit cell cycle. This provides detection of the earliest known cell cycle event in T. brucei at the level of the light microscope. Cell cycle events including initiation of nuclear and kinetoplast DNA replication and pro-basal body forma</w:instrText>
      </w:r>
      <w:r>
        <w:rPr>
          <w:rFonts w:ascii="Arial" w:eastAsia="Times New Roman" w:hAnsi="Arial" w:cs="Arial"/>
          <w:i/>
          <w:iCs/>
          <w:color w:val="000000"/>
          <w:lang w:val="en-US" w:eastAsia="de-DE"/>
        </w:rPr>
        <w:instrText>tion may be strictly coordinated in T. brucei in order to maintain the precise single-mitochondrion (kinetoplast), single-flagellum status of the interphase cell.","author":[{"dropping-particle":"","family":"Woodward","given":"R.","non-dropping-particle":"</w:instrText>
      </w:r>
      <w:r>
        <w:rPr>
          <w:rFonts w:ascii="Arial" w:eastAsia="Times New Roman" w:hAnsi="Arial" w:cs="Arial"/>
          <w:i/>
          <w:iCs/>
          <w:color w:val="000000"/>
          <w:lang w:val="en-US" w:eastAsia="de-DE"/>
        </w:rPr>
        <w:instrText>","parse-names":false,"suffix":""},{"dropping-particle":"","family":"Gull","given":"K.","non-dropping-particle":"","parse-names":false,"suffix":""}],"container-title":"Journal of Cell Science","id":"ITEM-1","issue":"1","issued":{"date-parts":[["1990","1","</w:instrText>
      </w:r>
      <w:r>
        <w:rPr>
          <w:rFonts w:ascii="Arial" w:eastAsia="Times New Roman" w:hAnsi="Arial" w:cs="Arial"/>
          <w:i/>
          <w:iCs/>
          <w:color w:val="000000"/>
          <w:lang w:val="en-US" w:eastAsia="de-DE"/>
        </w:rPr>
        <w:instrText>1"]]},"page":"49-57","publisher":"The Company of Biologists","title":"Timing of nuclear and kinetoplast DNA replication and early morphological events in the cell cycle of Trypanosoma brucei","type":"article-journal","volume":"95"},"uris":["http://www.mend</w:instrText>
      </w:r>
      <w:r>
        <w:rPr>
          <w:rFonts w:ascii="Arial" w:eastAsia="Times New Roman" w:hAnsi="Arial" w:cs="Arial"/>
          <w:i/>
          <w:iCs/>
          <w:color w:val="000000"/>
          <w:lang w:val="en-US" w:eastAsia="de-DE"/>
        </w:rPr>
        <w:instrText>eley.com/documents/?uuid=7750b9c7-a8e8-3804-999d-c6caddee1cfe"]}],"mendeley":{"formattedCitation":"&lt;sup&gt;127&lt;/sup&gt;","plainTextFormattedCitation":"127","previouslyFormattedCitation":"&lt;sup&gt;127&lt;/sup&gt;"},"properties":{"noteIndex":0},"schema":"https://github.com/</w:instrText>
      </w:r>
      <w:r>
        <w:rPr>
          <w:rFonts w:ascii="Arial" w:eastAsia="Times New Roman" w:hAnsi="Arial" w:cs="Arial"/>
          <w:i/>
          <w:iCs/>
          <w:color w:val="000000"/>
          <w:lang w:val="en-US" w:eastAsia="de-DE"/>
        </w:rPr>
        <w:instrText>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127</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cell-cycle dependent mitochondrial DNA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replication and mitochondria division is used as a strategy for mitochondrial homeostasis.</w:t>
      </w:r>
    </w:p>
    <w:p w14:paraId="192A9CDA" w14:textId="77777777" w:rsidR="00066D11" w:rsidRDefault="00066D11">
      <w:pPr>
        <w:spacing w:after="0" w:line="240" w:lineRule="auto"/>
        <w:jc w:val="both"/>
        <w:rPr>
          <w:rFonts w:ascii="Arial" w:eastAsia="Times New Roman" w:hAnsi="Arial" w:cs="Arial"/>
          <w:lang w:val="en-US" w:eastAsia="de-DE"/>
        </w:rPr>
      </w:pPr>
    </w:p>
    <w:p w14:paraId="12D01ADC"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For many eukaryotes, however, mitochondrial fiss</w:t>
      </w:r>
      <w:r>
        <w:rPr>
          <w:rFonts w:ascii="Arial" w:eastAsia="Times New Roman" w:hAnsi="Arial" w:cs="Arial"/>
          <w:color w:val="000000"/>
          <w:lang w:val="en-US" w:eastAsia="de-DE"/>
        </w:rPr>
        <w:t xml:space="preserve">ion and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xml:space="preserve"> replication can occur throughout the cell cycle, allowing cells to regulate the </w:t>
      </w:r>
      <w:proofErr w:type="gramStart"/>
      <w:r>
        <w:rPr>
          <w:rFonts w:ascii="Arial" w:eastAsia="Times New Roman" w:hAnsi="Arial" w:cs="Arial"/>
          <w:color w:val="000000"/>
          <w:lang w:val="en-US" w:eastAsia="de-DE"/>
        </w:rPr>
        <w:t>amount</w:t>
      </w:r>
      <w:proofErr w:type="gramEnd"/>
      <w:r>
        <w:rPr>
          <w:rFonts w:ascii="Arial" w:eastAsia="Times New Roman" w:hAnsi="Arial" w:cs="Arial"/>
          <w:color w:val="000000"/>
          <w:lang w:val="en-US" w:eastAsia="de-DE"/>
        </w:rPr>
        <w:t xml:space="preserve"> of mitochondria depending on cell type and external cues such as nutrient availability. To still achieve stable mitochondrial homeostasis, coupling of mito</w:t>
      </w:r>
      <w:r>
        <w:rPr>
          <w:rFonts w:ascii="Arial" w:eastAsia="Times New Roman" w:hAnsi="Arial" w:cs="Arial"/>
          <w:color w:val="000000"/>
          <w:lang w:val="en-US" w:eastAsia="de-DE"/>
        </w:rPr>
        <w:t>chondrial biogenesis to cell growth provides an alternative strategy to regulation by the host cell cycle. It has been shown in budding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{"citationItems":[{"id":"ITEM-1","itemData":{"DOI":"10.1126/science.1225720","ISSN":"1095-9203",</w:instrText>
      </w:r>
      <w:r>
        <w:rPr>
          <w:rFonts w:ascii="Arial" w:eastAsia="Times New Roman" w:hAnsi="Arial" w:cs="Arial"/>
          <w:color w:val="000000"/>
          <w:lang w:val="en-US" w:eastAsia="de-DE"/>
        </w:rPr>
        <w:instrText>"PMID":"23139336","abstract":"Mitochondria must grow with the growing cell to ensure proper cellular physiology and inheritance upon division. We measured the physical size of mitochondrial networks in budding yeast and found that mitochondrial network siz</w:instrText>
      </w:r>
      <w:r>
        <w:rPr>
          <w:rFonts w:ascii="Arial" w:eastAsia="Times New Roman" w:hAnsi="Arial" w:cs="Arial"/>
          <w:color w:val="000000"/>
          <w:lang w:val="en-US" w:eastAsia="de-DE"/>
        </w:rPr>
        <w:instrText>e increased with increasing cell size and that this scaling relation occurred primarily in the bud. The mitochondria-to-cell size ratio continually decreased in aging mothers over successive generations. However, regardless of the mother's age or mitochond</w:instrText>
      </w:r>
      <w:r>
        <w:rPr>
          <w:rFonts w:ascii="Arial" w:eastAsia="Times New Roman" w:hAnsi="Arial" w:cs="Arial"/>
          <w:color w:val="000000"/>
          <w:lang w:val="en-US" w:eastAsia="de-DE"/>
        </w:rPr>
        <w:instrText>rial content, all buds attained the same average ratio. Thus, yeast populations achieve a stable scaling relation between mitochondrial content and cell size despite asymmetry in inheritance.","author":[{"dropping-particle":"","family":"Rafelski","given":"</w:instrText>
      </w:r>
      <w:r>
        <w:rPr>
          <w:rFonts w:ascii="Arial" w:eastAsia="Times New Roman" w:hAnsi="Arial" w:cs="Arial"/>
          <w:color w:val="000000"/>
          <w:lang w:val="en-US" w:eastAsia="de-DE"/>
        </w:rPr>
        <w:instrText>Susanne M","non-dropping-particle":"","parse-names":false,"suffix":""},{"dropping-particle":"","family":"Viana","given":"Matheus P","non-dropping-particle":"","parse-names":false,"suffix":""},{"dropping-particle":"","family":"Zhang","given":"Yi","non-dropp</w:instrText>
      </w:r>
      <w:r>
        <w:rPr>
          <w:rFonts w:ascii="Arial" w:eastAsia="Times New Roman" w:hAnsi="Arial" w:cs="Arial"/>
          <w:color w:val="000000"/>
          <w:lang w:val="en-US" w:eastAsia="de-DE"/>
        </w:rPr>
        <w:instrText>ing-particle":"","parse-names":false,"suffix":""},{"dropping-particle":"","family":"Chan","given":"Yee-Hung M","non-dropping-particle":"","parse-names":false,"suffix":""},{"dropping-particle":"","family":"Thorn","given":"Kurt S","non-dropping-particle":"",</w:instrText>
      </w:r>
      <w:r>
        <w:rPr>
          <w:rFonts w:ascii="Arial" w:eastAsia="Times New Roman" w:hAnsi="Arial" w:cs="Arial"/>
          <w:color w:val="000000"/>
          <w:lang w:val="en-US" w:eastAsia="de-DE"/>
        </w:rPr>
        <w:instrText>"parse-names":false,"suffix":""},{"dropping-particle":"","family":"Yam","given":"Phoebe","non-dropping-particle":"","parse-names":false,"suffix":""},{"dropping-particle":"","family":"Fung","given":"Jennifer C","non-dropping-particle":"","parse-names":false</w:instrText>
      </w:r>
      <w:r>
        <w:rPr>
          <w:rFonts w:ascii="Arial" w:eastAsia="Times New Roman" w:hAnsi="Arial" w:cs="Arial"/>
          <w:color w:val="000000"/>
          <w:lang w:val="en-US" w:eastAsia="de-DE"/>
        </w:rPr>
        <w:instrText>,"suffix":""},{"dropping-particle":"","family":"Li","given":"Hao","non-dropping-particle":"","parse-names":false,"suffix":""},{"dropping-particle":"","family":"Costa","given":"Luciano da F","non-dropping-particle":"","parse-names":false,"suffix":""},{"drop</w:instrText>
      </w:r>
      <w:r>
        <w:rPr>
          <w:rFonts w:ascii="Arial" w:eastAsia="Times New Roman" w:hAnsi="Arial" w:cs="Arial"/>
          <w:color w:val="000000"/>
          <w:lang w:val="en-US" w:eastAsia="de-DE"/>
        </w:rPr>
        <w:instrText>ping-particle":"","family":"Marshall","given":"Wallace F","non-dropping-particle":"","parse-names":false,"suffix":""}],"container-title":"Science (New York, N.Y.)","id":"ITEM-1","issue":"6108","issued":{"date-parts":[["2012","11","9"]]},"page":"822-4","pub</w:instrText>
      </w:r>
      <w:r>
        <w:rPr>
          <w:rFonts w:ascii="Arial" w:eastAsia="Times New Roman" w:hAnsi="Arial" w:cs="Arial"/>
          <w:color w:val="000000"/>
          <w:lang w:val="en-US" w:eastAsia="de-DE"/>
        </w:rPr>
        <w:instrText>lisher":"American Association for the Advancement of Science","title":"Mitochondrial network size scaling in budding yeast.","type":"article-journal","volume":"338"},"uris":["http://www.mendeley.com/documents/?uuid=3ac02b2c-02ea-3075-92a4-26d863938019"]},{</w:instrText>
      </w:r>
      <w:r>
        <w:rPr>
          <w:rFonts w:ascii="Arial" w:eastAsia="Times New Roman" w:hAnsi="Arial" w:cs="Arial"/>
          <w:color w:val="000000"/>
          <w:lang w:val="en-US" w:eastAsia="de-DE"/>
        </w:rPr>
        <w:instrText>"id":"ITEM-2","itemData":{"DOI":"10.1038/s41594-023-01091-8","ISSN":"15459985","abstract":"To maintain stable DNA concentrations, proliferating cells need to coordinate DNA replication with cell growth. For nuclear DNA, eukaryotic cells achieve this by cou</w:instrText>
      </w:r>
      <w:r>
        <w:rPr>
          <w:rFonts w:ascii="Arial" w:eastAsia="Times New Roman" w:hAnsi="Arial" w:cs="Arial"/>
          <w:color w:val="000000"/>
          <w:lang w:val="en-US" w:eastAsia="de-DE"/>
        </w:rPr>
        <w:instrText>pling DNA replication to cell-cycle progression, ensuring that DNA is doubled exactly once per cell cycle. By contrast, mitochondrial DNA replication is typically not strictly coupled to the cell cycle, leaving the open question of how cells maintain the c</w:instrText>
      </w:r>
      <w:r>
        <w:rPr>
          <w:rFonts w:ascii="Arial" w:eastAsia="Times New Roman" w:hAnsi="Arial" w:cs="Arial"/>
          <w:color w:val="000000"/>
          <w:lang w:val="en-US" w:eastAsia="de-DE"/>
        </w:rPr>
        <w:instrText>orrect amount of mitochondrial DNA during cell growth. Here, we show that in budding yeast, mitochondrial DNA copy number increases with cell volume, both in asynchronously cycling populations and during G1 arrest. Our findings suggest that cell-volume-dep</w:instrText>
      </w:r>
      <w:r>
        <w:rPr>
          <w:rFonts w:ascii="Arial" w:eastAsia="Times New Roman" w:hAnsi="Arial" w:cs="Arial"/>
          <w:color w:val="000000"/>
          <w:lang w:val="en-US" w:eastAsia="de-DE"/>
        </w:rPr>
        <w:instrText>endent mitochondrial DNA maintenance is achieved through nuclear-encoded limiting factors, including the mitochondrial DNA polymerase Mip1 and the packaging factor Abf2, whose amount increases in proportion to cell volume. By directly linking mitochondrial</w:instrText>
      </w:r>
      <w:r>
        <w:rPr>
          <w:rFonts w:ascii="Arial" w:eastAsia="Times New Roman" w:hAnsi="Arial" w:cs="Arial"/>
          <w:color w:val="000000"/>
          <w:lang w:val="en-US" w:eastAsia="de-DE"/>
        </w:rPr>
        <w:instrText xml:space="preserve"> DNA maintenance to nuclear protein synthesis and thus cell growth, constant mitochondrial DNA concentrations can be robustly maintained without a need for cell-cycle-dependent regulation.","author":[{"dropping-particle":"","family":"Seel","given":"Anika",</w:instrText>
      </w:r>
      <w:r>
        <w:rPr>
          <w:rFonts w:ascii="Arial" w:eastAsia="Times New Roman" w:hAnsi="Arial" w:cs="Arial"/>
          <w:color w:val="000000"/>
          <w:lang w:val="en-US" w:eastAsia="de-DE"/>
        </w:rPr>
        <w:instrText>"non-dropping-particle":"","parse-names":false,"suffix":""},{"dropping-particle":"","family":"Padovani","given":"Francesco","non-dropping-particle":"","parse-names":false,"suffix":""},{"dropping-particle":"","family":"Mayer","given":"Moritz","non-dropping-</w:instrText>
      </w:r>
      <w:r>
        <w:rPr>
          <w:rFonts w:ascii="Arial" w:eastAsia="Times New Roman" w:hAnsi="Arial" w:cs="Arial"/>
          <w:color w:val="000000"/>
          <w:lang w:val="en-US" w:eastAsia="de-DE"/>
        </w:rPr>
        <w:instrText>particle":"","parse-names":false,"suffix":""},{"dropping-particle":"","family":"Finster","given":"Alissa","non-dropping-particle":"","parse-names":false,"suffix":""},{"dropping-particle":"","family":"Bureik","given":"Daniela","non-dropping-particle":"","pa</w:instrText>
      </w:r>
      <w:r>
        <w:rPr>
          <w:rFonts w:ascii="Arial" w:eastAsia="Times New Roman" w:hAnsi="Arial" w:cs="Arial"/>
          <w:color w:val="000000"/>
          <w:lang w:val="en-US" w:eastAsia="de-DE"/>
        </w:rPr>
        <w:instrText>rse-names":false,"suffix":""},{"dropping-particle":"","family":"Thoma","given":"Felix","non-dropping-particle":"","parse-names":false,"suffix":""},{"dropping-particle":"","family":"Osman","given":"Christof","non-dropping-particle":"","parse-names":false,"s</w:instrText>
      </w:r>
      <w:r>
        <w:rPr>
          <w:rFonts w:ascii="Arial" w:eastAsia="Times New Roman" w:hAnsi="Arial" w:cs="Arial"/>
          <w:color w:val="000000"/>
          <w:lang w:val="en-US" w:eastAsia="de-DE"/>
        </w:rPr>
        <w:instrText>uffix":""},{"dropping-particle":"","family":"Klecker","given":"Till","non-dropping-particle":"","parse-names":false,"suffix":""},{"dropping-particle":"","family":"Schmoller","given":"Kurt M.","non-dropping-particle":"","parse-names":false,"suffix":""}],"co</w:instrText>
      </w:r>
      <w:r>
        <w:rPr>
          <w:rFonts w:ascii="Arial" w:eastAsia="Times New Roman" w:hAnsi="Arial" w:cs="Arial"/>
          <w:color w:val="000000"/>
          <w:lang w:val="en-US" w:eastAsia="de-DE"/>
        </w:rPr>
        <w:instrText>ntainer-title":"Nature Structural and Molecular Biology","id":"ITEM-2","issued":{"date-parts":[["2023","12","4"]]},"page":"2021.12.03.471050","publisher":"Cold Spring Harbor Laboratory","title":"Regulation with cell size ensures mitochondrial DNA homeostas</w:instrText>
      </w:r>
      <w:r>
        <w:rPr>
          <w:rFonts w:ascii="Arial" w:eastAsia="Times New Roman" w:hAnsi="Arial" w:cs="Arial"/>
          <w:color w:val="000000"/>
          <w:lang w:val="en-US" w:eastAsia="de-DE"/>
        </w:rPr>
        <w:instrText>is during cell growth","type":"article-journal"},"uris":["http://www.mendeley.com/documents/?uuid=6ec6caf1-d82d-3c45-a599-736665863533"]}],"mendeley":{"formattedCitation":"&lt;sup&gt;111,128&lt;/sup&gt;","plainTextFormattedCitation":"111,128","previouslyFormattedCitat</w:instrText>
      </w:r>
      <w:r>
        <w:rPr>
          <w:rFonts w:ascii="Arial" w:eastAsia="Times New Roman" w:hAnsi="Arial" w:cs="Arial"/>
          <w:color w:val="000000"/>
          <w:lang w:val="en-US" w:eastAsia="de-DE"/>
        </w:rPr>
        <w:instrText>ion":"&lt;sup&gt;111,128&lt;/sup&gt;"},"properties":{"noteIndex":0},"schema":"https://github.com/citation-style-language/schema/raw/master/csl-citation.json"}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111,128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insect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{"citationItems":[{"id":"ITEM-1","itemData":{"DOI":"10.1016/j.devcel.2016</w:instrText>
      </w:r>
      <w:r>
        <w:rPr>
          <w:rFonts w:ascii="Arial" w:eastAsia="Times New Roman" w:hAnsi="Arial" w:cs="Arial"/>
          <w:color w:val="000000"/>
          <w:lang w:val="en-US" w:eastAsia="de-DE"/>
        </w:rPr>
        <w:instrText>.09.004","ISSN":"18781551","PMID":"27720611","abstract":"Eukaryotic cells attempt to maintain an optimal size, resulting in size homeostasis. While cellular content scales isometrically with cell size, allometric laws indicate that metabolism per mass unit</w:instrText>
      </w:r>
      <w:r>
        <w:rPr>
          <w:rFonts w:ascii="Arial" w:eastAsia="Times New Roman" w:hAnsi="Arial" w:cs="Arial"/>
          <w:color w:val="000000"/>
          <w:lang w:val="en-US" w:eastAsia="de-DE"/>
        </w:rPr>
        <w:instrText xml:space="preserve"> should decline with increasing size. Here we use elutriation and single-cell flow cytometry to analyze mitochondrial scaling with cell size. While mitochondrial content increases linearly, mitochondrial membrane potential and oxidative phosphorylation are</w:instrText>
      </w:r>
      <w:r>
        <w:rPr>
          <w:rFonts w:ascii="Arial" w:eastAsia="Times New Roman" w:hAnsi="Arial" w:cs="Arial"/>
          <w:color w:val="000000"/>
          <w:lang w:val="en-US" w:eastAsia="de-DE"/>
        </w:rPr>
        <w:instrText xml:space="preserve"> highest at intermediate cell sizes. Thus, mitochondrial content and functional scaling are uncoupled. The nonlinearity of mitochondrial functionality is cell size, not cell cycle, dependent, and it results in an optimal cell size whereby cellular fitness </w:instrText>
      </w:r>
      <w:r>
        <w:rPr>
          <w:rFonts w:ascii="Arial" w:eastAsia="Times New Roman" w:hAnsi="Arial" w:cs="Arial"/>
          <w:color w:val="000000"/>
          <w:lang w:val="en-US" w:eastAsia="de-DE"/>
        </w:rPr>
        <w:instrText>and proliferative capacity are maximized. While optimal cell size is controlled by growth factor signaling, its establishment and maintenance requires mitochondrial dynamics, which can be controlled by the mevalonate pathway. Thus, optimization of cellular</w:instrText>
      </w:r>
      <w:r>
        <w:rPr>
          <w:rFonts w:ascii="Arial" w:eastAsia="Times New Roman" w:hAnsi="Arial" w:cs="Arial"/>
          <w:color w:val="000000"/>
          <w:lang w:val="en-US" w:eastAsia="de-DE"/>
        </w:rPr>
        <w:instrText xml:space="preserve"> fitness and functionality through mitochondria can explain the requirement for size control, as well as provide means for its maintenance.","author":[{"dropping-particle":"","family":"Miettinen","given":"Teemu P.","non-dropping-particle":"","parse-names":</w:instrText>
      </w:r>
      <w:r>
        <w:rPr>
          <w:rFonts w:ascii="Arial" w:eastAsia="Times New Roman" w:hAnsi="Arial" w:cs="Arial"/>
          <w:color w:val="000000"/>
          <w:lang w:val="en-US" w:eastAsia="de-DE"/>
        </w:rPr>
        <w:instrText>false,"suffix":""},{"dropping-particle":"","family":"Björklund","given":"Mikael","non-dropping-particle":"","parse-names":false,"suffix":""}],"container-title":"Developmental Cell","id":"ITEM-1","issue":"3","issued":{"date-parts":[["2016","10"]]},"page":"3</w:instrText>
      </w:r>
      <w:r>
        <w:rPr>
          <w:rFonts w:ascii="Arial" w:eastAsia="Times New Roman" w:hAnsi="Arial" w:cs="Arial"/>
          <w:color w:val="000000"/>
          <w:lang w:val="en-US" w:eastAsia="de-DE"/>
        </w:rPr>
        <w:instrText>70-382","publisher":"Elsevier","title":"Cellular Allometry of Mitochondrial Functionality Establishes the Optimal Cell Size","type":"article-journal","volume":"39"},"uris":["http://www.mendeley.com/documents/?uuid=75e59c85-e191-33bf-8a5f-a87b14fe761a"]}],"</w:instrText>
      </w:r>
      <w:r>
        <w:rPr>
          <w:rFonts w:ascii="Arial" w:eastAsia="Times New Roman" w:hAnsi="Arial" w:cs="Arial"/>
          <w:color w:val="000000"/>
          <w:lang w:val="en-US" w:eastAsia="de-DE"/>
        </w:rPr>
        <w:instrText>mendeley":{"formattedCitation":"&lt;sup&gt;129&lt;/sup&gt;","plainTextFormattedCitation":"129","previouslyFormattedCitation":"&lt;sup&gt;129&lt;/sup&gt;"},"properties":{"noteIndex":0},"schema":"https://github.com/citation-style-language/schema/raw/master/csl-citation.json"}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129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mammalian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{"citationItems":[{"id":"ITEM-1","itemData":{"DOI":"10.1083/jcb.74.2.468","ISSN":"1540-8140","abstract":"&lt;p&gt;The growth and division of mitochondria during the cell cycle was investigated by a morphometric analysis of </w:instrText>
      </w:r>
      <w:r>
        <w:rPr>
          <w:rFonts w:ascii="Arial" w:eastAsia="Times New Roman" w:hAnsi="Arial" w:cs="Arial"/>
          <w:color w:val="000000"/>
          <w:lang w:val="en-US" w:eastAsia="de-DE"/>
        </w:rPr>
        <w:instrText>electron micrographs of synchronized HeLa cells. The ratio of total outer membrane contour length to cytoplasmic area did not vary significantly during the cell cycle, implying a continuous growth of the mitochondrial outer membrane. The mean fraction of c</w:instrText>
      </w:r>
      <w:r>
        <w:rPr>
          <w:rFonts w:ascii="Arial" w:eastAsia="Times New Roman" w:hAnsi="Arial" w:cs="Arial"/>
          <w:color w:val="000000"/>
          <w:lang w:val="en-US" w:eastAsia="de-DE"/>
        </w:rPr>
        <w:instrText xml:space="preserve">ytoplasmic area occupied by mitochondrial profiles was likewise found to remain constant, indicating that the increase in total mitochondrial volume per cell occurs continuously during interphase, in such a way that the mitochondrial complement occupies a </w:instrText>
      </w:r>
      <w:r>
        <w:rPr>
          <w:rFonts w:ascii="Arial" w:eastAsia="Times New Roman" w:hAnsi="Arial" w:cs="Arial"/>
          <w:color w:val="000000"/>
          <w:lang w:val="en-US" w:eastAsia="de-DE"/>
        </w:rPr>
        <w:instrText>constant fraction( approximately 10-11(percent)) of the volume of the cytoplasm. The mean area, outer membrane contour length, and axis ratio of the mitochondrial profiles also did not vary appreciably during the cell cycle; furthermore, the close similari</w:instrText>
      </w:r>
      <w:r>
        <w:rPr>
          <w:rFonts w:ascii="Arial" w:eastAsia="Times New Roman" w:hAnsi="Arial" w:cs="Arial"/>
          <w:color w:val="000000"/>
          <w:lang w:val="en-US" w:eastAsia="de-DE"/>
        </w:rPr>
        <w:instrText>ty of the frequency distributions of these parameters for the six experimental time-points suggested a stable mitochondrial shape distribution. The constancy of both the mean mitochondrial profile area and the number of mitochondrial profiles per unit of c</w:instrText>
      </w:r>
      <w:r>
        <w:rPr>
          <w:rFonts w:ascii="Arial" w:eastAsia="Times New Roman" w:hAnsi="Arial" w:cs="Arial"/>
          <w:color w:val="000000"/>
          <w:lang w:val="en-US" w:eastAsia="de-DE"/>
        </w:rPr>
        <w:instrText>ytoplasmic area was interpreted to indicate the continuous division of mitochondria at the level of the cell population. Furthermore, no evidence was found for the occurrence of synchronous mitochondrial growth and division within individual cells. Thus, i</w:instrText>
      </w:r>
      <w:r>
        <w:rPr>
          <w:rFonts w:ascii="Arial" w:eastAsia="Times New Roman" w:hAnsi="Arial" w:cs="Arial"/>
          <w:color w:val="000000"/>
          <w:lang w:val="en-US" w:eastAsia="de-DE"/>
        </w:rPr>
        <w:instrText>t appears that, in HeLa cells, there is no fixed temporal relationship between the growth and division of mitochondria and the events of the cell cycle.&lt;/p&gt;","author":[{"dropping-particle":"","family":"Posakony","given":"JW","non-dropping-particle":"","par</w:instrText>
      </w:r>
      <w:r>
        <w:rPr>
          <w:rFonts w:ascii="Arial" w:eastAsia="Times New Roman" w:hAnsi="Arial" w:cs="Arial"/>
          <w:color w:val="000000"/>
          <w:lang w:val="en-US" w:eastAsia="de-DE"/>
        </w:rPr>
        <w:instrText>se-names":false,"suffix":""},{"dropping-particle":"","family":"England","given":"JM","non-dropping-particle":"","parse-names":false,"suffix":""},{"dropping-particle":"","family":"Attardi","given":"G","non-dropping-particle":"","parse-names":false,"suffix":</w:instrText>
      </w:r>
      <w:r>
        <w:rPr>
          <w:rFonts w:ascii="Arial" w:eastAsia="Times New Roman" w:hAnsi="Arial" w:cs="Arial"/>
          <w:color w:val="000000"/>
          <w:lang w:val="en-US" w:eastAsia="de-DE"/>
        </w:rPr>
        <w:instrText>""}],"container-title":"Journal of Cell Biology","id":"ITEM-1","issue":"2","issued":{"date-parts":[["1977","8","1"]]},"page":"468-491","publisher":"The Rockefeller University Press","title":"Mitochondrial growth and division during the cell cycle in HeLa c</w:instrText>
      </w:r>
      <w:r>
        <w:rPr>
          <w:rFonts w:ascii="Arial" w:eastAsia="Times New Roman" w:hAnsi="Arial" w:cs="Arial"/>
          <w:color w:val="000000"/>
          <w:lang w:val="en-US" w:eastAsia="de-DE"/>
        </w:rPr>
        <w:instrText>ells","type":"article-journal","volume":"74"},"uris":["http://www.mendeley.com/documents/?uuid=1add39bd-9b64-368a-abd1-7dbb3e6602ba"]},{"id":"ITEM-2","itemData":{"DOI":"10.1016/J.CUB.2014.01.071","ISSN":"0960-9822","abstract":"BACKGROUND\nRegulation of cel</w:instrText>
      </w:r>
      <w:r>
        <w:rPr>
          <w:rFonts w:ascii="Arial" w:eastAsia="Times New Roman" w:hAnsi="Arial" w:cs="Arial"/>
          <w:color w:val="000000"/>
          <w:lang w:val="en-US" w:eastAsia="de-DE"/>
        </w:rPr>
        <w:instrText>l size requires coordination of growth and proliferation. Conditional loss of cyclin-dependent kinase 1 in mice permits hepatocyte growth without cell division, allowing us to study cell size in vivo using transcriptomics and metabolomics. \n\nRESULTS\nLar</w:instrText>
      </w:r>
      <w:r>
        <w:rPr>
          <w:rFonts w:ascii="Arial" w:eastAsia="Times New Roman" w:hAnsi="Arial" w:cs="Arial"/>
          <w:color w:val="000000"/>
          <w:lang w:val="en-US" w:eastAsia="de-DE"/>
        </w:rPr>
        <w:instrText>ger cells displayed increased expression of cytoskeletal genes but unexpectedly repressed expression of many genes involved in mitochondrial functions. This effect appears to be cell autonomous because cultured Drosophila cells induced to increase cell siz</w:instrText>
      </w:r>
      <w:r>
        <w:rPr>
          <w:rFonts w:ascii="Arial" w:eastAsia="Times New Roman" w:hAnsi="Arial" w:cs="Arial"/>
          <w:color w:val="000000"/>
          <w:lang w:val="en-US" w:eastAsia="de-DE"/>
        </w:rPr>
        <w:instrText>e displayed a similar gene-expression pattern. Larger hepatocytes also displayed a reduction in the expression of lipogenic transcription factors, especially sterol-regulatory element binding proteins. Inhibition of mitochondrial functions and lipid biosyn</w:instrText>
      </w:r>
      <w:r>
        <w:rPr>
          <w:rFonts w:ascii="Arial" w:eastAsia="Times New Roman" w:hAnsi="Arial" w:cs="Arial"/>
          <w:color w:val="000000"/>
          <w:lang w:val="en-US" w:eastAsia="de-DE"/>
        </w:rPr>
        <w:instrText>thesis, which is dependent on mitochondrial metabolism, increased the cell size with reciprocal effects on cell proliferation in several cell lines. \n\nCONCLUSIONS\nWe uncover that large cell-size increase is accompanied by downregulation of mitochondrial</w:instrText>
      </w:r>
      <w:r>
        <w:rPr>
          <w:rFonts w:ascii="Arial" w:eastAsia="Times New Roman" w:hAnsi="Arial" w:cs="Arial"/>
          <w:color w:val="000000"/>
          <w:lang w:val="en-US" w:eastAsia="de-DE"/>
        </w:rPr>
        <w:instrText xml:space="preserve"> gene expression, similar to that observed in diabetic individuals. Mitochondrial metabolism and lipid synthesis are used to couple cell size and cell proliferation. This regulatory mechanism may provide a possible mechanism for sensing metazoan cell size.</w:instrText>
      </w:r>
      <w:r>
        <w:rPr>
          <w:rFonts w:ascii="Arial" w:eastAsia="Times New Roman" w:hAnsi="Arial" w:cs="Arial"/>
          <w:color w:val="000000"/>
          <w:lang w:val="en-US" w:eastAsia="de-DE"/>
        </w:rPr>
        <w:instrText>","author":[{"dropping-particle":"","family":"Miettinen","given":"Teemu P.","non-dropping-particle":"","parse-names":false,"suffix":""},{"dropping-particle":"","family":"Pessa","given":"Heli K.J.","non-dropping-particle":"","parse-names":false,"suffix":""}</w:instrText>
      </w:r>
      <w:r>
        <w:rPr>
          <w:rFonts w:ascii="Arial" w:eastAsia="Times New Roman" w:hAnsi="Arial" w:cs="Arial"/>
          <w:color w:val="000000"/>
          <w:lang w:val="en-US" w:eastAsia="de-DE"/>
        </w:rPr>
        <w:instrText>,{"dropping-particle":"","family":"Caldez","given":"Matias J.","non-dropping-particle":"","parse-names":false,"suffix":""},{"dropping-particle":"","family":"Fuhrer","given":"Tobias","non-dropping-particle":"","parse-names":false,"suffix":""},{"dropping-par</w:instrText>
      </w:r>
      <w:r>
        <w:rPr>
          <w:rFonts w:ascii="Arial" w:eastAsia="Times New Roman" w:hAnsi="Arial" w:cs="Arial"/>
          <w:color w:val="000000"/>
          <w:lang w:val="en-US" w:eastAsia="de-DE"/>
        </w:rPr>
        <w:instrText>ticle":"","family":"Diril","given":"M. Kasim","non-dropping-particle":"","parse-names":false,"suffix":""},{"dropping-particle":"","family":"Sauer","given":"Uwe","non-dropping-particle":"","parse-names":false,"suffix":""},{"dropping-particle":"","family":"K</w:instrText>
      </w:r>
      <w:r>
        <w:rPr>
          <w:rFonts w:ascii="Arial" w:eastAsia="Times New Roman" w:hAnsi="Arial" w:cs="Arial"/>
          <w:color w:val="000000"/>
          <w:lang w:val="en-US" w:eastAsia="de-DE"/>
        </w:rPr>
        <w:instrText>aldis","given":"Philipp","non-dropping-particle":"","parse-names":false,"suffix":""},{"dropping-particle":"","family":"Björklund","given":"Mikael","non-dropping-particle":"","parse-names":false,"suffix":""}],"container-title":"Current Biology","id":"ITEM-2</w:instrText>
      </w:r>
      <w:r>
        <w:rPr>
          <w:rFonts w:ascii="Arial" w:eastAsia="Times New Roman" w:hAnsi="Arial" w:cs="Arial"/>
          <w:color w:val="000000"/>
          <w:lang w:val="en-US" w:eastAsia="de-DE"/>
        </w:rPr>
        <w:instrText>","issue":"6","issued":{"date-parts":[["2014","3","17"]]},"page":"598-608","publisher":"Cell Press","title":"Identification of Transcriptional and Metabolic Programs Related to Mammalian Cell Size","type":"article-journal","volume":"24"},"uris":["http://ww</w:instrText>
      </w:r>
      <w:r>
        <w:rPr>
          <w:rFonts w:ascii="Arial" w:eastAsia="Times New Roman" w:hAnsi="Arial" w:cs="Arial"/>
          <w:color w:val="000000"/>
          <w:lang w:val="en-US" w:eastAsia="de-DE"/>
        </w:rPr>
        <w:instrText>w.mendeley.com/documents/?uuid=e80521fa-2ce2-347f-ae05-1580e510d084"]}],"mendeley":{"formattedCitation":"&lt;sup&gt;130,131&lt;/sup&gt;","plainTextFormattedCitation":"130,131","previouslyFormattedCitation":"&lt;sup&gt;130,131&lt;/sup&gt;"},"properties":{"noteIndex":0},"schema":"h</w:instrText>
      </w:r>
      <w:r>
        <w:rPr>
          <w:rFonts w:ascii="Arial" w:eastAsia="Times New Roman" w:hAnsi="Arial" w:cs="Arial"/>
          <w:color w:val="000000"/>
          <w:lang w:val="en-US" w:eastAsia="de-DE"/>
        </w:rPr>
        <w:instrText>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130,131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that for a given cell type and condition, mitochondrial network amount increases with cell size. At the same time, in budding yeast also the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xml:space="preserve"> copy number increas</w:t>
      </w:r>
      <w:r>
        <w:rPr>
          <w:rFonts w:ascii="Arial" w:eastAsia="Times New Roman" w:hAnsi="Arial" w:cs="Arial"/>
          <w:color w:val="000000"/>
          <w:lang w:val="en-US" w:eastAsia="de-DE"/>
        </w:rPr>
        <w:t xml:space="preserve">es in proportion with cell volume, which has been attributed to nuclear encoded limiting machinery, in particular the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xml:space="preserve"> polymerase Mip1 (homolog of human POLG) and the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xml:space="preserve"> binding protein Abf2 (homolog of TFAM), whose abundance increases with cell vo</w:t>
      </w:r>
      <w:r>
        <w:rPr>
          <w:rFonts w:ascii="Arial" w:eastAsia="Times New Roman" w:hAnsi="Arial" w:cs="Arial"/>
          <w:color w:val="000000"/>
          <w:lang w:val="en-US" w:eastAsia="de-DE"/>
        </w:rPr>
        <w:t>lume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{"citationItems":[{"id":"ITEM-1","itemData":{"DOI":"10.1038/s41594-023-01091-8","ISSN":"15459985","abstract":"To maintain stable DNA concentrations, proliferating cells need to coordinate DNA replication with cell growth. For nuclear</w:instrText>
      </w:r>
      <w:r>
        <w:rPr>
          <w:rFonts w:ascii="Arial" w:eastAsia="Times New Roman" w:hAnsi="Arial" w:cs="Arial"/>
          <w:color w:val="000000"/>
          <w:lang w:val="en-US" w:eastAsia="de-DE"/>
        </w:rPr>
        <w:instrText xml:space="preserve"> DNA, eukaryotic cells achieve this by coupling DNA replication to cell-cycle progression, ensuring that DNA is doubled exactly once per cell cycle. By contrast, mitochondrial DNA replication is typically not strictly coupled to the cell cycle, leaving the</w:instrText>
      </w:r>
      <w:r>
        <w:rPr>
          <w:rFonts w:ascii="Arial" w:eastAsia="Times New Roman" w:hAnsi="Arial" w:cs="Arial"/>
          <w:color w:val="000000"/>
          <w:lang w:val="en-US" w:eastAsia="de-DE"/>
        </w:rPr>
        <w:instrText xml:space="preserve"> open question of how cells maintain the correct amount of mitochondrial DNA during cell growth. Here, we show that in budding yeast, mitochondrial DNA copy number increases with cell volume, both in asynchronously cycling populations and during G1 arrest.</w:instrText>
      </w:r>
      <w:r>
        <w:rPr>
          <w:rFonts w:ascii="Arial" w:eastAsia="Times New Roman" w:hAnsi="Arial" w:cs="Arial"/>
          <w:color w:val="000000"/>
          <w:lang w:val="en-US" w:eastAsia="de-DE"/>
        </w:rPr>
        <w:instrText xml:space="preserve"> Our findings suggest that cell-volume-dependent mitochondrial DNA maintenance is achieved through nuclear-encoded limiting factors, including the mitochondrial DNA polymerase Mip1 and the packaging factor Abf2, whose amount increases in proportion to cell</w:instrText>
      </w:r>
      <w:r>
        <w:rPr>
          <w:rFonts w:ascii="Arial" w:eastAsia="Times New Roman" w:hAnsi="Arial" w:cs="Arial"/>
          <w:color w:val="000000"/>
          <w:lang w:val="en-US" w:eastAsia="de-DE"/>
        </w:rPr>
        <w:instrText xml:space="preserve"> volume. By directly linking mitochondrial DNA maintenance to nuclear protein synthesis and thus cell growth, constant mitochondrial DNA concentrations can be robustly maintained without a need for cell-cycle-dependent regulation.","author":[{"dropping-par</w:instrText>
      </w:r>
      <w:r>
        <w:rPr>
          <w:rFonts w:ascii="Arial" w:eastAsia="Times New Roman" w:hAnsi="Arial" w:cs="Arial"/>
          <w:color w:val="000000"/>
          <w:lang w:val="en-US" w:eastAsia="de-DE"/>
        </w:rPr>
        <w:instrText>ticle":"","family":"Seel","given":"Anika","non-dropping-particle":"","parse-names":false,"suffix":""},{"dropping-particle":"","family":"Padovani","given":"Francesco","non-dropping-particle":"","parse-names":false,"suffix":""},{"dropping-particle":"","famil</w:instrText>
      </w:r>
      <w:r>
        <w:rPr>
          <w:rFonts w:ascii="Arial" w:eastAsia="Times New Roman" w:hAnsi="Arial" w:cs="Arial"/>
          <w:color w:val="000000"/>
          <w:lang w:val="en-US" w:eastAsia="de-DE"/>
        </w:rPr>
        <w:instrText>y":"Mayer","given":"Moritz","non-dropping-particle":"","parse-names":false,"suffix":""},{"dropping-particle":"","family":"Finster","given":"Alissa","non-dropping-particle":"","parse-names":false,"suffix":""},{"dropping-particle":"","family":"Bureik","given</w:instrText>
      </w:r>
      <w:r>
        <w:rPr>
          <w:rFonts w:ascii="Arial" w:eastAsia="Times New Roman" w:hAnsi="Arial" w:cs="Arial"/>
          <w:color w:val="000000"/>
          <w:lang w:val="en-US" w:eastAsia="de-DE"/>
        </w:rPr>
        <w:instrText>":"Daniela","non-dropping-particle":"","parse-names":false,"suffix":""},{"dropping-particle":"","family":"Thoma","given":"Felix","non-dropping-particle":"","parse-names":false,"suffix":""},{"dropping-particle":"","family":"Osman","given":"Christof","non-dr</w:instrText>
      </w:r>
      <w:r>
        <w:rPr>
          <w:rFonts w:ascii="Arial" w:eastAsia="Times New Roman" w:hAnsi="Arial" w:cs="Arial"/>
          <w:color w:val="000000"/>
          <w:lang w:val="en-US" w:eastAsia="de-DE"/>
        </w:rPr>
        <w:instrText>opping-particle":"","parse-names":false,"suffix":""},{"dropping-particle":"","family":"Klecker","given":"Till","non-dropping-particle":"","parse-names":false,"suffix":""},{"dropping-particle":"","family":"Schmoller","given":"Kurt M.","non-dropping-particle</w:instrText>
      </w:r>
      <w:r>
        <w:rPr>
          <w:rFonts w:ascii="Arial" w:eastAsia="Times New Roman" w:hAnsi="Arial" w:cs="Arial"/>
          <w:color w:val="000000"/>
          <w:lang w:val="en-US" w:eastAsia="de-DE"/>
        </w:rPr>
        <w:instrText>":"","parse-names":false,"suffix":""}],"container-title":"Nature Structural and Molecular Biology","id":"ITEM-1","issued":{"date-parts":[["2023","12","4"]]},"page":"2021.12.03.471050","publisher":"Cold Spring Harbor Laboratory","title":"Regulation with cel</w:instrText>
      </w:r>
      <w:r>
        <w:rPr>
          <w:rFonts w:ascii="Arial" w:eastAsia="Times New Roman" w:hAnsi="Arial" w:cs="Arial"/>
          <w:color w:val="000000"/>
          <w:lang w:val="en-US" w:eastAsia="de-DE"/>
        </w:rPr>
        <w:instrText>l size ensures mitochondrial DNA homeostasis during cell growth","type":"article-journal"},"uris":["http://www.mendeley.com/documents/?uuid=6ec6caf1-d82d-3c45-a599-736665863533"]}],"mendeley":{"formattedCitation":"&lt;sup&gt;111&lt;/sup&gt;","plainTextFormattedCitatio</w:instrText>
      </w:r>
      <w:r>
        <w:rPr>
          <w:rFonts w:ascii="Arial" w:eastAsia="Times New Roman" w:hAnsi="Arial" w:cs="Arial"/>
          <w:color w:val="000000"/>
          <w:lang w:val="en-US" w:eastAsia="de-DE"/>
        </w:rPr>
        <w:instrText>n":"111","previouslyFormattedCitation":"&lt;sup&gt;111&lt;/sup&gt;"},"properties":{"noteIndex":0},"schema":"https://github.com/citation-style-language/schema/raw/master/csl-citation.json"}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Thus, the mechanism underlying the coupling of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xml:space="preserve"> to cell volume is r</w:t>
      </w:r>
      <w:r>
        <w:rPr>
          <w:rFonts w:ascii="Arial" w:eastAsia="Times New Roman" w:hAnsi="Arial" w:cs="Arial"/>
          <w:color w:val="000000"/>
          <w:lang w:val="en-US" w:eastAsia="de-DE"/>
        </w:rPr>
        <w:t>eminiscent of increasing amounts of limiting Pol II leading to a global increase of transcription in larger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{"citationItems":[{"id":"ITEM-1","itemData":{"DOI":"10.1016/j.cell.2023.10.012","author":[{"dropping-particle":"","family":"</w:instrText>
      </w:r>
      <w:r>
        <w:rPr>
          <w:rFonts w:ascii="Arial" w:eastAsia="Times New Roman" w:hAnsi="Arial" w:cs="Arial"/>
          <w:color w:val="000000"/>
          <w:lang w:val="en-US" w:eastAsia="de-DE"/>
        </w:rPr>
        <w:instrText>Swaffer","given":"Matthew P","non-dropping-particle":"","parse-names":false,"suffix":""},{"dropping-particle":"","family":"Marinov","given":"Georgi K","non-dropping-particle":"","parse-names":false,"suffix":""},{"dropping-particle":"","family":"Zheng","giv</w:instrText>
      </w:r>
      <w:r>
        <w:rPr>
          <w:rFonts w:ascii="Arial" w:eastAsia="Times New Roman" w:hAnsi="Arial" w:cs="Arial"/>
          <w:color w:val="000000"/>
          <w:lang w:val="en-US" w:eastAsia="de-DE"/>
        </w:rPr>
        <w:instrText>en":"Huan","non-dropping-particle":"","parse-names":false,"suffix":""},{"dropping-particle":"","family":"Fuentes Valenzuela","given":"Lucas","non-dropping-particle":"","parse-names":false,"suffix":""},{"dropping-particle":"","family":"Yee Tsui","given":"Cr</w:instrText>
      </w:r>
      <w:r>
        <w:rPr>
          <w:rFonts w:ascii="Arial" w:eastAsia="Times New Roman" w:hAnsi="Arial" w:cs="Arial"/>
          <w:color w:val="000000"/>
          <w:lang w:val="en-US" w:eastAsia="de-DE"/>
        </w:rPr>
        <w:instrText>ystal","non-dropping-particle":"","parse-names":false,"suffix":""},{"dropping-particle":"","family":"Jones","given":"Andrew W","non-dropping-particle":"","parse-names":false,"suffix":""},{"dropping-particle":"","family":"Greenwood","given":"Jessica","non-d</w:instrText>
      </w:r>
      <w:r>
        <w:rPr>
          <w:rFonts w:ascii="Arial" w:eastAsia="Times New Roman" w:hAnsi="Arial" w:cs="Arial"/>
          <w:color w:val="000000"/>
          <w:lang w:val="en-US" w:eastAsia="de-DE"/>
        </w:rPr>
        <w:instrText>ropping-particle":"","parse-names":false,"suffix":""},{"dropping-particle":"","family":"Kundaje","given":"Anshul","non-dropping-particle":"","parse-names":false,"suffix":""},{"dropping-particle":"","family":"Greenleaf","given":"William J","non-dropping-par</w:instrText>
      </w:r>
      <w:r>
        <w:rPr>
          <w:rFonts w:ascii="Arial" w:eastAsia="Times New Roman" w:hAnsi="Arial" w:cs="Arial"/>
          <w:color w:val="000000"/>
          <w:lang w:val="en-US" w:eastAsia="de-DE"/>
        </w:rPr>
        <w:instrText>ticle":"","parse-names":false,"suffix":""},{"dropping-particle":"","family":"Reyes-Lamothe","given":"Rodrigo","non-dropping-particle":"","parse-names":false,"suffix":""},{"dropping-particle":"","family":"Skotheim","given":"Jan M","non-dropping-particle":""</w:instrText>
      </w:r>
      <w:r>
        <w:rPr>
          <w:rFonts w:ascii="Arial" w:eastAsia="Times New Roman" w:hAnsi="Arial" w:cs="Arial"/>
          <w:color w:val="000000"/>
          <w:lang w:val="en-US" w:eastAsia="de-DE"/>
        </w:rPr>
        <w:instrText>,"parse-names":false,"suffix":""}],"container-title":"Cell","id":"ITEM-1","issued":{"date-parts":[["2023"]]},"title":"RNA polymerase II dynamics and mRNA stability feedback scale mRNA amounts with cell size","type":"article-journal"},"uris":["http://www.me</w:instrText>
      </w:r>
      <w:r>
        <w:rPr>
          <w:rFonts w:ascii="Arial" w:eastAsia="Times New Roman" w:hAnsi="Arial" w:cs="Arial"/>
          <w:color w:val="000000"/>
          <w:lang w:val="en-US" w:eastAsia="de-DE"/>
        </w:rPr>
        <w:instrText>ndeley.com/documents/?uuid=90d7390d-c1af-355e-ae58-d20591ab9167"]}],"mendeley":{"formattedCitation":"&lt;sup&gt;29&lt;/sup&gt;","plainTextFormattedCitation":"29","previouslyFormattedCitation":"&lt;sup&gt;29&lt;/sup&gt;"},"properties":{"noteIndex":0},"schema":"https://github.com/c</w:instrText>
      </w:r>
      <w:r>
        <w:rPr>
          <w:rFonts w:ascii="Arial" w:eastAsia="Times New Roman" w:hAnsi="Arial" w:cs="Arial"/>
          <w:color w:val="000000"/>
          <w:lang w:val="en-US" w:eastAsia="de-DE"/>
        </w:rPr>
        <w:instrText>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(section 2.1). </w:t>
      </w:r>
    </w:p>
    <w:p w14:paraId="54A31E39" w14:textId="77777777" w:rsidR="00066D11" w:rsidRDefault="00066D11">
      <w:pPr>
        <w:spacing w:after="0" w:line="240" w:lineRule="auto"/>
        <w:jc w:val="both"/>
        <w:rPr>
          <w:rFonts w:ascii="Arial" w:eastAsia="Times New Roman" w:hAnsi="Arial" w:cs="Arial"/>
          <w:lang w:val="en-US" w:eastAsia="de-DE"/>
        </w:rPr>
      </w:pPr>
    </w:p>
    <w:p w14:paraId="10CB424F"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Although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xml:space="preserve"> is a major regulator of mitochondrial function, cell volume impacts mitochondria through additional pathways. First, in budding yeast, mitochondrial network a</w:t>
      </w:r>
      <w:r>
        <w:rPr>
          <w:rFonts w:ascii="Arial" w:eastAsia="Times New Roman" w:hAnsi="Arial" w:cs="Arial"/>
          <w:color w:val="000000"/>
          <w:lang w:val="en-US" w:eastAsia="de-DE"/>
        </w:rPr>
        <w:t xml:space="preserve">nd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xml:space="preserve"> are coupled to cell volume through independent mechanisms, since mitochondrial network scales with cell volume even in mutant cells that lack </w:t>
      </w:r>
      <w:proofErr w:type="spellStart"/>
      <w:r>
        <w:rPr>
          <w:rFonts w:ascii="Arial" w:eastAsia="Times New Roman" w:hAnsi="Arial" w:cs="Arial"/>
          <w:color w:val="000000"/>
          <w:lang w:val="en-US" w:eastAsia="de-DE"/>
        </w:rPr>
        <w:t>mtDNA</w:t>
      </w:r>
      <w:proofErr w:type="spellEnd"/>
      <w:r>
        <w:rPr>
          <w:rFonts w:ascii="Arial" w:eastAsia="Times New Roman" w:hAnsi="Arial" w:cs="Arial"/>
          <w:color w:val="000000"/>
          <w:lang w:val="en-US" w:eastAsia="de-DE"/>
        </w:rPr>
        <w:t>, and decreased mitochondrial network amount does not necessarily cause a decrease of mtDNA</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w:instrText>
      </w:r>
      <w:r>
        <w:rPr>
          <w:rFonts w:ascii="Arial" w:eastAsia="Times New Roman" w:hAnsi="Arial" w:cs="Arial"/>
          <w:color w:val="000000"/>
          <w:lang w:val="en-US" w:eastAsia="de-DE"/>
        </w:rPr>
        <w:instrText>_CITATION {"citationItems":[{"id":"ITEM-1","itemData":{"DOI":"10.1038/s41594-023-01091-8","ISSN":"15459985","abstract":"To maintain stable DNA concentrations, proliferating cells need to coordinate DNA replication with cell growth. For nuclear DNA, eukaryo</w:instrText>
      </w:r>
      <w:r>
        <w:rPr>
          <w:rFonts w:ascii="Arial" w:eastAsia="Times New Roman" w:hAnsi="Arial" w:cs="Arial"/>
          <w:color w:val="000000"/>
          <w:lang w:val="en-US" w:eastAsia="de-DE"/>
        </w:rPr>
        <w:instrText>tic cells achieve this by coupling DNA replication to cell-cycle progression, ensuring that DNA is doubled exactly once per cell cycle. By contrast, mitochondrial DNA replication is typically not strictly coupled to the cell cycle, leaving the open questio</w:instrText>
      </w:r>
      <w:r>
        <w:rPr>
          <w:rFonts w:ascii="Arial" w:eastAsia="Times New Roman" w:hAnsi="Arial" w:cs="Arial"/>
          <w:color w:val="000000"/>
          <w:lang w:val="en-US" w:eastAsia="de-DE"/>
        </w:rPr>
        <w:instrText>n of how cells maintain the correct amount of mitochondrial DNA during cell growth. Here, we show that in budding yeast, mitochondrial DNA copy number increases with cell volume, both in asynchronously cycling populations and during G1 arrest. Our findings</w:instrText>
      </w:r>
      <w:r>
        <w:rPr>
          <w:rFonts w:ascii="Arial" w:eastAsia="Times New Roman" w:hAnsi="Arial" w:cs="Arial"/>
          <w:color w:val="000000"/>
          <w:lang w:val="en-US" w:eastAsia="de-DE"/>
        </w:rPr>
        <w:instrText xml:space="preserve"> suggest that cell-volume-dependent mitochondrial DNA maintenance is achieved through nuclear-encoded limiting factors, including the mitochondrial DNA polymerase Mip1 and the packaging factor Abf2, whose amount increases in proportion to cell volume. By d</w:instrText>
      </w:r>
      <w:r>
        <w:rPr>
          <w:rFonts w:ascii="Arial" w:eastAsia="Times New Roman" w:hAnsi="Arial" w:cs="Arial"/>
          <w:color w:val="000000"/>
          <w:lang w:val="en-US" w:eastAsia="de-DE"/>
        </w:rPr>
        <w:instrText>irectly linking mitochondrial DNA maintenance to nuclear protein synthesis and thus cell growth, constant mitochondrial DNA concentrations can be robustly maintained without a need for cell-cycle-dependent regulation.","author":[{"dropping-particle":"","fa</w:instrText>
      </w:r>
      <w:r>
        <w:rPr>
          <w:rFonts w:ascii="Arial" w:eastAsia="Times New Roman" w:hAnsi="Arial" w:cs="Arial"/>
          <w:color w:val="000000"/>
          <w:lang w:val="en-US" w:eastAsia="de-DE"/>
        </w:rPr>
        <w:instrText>mily":"Seel","given":"Anika","non-dropping-particle":"","parse-names":false,"suffix":""},{"dropping-particle":"","family":"Padovani","given":"Francesco","non-dropping-particle":"","parse-names":false,"suffix":""},{"dropping-particle":"","family":"Mayer","g</w:instrText>
      </w:r>
      <w:r>
        <w:rPr>
          <w:rFonts w:ascii="Arial" w:eastAsia="Times New Roman" w:hAnsi="Arial" w:cs="Arial"/>
          <w:color w:val="000000"/>
          <w:lang w:val="en-US" w:eastAsia="de-DE"/>
        </w:rPr>
        <w:instrText>iven":"Moritz","non-dropping-particle":"","parse-names":false,"suffix":""},{"dropping-particle":"","family":"Finster","given":"Alissa","non-dropping-particle":"","parse-names":false,"suffix":""},{"dropping-particle":"","family":"Bureik","given":"Daniela","</w:instrText>
      </w:r>
      <w:r>
        <w:rPr>
          <w:rFonts w:ascii="Arial" w:eastAsia="Times New Roman" w:hAnsi="Arial" w:cs="Arial"/>
          <w:color w:val="000000"/>
          <w:lang w:val="en-US" w:eastAsia="de-DE"/>
        </w:rPr>
        <w:instrText>non-dropping-particle":"","parse-names":false,"suffix":""},{"dropping-particle":"","family":"Thoma","given":"Felix","non-dropping-particle":"","parse-names":false,"suffix":""},{"dropping-particle":"","family":"Osman","given":"Christof","non-dropping-partic</w:instrText>
      </w:r>
      <w:r>
        <w:rPr>
          <w:rFonts w:ascii="Arial" w:eastAsia="Times New Roman" w:hAnsi="Arial" w:cs="Arial"/>
          <w:color w:val="000000"/>
          <w:lang w:val="en-US" w:eastAsia="de-DE"/>
        </w:rPr>
        <w:instrText>le":"","parse-names":false,"suffix":""},{"dropping-particle":"","family":"Klecker","given":"Till","non-dropping-particle":"","parse-names":false,"suffix":""},{"dropping-particle":"","family":"Schmoller","given":"Kurt M.","non-dropping-particle":"","parse-n</w:instrText>
      </w:r>
      <w:r>
        <w:rPr>
          <w:rFonts w:ascii="Arial" w:eastAsia="Times New Roman" w:hAnsi="Arial" w:cs="Arial"/>
          <w:color w:val="000000"/>
          <w:lang w:val="en-US" w:eastAsia="de-DE"/>
        </w:rPr>
        <w:instrText>ames":false,"suffix":""}],"container-title":"Nature Structural and Molecular Biology","id":"ITEM-1","issued":{"date-parts":[["2023","12","4"]]},"page":"2021.12.03.471050","publisher":"Cold Spring Harbor Laboratory","title":"Regulation with cell size ensure</w:instrText>
      </w:r>
      <w:r>
        <w:rPr>
          <w:rFonts w:ascii="Arial" w:eastAsia="Times New Roman" w:hAnsi="Arial" w:cs="Arial"/>
          <w:color w:val="000000"/>
          <w:lang w:val="en-US" w:eastAsia="de-DE"/>
        </w:rPr>
        <w:instrText>s mitochondrial DNA homeostasis during cell growth","type":"article-journal"},"uris":["http://www.mendeley.com/documents/?uuid=6ec6caf1-d82d-3c45-a599-736665863533"]}],"mendeley":{"formattedCitation":"&lt;sup&gt;111&lt;/sup&gt;","plainTextFormattedCitation":"111","pre</w:instrText>
      </w:r>
      <w:r>
        <w:rPr>
          <w:rFonts w:ascii="Arial" w:eastAsia="Times New Roman" w:hAnsi="Arial" w:cs="Arial"/>
          <w:color w:val="000000"/>
          <w:lang w:val="en-US" w:eastAsia="de-DE"/>
        </w:rPr>
        <w:instrText>viouslyFormattedCitation":"&lt;sup&gt;111&lt;/sup&gt;"},"properties":{"noteIndex":0},"schema":"https://github.com/citation-style-language/schema/raw/master/csl-citation.json"}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Second, despite scaling amounts of mitochondria, metabolic function of animal </w:t>
      </w:r>
      <w:r>
        <w:rPr>
          <w:rFonts w:ascii="Arial" w:eastAsia="Times New Roman" w:hAnsi="Arial" w:cs="Arial"/>
          <w:color w:val="000000"/>
          <w:lang w:val="en-US" w:eastAsia="de-DE"/>
        </w:rPr>
        <w:t>cells varies across cell volumes. In particular, cells show maximal membrane potential and oxygen consumption at intermediate cell volume, potentially contributing to the optimal cell volume range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w:instrText>
      </w:r>
      <w:r>
        <w:rPr>
          <w:rFonts w:ascii="Arial" w:eastAsia="Times New Roman" w:hAnsi="Arial" w:cs="Arial"/>
          <w:color w:val="000000"/>
          <w:lang w:val="en-US" w:eastAsia="de-DE"/>
        </w:rPr>
        <w:instrText>a":{"DOI":"10.1016/j.devcel.2016.09.004","ISSN":"18781551","PMID":"27720611","abstract":"Eukaryotic cells attempt to maintain an optimal size, resulting in size homeostasis. While cellular content scales isometrically with cell size, allometric laws indica</w:instrText>
      </w:r>
      <w:r>
        <w:rPr>
          <w:rFonts w:ascii="Arial" w:eastAsia="Times New Roman" w:hAnsi="Arial" w:cs="Arial"/>
          <w:color w:val="000000"/>
          <w:lang w:val="en-US" w:eastAsia="de-DE"/>
        </w:rPr>
        <w:instrText>te that metabolism per mass unit should decline with increasing size. Here we use elutriation and single-cell flow cytometry to analyze mitochondrial scaling with cell size. While mitochondrial content increases linearly, mitochondrial membrane potential a</w:instrText>
      </w:r>
      <w:r>
        <w:rPr>
          <w:rFonts w:ascii="Arial" w:eastAsia="Times New Roman" w:hAnsi="Arial" w:cs="Arial"/>
          <w:color w:val="000000"/>
          <w:lang w:val="en-US" w:eastAsia="de-DE"/>
        </w:rPr>
        <w:instrText>nd oxidative phosphorylation are highest at intermediate cell sizes. Thus, mitochondrial content and functional scaling are uncoupled. The nonlinearity of mitochondrial functionality is cell size, not cell cycle, dependent, and it results in an optimal cel</w:instrText>
      </w:r>
      <w:r>
        <w:rPr>
          <w:rFonts w:ascii="Arial" w:eastAsia="Times New Roman" w:hAnsi="Arial" w:cs="Arial"/>
          <w:color w:val="000000"/>
          <w:lang w:val="en-US" w:eastAsia="de-DE"/>
        </w:rPr>
        <w:instrText>l size whereby cellular fitness and proliferative capacity are maximized. While optimal cell size is controlled by growth factor signaling, its establishment and maintenance requires mitochondrial dynamics, which can be controlled by the mevalonate pathway</w:instrText>
      </w:r>
      <w:r>
        <w:rPr>
          <w:rFonts w:ascii="Arial" w:eastAsia="Times New Roman" w:hAnsi="Arial" w:cs="Arial"/>
          <w:color w:val="000000"/>
          <w:lang w:val="en-US" w:eastAsia="de-DE"/>
        </w:rPr>
        <w:instrText>. Thus, optimization of cellular fitness and functionality through mitochondria can explain the requirement for size control, as well as provide means for its maintenance.","author":[{"dropping-particle":"","family":"Miettinen","given":"Teemu P.","non-drop</w:instrText>
      </w:r>
      <w:r>
        <w:rPr>
          <w:rFonts w:ascii="Arial" w:eastAsia="Times New Roman" w:hAnsi="Arial" w:cs="Arial"/>
          <w:color w:val="000000"/>
          <w:lang w:val="en-US" w:eastAsia="de-DE"/>
        </w:rPr>
        <w:instrText>ping-particle":"","parse-names":false,"suffix":""},{"dropping-particle":"","family":"Björklund","given":"Mikael","non-dropping-particle":"","parse-names":false,"suffix":""}],"container-title":"Developmental Cell","id":"ITEM-1","issue":"3","issued":{"date-p</w:instrText>
      </w:r>
      <w:r>
        <w:rPr>
          <w:rFonts w:ascii="Arial" w:eastAsia="Times New Roman" w:hAnsi="Arial" w:cs="Arial"/>
          <w:color w:val="000000"/>
          <w:lang w:val="en-US" w:eastAsia="de-DE"/>
        </w:rPr>
        <w:instrText>arts":[["2016","10"]]},"page":"370-382","publisher":"Elsevier","title":"Cellular Allometry of Mitochondrial Functionality Establishes the Optimal Cell Size","type":"article-journal","volume":"39"},"uris":["http://www.mendeley.com/documents/?uuid=75e59c85-e</w:instrText>
      </w:r>
      <w:r>
        <w:rPr>
          <w:rFonts w:ascii="Arial" w:eastAsia="Times New Roman" w:hAnsi="Arial" w:cs="Arial"/>
          <w:color w:val="000000"/>
          <w:lang w:val="en-US" w:eastAsia="de-DE"/>
        </w:rPr>
        <w:instrText xml:space="preserve">191-33bf-8a5f-a87b14fe761a"]},{"id":"ITEM-2","itemData":{"DOI":"10.1016/J.TCB.2017.02.006","ISSN":"0962-8924","abstract":"Allometric scaling of metabolic rate results in lower total mitochondrial oxygen consumption with increasing organismal size. This is </w:instrText>
      </w:r>
      <w:r>
        <w:rPr>
          <w:rFonts w:ascii="Arial" w:eastAsia="Times New Roman" w:hAnsi="Arial" w:cs="Arial"/>
          <w:color w:val="000000"/>
          <w:lang w:val="en-US" w:eastAsia="de-DE"/>
        </w:rPr>
        <w:instrText>considered a universal law in biology. Here, we discuss how allometric laws impose size-dependent limits to mitochondrial activity at the cellular level. This cell-size-dependent mitochondrial metabolic activity results in nonlinear scaling of metabolism i</w:instrText>
      </w:r>
      <w:r>
        <w:rPr>
          <w:rFonts w:ascii="Arial" w:eastAsia="Times New Roman" w:hAnsi="Arial" w:cs="Arial"/>
          <w:color w:val="000000"/>
          <w:lang w:val="en-US" w:eastAsia="de-DE"/>
        </w:rPr>
        <w:instrText>n proliferating cells, which can explain size homeostasis. The allometry in mitochondrial activity can be controlled through mitochondrial fusion and fission machinery, suggesting that mitochondrial connectivity can bypass transport limitations, the presum</w:instrText>
      </w:r>
      <w:r>
        <w:rPr>
          <w:rFonts w:ascii="Arial" w:eastAsia="Times New Roman" w:hAnsi="Arial" w:cs="Arial"/>
          <w:color w:val="000000"/>
          <w:lang w:val="en-US" w:eastAsia="de-DE"/>
        </w:rPr>
        <w:instrText>ed biophysical basis for allometry. As physical size affects cellular functionality, cell-size-dependent metabolism becomes directly relevant for development, metabolic diseases, and aging.","author":[{"dropping-particle":"","family":"Miettinen","given":"T</w:instrText>
      </w:r>
      <w:r>
        <w:rPr>
          <w:rFonts w:ascii="Arial" w:eastAsia="Times New Roman" w:hAnsi="Arial" w:cs="Arial"/>
          <w:color w:val="000000"/>
          <w:lang w:val="en-US" w:eastAsia="de-DE"/>
        </w:rPr>
        <w:instrText>eemu P.","non-dropping-particle":"","parse-names":false,"suffix":""},{"dropping-particle":"","family":"Björklund","given":"Mikael","non-dropping-particle":"","parse-names":false,"suffix":""}],"container-title":"Trends in Cell Biology","id":"ITEM-2","issue"</w:instrText>
      </w:r>
      <w:r>
        <w:rPr>
          <w:rFonts w:ascii="Arial" w:eastAsia="Times New Roman" w:hAnsi="Arial" w:cs="Arial"/>
          <w:color w:val="000000"/>
          <w:lang w:val="en-US" w:eastAsia="de-DE"/>
        </w:rPr>
        <w:instrText>:"6","issued":{"date-parts":[["2017","6","1"]]},"page":"393-402","publisher":"Elsevier Current Trends","title":"Mitochondrial Function and Cell Size: An Allometric Relationship","type":"article-journal","volume":"27"},"uris":["http://www.mendeley.com/docum</w:instrText>
      </w:r>
      <w:r>
        <w:rPr>
          <w:rFonts w:ascii="Arial" w:eastAsia="Times New Roman" w:hAnsi="Arial" w:cs="Arial"/>
          <w:color w:val="000000"/>
          <w:lang w:val="en-US" w:eastAsia="de-DE"/>
        </w:rPr>
        <w:instrText>ents/?uuid=05097158-8c01-3deb-baae-5f3b4a45cde6"]}],"mendeley":{"formattedCitation":"&lt;sup&gt;129,132&lt;/sup&gt;","plainTextFormattedCitation":"129,132","previouslyFormattedCitation":"&lt;sup&gt;129,132&lt;/sup&gt;"},"properties":{"noteIndex":0},"schema":"https://github.com/ci</w:instrText>
      </w:r>
      <w:r>
        <w:rPr>
          <w:rFonts w:ascii="Arial" w:eastAsia="Times New Roman" w:hAnsi="Arial" w:cs="Arial"/>
          <w:color w:val="000000"/>
          <w:lang w:val="en-US" w:eastAsia="de-DE"/>
        </w:rPr>
        <w:instrText>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129,132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60BB7CC1" w14:textId="77777777" w:rsidR="00066D11" w:rsidRDefault="00066D11">
      <w:pPr>
        <w:spacing w:after="0" w:line="240" w:lineRule="auto"/>
        <w:jc w:val="both"/>
        <w:rPr>
          <w:rFonts w:ascii="Arial" w:eastAsia="Times New Roman" w:hAnsi="Arial" w:cs="Arial"/>
          <w:lang w:val="en-US" w:eastAsia="de-DE"/>
        </w:rPr>
      </w:pPr>
    </w:p>
    <w:p w14:paraId="13ADF0D3" w14:textId="77777777" w:rsidR="00066D11" w:rsidRDefault="00E55468">
      <w:pPr>
        <w:spacing w:after="0" w:line="240" w:lineRule="auto"/>
        <w:jc w:val="both"/>
        <w:rPr>
          <w:rFonts w:ascii="Arial" w:eastAsia="Times New Roman" w:hAnsi="Arial" w:cs="Arial"/>
          <w:color w:val="000000"/>
          <w:lang w:val="en-US" w:eastAsia="de-DE"/>
        </w:rPr>
      </w:pPr>
      <w:proofErr w:type="gramStart"/>
      <w:r>
        <w:rPr>
          <w:rFonts w:ascii="Arial" w:eastAsia="Times New Roman" w:hAnsi="Arial" w:cs="Arial"/>
          <w:color w:val="000000"/>
          <w:lang w:val="en-US" w:eastAsia="de-DE"/>
        </w:rPr>
        <w:t>Similar to</w:t>
      </w:r>
      <w:proofErr w:type="gramEnd"/>
      <w:r>
        <w:rPr>
          <w:rFonts w:ascii="Arial" w:eastAsia="Times New Roman" w:hAnsi="Arial" w:cs="Arial"/>
          <w:color w:val="000000"/>
          <w:lang w:val="en-US" w:eastAsia="de-DE"/>
        </w:rPr>
        <w:t xml:space="preserve"> the coordination of mitochondria and cell growth observed from yeast to mammals, various plants have been reported to coordinate chloroplast homeostasis with cell size. Amon</w:t>
      </w:r>
      <w:r>
        <w:rPr>
          <w:rFonts w:ascii="Arial" w:eastAsia="Times New Roman" w:hAnsi="Arial" w:cs="Arial"/>
          <w:color w:val="000000"/>
          <w:lang w:val="en-US" w:eastAsia="de-DE"/>
        </w:rPr>
        <w:t>g others, chloroplast number was observed to increase with cell size of wheat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{"citationItems":[{"id":"ITEM-1","itemData":{"DOI":"10.1007/BF00395035/METRICS","ISSN":"00320935","abstract":"Chloroplast number per cell and mesophyll cell pla</w:instrText>
      </w:r>
      <w:r>
        <w:rPr>
          <w:rFonts w:ascii="Arial" w:eastAsia="Times New Roman" w:hAnsi="Arial" w:cs="Arial"/>
          <w:color w:val="000000"/>
          <w:lang w:val="en-US" w:eastAsia="de-DE"/>
        </w:rPr>
        <w:instrText>n area were determined in populations of separated cells from the primary leaves of different wheat species representing three levels of ploidy. Mean chloroplast number per cell increases with ploidy level as mean cell size increases. But in addition the a</w:instrText>
      </w:r>
      <w:r>
        <w:rPr>
          <w:rFonts w:ascii="Arial" w:eastAsia="Times New Roman" w:hAnsi="Arial" w:cs="Arial"/>
          <w:color w:val="000000"/>
          <w:lang w:val="en-US" w:eastAsia="de-DE"/>
        </w:rPr>
        <w:instrText>nalysis of individual cells clearly shows that cells of a similar size but from species of different ploidies have similar numbers of chloroplasts. We conclude that the number of chloroplasts within a cell is closely correlated (P&lt;0.001) with the size of t</w:instrText>
      </w:r>
      <w:r>
        <w:rPr>
          <w:rFonts w:ascii="Arial" w:eastAsia="Times New Roman" w:hAnsi="Arial" w:cs="Arial"/>
          <w:color w:val="000000"/>
          <w:lang w:val="en-US" w:eastAsia="de-DE"/>
        </w:rPr>
        <w:instrText xml:space="preserve">he cell and this relationship is consistent for species of different ploidies over a wide range of cell sizes. These results are discussed in relation to the hypothesis that chloroplast number in leaf mesophyll cells is determined by the size of the cell. </w:instrText>
      </w:r>
      <w:r>
        <w:rPr>
          <w:rFonts w:ascii="Arial" w:eastAsia="Times New Roman" w:hAnsi="Arial" w:cs="Arial"/>
          <w:color w:val="000000"/>
          <w:lang w:val="en-US" w:eastAsia="de-DE"/>
        </w:rPr>
        <w:instrText>© 1987 Springer-Verlag.","author":[{"dropping-particle":"","family":"Pyke","given":"K. A.","non-dropping-particle":"","parse-names":false,"suffix":""},{"dropping-particle":"","family":"Leech","given":"R. M.","non-dropping-particle":"","parse-names":false,"</w:instrText>
      </w:r>
      <w:r>
        <w:rPr>
          <w:rFonts w:ascii="Arial" w:eastAsia="Times New Roman" w:hAnsi="Arial" w:cs="Arial"/>
          <w:color w:val="000000"/>
          <w:lang w:val="en-US" w:eastAsia="de-DE"/>
        </w:rPr>
        <w:instrText>suffix":""}],"container-title":"Planta","id":"ITEM-1","issue":"3","issued":{"date-parts":[["1987","3"]]},"page":"416-420","publisher":"Springer-Verlag","title":"The control of chloroplast number in wheat mesophyll cells","type":"article-journal","volume":"</w:instrText>
      </w:r>
      <w:r>
        <w:rPr>
          <w:rFonts w:ascii="Arial" w:eastAsia="Times New Roman" w:hAnsi="Arial" w:cs="Arial"/>
          <w:color w:val="000000"/>
          <w:lang w:val="en-US" w:eastAsia="de-DE"/>
        </w:rPr>
        <w:instrText>170"},"uris":["http://www.mendeley.com/documents/?uuid=a82c685c-be7f-3b29-b971-9917d82a3d7c"]}],"mendeley":{"formattedCitation":"&lt;sup&gt;133&lt;/sup&gt;","plainTextFormattedCitation":"133","previouslyFormattedCitation":"&lt;sup&gt;133&lt;/sup&gt;"},"properties":{"noteIndex":0}</w:instrText>
      </w:r>
      <w:r>
        <w:rPr>
          <w:rFonts w:ascii="Arial" w:eastAsia="Times New Roman" w:hAnsi="Arial" w:cs="Arial"/>
          <w:color w:val="000000"/>
          <w:lang w:val="en-US" w:eastAsia="de-DE"/>
        </w:rPr>
        <w:instrText>,"schema":"https://github.com/citation-style-language/schema/raw/master/csl-citation.json"}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133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w:t>
      </w:r>
      <w:r>
        <w:rPr>
          <w:rFonts w:ascii="Arial" w:eastAsia="Times New Roman" w:hAnsi="Arial" w:cs="Arial"/>
          <w:i/>
          <w:iCs/>
          <w:color w:val="000000"/>
          <w:lang w:val="en-US" w:eastAsia="de-DE"/>
        </w:rPr>
        <w:t>A. thaliana</w:t>
      </w:r>
      <w:r>
        <w:rPr>
          <w:rFonts w:ascii="Arial" w:eastAsia="Times New Roman" w:hAnsi="Arial" w:cs="Arial"/>
          <w:color w:val="000000"/>
          <w:lang w:val="en-US" w:eastAsia="de-DE"/>
        </w:rPr>
        <w:t xml:space="preserve"> mesophyll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{"citationItems":[{"id":"ITEM-1","itemData":{"DOI":"10.1007/S00425-021-03578-4/TABLES/1","ISSN":"14322048","</w:instrText>
      </w:r>
      <w:r>
        <w:rPr>
          <w:rFonts w:ascii="Arial" w:eastAsia="Times New Roman" w:hAnsi="Arial" w:cs="Arial"/>
          <w:color w:val="000000"/>
          <w:lang w:val="en-US" w:eastAsia="de-DE"/>
        </w:rPr>
        <w:instrText>PMID":"33560485","abstract":"Main conclusion: Cell expression is coordinated with chloroplast division in diploid and tetraploid Arabidopsis thaliana, polyploidy promoted the expansion of mesophyll cells and chloroplast division in A. thaliana. Abstract: C</w:instrText>
      </w:r>
      <w:r>
        <w:rPr>
          <w:rFonts w:ascii="Arial" w:eastAsia="Times New Roman" w:hAnsi="Arial" w:cs="Arial"/>
          <w:color w:val="000000"/>
          <w:lang w:val="en-US" w:eastAsia="de-DE"/>
        </w:rPr>
        <w:instrText>ell development and differentiation are always accompanied by cell expansion and chloroplast division in plants, but the relationship between them is still relatively unknown. To confirm the relationship between cell expansion and chloroplast division duri</w:instrText>
      </w:r>
      <w:r>
        <w:rPr>
          <w:rFonts w:ascii="Arial" w:eastAsia="Times New Roman" w:hAnsi="Arial" w:cs="Arial"/>
          <w:color w:val="000000"/>
          <w:lang w:val="en-US" w:eastAsia="de-DE"/>
        </w:rPr>
        <w:instrText>ng the leaf development process of diploid and tetraploid Arabidopsis thaliana, we systematically analyzed the expansion of mesophyll cells and the division of chloroplasts through cytological observation and gene-expression characteristics. As a result, i</w:instrText>
      </w:r>
      <w:r>
        <w:rPr>
          <w:rFonts w:ascii="Arial" w:eastAsia="Times New Roman" w:hAnsi="Arial" w:cs="Arial"/>
          <w:color w:val="000000"/>
          <w:lang w:val="en-US" w:eastAsia="de-DE"/>
        </w:rPr>
        <w:instrText>n diploid and tetraploid A. thaliana, there were two peaks in both mesophyll cell expansion and chloroplast division during the leaf development process. Tetraploid A. thaliana mesophyll cells were larger and contained more chloroplasts than diploid A. tha</w:instrText>
      </w:r>
      <w:r>
        <w:rPr>
          <w:rFonts w:ascii="Arial" w:eastAsia="Times New Roman" w:hAnsi="Arial" w:cs="Arial"/>
          <w:color w:val="000000"/>
          <w:lang w:val="en-US" w:eastAsia="de-DE"/>
        </w:rPr>
        <w:instrText>liana mesophyll cells, which indicated that cell division and cell expansion were coordinated with chloroplast division in A. thaliana and that polyploidy further promoted mesophyll cell expansion and chloroplast division.","author":[{"dropping-particle":"</w:instrText>
      </w:r>
      <w:r>
        <w:rPr>
          <w:rFonts w:ascii="Arial" w:eastAsia="Times New Roman" w:hAnsi="Arial" w:cs="Arial"/>
          <w:color w:val="000000"/>
          <w:lang w:val="en-US" w:eastAsia="de-DE"/>
        </w:rPr>
        <w:instrText>","family":"He","given":"Hanjun","non-dropping-particle":"","parse-names":false,"suffix":""},{"dropping-particle":"","family":"Xie","given":"Wei","non-dropping-particle":"","parse-names":false,"suffix":""},{"dropping-particle":"","family":"Liang","given":"</w:instrText>
      </w:r>
      <w:r>
        <w:rPr>
          <w:rFonts w:ascii="Arial" w:eastAsia="Times New Roman" w:hAnsi="Arial" w:cs="Arial"/>
          <w:color w:val="000000"/>
          <w:lang w:val="en-US" w:eastAsia="de-DE"/>
        </w:rPr>
        <w:instrText>Zhixin","non-dropping-particle":"","parse-names":false,"suffix":""},{"dropping-particle":"","family":"Wu","given":"Hong","non-dropping-particle":"","parse-names":false,"suffix":""},{"dropping-particle":"","family":"Bai","given":"Mei","non-dropping-particle</w:instrText>
      </w:r>
      <w:r>
        <w:rPr>
          <w:rFonts w:ascii="Arial" w:eastAsia="Times New Roman" w:hAnsi="Arial" w:cs="Arial"/>
          <w:color w:val="000000"/>
          <w:lang w:val="en-US" w:eastAsia="de-DE"/>
        </w:rPr>
        <w:instrText>":"","parse-names":false,"suffix":""}],"container-title":"Planta","id":"ITEM-1","issue":"3","issued":{"date-parts":[["2021","3","1"]]},"page":"1-9","publisher":"Springer Science and Business Media Deutschland GmbH","title":"The expansion of mesophyll cells</w:instrText>
      </w:r>
      <w:r>
        <w:rPr>
          <w:rFonts w:ascii="Arial" w:eastAsia="Times New Roman" w:hAnsi="Arial" w:cs="Arial"/>
          <w:color w:val="000000"/>
          <w:lang w:val="en-US" w:eastAsia="de-DE"/>
        </w:rPr>
        <w:instrText xml:space="preserve"> is coordinated with the division of chloroplasts in diploid and tetraploid Arabidopsis thaliana","type":"article-journal","volume":"253"},"uris":["http://www.mendeley.com/documents/?uuid=85bdec6b-bbd4-3bb8-9cee-b1731067d439"]}],"mendeley":{"formattedCitat</w:instrText>
      </w:r>
      <w:r>
        <w:rPr>
          <w:rFonts w:ascii="Arial" w:eastAsia="Times New Roman" w:hAnsi="Arial" w:cs="Arial"/>
          <w:color w:val="000000"/>
          <w:lang w:val="en-US" w:eastAsia="de-DE"/>
        </w:rPr>
        <w:instrText>ion":"&lt;sup&gt;134&lt;/sup&gt;","plainTextFormattedCitation":"134","previouslyFormattedCitation":"&lt;sup&gt;134&lt;/sup&gt;"},"properties":{"noteIndex":0},"schema":"https://github.com/citation-style-language/schema/raw/master/csl-citation.json"}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134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addition, chloroplast</w:t>
      </w:r>
      <w:r>
        <w:rPr>
          <w:rFonts w:ascii="Arial" w:eastAsia="Times New Roman" w:hAnsi="Arial" w:cs="Arial"/>
          <w:color w:val="000000"/>
          <w:lang w:val="en-US" w:eastAsia="de-DE"/>
        </w:rPr>
        <w:t xml:space="preserve"> number and total chloroplast area increase with cell face area of spinach mesophyll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{"citationItems":[{"id":"ITEM-1","itemData":{"DOI":"10.1007/BF00388401/METRICS","ISSN":"00320935","abstract":"The size ranges of chloroplasts in li</w:instrText>
      </w:r>
      <w:r>
        <w:rPr>
          <w:rFonts w:ascii="Arial" w:eastAsia="Times New Roman" w:hAnsi="Arial" w:cs="Arial"/>
          <w:color w:val="000000"/>
          <w:lang w:val="en-US" w:eastAsia="de-DE"/>
        </w:rPr>
        <w:instrText>ving mesophyll cells of Spinacia oleracea, Allium cepa, Beta vulgaris (Swiss chard and red beet) and Nicotiana glutinosa are extremely wide, e.g., ranging from about 6 μ2 to 103 μ2 in face area for spinach. Moreover, the size distributions are positively s</w:instrText>
      </w:r>
      <w:r>
        <w:rPr>
          <w:rFonts w:ascii="Arial" w:eastAsia="Times New Roman" w:hAnsi="Arial" w:cs="Arial"/>
          <w:color w:val="000000"/>
          <w:lang w:val="en-US" w:eastAsia="de-DE"/>
        </w:rPr>
        <w:instrText xml:space="preserve">kewed. We interpret the size range and skewed size distributions primarily to reflect an enormous growth of the bulk of the chloroplasts from small, equal-sized chloroplasts produced by fission of a small sub-population of constricted mature chloroplasts. </w:instrText>
      </w:r>
      <w:r>
        <w:rPr>
          <w:rFonts w:ascii="Arial" w:eastAsia="Times New Roman" w:hAnsi="Arial" w:cs="Arial"/>
          <w:color w:val="000000"/>
          <w:lang w:val="en-US" w:eastAsia="de-DE"/>
        </w:rPr>
        <w:instrText>While actual fission has never been observed, a slow division rate of the constricted chloroplasts in N. glutinosa can account for the increase in chloroplast numbers per cell during leaf development and for the presence of small, non-constricted chloropla</w:instrText>
      </w:r>
      <w:r>
        <w:rPr>
          <w:rFonts w:ascii="Arial" w:eastAsia="Times New Roman" w:hAnsi="Arial" w:cs="Arial"/>
          <w:color w:val="000000"/>
          <w:lang w:val="en-US" w:eastAsia="de-DE"/>
        </w:rPr>
        <w:instrText xml:space="preserve">sts after the small chloroplasts which developed during the initial meristem activity have enlarged. Chloroplast numbers and total amount of chloroplast material per cell face were positively correlated with mesophyll-cell face size. However, the fraction </w:instrText>
      </w:r>
      <w:r>
        <w:rPr>
          <w:rFonts w:ascii="Arial" w:eastAsia="Times New Roman" w:hAnsi="Arial" w:cs="Arial"/>
          <w:color w:val="000000"/>
          <w:lang w:val="en-US" w:eastAsia="de-DE"/>
        </w:rPr>
        <w:instrText>of the cell face occupied with chloroplasts was essentially constant and independent of cell size and cell age while being markedly different for different species of plants. There appear to be some family characteristics in that closely related species ha</w:instrText>
      </w:r>
      <w:r>
        <w:rPr>
          <w:rFonts w:ascii="Arial" w:eastAsia="Times New Roman" w:hAnsi="Arial" w:cs="Arial"/>
          <w:color w:val="000000"/>
          <w:lang w:val="en-US" w:eastAsia="de-DE"/>
        </w:rPr>
        <w:instrText>ve similar size-distributions and ranges of chloroplast sizes. The observations are discussed with respect to the ontogeny of chloroplasts in higher plants. © 1971 Springer-Verlag.","author":[{"dropping-particle":"","family":"Honda","given":"S. I.","non-dr</w:instrText>
      </w:r>
      <w:r>
        <w:rPr>
          <w:rFonts w:ascii="Arial" w:eastAsia="Times New Roman" w:hAnsi="Arial" w:cs="Arial"/>
          <w:color w:val="000000"/>
          <w:lang w:val="en-US" w:eastAsia="de-DE"/>
        </w:rPr>
        <w:instrText>opping-particle":"","parse-names":false,"suffix":""},{"dropping-particle":"","family":"Hongladarom-Honda","given":"Tasani","non-dropping-particle":"","parse-names":false,"suffix":""},{"dropping-particle":"","family":"Kwanyuen","given":"Prachuab","non-dropp</w:instrText>
      </w:r>
      <w:r>
        <w:rPr>
          <w:rFonts w:ascii="Arial" w:eastAsia="Times New Roman" w:hAnsi="Arial" w:cs="Arial"/>
          <w:color w:val="000000"/>
          <w:lang w:val="en-US" w:eastAsia="de-DE"/>
        </w:rPr>
        <w:instrText>ing-particle":"","parse-names":false,"suffix":""},{"dropping-particle":"","family":"Wildman","given":"S. G.","non-dropping-particle":"","parse-names":false,"suffix":""}],"container-title":"Planta","id":"ITEM-1","issue":"1","issued":{"date-parts":[["1971","</w:instrText>
      </w:r>
      <w:r>
        <w:rPr>
          <w:rFonts w:ascii="Arial" w:eastAsia="Times New Roman" w:hAnsi="Arial" w:cs="Arial"/>
          <w:color w:val="000000"/>
          <w:lang w:val="en-US" w:eastAsia="de-DE"/>
        </w:rPr>
        <w:instrText>3"]]},"page":"1-15","publisher":"Springer-Verlag","title":"Interpretations on chloroplast reproduction derived from correlations between cells and chloroplasts","type":"article-journal","volume":"97"},"uris":["http://www.mendeley.com/documents/?uuid=4c1452</w:instrText>
      </w:r>
      <w:r>
        <w:rPr>
          <w:rFonts w:ascii="Arial" w:eastAsia="Times New Roman" w:hAnsi="Arial" w:cs="Arial"/>
          <w:color w:val="000000"/>
          <w:lang w:val="en-US" w:eastAsia="de-DE"/>
        </w:rPr>
        <w:instrText>1c-4164-34fc-9e68-6afe21d62a53"]}],"mendeley":{"formattedCitation":"&lt;sup&gt;135&lt;/sup&gt;","plainTextFormattedCitation":"135","previouslyFormattedCitation":"&lt;sup&gt;135&lt;/sup&gt;"},"properties":{"noteIndex":0},"schema":"https://github.com/citation-style-language/schema/</w:instrText>
      </w:r>
      <w:r>
        <w:rPr>
          <w:rFonts w:ascii="Arial" w:eastAsia="Times New Roman" w:hAnsi="Arial" w:cs="Arial"/>
          <w:color w:val="000000"/>
          <w:lang w:val="en-US" w:eastAsia="de-DE"/>
        </w:rPr>
        <w:instrText>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135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Finally, chloroplast DNA copy numbers correlate with cell size during the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color w:val="000000"/>
          <w:lang w:val="en-US" w:eastAsia="de-DE"/>
        </w:rPr>
        <w:t xml:space="preserve"> cell cycle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{"citationItems":[{"id":"ITEM-1","itemData":{"DOI":"10.1104/pp.113.216291","ISSN":"15322548","abstra</w:instrText>
      </w:r>
      <w:r>
        <w:rPr>
          <w:rFonts w:ascii="Arial" w:eastAsia="Times New Roman" w:hAnsi="Arial" w:cs="Arial"/>
          <w:color w:val="000000"/>
          <w:lang w:val="en-US" w:eastAsia="de-DE"/>
        </w:rPr>
        <w:instrText>ct":"Chloroplasts arose from a cyanobacterial endosymbiont and multiply by division. In algal cells, chloroplast division is regulated by the cell cycle so as to occur only once, in the S phase. Chloroplasts possess multiple copies of their own genome that</w:instrText>
      </w:r>
      <w:r>
        <w:rPr>
          <w:rFonts w:ascii="Arial" w:eastAsia="Times New Roman" w:hAnsi="Arial" w:cs="Arial"/>
          <w:color w:val="000000"/>
          <w:lang w:val="en-US" w:eastAsia="de-DE"/>
        </w:rPr>
        <w:instrText xml:space="preserve"> must be replicated during chloroplast proliferation. In order to examine how chloroplast DNA replication is regulated in the green alga Chlamydomonas reinhardtii, we first asked whether it is regulated by the cell cycle, as is the case for chloroplast div</w:instrText>
      </w:r>
      <w:r>
        <w:rPr>
          <w:rFonts w:ascii="Arial" w:eastAsia="Times New Roman" w:hAnsi="Arial" w:cs="Arial"/>
          <w:color w:val="000000"/>
          <w:lang w:val="en-US" w:eastAsia="de-DE"/>
        </w:rPr>
        <w:instrText>ision. Chloroplast DNA is replicated in the light and not the dark phase, independent of the cell cycle or the timing of chloroplast division in photoautotrophic culture. Inhibition of photosynthetic electron transfer blocked chloroplast DNA replication. H</w:instrText>
      </w:r>
      <w:r>
        <w:rPr>
          <w:rFonts w:ascii="Arial" w:eastAsia="Times New Roman" w:hAnsi="Arial" w:cs="Arial"/>
          <w:color w:val="000000"/>
          <w:lang w:val="en-US" w:eastAsia="de-DE"/>
        </w:rPr>
        <w:instrText>owever, chloroplast DNA was replicated when the cells were grown heterotrophically in the dark, raising the possibility that chloroplast DNA replication is coupled with the reducing power supplied by photosynthesis or the uptake of acetate. When dimethylth</w:instrText>
      </w:r>
      <w:r>
        <w:rPr>
          <w:rFonts w:ascii="Arial" w:eastAsia="Times New Roman" w:hAnsi="Arial" w:cs="Arial"/>
          <w:color w:val="000000"/>
          <w:lang w:val="en-US" w:eastAsia="de-DE"/>
        </w:rPr>
        <w:instrText>iourea, a reactive oxygen species scavenger, was added to the photoautotrophic culture, chloroplast DNA was replicated even in the dark. In contrast, when methylviologen, a reactive oxygen species inducer, was added, chloroplast DNA was not replicated in t</w:instrText>
      </w:r>
      <w:r>
        <w:rPr>
          <w:rFonts w:ascii="Arial" w:eastAsia="Times New Roman" w:hAnsi="Arial" w:cs="Arial"/>
          <w:color w:val="000000"/>
          <w:lang w:val="en-US" w:eastAsia="de-DE"/>
        </w:rPr>
        <w:instrText xml:space="preserve">he light. Moreover, the chloroplast DNA replication activity in both the isolated chloroplasts and nucleoids was increased by dithiothreitol, while it was repressed by diamide, a specific thiol-oxidizing reagent. These results suggest that chloroplast DNA </w:instrText>
      </w:r>
      <w:r>
        <w:rPr>
          <w:rFonts w:ascii="Arial" w:eastAsia="Times New Roman" w:hAnsi="Arial" w:cs="Arial"/>
          <w:color w:val="000000"/>
          <w:lang w:val="en-US" w:eastAsia="de-DE"/>
        </w:rPr>
        <w:instrText>replication is regulated by the redox state that is sensed by the nucleoids and that the disulfide bonds in nucleoid-associated proteins are involved in this regulatory activity. © 2013 American Society of Plant Biologists. All Rights Reserved.","author":[</w:instrText>
      </w:r>
      <w:r>
        <w:rPr>
          <w:rFonts w:ascii="Arial" w:eastAsia="Times New Roman" w:hAnsi="Arial" w:cs="Arial"/>
          <w:color w:val="000000"/>
          <w:lang w:val="en-US" w:eastAsia="de-DE"/>
        </w:rPr>
        <w:instrText>{"dropping-particle":"","family":"Kabeya","given":"Yukihiro","non-dropping-particle":"","parse-names":false,"suffix":""},{"dropping-particle":"","family":"Miyagishima","given":"Shin Ya","non-dropping-particle":"","parse-names":false,"suffix":""}],"containe</w:instrText>
      </w:r>
      <w:r>
        <w:rPr>
          <w:rFonts w:ascii="Arial" w:eastAsia="Times New Roman" w:hAnsi="Arial" w:cs="Arial"/>
          <w:color w:val="000000"/>
          <w:lang w:val="en-US" w:eastAsia="de-DE"/>
        </w:rPr>
        <w:instrText>r-title":"Plant Physiology","id":"ITEM-1","issue":"4","issued":{"date-parts":[["2013"]]},"page":"2102-2112","title":"Chloroplast DNA replication is regulated by the redox state independently of chloroplast division in Chlamydomonas reinhardtii","type":"art</w:instrText>
      </w:r>
      <w:r>
        <w:rPr>
          <w:rFonts w:ascii="Arial" w:eastAsia="Times New Roman" w:hAnsi="Arial" w:cs="Arial"/>
          <w:color w:val="000000"/>
          <w:lang w:val="en-US" w:eastAsia="de-DE"/>
        </w:rPr>
        <w:instrText>icle-journal","volume":"161"},"uris":["http://www.mendeley.com/documents/?uuid=097cce7b-c598-356c-bc73-e21a0617b95c"]}],"mendeley":{"formattedCitation":"&lt;sup&gt;136&lt;/sup&gt;","plainTextFormattedCitation":"136","previouslyFormattedCitation":"&lt;sup&gt;136&lt;/sup&gt;"},"pro</w:instrText>
      </w:r>
      <w:r>
        <w:rPr>
          <w:rFonts w:ascii="Arial" w:eastAsia="Times New Roman" w:hAnsi="Arial" w:cs="Arial"/>
          <w:color w:val="000000"/>
          <w:lang w:val="en-US" w:eastAsia="de-DE"/>
        </w:rPr>
        <w:instrText>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136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12FC9A09" w14:textId="77777777" w:rsidR="00066D11" w:rsidRDefault="00066D11">
      <w:pPr>
        <w:spacing w:after="0" w:line="240" w:lineRule="auto"/>
        <w:jc w:val="both"/>
        <w:rPr>
          <w:rFonts w:ascii="Arial" w:eastAsia="Times New Roman" w:hAnsi="Arial" w:cs="Arial"/>
          <w:color w:val="000000"/>
          <w:lang w:val="en-US" w:eastAsia="de-DE"/>
        </w:rPr>
      </w:pPr>
    </w:p>
    <w:p w14:paraId="7FADF467"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Pointing towards fundamental constraints leading to size scaling of organelles that emerged from metabolic endosymbiosis, also ‘nitr</w:t>
      </w:r>
      <w:r>
        <w:rPr>
          <w:rFonts w:ascii="Arial" w:eastAsia="Times New Roman" w:hAnsi="Arial" w:cs="Arial"/>
          <w:color w:val="000000"/>
          <w:lang w:val="en-US" w:eastAsia="de-DE"/>
        </w:rPr>
        <w:t>oplasts’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{"citationItems":[{"id":"ITEM-1","itemData":{"DOI":"10.1126/SCIENCE.ADK1075","ISSN":"0036-8075","abstract":"Symbiotic interactions were key to the evolution of chloroplast and mitochondria organelles, which mediate carbon and ene</w:instrText>
      </w:r>
      <w:r>
        <w:rPr>
          <w:rFonts w:ascii="Arial" w:eastAsia="Times New Roman" w:hAnsi="Arial" w:cs="Arial"/>
          <w:color w:val="000000"/>
          <w:lang w:val="en-US" w:eastAsia="de-DE"/>
        </w:rPr>
        <w:instrText>rgy metabolism in eukaryotes. Biological nitrogen fixation, the reduction of...","author":[{"dropping-particle":"","family":"Coale","given":"Tyler H","non-dropping-particle":"","parse-names":false,"suffix":""},{"dropping-particle":"","family":"Loconte","gi</w:instrText>
      </w:r>
      <w:r>
        <w:rPr>
          <w:rFonts w:ascii="Arial" w:eastAsia="Times New Roman" w:hAnsi="Arial" w:cs="Arial"/>
          <w:color w:val="000000"/>
          <w:lang w:val="en-US" w:eastAsia="de-DE"/>
        </w:rPr>
        <w:instrText>ven":"Valentina","non-dropping-particle":"","parse-names":false,"suffix":""},{"dropping-particle":"","family":"Turk-Kubo","given":"Kendra A","non-dropping-particle":"","parse-names":false,"suffix":""},{"dropping-particle":"","family":"Vanslembrouck","given</w:instrText>
      </w:r>
      <w:r>
        <w:rPr>
          <w:rFonts w:ascii="Arial" w:eastAsia="Times New Roman" w:hAnsi="Arial" w:cs="Arial"/>
          <w:color w:val="000000"/>
          <w:lang w:val="en-US" w:eastAsia="de-DE"/>
        </w:rPr>
        <w:instrText>":"Bieke","non-dropping-particle":"","parse-names":false,"suffix":""},{"dropping-particle":"","family":"Kwan","given":"Wing","non-dropping-particle":"","parse-names":false,"suffix":""},{"dropping-particle":"","family":"Mak","given":"Esther","non-dropping-p</w:instrText>
      </w:r>
      <w:r>
        <w:rPr>
          <w:rFonts w:ascii="Arial" w:eastAsia="Times New Roman" w:hAnsi="Arial" w:cs="Arial"/>
          <w:color w:val="000000"/>
          <w:lang w:val="en-US" w:eastAsia="de-DE"/>
        </w:rPr>
        <w:instrText>article":"","parse-names":false,"suffix":""},{"dropping-particle":"","family":"Cheung","given":"Shunyan","non-dropping-particle":"","parse-names":false,"suffix":""},{"dropping-particle":"","family":"Ekman","given":"Axel","non-dropping-particle":"","parse-n</w:instrText>
      </w:r>
      <w:r>
        <w:rPr>
          <w:rFonts w:ascii="Arial" w:eastAsia="Times New Roman" w:hAnsi="Arial" w:cs="Arial"/>
          <w:color w:val="000000"/>
          <w:lang w:val="en-US" w:eastAsia="de-DE"/>
        </w:rPr>
        <w:instrText>ames":false,"suffix":""},{"dropping-particle":"","family":"Chen","given":"Jian-Hua","non-dropping-particle":"","parse-names":false,"suffix":""},{"dropping-particle":"","family":"Hagino","given":"Kyoko","non-dropping-particle":"","parse-names":false,"suffix</w:instrText>
      </w:r>
      <w:r>
        <w:rPr>
          <w:rFonts w:ascii="Arial" w:eastAsia="Times New Roman" w:hAnsi="Arial" w:cs="Arial"/>
          <w:color w:val="000000"/>
          <w:lang w:val="en-US" w:eastAsia="de-DE"/>
        </w:rPr>
        <w:instrText>":""},{"dropping-particle":"","family":"Takano","given":"Yoshihito","non-dropping-particle":"","parse-names":false,"suffix":""},{"dropping-particle":"","family":"Nishimura","given":"Tomohiro","non-dropping-particle":"","parse-names":false,"suffix":""},{"dr</w:instrText>
      </w:r>
      <w:r>
        <w:rPr>
          <w:rFonts w:ascii="Arial" w:eastAsia="Times New Roman" w:hAnsi="Arial" w:cs="Arial"/>
          <w:color w:val="000000"/>
          <w:lang w:val="en-US" w:eastAsia="de-DE"/>
        </w:rPr>
        <w:instrText>opping-particle":"","family":"Adachi","given":"Masao","non-dropping-particle":"","parse-names":false,"suffix":""},{"dropping-particle":"","family":"Gros","given":"Mark","non-dropping-particle":"Le","parse-names":false,"suffix":""},{"dropping-particle":"","</w:instrText>
      </w:r>
      <w:r>
        <w:rPr>
          <w:rFonts w:ascii="Arial" w:eastAsia="Times New Roman" w:hAnsi="Arial" w:cs="Arial"/>
          <w:color w:val="000000"/>
          <w:lang w:val="en-US" w:eastAsia="de-DE"/>
        </w:rPr>
        <w:instrText>family":"Larabell","given":"Carolyn","non-dropping-particle":"","parse-names":false,"suffix":""},{"dropping-particle":"","family":"Zehr","given":"Jonathan P","non-dropping-particle":"","parse-names":false,"suffix":""}],"container-title":"Science","id":"ITE</w:instrText>
      </w:r>
      <w:r>
        <w:rPr>
          <w:rFonts w:ascii="Arial" w:eastAsia="Times New Roman" w:hAnsi="Arial" w:cs="Arial"/>
          <w:color w:val="000000"/>
          <w:lang w:val="en-US" w:eastAsia="de-DE"/>
        </w:rPr>
        <w:instrText>M-1","issue":"6692","issued":{"date-parts":[["2024","4","12"]]},"page":"217-222","publisher":"American Association for the Advancement of Science","title":"Nitrogen-fixing organelle in a marine alga","type":"article-journal","volume":"384"},"uris":["http:/</w:instrText>
      </w:r>
      <w:r>
        <w:rPr>
          <w:rFonts w:ascii="Arial" w:eastAsia="Times New Roman" w:hAnsi="Arial" w:cs="Arial"/>
          <w:color w:val="000000"/>
          <w:lang w:val="en-US" w:eastAsia="de-DE"/>
        </w:rPr>
        <w:instrText>/www.mendeley.com/documents/?uuid=18812ff3-5011-36a0-9465-9f96eb75ea01"]}],"mendeley":{"formattedCitation":"&lt;sup&gt;137&lt;/sup&gt;","plainTextFormattedCitation":"137","previouslyFormattedCitation":"&lt;sup&gt;137&lt;/sup&gt;"},"properties":{"noteIndex":0},"schema":"https://gi</w:instrText>
      </w:r>
      <w:r>
        <w:rPr>
          <w:rFonts w:ascii="Arial" w:eastAsia="Times New Roman" w:hAnsi="Arial" w:cs="Arial"/>
          <w:color w:val="000000"/>
          <w:lang w:val="en-US" w:eastAsia="de-DE"/>
        </w:rPr>
        <w:instrText>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137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nitrogen-fixing endosymbiotic cyanobacteria, increase in size with the size of their host, the alga </w:t>
      </w:r>
      <w:r>
        <w:rPr>
          <w:rFonts w:ascii="Arial" w:eastAsia="Times New Roman" w:hAnsi="Arial" w:cs="Arial"/>
          <w:i/>
          <w:color w:val="000000"/>
          <w:lang w:val="en-US" w:eastAsia="de-DE"/>
        </w:rPr>
        <w:t>B. bigelowii</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CSL_CITATION {"citationItems":[{"id":"ITEM-1","itemData":{"D</w:instrText>
      </w:r>
      <w:r>
        <w:rPr>
          <w:rFonts w:ascii="Arial" w:eastAsia="Times New Roman" w:hAnsi="Arial" w:cs="Arial"/>
          <w:i/>
          <w:color w:val="000000"/>
          <w:lang w:val="en-US" w:eastAsia="de-DE"/>
        </w:rPr>
        <w:instrText>OI":"10.1016/J.CELL.2024.02.016","ISSN":"0092-8674","PMID":"38471501","abstract":"&lt;h2&gt;Summary&lt;/h2&gt;&lt;p&gt;Biological dinitrogen (N&lt;sub&gt;2&lt;/sub&gt;) fixation is a key metabolic process exclusively performed by prokaryotes, some of which are symbiotic with eukaryotes</w:instrText>
      </w:r>
      <w:r>
        <w:rPr>
          <w:rFonts w:ascii="Arial" w:eastAsia="Times New Roman" w:hAnsi="Arial" w:cs="Arial"/>
          <w:i/>
          <w:color w:val="000000"/>
          <w:lang w:val="en-US" w:eastAsia="de-DE"/>
        </w:rPr>
        <w:instrText>. Species of the marine haptophyte algae &lt;i&gt;Braarudosphaera bigelowii&lt;/i&gt; harbor the N&lt;sub&gt;2&lt;/sub&gt;-fixing endosymbiotic cyanobacteria UCYN-A, which might be evolving organelle-like characteristics. We found that the size ratio between UCYN-A and their host</w:instrText>
      </w:r>
      <w:r>
        <w:rPr>
          <w:rFonts w:ascii="Arial" w:eastAsia="Times New Roman" w:hAnsi="Arial" w:cs="Arial"/>
          <w:i/>
          <w:color w:val="000000"/>
          <w:lang w:val="en-US" w:eastAsia="de-DE"/>
        </w:rPr>
        <w:instrText>s is strikingly conserved across sublineages/species, which is consistent with the size relationships of organelles in this symbiosis and other species. Metabolic modeling showed that this size relationship maximizes the coordinated growth rate based on tr</w:instrText>
      </w:r>
      <w:r>
        <w:rPr>
          <w:rFonts w:ascii="Arial" w:eastAsia="Times New Roman" w:hAnsi="Arial" w:cs="Arial"/>
          <w:i/>
          <w:color w:val="000000"/>
          <w:lang w:val="en-US" w:eastAsia="de-DE"/>
        </w:rPr>
        <w:instrText>ade-offs between resource acquisition and exchange. Our findings show that the size relationships of N&lt;sub&gt;2&lt;/sub&gt;-fixing endosymbionts and organelles in unicellular eukaryotes are constrained by predictable metabolic underpinnings and that UCYN-A is, in m</w:instrText>
      </w:r>
      <w:r>
        <w:rPr>
          <w:rFonts w:ascii="Arial" w:eastAsia="Times New Roman" w:hAnsi="Arial" w:cs="Arial"/>
          <w:i/>
          <w:color w:val="000000"/>
          <w:lang w:val="en-US" w:eastAsia="de-DE"/>
        </w:rPr>
        <w:instrText>any regards, functioning like a hypothetical N&lt;sub&gt;2&lt;/sub&gt;-fixing organelle (or nitroplast).&lt;/p&gt;","author":[{"dropping-particle":"","family":"Cornejo-Castillo","given":"Francisco M.","non-dropping-particle":"","parse-names":false,"suffix":""},{"dropping-pa</w:instrText>
      </w:r>
      <w:r>
        <w:rPr>
          <w:rFonts w:ascii="Arial" w:eastAsia="Times New Roman" w:hAnsi="Arial" w:cs="Arial"/>
          <w:i/>
          <w:color w:val="000000"/>
          <w:lang w:val="en-US" w:eastAsia="de-DE"/>
        </w:rPr>
        <w:instrText>rticle":"","family":"Inomura","given":"Keisuke","non-dropping-particle":"","parse-names":false,"suffix":""},{"dropping-particle":"","family":"Zehr","given":"Jonathan P.","non-dropping-particle":"","parse-names":false,"suffix":""},{"dropping-particle":"","f</w:instrText>
      </w:r>
      <w:r>
        <w:rPr>
          <w:rFonts w:ascii="Arial" w:eastAsia="Times New Roman" w:hAnsi="Arial" w:cs="Arial"/>
          <w:i/>
          <w:color w:val="000000"/>
          <w:lang w:val="en-US" w:eastAsia="de-DE"/>
        </w:rPr>
        <w:instrText>amily":"Follows","given":"Michael J.","non-dropping-particle":"","parse-names":false,"suffix":""}],"container-title":"Cell","id":"ITEM-1","issue":"7","issued":{"date-parts":[["2024","3","28"]]},"page":"1762-1768.e9","publisher":"Cell Press","title":"Metabo</w:instrText>
      </w:r>
      <w:r>
        <w:rPr>
          <w:rFonts w:ascii="Arial" w:eastAsia="Times New Roman" w:hAnsi="Arial" w:cs="Arial"/>
          <w:i/>
          <w:color w:val="000000"/>
          <w:lang w:val="en-US" w:eastAsia="de-DE"/>
        </w:rPr>
        <w:instrText>lic trade-offs constrain the cell size ratio in a nitrogen-fixing symbiosis","type":"article-journal","volume":"187"},"uris":["http://www.mendeley.com/documents/?uuid=61dc4a15-509c-333c-a492-986ca939a4eb"]}],"mendeley":{"formattedCitation":"&lt;sup&gt;138&lt;/sup&gt;"</w:instrText>
      </w:r>
      <w:r>
        <w:rPr>
          <w:rFonts w:ascii="Arial" w:eastAsia="Times New Roman" w:hAnsi="Arial" w:cs="Arial"/>
          <w:i/>
          <w:color w:val="000000"/>
          <w:lang w:val="en-US" w:eastAsia="de-DE"/>
        </w:rPr>
        <w:instrText>,"plainTextFormattedCitation":"138","previouslyFormattedCitation":"&lt;sup&gt;138&lt;/sup&gt;"},"properties":{"noteIndex":0},"schema":"https://github.com/citation-style-language/schema/raw/master/csl-citation.json"}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138</w:t>
      </w:r>
      <w:r>
        <w:rPr>
          <w:rFonts w:ascii="Arial" w:eastAsia="Times New Roman" w:hAnsi="Arial" w:cs="Arial"/>
          <w:i/>
          <w:color w:val="000000"/>
          <w:lang w:val="en-US" w:eastAsia="de-DE"/>
        </w:rPr>
        <w:fldChar w:fldCharType="end"/>
      </w:r>
      <w:r>
        <w:rPr>
          <w:rFonts w:ascii="Arial" w:eastAsia="Times New Roman" w:hAnsi="Arial" w:cs="Arial"/>
          <w:color w:val="000000"/>
          <w:lang w:val="en-US" w:eastAsia="de-DE"/>
        </w:rPr>
        <w:t>.</w:t>
      </w:r>
    </w:p>
    <w:p w14:paraId="4F8608E8" w14:textId="77777777" w:rsidR="00066D11" w:rsidRDefault="00066D11">
      <w:pPr>
        <w:spacing w:after="0" w:line="240" w:lineRule="auto"/>
        <w:jc w:val="both"/>
        <w:rPr>
          <w:rFonts w:ascii="Arial" w:eastAsia="Times New Roman" w:hAnsi="Arial" w:cs="Arial"/>
          <w:lang w:val="en-US" w:eastAsia="de-DE"/>
        </w:rPr>
      </w:pPr>
    </w:p>
    <w:p w14:paraId="64107EED"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3.4 Vacuoles</w:t>
      </w:r>
    </w:p>
    <w:p w14:paraId="67E23159" w14:textId="77777777" w:rsidR="00066D11" w:rsidRDefault="00066D11">
      <w:pPr>
        <w:spacing w:after="0" w:line="240" w:lineRule="auto"/>
        <w:jc w:val="both"/>
        <w:rPr>
          <w:rFonts w:ascii="Arial" w:eastAsia="Times New Roman" w:hAnsi="Arial" w:cs="Arial"/>
          <w:lang w:val="en-US" w:eastAsia="de-DE"/>
        </w:rPr>
      </w:pPr>
    </w:p>
    <w:p w14:paraId="6B8C08B5"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Both the surface area and </w:t>
      </w:r>
      <w:r>
        <w:rPr>
          <w:rFonts w:ascii="Arial" w:eastAsia="Times New Roman" w:hAnsi="Arial" w:cs="Arial"/>
          <w:color w:val="000000"/>
          <w:lang w:val="en-US" w:eastAsia="de-DE"/>
        </w:rPr>
        <w:t>the volume of budding yeast vacuoles increase with cell volume. The exact scaling relationships may vary between different strains, but in any case, vacuole volume was observed to superscale with cell volume, meaning that an increase of cell volume leads t</w:t>
      </w:r>
      <w:r>
        <w:rPr>
          <w:rFonts w:ascii="Arial" w:eastAsia="Times New Roman" w:hAnsi="Arial" w:cs="Arial"/>
          <w:color w:val="000000"/>
          <w:lang w:val="en-US" w:eastAsia="de-DE"/>
        </w:rPr>
        <w:t>o a more than proportional increase of vacuole volume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{"citationItems":[{"id":"ITEM-1","itemData":{"DOI":"10.1016/j.bpj.2014.03.014","ISSN":"1542-0086","PMID":"24806931","abstract":"Organelles serve as biochemical reactors in the cell, an</w:instrText>
      </w:r>
      <w:r>
        <w:rPr>
          <w:rFonts w:ascii="Arial" w:eastAsia="Times New Roman" w:hAnsi="Arial" w:cs="Arial"/>
          <w:color w:val="000000"/>
          <w:lang w:val="en-US" w:eastAsia="de-DE"/>
        </w:rPr>
        <w:instrText>d often display characteristic scaling trends with cell size, suggesting mechanisms that coordinate their sizes. In this study, we measure the vacuole-cell size scaling trends in budding yeast using optical microscopy and a novel, to our knowledge, image a</w:instrText>
      </w:r>
      <w:r>
        <w:rPr>
          <w:rFonts w:ascii="Arial" w:eastAsia="Times New Roman" w:hAnsi="Arial" w:cs="Arial"/>
          <w:color w:val="000000"/>
          <w:lang w:val="en-US" w:eastAsia="de-DE"/>
        </w:rPr>
        <w:instrText>nalysis algorithm. Vacuole volume and surface area both show characteristic scaling trends with respect to cell size that are consistent among different strains. Rapamycin treatment was found to increase vacuole-cell size scaling trends for both volume and</w:instrText>
      </w:r>
      <w:r>
        <w:rPr>
          <w:rFonts w:ascii="Arial" w:eastAsia="Times New Roman" w:hAnsi="Arial" w:cs="Arial"/>
          <w:color w:val="000000"/>
          <w:lang w:val="en-US" w:eastAsia="de-DE"/>
        </w:rPr>
        <w:instrText xml:space="preserve"> surface area. Unexpectedly, these increases did not depend on macroautophagy, as similar increases in vacuole size were observed in the autophagy deficient mutants atg1Δ and atg5Δ. Rather, rapamycin appears to act on vacuole size by inhibiting retrograde </w:instrText>
      </w:r>
      <w:r>
        <w:rPr>
          <w:rFonts w:ascii="Arial" w:eastAsia="Times New Roman" w:hAnsi="Arial" w:cs="Arial"/>
          <w:color w:val="000000"/>
          <w:lang w:val="en-US" w:eastAsia="de-DE"/>
        </w:rPr>
        <w:instrText xml:space="preserve">membrane trafficking, as the atg18Δ mutant, which is defective in retrograde trafficking, shows similar vacuole size scaling to rapamycin-treated cells and is itself insensitive to rapamycin treatment. Disruption of anterograde membrane trafficking in the </w:instrText>
      </w:r>
      <w:r>
        <w:rPr>
          <w:rFonts w:ascii="Arial" w:eastAsia="Times New Roman" w:hAnsi="Arial" w:cs="Arial"/>
          <w:color w:val="000000"/>
          <w:lang w:val="en-US" w:eastAsia="de-DE"/>
        </w:rPr>
        <w:instrText>apl5Δ mutant leads to complementary changes in vacuole size scaling. These quantitative results lead to a simple model for vacuole size scaling based on proportionality between cell growth rates and vacuole growth rates.","author":[{"dropping-particle":"",</w:instrText>
      </w:r>
      <w:r>
        <w:rPr>
          <w:rFonts w:ascii="Arial" w:eastAsia="Times New Roman" w:hAnsi="Arial" w:cs="Arial"/>
          <w:color w:val="000000"/>
          <w:lang w:val="en-US" w:eastAsia="de-DE"/>
        </w:rPr>
        <w:instrText xml:space="preserve">"family":"Chan","given":"Yee-Hung Mark","non-dropping-particle":"","parse-names":false,"suffix":""},{"dropping-particle":"","family":"Marshall","given":"Wallace F","non-dropping-particle":"","parse-names":false,"suffix":""}],"container-title":"Biophysical </w:instrText>
      </w:r>
      <w:r>
        <w:rPr>
          <w:rFonts w:ascii="Arial" w:eastAsia="Times New Roman" w:hAnsi="Arial" w:cs="Arial"/>
          <w:color w:val="000000"/>
          <w:lang w:val="en-US" w:eastAsia="de-DE"/>
        </w:rPr>
        <w:instrText>journal","id":"ITEM-1","issue":"9","issued":{"date-parts":[["2014","5","6"]]},"page":"1986-96","title":"Organelle size scaling of the budding yeast vacuole is tuned by membrane trafficking rates.","type":"article-journal","volume":"106"},"uris":["http://ww</w:instrText>
      </w:r>
      <w:r>
        <w:rPr>
          <w:rFonts w:ascii="Arial" w:eastAsia="Times New Roman" w:hAnsi="Arial" w:cs="Arial"/>
          <w:color w:val="000000"/>
          <w:lang w:val="en-US" w:eastAsia="de-DE"/>
        </w:rPr>
        <w:instrText>w.mendeley.com/documents/?uuid=618a1d48-c0d8-4733-8f4b-29c6467b81b3"]}],"mendeley":{"formattedCitation":"&lt;sup&gt;139&lt;/sup&gt;","plainTextFormattedCitation":"139","previouslyFormattedCitation":"&lt;sup&gt;139&lt;/sup&gt;"},"properties":{"noteIndex":0},"schema":"https://githu</w:instrText>
      </w:r>
      <w:r>
        <w:rPr>
          <w:rFonts w:ascii="Arial" w:eastAsia="Times New Roman" w:hAnsi="Arial" w:cs="Arial"/>
          <w:color w:val="000000"/>
          <w:lang w:val="en-US" w:eastAsia="de-DE"/>
        </w:rPr>
        <w:instrText>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139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Vacuole size scaling can be explained by the relative growth rates of the vacuole and the cell, with no need for active feedback adjusting vacuole growth rate to vacuole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w:instrText>
      </w:r>
      <w:r>
        <w:rPr>
          <w:rFonts w:ascii="Arial" w:eastAsia="Times New Roman" w:hAnsi="Arial" w:cs="Arial"/>
          <w:color w:val="000000"/>
          <w:lang w:val="en-US" w:eastAsia="de-DE"/>
        </w:rPr>
        <w:instrText>SL_CITATION {"citationItems":[{"id":"ITEM-1","itemData":{"DOI":"10.1016/J.CUB.2016.03.020","ISSN":"09609822","PMID":"27151661","abstract":"It has long been noted that larger animals have larger organs compared to smaller animals of the same species, a phen</w:instrText>
      </w:r>
      <w:r>
        <w:rPr>
          <w:rFonts w:ascii="Arial" w:eastAsia="Times New Roman" w:hAnsi="Arial" w:cs="Arial"/>
          <w:color w:val="000000"/>
          <w:lang w:val="en-US" w:eastAsia="de-DE"/>
        </w:rPr>
        <w:instrText>omenon termed scaling [1]. Julian Huxley proposed an appealingly simple model of \"relative growth\" - in which an organ and the whole body grow with their own intrinsic rates [2] - that was invoked to explain scaling in organs from fiddler crab claws to h</w:instrText>
      </w:r>
      <w:r>
        <w:rPr>
          <w:rFonts w:ascii="Arial" w:eastAsia="Times New Roman" w:hAnsi="Arial" w:cs="Arial"/>
          <w:color w:val="000000"/>
          <w:lang w:val="en-US" w:eastAsia="de-DE"/>
        </w:rPr>
        <w:instrText>uman brains. Because organ size is regulated by complex, unpredictable pathways [3], it remains unclear whether scaling requires feedback mechanisms to regulate organ growth in response to organ or body size. The molecular pathways governing organelle biog</w:instrText>
      </w:r>
      <w:r>
        <w:rPr>
          <w:rFonts w:ascii="Arial" w:eastAsia="Times New Roman" w:hAnsi="Arial" w:cs="Arial"/>
          <w:color w:val="000000"/>
          <w:lang w:val="en-US" w:eastAsia="de-DE"/>
        </w:rPr>
        <w:instrText>enesis are simpler than organogenesis, and therefore organelle size scaling in the cell provides a more tractable case for testing Huxley's model. We ask the question: is it possible for organelle size scaling to arise if organelle growth is independent of</w:instrText>
      </w:r>
      <w:r>
        <w:rPr>
          <w:rFonts w:ascii="Arial" w:eastAsia="Times New Roman" w:hAnsi="Arial" w:cs="Arial"/>
          <w:color w:val="000000"/>
          <w:lang w:val="en-US" w:eastAsia="de-DE"/>
        </w:rPr>
        <w:instrText xml:space="preserve"> organelle or cell size? Using the yeast vacuole as a model, we tested whether mutants defective in vacuole inheritance, vac8Δ and vac17Δ, tune vacuole biogenesis in response to perturbations in vacuole size. In vac8Δ/vac17Δ, vacuole scaling increases with</w:instrText>
      </w:r>
      <w:r>
        <w:rPr>
          <w:rFonts w:ascii="Arial" w:eastAsia="Times New Roman" w:hAnsi="Arial" w:cs="Arial"/>
          <w:color w:val="000000"/>
          <w:lang w:val="en-US" w:eastAsia="de-DE"/>
        </w:rPr>
        <w:instrText xml:space="preserve"> the replicative age of the cell. Furthermore, vac8Δ/vac17Δ cells continued generating vacuole at roughly constant rates even when they had significantly larger vacuoles compared to wild-type. With support from computational modeling, these results suggest</w:instrText>
      </w:r>
      <w:r>
        <w:rPr>
          <w:rFonts w:ascii="Arial" w:eastAsia="Times New Roman" w:hAnsi="Arial" w:cs="Arial"/>
          <w:color w:val="000000"/>
          <w:lang w:val="en-US" w:eastAsia="de-DE"/>
        </w:rPr>
        <w:instrText xml:space="preserve"> there is no feedback between vacuole biogenesis rates and vacuole or cell size. Rather, size scaling is determined by the relative growth rates of the vacuole and the cell, thus representing a cellular version of Huxley's model.","author":[{"dropping-part</w:instrText>
      </w:r>
      <w:r>
        <w:rPr>
          <w:rFonts w:ascii="Arial" w:eastAsia="Times New Roman" w:hAnsi="Arial" w:cs="Arial"/>
          <w:color w:val="000000"/>
          <w:lang w:val="en-US" w:eastAsia="de-DE"/>
        </w:rPr>
        <w:instrText>icle":"","family":"Chan","given":"Yee Hung M.","non-dropping-particle":"","parse-names":false,"suffix":""},{"dropping-particle":"","family":"Reyes","given":"Lorena","non-dropping-particle":"","parse-names":false,"suffix":""},{"dropping-particle":"","family</w:instrText>
      </w:r>
      <w:r>
        <w:rPr>
          <w:rFonts w:ascii="Arial" w:eastAsia="Times New Roman" w:hAnsi="Arial" w:cs="Arial"/>
          <w:color w:val="000000"/>
          <w:lang w:val="en-US" w:eastAsia="de-DE"/>
        </w:rPr>
        <w:instrText>":"Sohail","given":"Saba M.","non-dropping-particle":"","parse-names":false,"suffix":""},{"dropping-particle":"","family":"Tran","given":"Nancy K.","non-dropping-particle":"","parse-names":false,"suffix":""},{"dropping-particle":"","family":"Marshall","giv</w:instrText>
      </w:r>
      <w:r>
        <w:rPr>
          <w:rFonts w:ascii="Arial" w:eastAsia="Times New Roman" w:hAnsi="Arial" w:cs="Arial"/>
          <w:color w:val="000000"/>
          <w:lang w:val="en-US" w:eastAsia="de-DE"/>
        </w:rPr>
        <w:instrText>en":"Wallace F.","non-dropping-particle":"","parse-names":false,"suffix":""}],"container-title":"Current biology : CB","id":"ITEM-1","issue":"9","issued":{"date-parts":[["2016","5","5"]]},"page":"1221","publisher":"NIH Public Access","title":"Organelle siz</w:instrText>
      </w:r>
      <w:r>
        <w:rPr>
          <w:rFonts w:ascii="Arial" w:eastAsia="Times New Roman" w:hAnsi="Arial" w:cs="Arial"/>
          <w:color w:val="000000"/>
          <w:lang w:val="en-US" w:eastAsia="de-DE"/>
        </w:rPr>
        <w:instrText>e scaling of the budding yeast vacuole by relative growth and inheritance","type":"article-journal","volume":"26"},"uris":["http://www.mendeley.com/documents/?uuid=030a33ec-4c70-3f5c-92f0-32e6abcc0cfd"]}],"mendeley":{"formattedCitation":"&lt;sup&gt;140&lt;/sup&gt;","p</w:instrText>
      </w:r>
      <w:r>
        <w:rPr>
          <w:rFonts w:ascii="Arial" w:eastAsia="Times New Roman" w:hAnsi="Arial" w:cs="Arial"/>
          <w:color w:val="000000"/>
          <w:lang w:val="en-US" w:eastAsia="de-DE"/>
        </w:rPr>
        <w:instrText>lainTextFormattedCitation":"140","previouslyFormattedCitation":"&lt;sup&gt;140&lt;/sup&gt;"},"properties":{"noteIndex":0},"schema":"https://github.com/citation-style-language/schema/raw/master/csl-citation.json"}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7636FEBD" w14:textId="77777777" w:rsidR="00066D11" w:rsidRDefault="00066D11">
      <w:pPr>
        <w:spacing w:after="0" w:line="240" w:lineRule="auto"/>
        <w:jc w:val="both"/>
        <w:rPr>
          <w:rFonts w:ascii="Arial" w:eastAsia="Times New Roman" w:hAnsi="Arial" w:cs="Arial"/>
          <w:lang w:val="en-US" w:eastAsia="de-DE"/>
        </w:rPr>
      </w:pPr>
    </w:p>
    <w:p w14:paraId="36D78395"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lastRenderedPageBreak/>
        <w:t>3.5 Centrosome</w:t>
      </w:r>
    </w:p>
    <w:p w14:paraId="04DFCCC4" w14:textId="77777777" w:rsidR="00066D11" w:rsidRDefault="00066D11">
      <w:pPr>
        <w:spacing w:after="0" w:line="240" w:lineRule="auto"/>
        <w:jc w:val="both"/>
        <w:rPr>
          <w:rFonts w:ascii="Arial" w:eastAsia="Times New Roman" w:hAnsi="Arial" w:cs="Arial"/>
          <w:lang w:val="en-US" w:eastAsia="de-DE"/>
        </w:rPr>
      </w:pPr>
    </w:p>
    <w:p w14:paraId="18BF2252"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The scaling of centrosome volum</w:t>
      </w:r>
      <w:r>
        <w:rPr>
          <w:rFonts w:ascii="Arial" w:eastAsia="Times New Roman" w:hAnsi="Arial" w:cs="Arial"/>
          <w:color w:val="000000"/>
          <w:lang w:val="en-US" w:eastAsia="de-DE"/>
        </w:rPr>
        <w:t xml:space="preserve">e with cell volume observed during </w:t>
      </w:r>
      <w:r>
        <w:rPr>
          <w:rFonts w:ascii="Arial" w:eastAsia="Times New Roman" w:hAnsi="Arial" w:cs="Arial"/>
          <w:i/>
          <w:iCs/>
          <w:color w:val="000000"/>
          <w:lang w:val="en-US" w:eastAsia="de-DE"/>
        </w:rPr>
        <w:t>Caenorhabditis elegans</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 xml:space="preserve">ADDIN CSL_CITATION {"citationItems":[{"id":"ITEM-1","itemData":{"DOI":"10.1016/j.cub.2011.06.002","ISSN":"1879-0445","PMID":"21802300","abstract":"BACKGROUND: The ways in which cells set the size of </w:instrText>
      </w:r>
      <w:r>
        <w:rPr>
          <w:rFonts w:ascii="Arial" w:eastAsia="Times New Roman" w:hAnsi="Arial" w:cs="Arial"/>
          <w:i/>
          <w:iCs/>
          <w:color w:val="000000"/>
          <w:lang w:val="en-US" w:eastAsia="de-DE"/>
        </w:rPr>
        <w:instrText>intracellular structures is an important but largely unsolved problem [1]. Early embryonic divisions pose special problems in this regard. Many checkpoints common in somatic cells are missing from these divisions, which are characterized by rapid reduction</w:instrText>
      </w:r>
      <w:r>
        <w:rPr>
          <w:rFonts w:ascii="Arial" w:eastAsia="Times New Roman" w:hAnsi="Arial" w:cs="Arial"/>
          <w:i/>
          <w:iCs/>
          <w:color w:val="000000"/>
          <w:lang w:val="en-US" w:eastAsia="de-DE"/>
        </w:rPr>
        <w:instrText>s in cell size and short cell cycles [2]. Embryonic cells must therefore possess simple and robust mechanisms that allow the size of many of their intracellular structures to rapidly scale with cell size.\n\nRESULTS: Here, we study the mechanism by which o</w:instrText>
      </w:r>
      <w:r>
        <w:rPr>
          <w:rFonts w:ascii="Arial" w:eastAsia="Times New Roman" w:hAnsi="Arial" w:cs="Arial"/>
          <w:i/>
          <w:iCs/>
          <w:color w:val="000000"/>
          <w:lang w:val="en-US" w:eastAsia="de-DE"/>
        </w:rPr>
        <w:instrText xml:space="preserve">ne structure, the centrosome, scales in size during the early embryonic divisions of C. elegans. We show that centrosome size is directly related to cell size and is independent of lineage. Two findings suggest that the total amount of maternally supplied </w:instrText>
      </w:r>
      <w:r>
        <w:rPr>
          <w:rFonts w:ascii="Arial" w:eastAsia="Times New Roman" w:hAnsi="Arial" w:cs="Arial"/>
          <w:i/>
          <w:iCs/>
          <w:color w:val="000000"/>
          <w:lang w:val="en-US" w:eastAsia="de-DE"/>
        </w:rPr>
        <w:instrText>centrosome proteins could limit centrosome size. First, the combined volume of all centrosomes formed at any one time in the developing embryo is constant. Second, the total volume of centrosomes in any one cell is independent of centrosome number. By incr</w:instrText>
      </w:r>
      <w:r>
        <w:rPr>
          <w:rFonts w:ascii="Arial" w:eastAsia="Times New Roman" w:hAnsi="Arial" w:cs="Arial"/>
          <w:i/>
          <w:iCs/>
          <w:color w:val="000000"/>
          <w:lang w:val="en-US" w:eastAsia="de-DE"/>
        </w:rPr>
        <w:instrText>easing the amount of centrosome proteins in the cell, we provide evidence that one component that limits centrosome size is the conserved pericentriolar material protein SPD-2 [3], which we show binds to and targets polo-like kinase 1 [3, 4] to centrosomes</w:instrText>
      </w:r>
      <w:r>
        <w:rPr>
          <w:rFonts w:ascii="Arial" w:eastAsia="Times New Roman" w:hAnsi="Arial" w:cs="Arial"/>
          <w:i/>
          <w:iCs/>
          <w:color w:val="000000"/>
          <w:lang w:val="en-US" w:eastAsia="de-DE"/>
        </w:rPr>
        <w:instrText>.\n\nCONCLUSIONS: We propose a limiting component hypothesis, in which the volume of the cell sets centrosome size by limiting the total amount of centrosome components. This idea could be a general mechanism for setting the size of intracellular organelle</w:instrText>
      </w:r>
      <w:r>
        <w:rPr>
          <w:rFonts w:ascii="Arial" w:eastAsia="Times New Roman" w:hAnsi="Arial" w:cs="Arial"/>
          <w:i/>
          <w:iCs/>
          <w:color w:val="000000"/>
          <w:lang w:val="en-US" w:eastAsia="de-DE"/>
        </w:rPr>
        <w:instrText>s during development.","author":[{"dropping-particle":"","family":"Decker","given":"Markus","non-dropping-particle":"","parse-names":false,"suffix":""},{"dropping-particle":"","family":"Jaensch","given":"Steffen","non-dropping-particle":"","parse-names":fa</w:instrText>
      </w:r>
      <w:r>
        <w:rPr>
          <w:rFonts w:ascii="Arial" w:eastAsia="Times New Roman" w:hAnsi="Arial" w:cs="Arial"/>
          <w:i/>
          <w:iCs/>
          <w:color w:val="000000"/>
          <w:lang w:val="en-US" w:eastAsia="de-DE"/>
        </w:rPr>
        <w:instrText>lse,"suffix":""},{"dropping-particle":"","family":"Pozniakovsky","given":"Andrei","non-dropping-particle":"","parse-names":false,"suffix":""},{"dropping-particle":"","family":"Zinke","given":"Andrea","non-dropping-particle":"","parse-names":false,"suffix":</w:instrText>
      </w:r>
      <w:r>
        <w:rPr>
          <w:rFonts w:ascii="Arial" w:eastAsia="Times New Roman" w:hAnsi="Arial" w:cs="Arial"/>
          <w:i/>
          <w:iCs/>
          <w:color w:val="000000"/>
          <w:lang w:val="en-US" w:eastAsia="de-DE"/>
        </w:rPr>
        <w:instrText>""},{"dropping-particle":"","family":"O'Connell","given":"Kevin F","non-dropping-particle":"","parse-names":false,"suffix":""},{"dropping-particle":"","family":"Zachariae","given":"Wolfgang","non-dropping-particle":"","parse-names":false,"suffix":""},{"dro</w:instrText>
      </w:r>
      <w:r>
        <w:rPr>
          <w:rFonts w:ascii="Arial" w:eastAsia="Times New Roman" w:hAnsi="Arial" w:cs="Arial"/>
          <w:i/>
          <w:iCs/>
          <w:color w:val="000000"/>
          <w:lang w:val="en-US" w:eastAsia="de-DE"/>
        </w:rPr>
        <w:instrText>pping-particle":"","family":"Myers","given":"Eugene","non-dropping-particle":"","parse-names":false,"suffix":""},{"dropping-particle":"","family":"Hyman","given":"Anthony A","non-dropping-particle":"","parse-names":false,"suffix":""}],"container-title":"Cu</w:instrText>
      </w:r>
      <w:r>
        <w:rPr>
          <w:rFonts w:ascii="Arial" w:eastAsia="Times New Roman" w:hAnsi="Arial" w:cs="Arial"/>
          <w:i/>
          <w:iCs/>
          <w:color w:val="000000"/>
          <w:lang w:val="en-US" w:eastAsia="de-DE"/>
        </w:rPr>
        <w:instrText>rrent biology : CB","id":"ITEM-1","issue":"15","issued":{"date-parts":[["2011","8","9"]]},"page":"1259-67","title":"Limiting amounts of centrosome material set centrosome size in C. elegans embryos.","type":"article-journal","volume":"21"},"uris":["http://</w:instrText>
      </w:r>
      <w:r>
        <w:rPr>
          <w:rFonts w:ascii="Arial" w:eastAsia="Times New Roman" w:hAnsi="Arial" w:cs="Arial"/>
          <w:i/>
          <w:iCs/>
          <w:color w:val="000000"/>
          <w:lang w:val="en-US" w:eastAsia="de-DE"/>
        </w:rPr>
        <w:instrText>www.mendeley.com/documents/?uuid=4c3b29be-40f0-4cfc-b243-a7d59152be23"]}],"mendeley":{"formattedCitation":"&lt;sup&gt;141&lt;/sup&gt;","plainTextFormattedCitation":"141","previouslyFormattedCitation":"&lt;sup&gt;141&lt;/sup&gt;"},"properties":{"noteIndex":0},"schema":"https://git</w:instrText>
      </w:r>
      <w:r>
        <w:rPr>
          <w:rFonts w:ascii="Arial" w:eastAsia="Times New Roman" w:hAnsi="Arial" w:cs="Arial"/>
          <w:i/>
          <w:iCs/>
          <w:color w:val="000000"/>
          <w:lang w:val="en-US" w:eastAsia="de-DE"/>
        </w:rPr>
        <w:instrText>hub.com/citation-style-language/schema/raw/master/csl-citation.json"}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141</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xml:space="preserve"> and zebrafish</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{"citationItems":[{"id":"ITEM-1","itemData":{"DOI":"10.1016/j.cub.2020.08.074","abstract":"Graphical Abstract Highlights d Large mitotic centrosome </w:instrText>
      </w:r>
      <w:r>
        <w:rPr>
          <w:rFonts w:ascii="Arial" w:eastAsia="Times New Roman" w:hAnsi="Arial" w:cs="Arial"/>
          <w:color w:val="000000"/>
          <w:lang w:val="en-US" w:eastAsia="de-DE"/>
        </w:rPr>
        <w:instrText>identification (246.44 ± 11.93 mm 2) in the zebrafish embryo d Decreases in cell size scales closely with mitotic centrosome size d Zebrafish mitotic centrosomes within a spindle are asymmetric in size d PLK1 and PLK4 activity is required for asymmetric mi</w:instrText>
      </w:r>
      <w:r>
        <w:rPr>
          <w:rFonts w:ascii="Arial" w:eastAsia="Times New Roman" w:hAnsi="Arial" w:cs="Arial"/>
          <w:color w:val="000000"/>
          <w:lang w:val="en-US" w:eastAsia="de-DE"/>
        </w:rPr>
        <w:instrText>totic centrosome positioning","author":[{"dropping-particle":"","family":"Rathbun","given":"Lindsay I","non-dropping-particle":"","parse-names":false,"suffix":""},{"dropping-particle":"","family":"Aljiboury","given":"Abrar A","non-dropping-particle":"","pa</w:instrText>
      </w:r>
      <w:r>
        <w:rPr>
          <w:rFonts w:ascii="Arial" w:eastAsia="Times New Roman" w:hAnsi="Arial" w:cs="Arial"/>
          <w:color w:val="000000"/>
          <w:lang w:val="en-US" w:eastAsia="de-DE"/>
        </w:rPr>
        <w:instrText>rse-names":false,"suffix":""},{"dropping-particle":"","family":"Amack","given":"Jeffrey D","non-dropping-particle":"","parse-names":false,"suffix":""},{"dropping-particle":"","family":"Bembenek","given":"Joshua N","non-dropping-particle":"","parse-names":f</w:instrText>
      </w:r>
      <w:r>
        <w:rPr>
          <w:rFonts w:ascii="Arial" w:eastAsia="Times New Roman" w:hAnsi="Arial" w:cs="Arial"/>
          <w:color w:val="000000"/>
          <w:lang w:val="en-US" w:eastAsia="de-DE"/>
        </w:rPr>
        <w:instrText>alse,"suffix":""},{"dropping-particle":"","family":"Correspondence","given":"Heidi Hehnly","non-dropping-particle":"","parse-names":false,"suffix":""}],"id":"ITEM-1","issued":{"date-parts":[["2020"]]},"title":"PLK1- and PLK4-Mediated Asymmetric Mitotic Cen</w:instrText>
      </w:r>
      <w:r>
        <w:rPr>
          <w:rFonts w:ascii="Arial" w:eastAsia="Times New Roman" w:hAnsi="Arial" w:cs="Arial"/>
          <w:color w:val="000000"/>
          <w:lang w:val="en-US" w:eastAsia="de-DE"/>
        </w:rPr>
        <w:instrText>trosome Size and Positioning in the Early Zebrafish Embryo","type":"article-journal"},"uris":["http://www.mendeley.com/documents/?uuid=1154ae60-477b-3b66-aebb-14f42513d7a5"]}],"mendeley":{"formattedCitation":"&lt;sup&gt;142&lt;/sup&gt;","plainTextFormattedCitation":"1</w:instrText>
      </w:r>
      <w:r>
        <w:rPr>
          <w:rFonts w:ascii="Arial" w:eastAsia="Times New Roman" w:hAnsi="Arial" w:cs="Arial"/>
          <w:color w:val="000000"/>
          <w:lang w:val="en-US" w:eastAsia="de-DE"/>
        </w:rPr>
        <w:instrText>42","previouslyFormattedCitation":"&lt;sup&gt;142&lt;/sup&gt;"},"properties":{"noteIndex":0},"schema":"https://github.com/citation-style-language/schema/raw/master/csl-citation.json"}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early development is a prominent example for which a simple ‘limiting component’ model has been proposed. In particular, Decker et al. identified the pericentriolar material protein SPD-2 to be a limiting factor</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w:instrText>
      </w:r>
      <w:r>
        <w:rPr>
          <w:rFonts w:ascii="Arial" w:eastAsia="Times New Roman" w:hAnsi="Arial" w:cs="Arial"/>
          <w:color w:val="000000"/>
          <w:lang w:val="en-US" w:eastAsia="de-DE"/>
        </w:rPr>
        <w:instrText xml:space="preserve">ITEM-1","itemData":{"DOI":"10.1016/j.cub.2011.06.002","ISSN":"1879-0445","PMID":"21802300","abstract":"BACKGROUND: The ways in which cells set the size of intracellular structures is an important but largely unsolved problem [1]. Early embryonic divisions </w:instrText>
      </w:r>
      <w:r>
        <w:rPr>
          <w:rFonts w:ascii="Arial" w:eastAsia="Times New Roman" w:hAnsi="Arial" w:cs="Arial"/>
          <w:color w:val="000000"/>
          <w:lang w:val="en-US" w:eastAsia="de-DE"/>
        </w:rPr>
        <w:instrText>pose special problems in this regard. Many checkpoints common in somatic cells are missing from these divisions, which are characterized by rapid reductions in cell size and short cell cycles [2]. Embryonic cells must therefore possess simple and robust me</w:instrText>
      </w:r>
      <w:r>
        <w:rPr>
          <w:rFonts w:ascii="Arial" w:eastAsia="Times New Roman" w:hAnsi="Arial" w:cs="Arial"/>
          <w:color w:val="000000"/>
          <w:lang w:val="en-US" w:eastAsia="de-DE"/>
        </w:rPr>
        <w:instrText>chanisms that allow the size of many of their intracellular structures to rapidly scale with cell size.\n\nRESULTS: Here, we study the mechanism by which one structure, the centrosome, scales in size during the early embryonic divisions of C. elegans. We s</w:instrText>
      </w:r>
      <w:r>
        <w:rPr>
          <w:rFonts w:ascii="Arial" w:eastAsia="Times New Roman" w:hAnsi="Arial" w:cs="Arial"/>
          <w:color w:val="000000"/>
          <w:lang w:val="en-US" w:eastAsia="de-DE"/>
        </w:rPr>
        <w:instrText>how that centrosome size is directly related to cell size and is independent of lineage. Two findings suggest that the total amount of maternally supplied centrosome proteins could limit centrosome size. First, the combined volume of all centrosomes formed</w:instrText>
      </w:r>
      <w:r>
        <w:rPr>
          <w:rFonts w:ascii="Arial" w:eastAsia="Times New Roman" w:hAnsi="Arial" w:cs="Arial"/>
          <w:color w:val="000000"/>
          <w:lang w:val="en-US" w:eastAsia="de-DE"/>
        </w:rPr>
        <w:instrText xml:space="preserve"> at any one time in the developing embryo is constant. Second, the total volume of centrosomes in any one cell is independent of centrosome number. By increasing the amount of centrosome proteins in the cell, we provide evidence that one component that lim</w:instrText>
      </w:r>
      <w:r>
        <w:rPr>
          <w:rFonts w:ascii="Arial" w:eastAsia="Times New Roman" w:hAnsi="Arial" w:cs="Arial"/>
          <w:color w:val="000000"/>
          <w:lang w:val="en-US" w:eastAsia="de-DE"/>
        </w:rPr>
        <w:instrText>its centrosome size is the conserved pericentriolar material protein SPD-2 [3], which we show binds to and targets polo-like kinase 1 [3, 4] to centrosomes.\n\nCONCLUSIONS: We propose a limiting component hypothesis, in which the volume of the cell sets ce</w:instrText>
      </w:r>
      <w:r>
        <w:rPr>
          <w:rFonts w:ascii="Arial" w:eastAsia="Times New Roman" w:hAnsi="Arial" w:cs="Arial"/>
          <w:color w:val="000000"/>
          <w:lang w:val="en-US" w:eastAsia="de-DE"/>
        </w:rPr>
        <w:instrText>ntrosome size by limiting the total amount of centrosome components. This idea could be a general mechanism for setting the size of intracellular organelles during development.","author":[{"dropping-particle":"","family":"Decker","given":"Markus","non-drop</w:instrText>
      </w:r>
      <w:r>
        <w:rPr>
          <w:rFonts w:ascii="Arial" w:eastAsia="Times New Roman" w:hAnsi="Arial" w:cs="Arial"/>
          <w:color w:val="000000"/>
          <w:lang w:val="en-US" w:eastAsia="de-DE"/>
        </w:rPr>
        <w:instrText>ping-particle":"","parse-names":false,"suffix":""},{"dropping-particle":"","family":"Jaensch","given":"Steffen","non-dropping-particle":"","parse-names":false,"suffix":""},{"dropping-particle":"","family":"Pozniakovsky","given":"Andrei","non-dropping-parti</w:instrText>
      </w:r>
      <w:r>
        <w:rPr>
          <w:rFonts w:ascii="Arial" w:eastAsia="Times New Roman" w:hAnsi="Arial" w:cs="Arial"/>
          <w:color w:val="000000"/>
          <w:lang w:val="en-US" w:eastAsia="de-DE"/>
        </w:rPr>
        <w:instrText>cle":"","parse-names":false,"suffix":""},{"dropping-particle":"","family":"Zinke","given":"Andrea","non-dropping-particle":"","parse-names":false,"suffix":""},{"dropping-particle":"","family":"O'Connell","given":"Kevin F","non-dropping-particle":"","parse-</w:instrText>
      </w:r>
      <w:r>
        <w:rPr>
          <w:rFonts w:ascii="Arial" w:eastAsia="Times New Roman" w:hAnsi="Arial" w:cs="Arial"/>
          <w:color w:val="000000"/>
          <w:lang w:val="en-US" w:eastAsia="de-DE"/>
        </w:rPr>
        <w:instrText>names":false,"suffix":""},{"dropping-particle":"","family":"Zachariae","given":"Wolfgang","non-dropping-particle":"","parse-names":false,"suffix":""},{"dropping-particle":"","family":"Myers","given":"Eugene","non-dropping-particle":"","parse-names":false,"</w:instrText>
      </w:r>
      <w:r>
        <w:rPr>
          <w:rFonts w:ascii="Arial" w:eastAsia="Times New Roman" w:hAnsi="Arial" w:cs="Arial"/>
          <w:color w:val="000000"/>
          <w:lang w:val="en-US" w:eastAsia="de-DE"/>
        </w:rPr>
        <w:instrText>suffix":""},{"dropping-particle":"","family":"Hyman","given":"Anthony A","non-dropping-particle":"","parse-names":false,"suffix":""}],"container-title":"Current biology : CB","id":"ITEM-1","issue":"15","issued":{"date-parts":[["2011","8","9"]]},"page":"125</w:instrText>
      </w:r>
      <w:r>
        <w:rPr>
          <w:rFonts w:ascii="Arial" w:eastAsia="Times New Roman" w:hAnsi="Arial" w:cs="Arial"/>
          <w:color w:val="000000"/>
          <w:lang w:val="en-US" w:eastAsia="de-DE"/>
        </w:rPr>
        <w:instrText>9-67","title":"Limiting amounts of centrosome material set centrosome size in C. elegans embryos.","type":"article-journal","volume":"21"},"uris":["http://www.mendeley.com/documents/?uuid=4c3b29be-40f0-4cfc-b243-a7d59152be23"]}],"mendeley":{"formattedCitat</w:instrText>
      </w:r>
      <w:r>
        <w:rPr>
          <w:rFonts w:ascii="Arial" w:eastAsia="Times New Roman" w:hAnsi="Arial" w:cs="Arial"/>
          <w:color w:val="000000"/>
          <w:lang w:val="en-US" w:eastAsia="de-DE"/>
        </w:rPr>
        <w:instrText>ion":"&lt;sup&gt;141&lt;/sup&gt;","plainTextFormattedCitation":"141","previouslyFormattedCitation":"&lt;sup&gt;141&lt;/sup&gt;"},"properties":{"noteIndex":0},"schema":"https://github.com/citation-style-language/schema/raw/master/csl-citation.json"}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77945038" w14:textId="77777777" w:rsidR="00066D11" w:rsidRDefault="00066D11">
      <w:pPr>
        <w:spacing w:after="0" w:line="240" w:lineRule="auto"/>
        <w:jc w:val="both"/>
        <w:rPr>
          <w:rFonts w:ascii="Arial" w:eastAsia="Times New Roman" w:hAnsi="Arial" w:cs="Arial"/>
          <w:lang w:val="en-US" w:eastAsia="de-DE"/>
        </w:rPr>
      </w:pPr>
    </w:p>
    <w:p w14:paraId="0FD66989"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3.6 Mitotic spindle</w:t>
      </w:r>
    </w:p>
    <w:p w14:paraId="2F9B638B" w14:textId="77777777" w:rsidR="00066D11" w:rsidRDefault="00066D11">
      <w:pPr>
        <w:spacing w:after="0" w:line="240" w:lineRule="auto"/>
        <w:jc w:val="both"/>
        <w:rPr>
          <w:rFonts w:ascii="Arial" w:eastAsia="Times New Roman" w:hAnsi="Arial" w:cs="Arial"/>
          <w:lang w:val="en-US" w:eastAsia="de-DE"/>
        </w:rPr>
      </w:pPr>
    </w:p>
    <w:p w14:paraId="77469CDD"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Cy</w:t>
      </w:r>
      <w:r>
        <w:rPr>
          <w:rFonts w:ascii="Arial" w:eastAsia="Times New Roman" w:hAnsi="Arial" w:cs="Arial"/>
          <w:color w:val="000000"/>
          <w:lang w:val="en-US" w:eastAsia="de-DE"/>
        </w:rPr>
        <w:t>toskeletal structures built from biopolymers such as microtubules or actin are another category of cellular subunits that needs to be regulated with changing cell size. Probably the best studied example is the mitotic spindle, which has been shown to scale</w:t>
      </w:r>
      <w:r>
        <w:rPr>
          <w:rFonts w:ascii="Arial" w:eastAsia="Times New Roman" w:hAnsi="Arial" w:cs="Arial"/>
          <w:color w:val="000000"/>
          <w:lang w:val="en-US" w:eastAsia="de-DE"/>
        </w:rPr>
        <w:t xml:space="preserve"> with cell volume in multiple species. By analyzing spindles formed in </w:t>
      </w:r>
      <w:r>
        <w:rPr>
          <w:rFonts w:ascii="Arial" w:eastAsia="Times New Roman" w:hAnsi="Arial" w:cs="Arial"/>
          <w:i/>
          <w:iCs/>
          <w:color w:val="000000"/>
          <w:lang w:val="en-US" w:eastAsia="de-DE"/>
        </w:rPr>
        <w:t>X. laevis</w:t>
      </w:r>
      <w:r>
        <w:rPr>
          <w:rFonts w:ascii="Arial" w:eastAsia="Times New Roman" w:hAnsi="Arial" w:cs="Arial"/>
          <w:color w:val="000000"/>
          <w:lang w:val="en-US" w:eastAsia="de-DE"/>
        </w:rPr>
        <w:t xml:space="preserve"> cell extract confined </w:t>
      </w:r>
      <w:r>
        <w:rPr>
          <w:rFonts w:ascii="Arial" w:eastAsia="Times New Roman" w:hAnsi="Arial" w:cs="Arial"/>
          <w:i/>
          <w:iCs/>
          <w:color w:val="000000"/>
          <w:lang w:val="en-US" w:eastAsia="de-DE"/>
        </w:rPr>
        <w:t>in vitro</w:t>
      </w:r>
      <w:r>
        <w:rPr>
          <w:rFonts w:ascii="Arial" w:eastAsia="Times New Roman" w:hAnsi="Arial" w:cs="Arial"/>
          <w:color w:val="000000"/>
          <w:lang w:val="en-US" w:eastAsia="de-DE"/>
        </w:rPr>
        <w:t xml:space="preserve"> into defined volumes, Hazel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{"citationItems":[{"id":"ITEM-1","itemData":{"DOI":"10.1126/science.1243110","ISBN":"1095-9</w:instrText>
      </w:r>
      <w:r>
        <w:rPr>
          <w:rFonts w:ascii="Arial" w:eastAsia="Times New Roman" w:hAnsi="Arial" w:cs="Arial"/>
          <w:color w:val="000000"/>
          <w:lang w:val="en-US" w:eastAsia="de-DE"/>
        </w:rPr>
        <w:instrText>203 (Electronic)\r0036-8075 (Linking)","ISSN":"1095-9203","PMID":"24233723","abstract":"The mitotic spindle must function in cell types that vary greatly in size, and its dimensions scale with the rapid, reductive cell divisions that accompany early stages</w:instrText>
      </w:r>
      <w:r>
        <w:rPr>
          <w:rFonts w:ascii="Arial" w:eastAsia="Times New Roman" w:hAnsi="Arial" w:cs="Arial"/>
          <w:color w:val="000000"/>
          <w:lang w:val="en-US" w:eastAsia="de-DE"/>
        </w:rPr>
        <w:instrText xml:space="preserve"> of development. The mechanism responsible for this scaling is unclear, because uncoupling cell size from a developmental or cellular context has proven experimentally challenging. We combined microfluidic technology with Xenopus egg extracts to characteri</w:instrText>
      </w:r>
      <w:r>
        <w:rPr>
          <w:rFonts w:ascii="Arial" w:eastAsia="Times New Roman" w:hAnsi="Arial" w:cs="Arial"/>
          <w:color w:val="000000"/>
          <w:lang w:val="en-US" w:eastAsia="de-DE"/>
        </w:rPr>
        <w:instrText>ze spindle assembly within discrete, geometrically defined volumes of cytoplasm. Reductions in cytoplasmic volume, rather than developmental cues or changes in cell shape, were sufficient to recapitulate spindle scaling observed in Xenopus embryos. Thus, m</w:instrText>
      </w:r>
      <w:r>
        <w:rPr>
          <w:rFonts w:ascii="Arial" w:eastAsia="Times New Roman" w:hAnsi="Arial" w:cs="Arial"/>
          <w:color w:val="000000"/>
          <w:lang w:val="en-US" w:eastAsia="de-DE"/>
        </w:rPr>
        <w:instrText>echanisms extrinsic to the spindle, specifically a limiting pool of cytoplasmic component(s), play a major role in determining spindle size.","author":[{"dropping-particle":"","family":"Hazel","given":"James","non-dropping-particle":"","parse-names":false,</w:instrText>
      </w:r>
      <w:r>
        <w:rPr>
          <w:rFonts w:ascii="Arial" w:eastAsia="Times New Roman" w:hAnsi="Arial" w:cs="Arial"/>
          <w:color w:val="000000"/>
          <w:lang w:val="en-US" w:eastAsia="de-DE"/>
        </w:rPr>
        <w:instrText>"suffix":""},{"dropping-particle":"","family":"Krutkramelis","given":"Kaspars","non-dropping-particle":"","parse-names":false,"suffix":""},{"dropping-particle":"","family":"Mooney","given":"Paul","non-dropping-particle":"","parse-names":false,"suffix":""},</w:instrText>
      </w:r>
      <w:r>
        <w:rPr>
          <w:rFonts w:ascii="Arial" w:eastAsia="Times New Roman" w:hAnsi="Arial" w:cs="Arial"/>
          <w:color w:val="000000"/>
          <w:lang w:val="en-US" w:eastAsia="de-DE"/>
        </w:rPr>
        <w:instrText>{"dropping-particle":"","family":"Tomschik","given":"Miroslav","non-dropping-particle":"","parse-names":false,"suffix":""},{"dropping-particle":"","family":"Gerow","given":"Ken","non-dropping-particle":"","parse-names":false,"suffix":""},{"dropping-particl</w:instrText>
      </w:r>
      <w:r>
        <w:rPr>
          <w:rFonts w:ascii="Arial" w:eastAsia="Times New Roman" w:hAnsi="Arial" w:cs="Arial"/>
          <w:color w:val="000000"/>
          <w:lang w:val="en-US" w:eastAsia="de-DE"/>
        </w:rPr>
        <w:instrText>e":"","family":"Oakey","given":"John","non-dropping-particle":"","parse-names":false,"suffix":""},{"dropping-particle":"","family":"Gatlin","given":"J C","non-dropping-particle":"","parse-names":false,"suffix":""}],"container-title":"Science (New York, N.Y</w:instrText>
      </w:r>
      <w:r>
        <w:rPr>
          <w:rFonts w:ascii="Arial" w:eastAsia="Times New Roman" w:hAnsi="Arial" w:cs="Arial"/>
          <w:color w:val="000000"/>
          <w:lang w:val="en-US" w:eastAsia="de-DE"/>
        </w:rPr>
        <w:instrText>.)","id":"ITEM-1","issue":"6160","issued":{"date-parts":[["2013"]]},"page":"853-6","title":"Changes in cytoplasmic volume are sufficient to drive spindle scaling.","type":"article-journal","volume":"342"},"uris":["http://www.mendeley.com/documents/?uuid=86</w:instrText>
      </w:r>
      <w:r>
        <w:rPr>
          <w:rFonts w:ascii="Arial" w:eastAsia="Times New Roman" w:hAnsi="Arial" w:cs="Arial"/>
          <w:color w:val="000000"/>
          <w:lang w:val="en-US" w:eastAsia="de-DE"/>
        </w:rPr>
        <w:instrText>b4d40c-a1c6-4dc1-aa86-468e0a6fa794"]}],"mendeley":{"formattedCitation":"&lt;sup&gt;143&lt;/sup&gt;","plainTextFormattedCitation":"143","previouslyFormattedCitation":"&lt;sup&gt;143&lt;/sup&gt;"},"properties":{"noteIndex":0},"schema":"https://github.com/citation-style-language/sch</w:instrText>
      </w:r>
      <w:r>
        <w:rPr>
          <w:rFonts w:ascii="Arial" w:eastAsia="Times New Roman" w:hAnsi="Arial" w:cs="Arial"/>
          <w:color w:val="000000"/>
          <w:lang w:val="en-US" w:eastAsia="de-DE"/>
        </w:rPr>
        <w:instrText>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Good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{"citationItems":[{"id":"ITEM-1","itemData":{"DOI":"10.1126/science.1243147","ISBN":"1095-9203 (Electronic)\\r0036-8075 (Linking)","ISSN":"1095-9203","PMID":"24233724","abstract":"R</w:instrText>
      </w:r>
      <w:r>
        <w:rPr>
          <w:rFonts w:ascii="Arial" w:eastAsia="Times New Roman" w:hAnsi="Arial" w:cs="Arial"/>
          <w:color w:val="000000"/>
          <w:lang w:val="en-US" w:eastAsia="de-DE"/>
        </w:rPr>
        <w:instrText>apid and reductive cell divisions during embryogenesis require that intracellular structures adapt to a wide range of cell sizes. The mitotic spindle presents a central example of this flexibility, scaling with the dimensions of the cell to mediate accurat</w:instrText>
      </w:r>
      <w:r>
        <w:rPr>
          <w:rFonts w:ascii="Arial" w:eastAsia="Times New Roman" w:hAnsi="Arial" w:cs="Arial"/>
          <w:color w:val="000000"/>
          <w:lang w:val="en-US" w:eastAsia="de-DE"/>
        </w:rPr>
        <w:instrText>e chromosome segregation. To determine whether spindle size regulation is achieved through a developmental program or is intrinsically specified by cell size or shape, we developed a system to encapsulate cytoplasm from Xenopus eggs and embryos inside cell</w:instrText>
      </w:r>
      <w:r>
        <w:rPr>
          <w:rFonts w:ascii="Arial" w:eastAsia="Times New Roman" w:hAnsi="Arial" w:cs="Arial"/>
          <w:color w:val="000000"/>
          <w:lang w:val="en-US" w:eastAsia="de-DE"/>
        </w:rPr>
        <w:instrText>-like compartments of defined sizes. Spindle size was observed to shrink with decreasing compartment size, similar to what occurs during early embryogenesis, and this scaling trend depended on compartment volume rather than shape. Thus, the amount of cytop</w:instrText>
      </w:r>
      <w:r>
        <w:rPr>
          <w:rFonts w:ascii="Arial" w:eastAsia="Times New Roman" w:hAnsi="Arial" w:cs="Arial"/>
          <w:color w:val="000000"/>
          <w:lang w:val="en-US" w:eastAsia="de-DE"/>
        </w:rPr>
        <w:instrText>lasmic material provides a mechanism for regulating the size of intracellular structures.","author":[{"dropping-particle":"","family":"Good","given":"Matthew C","non-dropping-particle":"","parse-names":false,"suffix":""},{"dropping-particle":"","family":"V</w:instrText>
      </w:r>
      <w:r>
        <w:rPr>
          <w:rFonts w:ascii="Arial" w:eastAsia="Times New Roman" w:hAnsi="Arial" w:cs="Arial"/>
          <w:color w:val="000000"/>
          <w:lang w:val="en-US" w:eastAsia="de-DE"/>
        </w:rPr>
        <w:instrText>ahey","given":"Michael D","non-dropping-particle":"","parse-names":false,"suffix":""},{"dropping-particle":"","family":"Skandarajah","given":"Arunan","non-dropping-particle":"","parse-names":false,"suffix":""},{"dropping-particle":"","family":"Fletcher","g</w:instrText>
      </w:r>
      <w:r>
        <w:rPr>
          <w:rFonts w:ascii="Arial" w:eastAsia="Times New Roman" w:hAnsi="Arial" w:cs="Arial"/>
          <w:color w:val="000000"/>
          <w:lang w:val="en-US" w:eastAsia="de-DE"/>
        </w:rPr>
        <w:instrText>iven":"Daniel A","non-dropping-particle":"","parse-names":false,"suffix":""},{"dropping-particle":"","family":"Heald","given":"Rebecca","non-dropping-particle":"","parse-names":false,"suffix":""}],"container-title":"Science (New York, N.Y.)","id":"ITEM-1",</w:instrText>
      </w:r>
      <w:r>
        <w:rPr>
          <w:rFonts w:ascii="Arial" w:eastAsia="Times New Roman" w:hAnsi="Arial" w:cs="Arial"/>
          <w:color w:val="000000"/>
          <w:lang w:val="en-US" w:eastAsia="de-DE"/>
        </w:rPr>
        <w:instrText>"issue":"6160","issued":{"date-parts":[["2013"]]},"page":"856-60","title":"Cytoplasmic volume modulates spindle size during embryogenesis.","type":"article-journal","volume":"342"},"uris":["http://www.mendeley.com/documents/?uuid=ff52cf4c-76ad-4cf9-9650-3f</w:instrText>
      </w:r>
      <w:r>
        <w:rPr>
          <w:rFonts w:ascii="Arial" w:eastAsia="Times New Roman" w:hAnsi="Arial" w:cs="Arial"/>
          <w:color w:val="000000"/>
          <w:lang w:val="en-US" w:eastAsia="de-DE"/>
        </w:rPr>
        <w:instrText>8e613f6705"]}],"mendeley":{"formattedCitation":"&lt;sup&gt;144&lt;/sup&gt;","plainTextFormattedCitation":"144","previouslyFormattedCitation":"&lt;sup&gt;144&lt;/sup&gt;"},"properties":{"noteIndex":0},"schema":"https://github.com/citation-style-language/schema/raw/master/csl-citat</w:instrText>
      </w:r>
      <w:r>
        <w:rPr>
          <w:rFonts w:ascii="Arial" w:eastAsia="Times New Roman" w:hAnsi="Arial" w:cs="Arial"/>
          <w:color w:val="000000"/>
          <w:lang w:val="en-US" w:eastAsia="de-DE"/>
        </w:rPr>
        <w:instrTex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could demonstrate that spindle size is determined by a limiting cytoplasmic component. One candidate for such a limiting protein is the microtubule polymerase XMAP215</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w:instrText>
      </w:r>
      <w:r>
        <w:rPr>
          <w:rFonts w:ascii="Arial" w:eastAsia="Times New Roman" w:hAnsi="Arial" w:cs="Arial"/>
          <w:color w:val="000000"/>
          <w:lang w:val="en-US" w:eastAsia="de-DE"/>
        </w:rPr>
        <w:instrText>.1038/NCB2834","ISSN":"1476-4679","PMID":"23974040","abstract":"Metaphase spindles are microtubule-based structures that use a multitude of proteins to modulate their morphology and function. Today, we understand many details of microtubule assembly, the r</w:instrText>
      </w:r>
      <w:r>
        <w:rPr>
          <w:rFonts w:ascii="Arial" w:eastAsia="Times New Roman" w:hAnsi="Arial" w:cs="Arial"/>
          <w:color w:val="000000"/>
          <w:lang w:val="en-US" w:eastAsia="de-DE"/>
        </w:rPr>
        <w:instrText>ole of microtubule-associated proteins, and the action of molecular motors1,2. Ultimately, the challenge remains to understand how the collective behaviour of these nanometre-scale processes gives rise to a properly sized spindle on the micrometre scale. B</w:instrText>
      </w:r>
      <w:r>
        <w:rPr>
          <w:rFonts w:ascii="Arial" w:eastAsia="Times New Roman" w:hAnsi="Arial" w:cs="Arial"/>
          <w:color w:val="000000"/>
          <w:lang w:val="en-US" w:eastAsia="de-DE"/>
        </w:rPr>
        <w:instrText>y systematically engineering the enzymatic activity of XMAP215, a processive microtubule polymerase3,4, we show that Xenopus laevis spindle length increases linearly with microtubule growth velocity, whereas other parameters of spindle organization, such a</w:instrText>
      </w:r>
      <w:r>
        <w:rPr>
          <w:rFonts w:ascii="Arial" w:eastAsia="Times New Roman" w:hAnsi="Arial" w:cs="Arial"/>
          <w:color w:val="000000"/>
          <w:lang w:val="en-US" w:eastAsia="de-DE"/>
        </w:rPr>
        <w:instrText>s microtubule density, lifetime and spindle shape, remain constant. We further show that mass balance can be used to link the global property of spindle size to individual microtubule dynamic parameters. We propose that spindle length is set by a balance o</w:instrText>
      </w:r>
      <w:r>
        <w:rPr>
          <w:rFonts w:ascii="Arial" w:eastAsia="Times New Roman" w:hAnsi="Arial" w:cs="Arial"/>
          <w:color w:val="000000"/>
          <w:lang w:val="en-US" w:eastAsia="de-DE"/>
        </w:rPr>
        <w:instrText>f non-uniform nucleation and global microtubule disassembly in a liquid-crystal-like arrangement of microtubules. © 2013 Macmillan Publishers Limited. All rights reserved.","author":[{"dropping-particle":"","family":"Reber","given":"Simone B.","non-droppin</w:instrText>
      </w:r>
      <w:r>
        <w:rPr>
          <w:rFonts w:ascii="Arial" w:eastAsia="Times New Roman" w:hAnsi="Arial" w:cs="Arial"/>
          <w:color w:val="000000"/>
          <w:lang w:val="en-US" w:eastAsia="de-DE"/>
        </w:rPr>
        <w:instrText>g-particle":"","parse-names":false,"suffix":""},{"dropping-particle":"","family":"Baumgart","given":"Johannes","non-dropping-particle":"","parse-names":false,"suffix":""},{"dropping-particle":"","family":"Widlund","given":"Per O.","non-dropping-particle":"</w:instrText>
      </w:r>
      <w:r>
        <w:rPr>
          <w:rFonts w:ascii="Arial" w:eastAsia="Times New Roman" w:hAnsi="Arial" w:cs="Arial"/>
          <w:color w:val="000000"/>
          <w:lang w:val="en-US" w:eastAsia="de-DE"/>
        </w:rPr>
        <w:instrText>","parse-names":false,"suffix":""},{"dropping-particle":"","family":"Pozniakovsky","given":"Andrei","non-dropping-particle":"","parse-names":false,"suffix":""},{"dropping-particle":"","family":"Howard","given":"Jonathon","non-dropping-particle":"","parse-n</w:instrText>
      </w:r>
      <w:r>
        <w:rPr>
          <w:rFonts w:ascii="Arial" w:eastAsia="Times New Roman" w:hAnsi="Arial" w:cs="Arial"/>
          <w:color w:val="000000"/>
          <w:lang w:val="en-US" w:eastAsia="de-DE"/>
        </w:rPr>
        <w:instrText>ames":false,"suffix":""},{"dropping-particle":"","family":"Hyman","given":"Anthony A.","non-dropping-particle":"","parse-names":false,"suffix":""},{"dropping-particle":"","family":"Jülicher","given":"Frank","non-dropping-particle":"","parse-names":false,"s</w:instrText>
      </w:r>
      <w:r>
        <w:rPr>
          <w:rFonts w:ascii="Arial" w:eastAsia="Times New Roman" w:hAnsi="Arial" w:cs="Arial"/>
          <w:color w:val="000000"/>
          <w:lang w:val="en-US" w:eastAsia="de-DE"/>
        </w:rPr>
        <w:instrText>uffix":""}],"container-title":"Nature cell biology","id":"ITEM-1","issue":"9","issued":{"date-parts":[["2013","9"]]},"page":"1116-1122","publisher":"Nat Cell Biol","title":"XMAP215 activity sets spindle length by controlling the total mass of spindle micro</w:instrText>
      </w:r>
      <w:r>
        <w:rPr>
          <w:rFonts w:ascii="Arial" w:eastAsia="Times New Roman" w:hAnsi="Arial" w:cs="Arial"/>
          <w:color w:val="000000"/>
          <w:lang w:val="en-US" w:eastAsia="de-DE"/>
        </w:rPr>
        <w:instrText>tubules","type":"article-journal","volume":"15"},"uris":["http://www.mendeley.com/documents/?uuid=28e6423f-83e7-3b0a-8716-1a602d64d6a7"]},{"id":"ITEM-2","itemData":{"DOI":"10.1091/MBC.E18-01-0011/ASSET/IMAGES/LARGE/MBC-29-1311-G004.JPEG","ISSN":"19394586",</w:instrText>
      </w:r>
      <w:r>
        <w:rPr>
          <w:rFonts w:ascii="Arial" w:eastAsia="Times New Roman" w:hAnsi="Arial" w:cs="Arial"/>
          <w:color w:val="000000"/>
          <w:lang w:val="en-US" w:eastAsia="de-DE"/>
        </w:rPr>
        <w:instrText>"PMID":"29851557","abstract":"In many organisms, early embryonic development is characterized by a series of reductive cell divisions that result in rapid increases in cell number and concomitant decreases in cell size. Intracellular organelles, such as th</w:instrText>
      </w:r>
      <w:r>
        <w:rPr>
          <w:rFonts w:ascii="Arial" w:eastAsia="Times New Roman" w:hAnsi="Arial" w:cs="Arial"/>
          <w:color w:val="000000"/>
          <w:lang w:val="en-US" w:eastAsia="de-DE"/>
        </w:rPr>
        <w:instrText>e nucleus and mitotic spindle, also become progressively smaller during this developmental window, but the molecular and mechanistic underpinnings of these scaling relationships are not fully understood. For the mitotic spindle, changes in cytoplasmic volu</w:instrText>
      </w:r>
      <w:r>
        <w:rPr>
          <w:rFonts w:ascii="Arial" w:eastAsia="Times New Roman" w:hAnsi="Arial" w:cs="Arial"/>
          <w:color w:val="000000"/>
          <w:lang w:val="en-US" w:eastAsia="de-DE"/>
        </w:rPr>
        <w:instrText>me are sufficient to account for size scaling during early development in certain organisms. This observation is consistent with models that evoke a limiting component, whereby the smaller absolute number of spindle components in smaller cells limits spind</w:instrText>
      </w:r>
      <w:r>
        <w:rPr>
          <w:rFonts w:ascii="Arial" w:eastAsia="Times New Roman" w:hAnsi="Arial" w:cs="Arial"/>
          <w:color w:val="000000"/>
          <w:lang w:val="en-US" w:eastAsia="de-DE"/>
        </w:rPr>
        <w:instrText>le size. Here we investigate the role of a candidate factor for developmental spindle scaling, the microtubule polymerase XMAP215. Microinjection of additional XMAP215 protein into Xenopus laevis embryos was sufficient to induce the assembly of larger spin</w:instrText>
      </w:r>
      <w:r>
        <w:rPr>
          <w:rFonts w:ascii="Arial" w:eastAsia="Times New Roman" w:hAnsi="Arial" w:cs="Arial"/>
          <w:color w:val="000000"/>
          <w:lang w:val="en-US" w:eastAsia="de-DE"/>
        </w:rPr>
        <w:instrText>dles during developmental stages 6.5, 7, and 8, whereas addition of a polymerase-incompetent XMAP215 mutant resulted in a downward shift in the in vivo spindle scaling curve. In sum, these results indicate that even small cells are able to produce larger s</w:instrText>
      </w:r>
      <w:r>
        <w:rPr>
          <w:rFonts w:ascii="Arial" w:eastAsia="Times New Roman" w:hAnsi="Arial" w:cs="Arial"/>
          <w:color w:val="000000"/>
          <w:lang w:val="en-US" w:eastAsia="de-DE"/>
        </w:rPr>
        <w:instrText>pindles if microtubule growth rates are increased and suggest that structural components are not limiting.","author":[{"dropping-particle":"","family":"Milunovic-Jevtic","given":"Ana","non-dropping-particle":"","parse-names":false,"suffix":""},{"dropping-p</w:instrText>
      </w:r>
      <w:r>
        <w:rPr>
          <w:rFonts w:ascii="Arial" w:eastAsia="Times New Roman" w:hAnsi="Arial" w:cs="Arial"/>
          <w:color w:val="000000"/>
          <w:lang w:val="en-US" w:eastAsia="de-DE"/>
        </w:rPr>
        <w:instrText>article":"","family":"Jevtic","given":"Predrag","non-dropping-particle":"","parse-names":false,"suffix":""},{"dropping-particle":"","family":"Levy","given":"Daniel L.","non-dropping-particle":"","parse-names":false,"suffix":""},{"dropping-particle":"","fam</w:instrText>
      </w:r>
      <w:r>
        <w:rPr>
          <w:rFonts w:ascii="Arial" w:eastAsia="Times New Roman" w:hAnsi="Arial" w:cs="Arial"/>
          <w:color w:val="000000"/>
          <w:lang w:val="en-US" w:eastAsia="de-DE"/>
        </w:rPr>
        <w:instrText>ily":"Gatlin","given":"J. C.","non-dropping-particle":"","parse-names":false,"suffix":""}],"container-title":"Molecular Biology of the Cell","id":"ITEM-2","issue":"11","issued":{"date-parts":[["2018","6","1"]]},"page":"1311-1317","publisher":"American Soci</w:instrText>
      </w:r>
      <w:r>
        <w:rPr>
          <w:rFonts w:ascii="Arial" w:eastAsia="Times New Roman" w:hAnsi="Arial" w:cs="Arial"/>
          <w:color w:val="000000"/>
          <w:lang w:val="en-US" w:eastAsia="de-DE"/>
        </w:rPr>
        <w:instrText>ety for Cell Biology","title":"In vivo mitotic spindle scaling can be modulated by changing the levels of a single protein: the microtubule polymerase XMAP215","type":"article-journal","volume":"29"},"uris":["http://www.mendeley.com/documents/?uuid=8d191c6</w:instrText>
      </w:r>
      <w:r>
        <w:rPr>
          <w:rFonts w:ascii="Arial" w:eastAsia="Times New Roman" w:hAnsi="Arial" w:cs="Arial"/>
          <w:color w:val="000000"/>
          <w:lang w:val="en-US" w:eastAsia="de-DE"/>
        </w:rPr>
        <w:instrText>7-a057-3e6a-b912-89dc84ae5150"]}],"mendeley":{"formattedCitation":"&lt;sup&gt;145,146&lt;/sup&gt;","plainTextFormattedCitation":"145,146","previouslyFormattedCitation":"&lt;sup&gt;145,146&lt;/sup&gt;"},"properties":{"noteIndex":0},"schema":"https://github.com/citation-style-langu</w:instrText>
      </w:r>
      <w:r>
        <w:rPr>
          <w:rFonts w:ascii="Arial" w:eastAsia="Times New Roman" w:hAnsi="Arial" w:cs="Arial"/>
          <w:color w:val="000000"/>
          <w:lang w:val="en-US" w:eastAsia="de-DE"/>
        </w:rPr>
        <w:instrText>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145,146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which would be consistent with the cell size dependent change of spindle microtubule growth rate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{"citationItems":[{"id":"ITEM-1","itemData":{"DOI":"10.1016/J.DEVCEL.2018.04.022","ISSN"</w:instrText>
      </w:r>
      <w:r>
        <w:rPr>
          <w:rFonts w:ascii="Arial" w:eastAsia="Times New Roman" w:hAnsi="Arial" w:cs="Arial"/>
          <w:color w:val="000000"/>
          <w:lang w:val="en-US" w:eastAsia="de-DE"/>
        </w:rPr>
        <w:instrText>:"1534-5807","PMID":"29787710","abstract":"Successive cell divisions during embryonic cleavage create increasingly smaller cells, so intracellular structures must adapt accordingly. Mitotic spindle size correlates with cell size, but the mechanisms for thi</w:instrText>
      </w:r>
      <w:r>
        <w:rPr>
          <w:rFonts w:ascii="Arial" w:eastAsia="Times New Roman" w:hAnsi="Arial" w:cs="Arial"/>
          <w:color w:val="000000"/>
          <w:lang w:val="en-US" w:eastAsia="de-DE"/>
        </w:rPr>
        <w:instrText>s scaling remain unclear. Using live cell imaging, we analyzed spindle scaling during embryo cleavage in the nematode Caenorhabditis elegans and sea urchin Paracentrotus lividus. We reveal a common scaling mechanism, where the growth rate of spindle microt</w:instrText>
      </w:r>
      <w:r>
        <w:rPr>
          <w:rFonts w:ascii="Arial" w:eastAsia="Times New Roman" w:hAnsi="Arial" w:cs="Arial"/>
          <w:color w:val="000000"/>
          <w:lang w:val="en-US" w:eastAsia="de-DE"/>
        </w:rPr>
        <w:instrText xml:space="preserve">ubules scales with cell volume, which explains spindle shortening. Spindle assembly timing is, however, constant throughout successive divisions. Analyses in silico suggest that controlling the microtubule growth rate is sufficient to scale spindle length </w:instrText>
      </w:r>
      <w:r>
        <w:rPr>
          <w:rFonts w:ascii="Arial" w:eastAsia="Times New Roman" w:hAnsi="Arial" w:cs="Arial"/>
          <w:color w:val="000000"/>
          <w:lang w:val="en-US" w:eastAsia="de-DE"/>
        </w:rPr>
        <w:instrText>and maintain a constant assembly timing. We tested our in silico predictions to demonstrate that modulating cell volume or microtubule growth rate in vivo induces a proportional spindle size change. Our results suggest that scalability of the microtubule g</w:instrText>
      </w:r>
      <w:r>
        <w:rPr>
          <w:rFonts w:ascii="Arial" w:eastAsia="Times New Roman" w:hAnsi="Arial" w:cs="Arial"/>
          <w:color w:val="000000"/>
          <w:lang w:val="en-US" w:eastAsia="de-DE"/>
        </w:rPr>
        <w:instrText>rowth rate when cell size varies adapts spindle length to cell volume. During early embryonic development, the mitotic spindle scales with decreasing cell size across successive reductive divisions. Lacroix et al. uncover, using in vivo and in silico analy</w:instrText>
      </w:r>
      <w:r>
        <w:rPr>
          <w:rFonts w:ascii="Arial" w:eastAsia="Times New Roman" w:hAnsi="Arial" w:cs="Arial"/>
          <w:color w:val="000000"/>
          <w:lang w:val="en-US" w:eastAsia="de-DE"/>
        </w:rPr>
        <w:instrText>ses, a common scaling mechanism whereby spindle microtubule growth rate is coupled to cell volume for size scaling while maintaining constant spindle assembly timing.","author":[{"dropping-particle":"","family":"Lacroix","given":"Benjamin","non-dropping-pa</w:instrText>
      </w:r>
      <w:r>
        <w:rPr>
          <w:rFonts w:ascii="Arial" w:eastAsia="Times New Roman" w:hAnsi="Arial" w:cs="Arial"/>
          <w:color w:val="000000"/>
          <w:lang w:val="en-US" w:eastAsia="de-DE"/>
        </w:rPr>
        <w:instrText>rticle":"","parse-names":false,"suffix":""},{"dropping-particle":"","family":"Letort","given":"Gaëlle","non-dropping-particle":"","parse-names":false,"suffix":""},{"dropping-particle":"","family":"Pitayu","given":"Laras","non-dropping-particle":"","parse-n</w:instrText>
      </w:r>
      <w:r>
        <w:rPr>
          <w:rFonts w:ascii="Arial" w:eastAsia="Times New Roman" w:hAnsi="Arial" w:cs="Arial"/>
          <w:color w:val="000000"/>
          <w:lang w:val="en-US" w:eastAsia="de-DE"/>
        </w:rPr>
        <w:instrText>ames":false,"suffix":""},{"dropping-particle":"","family":"Sallé","given":"Jérémy","non-dropping-particle":"","parse-names":false,"suffix":""},{"dropping-particle":"","family":"Stefanutti","given":"Marine","non-dropping-particle":"","parse-names":false,"su</w:instrText>
      </w:r>
      <w:r>
        <w:rPr>
          <w:rFonts w:ascii="Arial" w:eastAsia="Times New Roman" w:hAnsi="Arial" w:cs="Arial"/>
          <w:color w:val="000000"/>
          <w:lang w:val="en-US" w:eastAsia="de-DE"/>
        </w:rPr>
        <w:instrText>ffix":""},{"dropping-particle":"","family":"Maton","given":"Gilliane","non-dropping-particle":"","parse-names":false,"suffix":""},{"dropping-particle":"","family":"Ladouceur","given":"Anne Marie","non-dropping-particle":"","parse-names":false,"suffix":""},</w:instrText>
      </w:r>
      <w:r>
        <w:rPr>
          <w:rFonts w:ascii="Arial" w:eastAsia="Times New Roman" w:hAnsi="Arial" w:cs="Arial"/>
          <w:color w:val="000000"/>
          <w:lang w:val="en-US" w:eastAsia="de-DE"/>
        </w:rPr>
        <w:instrText>{"dropping-particle":"","family":"Canman","given":"Julie C.","non-dropping-particle":"","parse-names":false,"suffix":""},{"dropping-particle":"","family":"Maddox","given":"Paul S.","non-dropping-particle":"","parse-names":false,"suffix":""},{"dropping-part</w:instrText>
      </w:r>
      <w:r>
        <w:rPr>
          <w:rFonts w:ascii="Arial" w:eastAsia="Times New Roman" w:hAnsi="Arial" w:cs="Arial"/>
          <w:color w:val="000000"/>
          <w:lang w:val="en-US" w:eastAsia="de-DE"/>
        </w:rPr>
        <w:instrText>icle":"","family":"Maddox","given":"Amy S.","non-dropping-particle":"","parse-names":false,"suffix":""},{"dropping-particle":"","family":"Minc","given":"Nicolas","non-dropping-particle":"","parse-names":false,"suffix":""},{"dropping-particle":"","family":"</w:instrText>
      </w:r>
      <w:r>
        <w:rPr>
          <w:rFonts w:ascii="Arial" w:eastAsia="Times New Roman" w:hAnsi="Arial" w:cs="Arial"/>
          <w:color w:val="000000"/>
          <w:lang w:val="en-US" w:eastAsia="de-DE"/>
        </w:rPr>
        <w:instrText>Nédélec","given":"François","non-dropping-particle":"","parse-names":false,"suffix":""},{"dropping-particle":"","family":"Dumont","given":"Julien","non-dropping-particle":"","parse-names":false,"suffix":""}],"container-title":"Developmental Cell","id":"ITE</w:instrText>
      </w:r>
      <w:r>
        <w:rPr>
          <w:rFonts w:ascii="Arial" w:eastAsia="Times New Roman" w:hAnsi="Arial" w:cs="Arial"/>
          <w:color w:val="000000"/>
          <w:lang w:val="en-US" w:eastAsia="de-DE"/>
        </w:rPr>
        <w:instrText>M-1","issue":"4","issued":{"date-parts":[["2018","5","21"]]},"page":"496-511.e6","publisher":"Cell Press","title":"Microtubule Dynamics Scale with Cell Size to Set Spindle Length and Assembly Timing","type":"article-journal","volume":"45"},"uris":["http://</w:instrText>
      </w:r>
      <w:r>
        <w:rPr>
          <w:rFonts w:ascii="Arial" w:eastAsia="Times New Roman" w:hAnsi="Arial" w:cs="Arial"/>
          <w:color w:val="000000"/>
          <w:lang w:val="en-US" w:eastAsia="de-DE"/>
        </w:rPr>
        <w:instrText>www.mendeley.com/documents/?uuid=b69c744e-64ea-37dc-a1a0-dabfbb4d9a9b"]}],"mendeley":{"formattedCitation":"&lt;sup&gt;147&lt;/sup&gt;","plainTextFormattedCitation":"147","previouslyFormattedCitation":"&lt;sup&gt;147&lt;/sup&gt;"},"properties":{"noteIndex":0},"schema":"https://git</w:instrText>
      </w:r>
      <w:r>
        <w:rPr>
          <w:rFonts w:ascii="Arial" w:eastAsia="Times New Roman" w:hAnsi="Arial" w:cs="Arial"/>
          <w:color w:val="000000"/>
          <w:lang w:val="en-US" w:eastAsia="de-DE"/>
        </w:rPr>
        <w:instrTex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However, complicating matters, careful analysis of spindles in zebrafish embryos revealed that while at small sizes, microtubule growth rate increases with cell size, growth rate </w:t>
      </w:r>
      <w:r>
        <w:rPr>
          <w:rFonts w:ascii="Arial" w:eastAsia="Times New Roman" w:hAnsi="Arial" w:cs="Arial"/>
          <w:color w:val="000000"/>
          <w:lang w:val="en-US" w:eastAsia="de-DE"/>
        </w:rPr>
        <w:t>is constant at intermediate cell sizes, where spindle size still increases. Rieckhoff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{"citationItems":[{"id":"ITEM-1","itemData":{"DOI":"10.1016/j.cub.2020.10.093","abstract":"Highlights d Microtubule nucleation scales spindles in</w:instrText>
      </w:r>
      <w:r>
        <w:rPr>
          <w:rFonts w:ascii="Arial" w:eastAsia="Times New Roman" w:hAnsi="Arial" w:cs="Arial"/>
          <w:color w:val="000000"/>
          <w:lang w:val="en-US" w:eastAsia="de-DE"/>
        </w:rPr>
        <w:instrText xml:space="preserve"> zebrafish embryos and Xenopus egg extracts d Microtubule nucleation is regulated by the surface of the cell d Microtubule polymerization only contributes to scaling below a critical cell size d Microtubule number and length are regulated using distinct ge</w:instrText>
      </w:r>
      <w:r>
        <w:rPr>
          <w:rFonts w:ascii="Arial" w:eastAsia="Times New Roman" w:hAnsi="Arial" w:cs="Arial"/>
          <w:color w:val="000000"/>
          <w:lang w:val="en-US" w:eastAsia="de-DE"/>
        </w:rPr>
        <w:instrText>ometric cues In Brief Rieckhoff et al. show that microtubule nucleation governs spindle scaling in zebrafish and Xenopus extracts while microtubule polymerization dynamics are insufficient to scale spindles, only contributing below a critical cell size. Th</w:instrText>
      </w:r>
      <w:r>
        <w:rPr>
          <w:rFonts w:ascii="Arial" w:eastAsia="Times New Roman" w:hAnsi="Arial" w:cs="Arial"/>
          <w:color w:val="000000"/>
          <w:lang w:val="en-US" w:eastAsia="de-DE"/>
        </w:rPr>
        <w:instrText xml:space="preserve">is hierarchical regulation is proposed to arise from partitioning of a nucleation inhibitor to the cell membrane. SUMMARY Cellular organelles such as the mitotic spindle adjust their size to the dimensions of the cell. It is widely understood that spindle </w:instrText>
      </w:r>
      <w:r>
        <w:rPr>
          <w:rFonts w:ascii="Arial" w:eastAsia="Times New Roman" w:hAnsi="Arial" w:cs="Arial"/>
          <w:color w:val="000000"/>
          <w:lang w:val="en-US" w:eastAsia="de-DE"/>
        </w:rPr>
        <w:instrText>scaling is governed by regulation of microtubule polymerization. Here, we use quantitative microscopy in living zebrafish embryos and Xenopus egg extracts in combination with theory to show that microtubule polymerization dynamics are insufficient to scale</w:instrText>
      </w:r>
      <w:r>
        <w:rPr>
          <w:rFonts w:ascii="Arial" w:eastAsia="Times New Roman" w:hAnsi="Arial" w:cs="Arial"/>
          <w:color w:val="000000"/>
          <w:lang w:val="en-US" w:eastAsia="de-DE"/>
        </w:rPr>
        <w:instrText xml:space="preserve"> spindles and only contribute below a critical cell size. In contrast, microtubule nucleation governs spindle scaling for all cell sizes. We show that this hierarchical regulation arises from the partitioning of a nucleation inhibitor to the cell membrane.</w:instrText>
      </w:r>
      <w:r>
        <w:rPr>
          <w:rFonts w:ascii="Arial" w:eastAsia="Times New Roman" w:hAnsi="Arial" w:cs="Arial"/>
          <w:color w:val="000000"/>
          <w:lang w:val="en-US" w:eastAsia="de-DE"/>
        </w:rPr>
        <w:instrText xml:space="preserve"> Our results reveal that cells differentially regulate microtubule number and length using distinct geometric cues to maintain a functional spindle architecture over a large range of cell sizes.","author":[{"dropping-particle":"","family":"Rieckhoff","give</w:instrText>
      </w:r>
      <w:r>
        <w:rPr>
          <w:rFonts w:ascii="Arial" w:eastAsia="Times New Roman" w:hAnsi="Arial" w:cs="Arial"/>
          <w:color w:val="000000"/>
          <w:lang w:val="en-US" w:eastAsia="de-DE"/>
        </w:rPr>
        <w:instrText>n":"Elisa Maria","non-dropping-particle":"","parse-names":false,"suffix":""},{"dropping-particle":"","family":"Berndt","given":"Frederic","non-dropping-particle":"","parse-names":false,"suffix":""},{"dropping-particle":"","family":"Elsner","given":"Maria",</w:instrText>
      </w:r>
      <w:r>
        <w:rPr>
          <w:rFonts w:ascii="Arial" w:eastAsia="Times New Roman" w:hAnsi="Arial" w:cs="Arial"/>
          <w:color w:val="000000"/>
          <w:lang w:val="en-US" w:eastAsia="de-DE"/>
        </w:rPr>
        <w:instrText>"non-dropping-particle":"","parse-names":false,"suffix":""},{"dropping-particle":"","family":"Golfier","given":"Stefan","non-dropping-particle":"","parse-names":false,"suffix":""},{"dropping-particle":"","family":"Decker","given":"Franziska","non-dropping-</w:instrText>
      </w:r>
      <w:r>
        <w:rPr>
          <w:rFonts w:ascii="Arial" w:eastAsia="Times New Roman" w:hAnsi="Arial" w:cs="Arial"/>
          <w:color w:val="000000"/>
          <w:lang w:val="en-US" w:eastAsia="de-DE"/>
        </w:rPr>
        <w:instrText>particle":"","parse-names":false,"suffix":""},{"dropping-particle":"","family":"Ishihara","given":"Keisuke","non-dropping-particle":"","parse-names":false,"suffix":""},{"dropping-particle":"","family":"Brugu Es Correspondence","given":"Jan","non-dropping-p</w:instrText>
      </w:r>
      <w:r>
        <w:rPr>
          <w:rFonts w:ascii="Arial" w:eastAsia="Times New Roman" w:hAnsi="Arial" w:cs="Arial"/>
          <w:color w:val="000000"/>
          <w:lang w:val="en-US" w:eastAsia="de-DE"/>
        </w:rPr>
        <w:instrText>article":"","parse-names":false,"suffix":""},{"dropping-particle":"","family":"Brugu Es","given":"Jan","non-dropping-particle":"","parse-names":false,"suffix":""}],"container-title":"Current Biology","id":"ITEM-1","issued":{"date-parts":[["2020"]]},"page":</w:instrText>
      </w:r>
      <w:r>
        <w:rPr>
          <w:rFonts w:ascii="Arial" w:eastAsia="Times New Roman" w:hAnsi="Arial" w:cs="Arial"/>
          <w:color w:val="000000"/>
          <w:lang w:val="en-US" w:eastAsia="de-DE"/>
        </w:rPr>
        <w:instrText>"4973-4983.e10","title":"Spindle Scaling Is Governed by Cell Boundary Regulation of Microtubule Nucleation","type":"article-journal","volume":"30"},"uris":["http://www.mendeley.com/documents/?uuid=ab3aa5ed-b768-3609-9861-5d914903c347"]}],"mendeley":{"forma</w:instrText>
      </w:r>
      <w:r>
        <w:rPr>
          <w:rFonts w:ascii="Arial" w:eastAsia="Times New Roman" w:hAnsi="Arial" w:cs="Arial"/>
          <w:color w:val="000000"/>
          <w:lang w:val="en-US" w:eastAsia="de-DE"/>
        </w:rPr>
        <w:instrText>ttedCitation":"&lt;sup&gt;148&lt;/sup&gt;","plainTextFormattedCitation":"148","previouslyFormattedCitation":"&lt;sup&gt;148&lt;/sup&gt;"},"properties":{"noteIndex":0},"schema":"https://github.com/citation-style-language/schema/raw/master/csl-citation.json"}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found that in th</w:t>
      </w:r>
      <w:r>
        <w:rPr>
          <w:rFonts w:ascii="Arial" w:eastAsia="Times New Roman" w:hAnsi="Arial" w:cs="Arial"/>
          <w:color w:val="000000"/>
          <w:lang w:val="en-US" w:eastAsia="de-DE"/>
        </w:rPr>
        <w:t>is intermediate regime, the number of microtubules in the spindle increases. They propose that spindle size is determined by microtubule nucleation. A nucleation inhibitor, which is partitioned to the cell membrane, then links the scaling relationship to t</w:t>
      </w:r>
      <w:r>
        <w:rPr>
          <w:rFonts w:ascii="Arial" w:eastAsia="Times New Roman" w:hAnsi="Arial" w:cs="Arial"/>
          <w:color w:val="000000"/>
          <w:lang w:val="en-US" w:eastAsia="de-DE"/>
        </w:rPr>
        <w:t xml:space="preserve">he cell surface area. At small cell sizes, this leads to polymerization becoming limiting. This model is also consistent with the finding that </w:t>
      </w:r>
      <w:r>
        <w:rPr>
          <w:rFonts w:ascii="Arial" w:eastAsia="Times New Roman" w:hAnsi="Arial" w:cs="Arial"/>
          <w:i/>
          <w:iCs/>
          <w:color w:val="000000"/>
          <w:lang w:val="en-US" w:eastAsia="de-DE"/>
        </w:rPr>
        <w:t>X. laevis</w:t>
      </w:r>
      <w:r>
        <w:rPr>
          <w:rFonts w:ascii="Arial" w:eastAsia="Times New Roman" w:hAnsi="Arial" w:cs="Arial"/>
          <w:color w:val="000000"/>
          <w:lang w:val="en-US" w:eastAsia="de-DE"/>
        </w:rPr>
        <w:t xml:space="preserve"> extracts from different developmental stages form differently sized spindles because importin </w:t>
      </w:r>
      <w:r>
        <w:rPr>
          <w:rFonts w:ascii="Arial" w:eastAsia="Times New Roman" w:hAnsi="Arial" w:cs="Arial"/>
          <w:color w:val="000000"/>
          <w:lang w:eastAsia="de-DE"/>
        </w:rPr>
        <w:t>α</w:t>
      </w:r>
      <w:r>
        <w:rPr>
          <w:rFonts w:ascii="Arial" w:eastAsia="Times New Roman" w:hAnsi="Arial" w:cs="Arial"/>
          <w:color w:val="000000"/>
          <w:lang w:val="en-US" w:eastAsia="de-DE"/>
        </w:rPr>
        <w:t>, an inh</w:t>
      </w:r>
      <w:r>
        <w:rPr>
          <w:rFonts w:ascii="Arial" w:eastAsia="Times New Roman" w:hAnsi="Arial" w:cs="Arial"/>
          <w:color w:val="000000"/>
          <w:lang w:val="en-US" w:eastAsia="de-DE"/>
        </w:rPr>
        <w:t>ibitor of the microtubule destabilizing factor kif2a, is partitioned to the membrane, leading to lower concentrations at later developmental stages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{"citationItems":[{"id":"ITEM-1","itemData":{"DOI":"10.7554/ELIFE.00290","ISSN":"2050084X"</w:instrText>
      </w:r>
      <w:r>
        <w:rPr>
          <w:rFonts w:ascii="Arial" w:eastAsia="Times New Roman" w:hAnsi="Arial" w:cs="Arial"/>
          <w:color w:val="000000"/>
          <w:lang w:val="en-US" w:eastAsia="de-DE"/>
        </w:rPr>
        <w:instrText>,"PMID":"23425906","abstract":"Early development of many animals is characterized by rapid cleavages that dramatically decrease cell size, but how the mitotic spindle adapts to changing cell dimensions is not understood. To identify mechanisms that scale t</w:instrText>
      </w:r>
      <w:r>
        <w:rPr>
          <w:rFonts w:ascii="Arial" w:eastAsia="Times New Roman" w:hAnsi="Arial" w:cs="Arial"/>
          <w:color w:val="000000"/>
          <w:lang w:val="en-US" w:eastAsia="de-DE"/>
        </w:rPr>
        <w:instrText>he spindle during Xenopus laevis embryogenesis, we established an in vitro system using cytoplasmic extracts prepared from embryos that recapitulates in vivo spindle size differences between stage 3 (4 cells, 37 μm) and stage 8 (~4000 cells, 18 μm). We ide</w:instrText>
      </w:r>
      <w:r>
        <w:rPr>
          <w:rFonts w:ascii="Arial" w:eastAsia="Times New Roman" w:hAnsi="Arial" w:cs="Arial"/>
          <w:color w:val="000000"/>
          <w:lang w:val="en-US" w:eastAsia="de-DE"/>
        </w:rPr>
        <w:instrText>ntified the kinesin-13 kif2a as a driver of developmental spindle scaling whose microtubule-destabilizing activity is inhibited in stage 3 spindles by the transport receptor importin α, and activated in stage 8 when importin α partitions to a membrane pool</w:instrText>
      </w:r>
      <w:r>
        <w:rPr>
          <w:rFonts w:ascii="Arial" w:eastAsia="Times New Roman" w:hAnsi="Arial" w:cs="Arial"/>
          <w:color w:val="000000"/>
          <w:lang w:val="en-US" w:eastAsia="de-DE"/>
        </w:rPr>
        <w:instrText>. Altering spindle size in developing embryos impaired spindle orientation during metaphase, but chromosome segregation remained robust. Thus, spindle size in Xenopus development is coupled to cell size through a ratiometric mechanism controlling microtubu</w:instrText>
      </w:r>
      <w:r>
        <w:rPr>
          <w:rFonts w:ascii="Arial" w:eastAsia="Times New Roman" w:hAnsi="Arial" w:cs="Arial"/>
          <w:color w:val="000000"/>
          <w:lang w:val="en-US" w:eastAsia="de-DE"/>
        </w:rPr>
        <w:instrText>le destabilization. © Wilbur et al.","author":[{"dropping-particle":"","family":"Wilbur","given":"Jeremy D.","non-dropping-particle":"","parse-names":false,"suffix":""},{"dropping-particle":"","family":"Heald","given":"Rebecca","non-dropping-particle":"","</w:instrText>
      </w:r>
      <w:r>
        <w:rPr>
          <w:rFonts w:ascii="Arial" w:eastAsia="Times New Roman" w:hAnsi="Arial" w:cs="Arial"/>
          <w:color w:val="000000"/>
          <w:lang w:val="en-US" w:eastAsia="de-DE"/>
        </w:rPr>
        <w:instrText>parse-names":false,"suffix":""}],"container-title":"eLife","id":"ITEM-1","issue":"2","issued":{"date-parts":[["2013","2","19"]]},"title":"Mitotic spindle scaling during Xenopus development by kif2a and importin α","type":"article-journal","volume":"2013"},</w:instrText>
      </w:r>
      <w:r>
        <w:rPr>
          <w:rFonts w:ascii="Arial" w:eastAsia="Times New Roman" w:hAnsi="Arial" w:cs="Arial"/>
          <w:color w:val="000000"/>
          <w:lang w:val="en-US" w:eastAsia="de-DE"/>
        </w:rPr>
        <w:instrText>"uris":["http://www.mendeley.com/documents/?uuid=4c9a1c27-4551-3737-84f6-4388d05820f8"]}],"mendeley":{"formattedCitation":"&lt;sup&gt;149&lt;/sup&gt;","plainTextFormattedCitation":"149","previouslyFormattedCitation":"&lt;sup&gt;149&lt;/sup&gt;"},"properties":{"noteIndex":0},"sche</w:instrText>
      </w:r>
      <w:r>
        <w:rPr>
          <w:rFonts w:ascii="Arial" w:eastAsia="Times New Roman" w:hAnsi="Arial" w:cs="Arial"/>
          <w:color w:val="000000"/>
          <w:lang w:val="en-US" w:eastAsia="de-DE"/>
        </w:rPr>
        <w:instrText>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149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6AFCD487" w14:textId="77777777" w:rsidR="00066D11" w:rsidRDefault="00066D11">
      <w:pPr>
        <w:spacing w:after="0" w:line="240" w:lineRule="auto"/>
        <w:jc w:val="both"/>
        <w:rPr>
          <w:rFonts w:ascii="Arial" w:eastAsia="Times New Roman" w:hAnsi="Arial" w:cs="Arial"/>
          <w:lang w:val="en-US" w:eastAsia="de-DE"/>
        </w:rPr>
      </w:pPr>
    </w:p>
    <w:p w14:paraId="00721DD5"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3.7 Contractile ring</w:t>
      </w:r>
    </w:p>
    <w:p w14:paraId="34EF1F50" w14:textId="77777777" w:rsidR="00066D11" w:rsidRDefault="00066D11">
      <w:pPr>
        <w:spacing w:after="0" w:line="240" w:lineRule="auto"/>
        <w:jc w:val="both"/>
        <w:rPr>
          <w:rFonts w:ascii="Arial" w:eastAsia="Times New Roman" w:hAnsi="Arial" w:cs="Arial"/>
          <w:lang w:val="en-US" w:eastAsia="de-DE"/>
        </w:rPr>
      </w:pPr>
    </w:p>
    <w:p w14:paraId="54911CF9"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Another cytoskeletal organelle that needs to be coordinated with cell size is the contractile actomyosin ring. Naturally, in organisms with </w:t>
      </w:r>
      <w:r>
        <w:rPr>
          <w:rFonts w:ascii="Arial" w:eastAsia="Times New Roman" w:hAnsi="Arial" w:cs="Arial"/>
          <w:color w:val="000000"/>
          <w:lang w:val="en-US" w:eastAsia="de-DE"/>
        </w:rPr>
        <w:t xml:space="preserve">symmetrically dividing cells, such as </w:t>
      </w:r>
      <w:r>
        <w:rPr>
          <w:rFonts w:ascii="Arial" w:eastAsia="Times New Roman" w:hAnsi="Arial" w:cs="Arial"/>
          <w:i/>
          <w:iCs/>
          <w:color w:val="000000"/>
          <w:lang w:val="en-US" w:eastAsia="de-DE"/>
        </w:rPr>
        <w:t>Caenorhabditis elegans</w:t>
      </w:r>
      <w:r>
        <w:rPr>
          <w:rFonts w:ascii="Arial" w:eastAsia="Times New Roman" w:hAnsi="Arial" w:cs="Arial"/>
          <w:color w:val="000000"/>
          <w:lang w:val="en-US" w:eastAsia="de-DE"/>
        </w:rPr>
        <w:t>, the actomyosin ring is larger in bigger cells. Nevertheless, a scaling of constriction rate and initial ring size allows cells to complete cytokinesis within a cell size independent time period</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w:instrText>
      </w:r>
      <w:r>
        <w:rPr>
          <w:rFonts w:ascii="Arial" w:eastAsia="Times New Roman" w:hAnsi="Arial" w:cs="Arial"/>
          <w:color w:val="000000"/>
          <w:lang w:val="en-US" w:eastAsia="de-DE"/>
        </w:rPr>
        <w:instrText>DDIN CSL_CITATION {"citationItems":[{"id":"ITEM-1","itemData":{"DOI":"10.1016/J.CELL.2009.03.021","ISSN":"0092-8674","abstract":"Cytokinesis is accomplished by constriction of a cortical contractile ring. We show that during the early embryonic divisions i</w:instrText>
      </w:r>
      <w:r>
        <w:rPr>
          <w:rFonts w:ascii="Arial" w:eastAsia="Times New Roman" w:hAnsi="Arial" w:cs="Arial"/>
          <w:color w:val="000000"/>
          <w:lang w:val="en-US" w:eastAsia="de-DE"/>
        </w:rPr>
        <w:instrText xml:space="preserve">n C. elegans, ring constriction occurs in two phases—an initial phase at a constant rate followed by a second phase during which the constriction rate decreases in proportion to ring perimeter. Cytokinesis completes in the same amount of time, despite the </w:instrText>
      </w:r>
      <w:r>
        <w:rPr>
          <w:rFonts w:ascii="Arial" w:eastAsia="Times New Roman" w:hAnsi="Arial" w:cs="Arial"/>
          <w:color w:val="000000"/>
          <w:lang w:val="en-US" w:eastAsia="de-DE"/>
        </w:rPr>
        <w:instrText>reduction in cell size during successive divisions, due to a strict proportionality between initial ring size and the constant constriction rate. During closure, the myosin motor in the ring decreases in proportion to perimeter without turning over. We pro</w:instrText>
      </w:r>
      <w:r>
        <w:rPr>
          <w:rFonts w:ascii="Arial" w:eastAsia="Times New Roman" w:hAnsi="Arial" w:cs="Arial"/>
          <w:color w:val="000000"/>
          <w:lang w:val="en-US" w:eastAsia="de-DE"/>
        </w:rPr>
        <w:instrText>pose a “contractile unit” model to explain how the ring retains a structural memory of its initial size as it disassembles. The scalability of constriction may facilitate coordination of mitotic events and cytokinesis when cell size, and hence the distance</w:instrText>
      </w:r>
      <w:r>
        <w:rPr>
          <w:rFonts w:ascii="Arial" w:eastAsia="Times New Roman" w:hAnsi="Arial" w:cs="Arial"/>
          <w:color w:val="000000"/>
          <w:lang w:val="en-US" w:eastAsia="de-DE"/>
        </w:rPr>
        <w:instrText xml:space="preserve"> traversed by the ring, varies during embryogenesis and in other contexts.","author":[{"dropping-particle":"","family":"Carvalho","given":"Ana","non-dropping-particle":"","parse-names":false,"suffix":""},{"dropping-particle":"","family":"Desai","given":"Ar</w:instrText>
      </w:r>
      <w:r>
        <w:rPr>
          <w:rFonts w:ascii="Arial" w:eastAsia="Times New Roman" w:hAnsi="Arial" w:cs="Arial"/>
          <w:color w:val="000000"/>
          <w:lang w:val="en-US" w:eastAsia="de-DE"/>
        </w:rPr>
        <w:instrText>shad","non-dropping-particle":"","parse-names":false,"suffix":""},{"dropping-particle":"","family":"Oegema","given":"Karen","non-dropping-particle":"","parse-names":false,"suffix":""}],"container-title":"Cell","id":"ITEM-1","issue":"5","issued":{"date-part</w:instrText>
      </w:r>
      <w:r>
        <w:rPr>
          <w:rFonts w:ascii="Arial" w:eastAsia="Times New Roman" w:hAnsi="Arial" w:cs="Arial"/>
          <w:color w:val="000000"/>
          <w:lang w:val="en-US" w:eastAsia="de-DE"/>
        </w:rPr>
        <w:instrText>s":[["2009","5","29"]]},"page":"926-937","publisher":"Cell Press","title":"Structural Memory in the Contractile Ring Makes the Duration of Cytokinesis Independent of Cell Size","type":"article-journal","volume":"137"},"uris":["http://www.mendeley.com/docum</w:instrText>
      </w:r>
      <w:r>
        <w:rPr>
          <w:rFonts w:ascii="Arial" w:eastAsia="Times New Roman" w:hAnsi="Arial" w:cs="Arial"/>
          <w:color w:val="000000"/>
          <w:lang w:val="en-US" w:eastAsia="de-DE"/>
        </w:rPr>
        <w:instrText>ents/?uuid=7d528ac0-07c4-3c19-94d9-9414e7761f1c"]}],"mendeley":{"formattedCitation":"&lt;sup&gt;150&lt;/sup&gt;","plainTextFormattedCitation":"150","previouslyFormattedCitation":"&lt;sup&gt;150&lt;/sup&gt;"},"properties":{"noteIndex":0},"schema":"https://github.com/citation-style</w:instrText>
      </w:r>
      <w:r>
        <w:rPr>
          <w:rFonts w:ascii="Arial" w:eastAsia="Times New Roman" w:hAnsi="Arial" w:cs="Arial"/>
          <w:color w:val="000000"/>
          <w:lang w:val="en-US" w:eastAsia="de-DE"/>
        </w:rPr>
        <w:instrText>-language/schema/raw/master/csl-citation.json"}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Interestingly, even the diameters of the actomyosin and </w:t>
      </w:r>
      <w:proofErr w:type="spellStart"/>
      <w:r>
        <w:rPr>
          <w:rFonts w:ascii="Arial" w:eastAsia="Times New Roman" w:hAnsi="Arial" w:cs="Arial"/>
          <w:color w:val="000000"/>
          <w:lang w:val="en-US" w:eastAsia="de-DE"/>
        </w:rPr>
        <w:t>septin</w:t>
      </w:r>
      <w:proofErr w:type="spellEnd"/>
      <w:r>
        <w:rPr>
          <w:rFonts w:ascii="Arial" w:eastAsia="Times New Roman" w:hAnsi="Arial" w:cs="Arial"/>
          <w:color w:val="000000"/>
          <w:lang w:val="en-US" w:eastAsia="de-DE"/>
        </w:rPr>
        <w:t xml:space="preserve"> rings at the bud necks connecting budding yeast buds with their mother cells scale roughly with the diameter of the mother cell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w:instrText>
      </w:r>
      <w:r>
        <w:rPr>
          <w:rFonts w:ascii="Arial" w:eastAsia="Times New Roman" w:hAnsi="Arial" w:cs="Arial"/>
          <w:color w:val="000000"/>
          <w:lang w:val="en-US" w:eastAsia="de-DE"/>
        </w:rPr>
        <w:instrText>ITATION {"citationItems":[{"id":"ITEM-1","itemData":{"DOI":"10.1007/s00294-018-0872-2","ISSN":"0172-8083","author":[{"dropping-particle":"","family":"Kubo","given":"Karen","non-dropping-particle":"","parse-names":false,"suffix":""},{"dropping-particle":"",</w:instrText>
      </w:r>
      <w:r>
        <w:rPr>
          <w:rFonts w:ascii="Arial" w:eastAsia="Times New Roman" w:hAnsi="Arial" w:cs="Arial"/>
          <w:color w:val="000000"/>
          <w:lang w:val="en-US" w:eastAsia="de-DE"/>
        </w:rPr>
        <w:instrText>"family":"Okada","given":"Hiroki","non-dropping-particle":"","parse-names":false,"suffix":""},{"dropping-particle":"","family":"Shimamoto","given":"Takuya","non-dropping-particle":"","parse-names":false,"suffix":""},{"dropping-particle":"","family":"Kimori</w:instrText>
      </w:r>
      <w:r>
        <w:rPr>
          <w:rFonts w:ascii="Arial" w:eastAsia="Times New Roman" w:hAnsi="Arial" w:cs="Arial"/>
          <w:color w:val="000000"/>
          <w:lang w:val="en-US" w:eastAsia="de-DE"/>
        </w:rPr>
        <w:instrText>","given":"Yoshitaka","non-dropping-particle":"","parse-names":false,"suffix":""},{"dropping-particle":"","family":"Mizunuma","given":"Masaki","non-dropping-particle":"","parse-names":false,"suffix":""},{"dropping-particle":"","family":"Bi","given":"Erfei"</w:instrText>
      </w:r>
      <w:r>
        <w:rPr>
          <w:rFonts w:ascii="Arial" w:eastAsia="Times New Roman" w:hAnsi="Arial" w:cs="Arial"/>
          <w:color w:val="000000"/>
          <w:lang w:val="en-US" w:eastAsia="de-DE"/>
        </w:rPr>
        <w:instrText>,"non-dropping-particle":"","parse-names":false,"suffix":""},{"dropping-particle":"","family":"Ohnuki","given":"Shinsuke","non-dropping-particle":"","parse-names":false,"suffix":""},{"dropping-particle":"","family":"Ohya","given":"Yoshikazu","non-dropping-</w:instrText>
      </w:r>
      <w:r>
        <w:rPr>
          <w:rFonts w:ascii="Arial" w:eastAsia="Times New Roman" w:hAnsi="Arial" w:cs="Arial"/>
          <w:color w:val="000000"/>
          <w:lang w:val="en-US" w:eastAsia="de-DE"/>
        </w:rPr>
        <w:instrText>particle":"","parse-names":false,"suffix":""}],"container-title":"Current Genetics","id":"ITEM-1","issue":"1","issued":{"date-parts":[["2019","2"]]},"page":"253-267","publisher":"Springer Berlin Heidelberg","title":"Implications of maintenance of mother–bu</w:instrText>
      </w:r>
      <w:r>
        <w:rPr>
          <w:rFonts w:ascii="Arial" w:eastAsia="Times New Roman" w:hAnsi="Arial" w:cs="Arial"/>
          <w:color w:val="000000"/>
          <w:lang w:val="en-US" w:eastAsia="de-DE"/>
        </w:rPr>
        <w:instrText>d neck size in diverse vital processes of Saccharomyces cerevisiae","type":"article-journal","volume":"65"},"uris":["http://www.mendeley.com/documents/?uuid=8aaa066a-09db-38a7-80e3-ea43dd9faf4f"]},{"id":"ITEM-2","itemData":{"DOI":"10.1038/s41467-020-16764-</w:instrText>
      </w:r>
      <w:r>
        <w:rPr>
          <w:rFonts w:ascii="Arial" w:eastAsia="Times New Roman" w:hAnsi="Arial" w:cs="Arial"/>
          <w:color w:val="000000"/>
          <w:lang w:val="en-US" w:eastAsia="de-DE"/>
        </w:rPr>
        <w:instrText>x","ISSN":"20411723","PMID":"32528053","abstract":"The formation and maintenance of subcellular structures and organelles with a well-defined size is a key requirement for cell function, yet our understanding of the underlying size control mechanisms is li</w:instrText>
      </w:r>
      <w:r>
        <w:rPr>
          <w:rFonts w:ascii="Arial" w:eastAsia="Times New Roman" w:hAnsi="Arial" w:cs="Arial"/>
          <w:color w:val="000000"/>
          <w:lang w:val="en-US" w:eastAsia="de-DE"/>
        </w:rPr>
        <w:instrText xml:space="preserve">mited. While budding yeast cell polarization and subsequent assembly of a septin ring at the site of bud formation has been successfully used as a model for biological self-assembly processes, the mechanisms that set the size of the septin ring at the bud </w:instrText>
      </w:r>
      <w:r>
        <w:rPr>
          <w:rFonts w:ascii="Arial" w:eastAsia="Times New Roman" w:hAnsi="Arial" w:cs="Arial"/>
          <w:color w:val="000000"/>
          <w:lang w:val="en-US" w:eastAsia="de-DE"/>
        </w:rPr>
        <w:instrText>neck are unknown. Here, we use live-cell imaging and genetic manipulation of cell volume to show that the septin ring diameter increases with cell volume. This cell-volume-dependence largely accounts for modulations of ring size due to changes in ploidy an</w:instrText>
      </w:r>
      <w:r>
        <w:rPr>
          <w:rFonts w:ascii="Arial" w:eastAsia="Times New Roman" w:hAnsi="Arial" w:cs="Arial"/>
          <w:color w:val="000000"/>
          <w:lang w:val="en-US" w:eastAsia="de-DE"/>
        </w:rPr>
        <w:instrText>d genetic manipulation of cell polarization. Our findings suggest that the ring diameter is set through the dynamic interplay of septin recruitment and Cdc42 polarization, establishing it as a model for size homeostasis of self-assembling organelles.","aut</w:instrText>
      </w:r>
      <w:r>
        <w:rPr>
          <w:rFonts w:ascii="Arial" w:eastAsia="Times New Roman" w:hAnsi="Arial" w:cs="Arial"/>
          <w:color w:val="000000"/>
          <w:lang w:val="en-US" w:eastAsia="de-DE"/>
        </w:rPr>
        <w:instrText>hor":[{"dropping-particle":"V.","family":"Kukhtevich","given":"I.","non-dropping-particle":"","parse-names":false,"suffix":""},{"dropping-particle":"","family":"Lohrberg","given":"N.","non-dropping-particle":"","parse-names":false,"suffix":""},{"dropping-p</w:instrText>
      </w:r>
      <w:r>
        <w:rPr>
          <w:rFonts w:ascii="Arial" w:eastAsia="Times New Roman" w:hAnsi="Arial" w:cs="Arial"/>
          <w:color w:val="000000"/>
          <w:lang w:val="en-US" w:eastAsia="de-DE"/>
        </w:rPr>
        <w:instrText>article":"","family":"Padovani","given":"F.","non-dropping-particle":"","parse-names":false,"suffix":""},{"dropping-particle":"","family":"Schneider","given":"R.","non-dropping-particle":"","parse-names":false,"suffix":""},{"dropping-particle":"","family":</w:instrText>
      </w:r>
      <w:r>
        <w:rPr>
          <w:rFonts w:ascii="Arial" w:eastAsia="Times New Roman" w:hAnsi="Arial" w:cs="Arial"/>
          <w:color w:val="000000"/>
          <w:lang w:val="en-US" w:eastAsia="de-DE"/>
        </w:rPr>
        <w:instrText xml:space="preserve">"Schmoller","given":"K. M.","non-dropping-particle":"","parse-names":false,"suffix":""}],"container-title":"Nature Communications","id":"ITEM-2","issue":"1","issued":{"date-parts":[["2020"]]},"page":"1-15","publisher":"Springer US","title":"Cell size sets </w:instrText>
      </w:r>
      <w:r>
        <w:rPr>
          <w:rFonts w:ascii="Arial" w:eastAsia="Times New Roman" w:hAnsi="Arial" w:cs="Arial"/>
          <w:color w:val="000000"/>
          <w:lang w:val="en-US" w:eastAsia="de-DE"/>
        </w:rPr>
        <w:instrText>the diameter of the budding yeast contractile ring","type":"article-journal","volume":"11"},"uris":["http://www.mendeley.com/documents/?uuid=af299f17-fd5c-4e7c-b284-0b6485a4bdf6"]}],"mendeley":{"formattedCitation":"&lt;sup&gt;151,152&lt;/sup&gt;","plainTextFormattedCi</w:instrText>
      </w:r>
      <w:r>
        <w:rPr>
          <w:rFonts w:ascii="Arial" w:eastAsia="Times New Roman" w:hAnsi="Arial" w:cs="Arial"/>
          <w:color w:val="000000"/>
          <w:lang w:val="en-US" w:eastAsia="de-DE"/>
        </w:rPr>
        <w:instrText>tation":"151,152","previouslyFormattedCitation":"&lt;sup&gt;151,152&lt;/sup&gt;"},"properties":{"noteIndex":0},"schema":"https://github.com/citation-style-language/schema/raw/master/csl-citation.json"}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151,152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While not strictly coupled, the </w:t>
      </w:r>
      <w:r>
        <w:rPr>
          <w:rFonts w:ascii="Arial" w:eastAsia="Times New Roman" w:hAnsi="Arial" w:cs="Arial"/>
          <w:color w:val="000000"/>
          <w:lang w:val="en-US" w:eastAsia="de-DE"/>
        </w:rPr>
        <w:t>cell-size-dependence of these structures is likely intertwined with the formation of the Cdc42 polarization cluster that recruits the septin ring to the presumptive bud site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{"citationItems":[{"id":"ITEM-1","itemData":{"DOI":"10.1038/s414</w:instrText>
      </w:r>
      <w:r>
        <w:rPr>
          <w:rFonts w:ascii="Arial" w:eastAsia="Times New Roman" w:hAnsi="Arial" w:cs="Arial"/>
          <w:color w:val="000000"/>
          <w:lang w:val="en-US" w:eastAsia="de-DE"/>
        </w:rPr>
        <w:instrText>67-020-16764-x","ISSN":"20411723","PMID":"32528053","abstract":"The formation and maintenance of subcellular structures and organelles with a well-defined size is a key requirement for cell function, yet our understanding of the underlying size control mec</w:instrText>
      </w:r>
      <w:r>
        <w:rPr>
          <w:rFonts w:ascii="Arial" w:eastAsia="Times New Roman" w:hAnsi="Arial" w:cs="Arial"/>
          <w:color w:val="000000"/>
          <w:lang w:val="en-US" w:eastAsia="de-DE"/>
        </w:rPr>
        <w:instrText>hanisms is limited. While budding yeast cell polarization and subsequent assembly of a septin ring at the site of bud formation has been successfully used as a model for biological self-assembly processes, the mechanisms that set the size of the septin rin</w:instrText>
      </w:r>
      <w:r>
        <w:rPr>
          <w:rFonts w:ascii="Arial" w:eastAsia="Times New Roman" w:hAnsi="Arial" w:cs="Arial"/>
          <w:color w:val="000000"/>
          <w:lang w:val="en-US" w:eastAsia="de-DE"/>
        </w:rPr>
        <w:instrText>g at the bud neck are unknown. Here, we use live-cell imaging and genetic manipulation of cell volume to show that the septin ring diameter increases with cell volume. This cell-volume-dependence largely accounts for modulations of ring size due to changes</w:instrText>
      </w:r>
      <w:r>
        <w:rPr>
          <w:rFonts w:ascii="Arial" w:eastAsia="Times New Roman" w:hAnsi="Arial" w:cs="Arial"/>
          <w:color w:val="000000"/>
          <w:lang w:val="en-US" w:eastAsia="de-DE"/>
        </w:rPr>
        <w:instrText xml:space="preserve"> in ploidy and genetic manipulation of cell polarization. Our findings suggest that the ring diameter is set through the dynamic interplay of septin recruitment and Cdc42 polarization, establishing it as a model for size homeostasis of self-assembling orga</w:instrText>
      </w:r>
      <w:r>
        <w:rPr>
          <w:rFonts w:ascii="Arial" w:eastAsia="Times New Roman" w:hAnsi="Arial" w:cs="Arial"/>
          <w:color w:val="000000"/>
          <w:lang w:val="en-US" w:eastAsia="de-DE"/>
        </w:rPr>
        <w:instrText>nelles.","author":[{"dropping-particle":"V.","family":"Kukhtevich","given":"I.","non-dropping-particle":"","parse-names":false,"suffix":""},{"dropping-particle":"","family":"Lohrberg","given":"N.","non-dropping-particle":"","parse-names":false,"suffix":""}</w:instrText>
      </w:r>
      <w:r>
        <w:rPr>
          <w:rFonts w:ascii="Arial" w:eastAsia="Times New Roman" w:hAnsi="Arial" w:cs="Arial"/>
          <w:color w:val="000000"/>
          <w:lang w:val="en-US" w:eastAsia="de-DE"/>
        </w:rPr>
        <w:instrText>,{"dropping-particle":"","family":"Padovani","given":"F.","non-dropping-particle":"","parse-names":false,"suffix":""},{"dropping-particle":"","family":"Schneider","given":"R.","non-dropping-particle":"","parse-names":false,"suffix":""},{"dropping-particle"</w:instrText>
      </w:r>
      <w:r>
        <w:rPr>
          <w:rFonts w:ascii="Arial" w:eastAsia="Times New Roman" w:hAnsi="Arial" w:cs="Arial"/>
          <w:color w:val="000000"/>
          <w:lang w:val="en-US" w:eastAsia="de-DE"/>
        </w:rPr>
        <w:instrText>:"","family":"Schmoller","given":"K. M.","non-dropping-particle":"","parse-names":false,"suffix":""}],"container-title":"Nature Communications","id":"ITEM-1","issue":"1","issued":{"date-parts":[["2020"]]},"page":"1-15","publisher":"Springer US","title":"Ce</w:instrText>
      </w:r>
      <w:r>
        <w:rPr>
          <w:rFonts w:ascii="Arial" w:eastAsia="Times New Roman" w:hAnsi="Arial" w:cs="Arial"/>
          <w:color w:val="000000"/>
          <w:lang w:val="en-US" w:eastAsia="de-DE"/>
        </w:rPr>
        <w:instrText>ll size sets the diameter of the budding yeast contractile ring","type":"article-journal","volume":"11"},"uris":["http://www.mendeley.com/documents/?uuid=af299f17-fd5c-4e7c-b284-0b6485a4bdf6"]}],"mendeley":{"formattedCitation":"&lt;sup&gt;152&lt;/sup&gt;","plainTextFo</w:instrText>
      </w:r>
      <w:r>
        <w:rPr>
          <w:rFonts w:ascii="Arial" w:eastAsia="Times New Roman" w:hAnsi="Arial" w:cs="Arial"/>
          <w:color w:val="000000"/>
          <w:lang w:val="en-US" w:eastAsia="de-DE"/>
        </w:rPr>
        <w:instrText>rmattedCitation":"152","previouslyFormattedCitation":"&lt;sup&gt;152&lt;/sup&gt;"},"properties":{"noteIndex":0},"schema":"https://github.com/citation-style-language/schema/raw/master/csl-citation.json"}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Already the Cdc42 cluster scales in size with the cell siz</w:t>
      </w:r>
      <w:r>
        <w:rPr>
          <w:rFonts w:ascii="Arial" w:eastAsia="Times New Roman" w:hAnsi="Arial" w:cs="Arial"/>
          <w:color w:val="000000"/>
          <w:lang w:val="en-US" w:eastAsia="de-DE"/>
        </w:rPr>
        <w:t>e, which - in contrast to fission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{"citationItems":[{"id":"ITEM-1","itemData":{"DOI":"10.1016/J.CUB.2015.08.046","ISSN":"0960-9822","abstract":"Intracellular structures and organelles such as the nucleus, the centrosome, or the mito</w:instrText>
      </w:r>
      <w:r>
        <w:rPr>
          <w:rFonts w:ascii="Arial" w:eastAsia="Times New Roman" w:hAnsi="Arial" w:cs="Arial"/>
          <w:color w:val="000000"/>
          <w:lang w:val="en-US" w:eastAsia="de-DE"/>
        </w:rPr>
        <w:instrText>tic spindle typically scale their size to cell size [1]. Similarly, cortical polarity domains built around the active form of conserved Rho-GTPases, such as Cdc42p, exhibit widths that may range over two orders of magnitudes in cells with different sizes a</w:instrText>
      </w:r>
      <w:r>
        <w:rPr>
          <w:rFonts w:ascii="Arial" w:eastAsia="Times New Roman" w:hAnsi="Arial" w:cs="Arial"/>
          <w:color w:val="000000"/>
          <w:lang w:val="en-US" w:eastAsia="de-DE"/>
        </w:rPr>
        <w:instrText>nd shapes [2–6]. The establishment of such domains typically involves positive feedback loops based on reaction-diffusion and/or actin-mediated vesicle transport [3, 7, 8]. How these elements may adapt polarity domain size to cellular geometry is not known</w:instrText>
      </w:r>
      <w:r>
        <w:rPr>
          <w:rFonts w:ascii="Arial" w:eastAsia="Times New Roman" w:hAnsi="Arial" w:cs="Arial"/>
          <w:color w:val="000000"/>
          <w:lang w:val="en-US" w:eastAsia="de-DE"/>
        </w:rPr>
        <w:instrText>. Here, by tracking the width of successive oscillating Cdc42-GTP domains in fission yeast spores [9], we find that domain width scales with local cell-surface radii of curvature over an 8-fold range, independently of absolute cell volume, surface, or Cdc4</w:instrText>
      </w:r>
      <w:r>
        <w:rPr>
          <w:rFonts w:ascii="Arial" w:eastAsia="Times New Roman" w:hAnsi="Arial" w:cs="Arial"/>
          <w:color w:val="000000"/>
          <w:lang w:val="en-US" w:eastAsia="de-DE"/>
        </w:rPr>
        <w:instrText>2-GTP concentration. This local scaling requires formin-nucleated cortical actin cables and the fusion of secretory vesicles transported along these cables with the membrane. These data suggest that reaction-diffusion may set a minimal domain size and that</w:instrText>
      </w:r>
      <w:r>
        <w:rPr>
          <w:rFonts w:ascii="Arial" w:eastAsia="Times New Roman" w:hAnsi="Arial" w:cs="Arial"/>
          <w:color w:val="000000"/>
          <w:lang w:val="en-US" w:eastAsia="de-DE"/>
        </w:rPr>
        <w:instrText xml:space="preserve"> secretory vesicle transport along actin cables may dilute and extend polarity domains to adapt their size to local cell-surface curvature. This work reveals that actin networks may act as micrometric curvature sensors and uncovers a generic morphogenetic </w:instrText>
      </w:r>
      <w:r>
        <w:rPr>
          <w:rFonts w:ascii="Arial" w:eastAsia="Times New Roman" w:hAnsi="Arial" w:cs="Arial"/>
          <w:color w:val="000000"/>
          <w:lang w:val="en-US" w:eastAsia="de-DE"/>
        </w:rPr>
        <w:instrText>principle for how polarity domains define their size according to cell morphologies.","author":[{"dropping-particle":"","family":"Bonazzi","given":"Daria","non-dropping-particle":"","parse-names":false,"suffix":""},{"dropping-particle":"","family":"Haupt",</w:instrText>
      </w:r>
      <w:r>
        <w:rPr>
          <w:rFonts w:ascii="Arial" w:eastAsia="Times New Roman" w:hAnsi="Arial" w:cs="Arial"/>
          <w:color w:val="000000"/>
          <w:lang w:val="en-US" w:eastAsia="de-DE"/>
        </w:rPr>
        <w:instrText>"given":"Armin","non-dropping-particle":"","parse-names":false,"suffix":""},{"dropping-particle":"","family":"Tanimoto","given":"Hirokazu","non-dropping-particle":"","parse-names":false,"suffix":""},{"dropping-particle":"","family":"Delacour","given":"Delp</w:instrText>
      </w:r>
      <w:r>
        <w:rPr>
          <w:rFonts w:ascii="Arial" w:eastAsia="Times New Roman" w:hAnsi="Arial" w:cs="Arial"/>
          <w:color w:val="000000"/>
          <w:lang w:val="en-US" w:eastAsia="de-DE"/>
        </w:rPr>
        <w:instrText>hine","non-dropping-particle":"","parse-names":false,"suffix":""},{"dropping-particle":"","family":"Salort","given":"Delphine","non-dropping-particle":"","parse-names":false,"suffix":""},{"dropping-particle":"","family":"Minc","given":"Nicolas","non-droppi</w:instrText>
      </w:r>
      <w:r>
        <w:rPr>
          <w:rFonts w:ascii="Arial" w:eastAsia="Times New Roman" w:hAnsi="Arial" w:cs="Arial"/>
          <w:color w:val="000000"/>
          <w:lang w:val="en-US" w:eastAsia="de-DE"/>
        </w:rPr>
        <w:instrText xml:space="preserve">ng-particle":"","parse-names":false,"suffix":""}],"container-title":"Current Biology","id":"ITEM-1","issue":"20","issued":{"date-parts":[["2015","10","19"]]},"page":"2677-2683","publisher":"Cell Press","title":"Actin-Based Transport Adapts Polarity Domain </w:instrText>
      </w:r>
      <w:r>
        <w:rPr>
          <w:rFonts w:ascii="Arial" w:eastAsia="Times New Roman" w:hAnsi="Arial" w:cs="Arial"/>
          <w:color w:val="000000"/>
          <w:lang w:val="en-US" w:eastAsia="de-DE"/>
        </w:rPr>
        <w:instrText>Size to Local Cellular Curvature","type":"article-journal","volume":"25"},"uris":["http://www.mendeley.com/documents/?uuid=d0563b99-37c4-3683-a626-26d0fd83450d"]}],"mendeley":{"formattedCitation":"&lt;sup&gt;153&lt;/sup&gt;","plainTextFormattedCitation":"153","previou</w:instrText>
      </w:r>
      <w:r>
        <w:rPr>
          <w:rFonts w:ascii="Arial" w:eastAsia="Times New Roman" w:hAnsi="Arial" w:cs="Arial"/>
          <w:color w:val="000000"/>
          <w:lang w:val="en-US" w:eastAsia="de-DE"/>
        </w:rPr>
        <w:instrText>slyFormattedCitation":"&lt;sup&gt;153&lt;/sup&gt;"},"properties":{"noteIndex":0},"schema":"https://github.com/citation-style-language/schema/raw/master/csl-citation.json"}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 in budding yeast is not due to the change in local radius of curvature.</w:t>
      </w:r>
    </w:p>
    <w:p w14:paraId="5E116ACA" w14:textId="77777777" w:rsidR="00066D11" w:rsidRDefault="00066D11">
      <w:pPr>
        <w:spacing w:after="0" w:line="240" w:lineRule="auto"/>
        <w:jc w:val="both"/>
        <w:rPr>
          <w:rFonts w:ascii="Arial" w:eastAsia="Times New Roman" w:hAnsi="Arial" w:cs="Arial"/>
          <w:lang w:val="en-US" w:eastAsia="de-DE"/>
        </w:rPr>
      </w:pPr>
    </w:p>
    <w:p w14:paraId="5D3A9FF2"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3.8 Actin cable</w:t>
      </w:r>
      <w:r>
        <w:rPr>
          <w:rFonts w:ascii="Arial" w:eastAsia="Times New Roman" w:hAnsi="Arial" w:cs="Arial"/>
          <w:b/>
          <w:bCs/>
          <w:color w:val="000000"/>
          <w:lang w:val="en-US" w:eastAsia="de-DE"/>
        </w:rPr>
        <w:t>s</w:t>
      </w:r>
    </w:p>
    <w:p w14:paraId="2D16FB94" w14:textId="77777777" w:rsidR="00066D11" w:rsidRDefault="00066D11">
      <w:pPr>
        <w:spacing w:after="0" w:line="240" w:lineRule="auto"/>
        <w:jc w:val="both"/>
        <w:rPr>
          <w:rFonts w:ascii="Arial" w:eastAsia="Times New Roman" w:hAnsi="Arial" w:cs="Arial"/>
          <w:lang w:val="en-US" w:eastAsia="de-DE"/>
        </w:rPr>
      </w:pPr>
    </w:p>
    <w:p w14:paraId="65BE2F7C" w14:textId="77777777" w:rsidR="00066D11" w:rsidRDefault="00E55468">
      <w:pPr>
        <w:spacing w:after="0" w:line="240" w:lineRule="auto"/>
        <w:jc w:val="both"/>
        <w:rPr>
          <w:rFonts w:ascii="Arial" w:eastAsia="Times New Roman" w:hAnsi="Arial" w:cs="Arial"/>
          <w:lang w:val="en-US" w:eastAsia="de-DE"/>
        </w:rPr>
      </w:pPr>
      <w:r>
        <w:rPr>
          <w:rFonts w:ascii="Arial" w:eastAsia="Times New Roman" w:hAnsi="Arial" w:cs="Arial"/>
          <w:color w:val="000000"/>
          <w:lang w:val="en-US" w:eastAsia="de-DE"/>
        </w:rPr>
        <w:t>Finally, in budding yeast, actin cables were shown to scale in length with cell length. Rather than through a limiting-pool mechanism</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{"citationItems":[{"id":"ITEM-1","itemData":{"DOI":"10.1016/j.cels.2017.04.011","abstract":"Graphical Abstract Highlights d The limiting-pool mechanism of size control successfully assembles one structure of a well defined size d Multiple structures assemb</w:instrText>
      </w:r>
      <w:r>
        <w:rPr>
          <w:rFonts w:ascii="Arial" w:eastAsia="Times New Roman" w:hAnsi="Arial" w:cs="Arial"/>
          <w:color w:val="000000"/>
          <w:lang w:val="en-US" w:eastAsia="de-DE"/>
        </w:rPr>
        <w:instrText xml:space="preserve">led from a common limiting pool exhibit large size fluctuations d Assembly of multiple structures exhibits three characteristic timescales In Brief While the limiting-pool mechanism can control the size of an individual sub-cellular structure, it fails to </w:instrText>
      </w:r>
      <w:r>
        <w:rPr>
          <w:rFonts w:ascii="Arial" w:eastAsia="Times New Roman" w:hAnsi="Arial" w:cs="Arial"/>
          <w:color w:val="000000"/>
          <w:lang w:val="en-US" w:eastAsia="de-DE"/>
        </w:rPr>
        <w:instrText>control the sizes of multiple structures that are all competing for the same pool of subunits. SUMMARY How the size of micrometer-scale cellular structures such as the mitotic spindle, cytoskeletal filaments, the nucleus, the nucleolus, and other non-membr</w:instrText>
      </w:r>
      <w:r>
        <w:rPr>
          <w:rFonts w:ascii="Arial" w:eastAsia="Times New Roman" w:hAnsi="Arial" w:cs="Arial"/>
          <w:color w:val="000000"/>
          <w:lang w:val="en-US" w:eastAsia="de-DE"/>
        </w:rPr>
        <w:instrText xml:space="preserve">ane bound organelles is controlled despite a constant turnover of their constituent parts is a central problem in biology. Experiments have implicated the limiting-pool mechanism: structures grow by sto-chastic addition of molecular subunits from a finite </w:instrText>
      </w:r>
      <w:r>
        <w:rPr>
          <w:rFonts w:ascii="Arial" w:eastAsia="Times New Roman" w:hAnsi="Arial" w:cs="Arial"/>
          <w:color w:val="000000"/>
          <w:lang w:val="en-US" w:eastAsia="de-DE"/>
        </w:rPr>
        <w:instrText>pool until the rates of subunit addition and removal are balanced, producing a structure of well-defined size. Here, we consider these dynamics when multiple filamentous structures are assembled stochasti-cally from a shared pool of subunits. Using analyti</w:instrText>
      </w:r>
      <w:r>
        <w:rPr>
          <w:rFonts w:ascii="Arial" w:eastAsia="Times New Roman" w:hAnsi="Arial" w:cs="Arial"/>
          <w:color w:val="000000"/>
          <w:lang w:val="en-US" w:eastAsia="de-DE"/>
        </w:rPr>
        <w:instrText>cal calculations and computer simulations, we show that robust size control can be achieved only when a single filament is assembled. When multiple filaments compete for monomers, filament lengths exhibit large fluctuations. These results extend to three-d</w:instrText>
      </w:r>
      <w:r>
        <w:rPr>
          <w:rFonts w:ascii="Arial" w:eastAsia="Times New Roman" w:hAnsi="Arial" w:cs="Arial"/>
          <w:color w:val="000000"/>
          <w:lang w:val="en-US" w:eastAsia="de-DE"/>
        </w:rPr>
        <w:instrText>imensional structures and reveal the physical limitations of the limiting-pool mechanism of size control when multiple organelles are assembled from a shared pool of subunits.","author":[{"dropping-particle":"","family":"Mohapatra","given":"Lishibanya","no</w:instrText>
      </w:r>
      <w:r>
        <w:rPr>
          <w:rFonts w:ascii="Arial" w:eastAsia="Times New Roman" w:hAnsi="Arial" w:cs="Arial"/>
          <w:color w:val="000000"/>
          <w:lang w:val="en-US" w:eastAsia="de-DE"/>
        </w:rPr>
        <w:instrText>n-dropping-particle":"","parse-names":false,"suffix":""},{"dropping-particle":"","family":"Lagny","given":"Thibaut J","non-dropping-particle":"","parse-names":false,"suffix":""},{"dropping-particle":"","family":"Harbage","given":"David","non-dropping-parti</w:instrText>
      </w:r>
      <w:r>
        <w:rPr>
          <w:rFonts w:ascii="Arial" w:eastAsia="Times New Roman" w:hAnsi="Arial" w:cs="Arial"/>
          <w:color w:val="000000"/>
          <w:lang w:val="en-US" w:eastAsia="de-DE"/>
        </w:rPr>
        <w:instrText>cle":"","parse-names":false,"suffix":""},{"dropping-particle":"","family":"Jelenkovic","given":"Predrag R","non-dropping-particle":"","parse-names":false,"suffix":""},{"dropping-particle":"","family":"Correspondence","given":"Jane Kondev","non-dropping-par</w:instrText>
      </w:r>
      <w:r>
        <w:rPr>
          <w:rFonts w:ascii="Arial" w:eastAsia="Times New Roman" w:hAnsi="Arial" w:cs="Arial"/>
          <w:color w:val="000000"/>
          <w:lang w:val="en-US" w:eastAsia="de-DE"/>
        </w:rPr>
        <w:instrText>ticle":"","parse-names":false,"suffix":""},{"dropping-particle":"","family":"Kondev","given":"Jane","non-dropping-particle":"","parse-names":false,"suffix":""}],"container-title":"Cell Systems","id":"ITEM-1","issued":{"date-parts":[["2017"]]},"page":"559-5</w:instrText>
      </w:r>
      <w:r>
        <w:rPr>
          <w:rFonts w:ascii="Arial" w:eastAsia="Times New Roman" w:hAnsi="Arial" w:cs="Arial"/>
          <w:color w:val="000000"/>
          <w:lang w:val="en-US" w:eastAsia="de-DE"/>
        </w:rPr>
        <w:instrText>67.e14","title":"The Limiting-Pool Mechanism Fails to Control the Size of Multiple Organelles","type":"article-journal","volume":"4"},"uris":["http://www.mendeley.com/documents/?uuid=d176ec2e-0aa4-3ae9-9f47-91e8ad04dd0e"]}],"mendeley":{"formattedCitation":</w:instrText>
      </w:r>
      <w:r>
        <w:rPr>
          <w:rFonts w:ascii="Arial" w:eastAsia="Times New Roman" w:hAnsi="Arial" w:cs="Arial"/>
          <w:color w:val="000000"/>
          <w:lang w:val="en-US" w:eastAsia="de-DE"/>
        </w:rPr>
        <w:instrText>"&lt;sup&gt;154&lt;/sup&gt;","plainTextFormattedCitation":"154","previouslyFormattedCitation":"&lt;sup&gt;154&lt;/sup&gt;"},"properties":{"noteIndex":0},"schema":"https://github.com/citation-style-language/schema/raw/master/csl-citation.json"}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this has been proposed to be </w:t>
      </w:r>
      <w:r>
        <w:rPr>
          <w:rFonts w:ascii="Arial" w:eastAsia="Times New Roman" w:hAnsi="Arial" w:cs="Arial"/>
          <w:color w:val="000000"/>
          <w:lang w:val="en-US" w:eastAsia="de-DE"/>
        </w:rPr>
        <w:t>achieved through a cable extension rate that decreases with cable length, in a manner that is dependent on cell length</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{"citationItems":[{"id":"ITEM-1","itemData":{"DOI":"10.7554/ELIFE.68424","ISSN":"2050084X","PMID":"34114567","abstract"</w:instrText>
      </w:r>
      <w:r>
        <w:rPr>
          <w:rFonts w:ascii="Arial" w:eastAsia="Times New Roman" w:hAnsi="Arial" w:cs="Arial"/>
          <w:color w:val="000000"/>
          <w:lang w:val="en-US" w:eastAsia="de-DE"/>
        </w:rPr>
        <w:instrText>:"How cells tune the size of their subcellular parts to scale with cell size is a fundamental question in cell biology. Until now, most studies on the size control of organelles and other subcellular structures have focused on scaling relationships with ce</w:instrText>
      </w:r>
      <w:r>
        <w:rPr>
          <w:rFonts w:ascii="Arial" w:eastAsia="Times New Roman" w:hAnsi="Arial" w:cs="Arial"/>
          <w:color w:val="000000"/>
          <w:lang w:val="en-US" w:eastAsia="de-DE"/>
        </w:rPr>
        <w:instrText>ll volume, which can be explained by limiting pool mechanisms. Here, we uncover a distinct scaling relationship with cell length rather than volume, revealed by mathematical modeling and quantitative imaging of yeast actin cables. The extension rate of cab</w:instrText>
      </w:r>
      <w:r>
        <w:rPr>
          <w:rFonts w:ascii="Arial" w:eastAsia="Times New Roman" w:hAnsi="Arial" w:cs="Arial"/>
          <w:color w:val="000000"/>
          <w:lang w:val="en-US" w:eastAsia="de-DE"/>
        </w:rPr>
        <w:instrText>les decelerates as they approach the rear of the cell, until cable length matches cell length. Further, the deceleration rate scales with cell length. These observations are quantitatively explained by a ‘balance-point’ model, which stands in contrast to l</w:instrText>
      </w:r>
      <w:r>
        <w:rPr>
          <w:rFonts w:ascii="Arial" w:eastAsia="Times New Roman" w:hAnsi="Arial" w:cs="Arial"/>
          <w:color w:val="000000"/>
          <w:lang w:val="en-US" w:eastAsia="de-DE"/>
        </w:rPr>
        <w:instrText>imiting pool mechanisms, and describes a distinct mode of self-assembly that senses the linear dimensions of the cell.","author":[{"dropping-particle":"","family":"McInally","given":"Shane G.","non-dropping-particle":"","parse-names":false,"suffix":""},{"d</w:instrText>
      </w:r>
      <w:r>
        <w:rPr>
          <w:rFonts w:ascii="Arial" w:eastAsia="Times New Roman" w:hAnsi="Arial" w:cs="Arial"/>
          <w:color w:val="000000"/>
          <w:lang w:val="en-US" w:eastAsia="de-DE"/>
        </w:rPr>
        <w:instrText>ropping-particle":"","family":"Kondev","given":"Jane","non-dropping-particle":"","parse-names":false,"suffix":""},{"dropping-particle":"","family":"Goode","given":"Bruce L.","non-dropping-particle":"","parse-names":false,"suffix":""}],"container-title":"eL</w:instrText>
      </w:r>
      <w:r>
        <w:rPr>
          <w:rFonts w:ascii="Arial" w:eastAsia="Times New Roman" w:hAnsi="Arial" w:cs="Arial"/>
          <w:color w:val="000000"/>
          <w:lang w:val="en-US" w:eastAsia="de-DE"/>
        </w:rPr>
        <w:instrText>ife","id":"ITEM-1","issued":{"date-parts":[["2021","6","1"]]},"publisher":"eLife Sciences Publications Ltd","title":"Scaling of subcellular actin structures with cell length through decelerated growth","type":"article-journal","volume":"10"},"uris":["http:</w:instrText>
      </w:r>
      <w:r>
        <w:rPr>
          <w:rFonts w:ascii="Arial" w:eastAsia="Times New Roman" w:hAnsi="Arial" w:cs="Arial"/>
          <w:color w:val="000000"/>
          <w:lang w:val="en-US" w:eastAsia="de-DE"/>
        </w:rPr>
        <w:instrText>//www.mendeley.com/documents/?uuid=7a32ff95-e589-370e-8724-388c406d7031"]}],"mendeley":{"formattedCitation":"&lt;sup&gt;155&lt;/sup&gt;","plainTextFormattedCitation":"155","previouslyFormattedCitation":"&lt;sup&gt;155&lt;/sup&gt;"},"properties":{"noteIndex":0},"schema":"https://g</w:instrText>
      </w:r>
      <w:r>
        <w:rPr>
          <w:rFonts w:ascii="Arial" w:eastAsia="Times New Roman" w:hAnsi="Arial" w:cs="Arial"/>
          <w:color w:val="000000"/>
          <w:lang w:val="en-US" w:eastAsia="de-DE"/>
        </w:rPr>
        <w:instrText>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t>
      </w:r>
    </w:p>
    <w:p w14:paraId="4C30964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u w:val="single"/>
          <w:lang w:val="en-US" w:eastAsia="de-DE"/>
        </w:rPr>
        <w:t>4 Optimal cell size</w:t>
      </w:r>
    </w:p>
    <w:p w14:paraId="7F018FF5"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Cell size has a profound impact on macromolecular (section 2) and organellar composition of the cell (section 3). In addition, it is linked to metabolic fun</w:t>
      </w:r>
      <w:r>
        <w:rPr>
          <w:rFonts w:ascii="Arial" w:eastAsia="Times New Roman" w:hAnsi="Arial" w:cs="Arial"/>
          <w:color w:val="000000" w:themeColor="text1"/>
          <w:lang w:val="en-US" w:eastAsia="de-DE"/>
        </w:rPr>
        <w:t>ctions. For example,</w:t>
      </w:r>
      <w:r>
        <w:rPr>
          <w:rFonts w:ascii="Arial" w:eastAsia="Times New Roman" w:hAnsi="Arial" w:cs="Arial"/>
          <w:b/>
          <w:bCs/>
          <w:color w:val="000000" w:themeColor="text1"/>
          <w:lang w:val="en-US" w:eastAsia="de-DE"/>
        </w:rPr>
        <w:t xml:space="preserve"> </w:t>
      </w:r>
      <w:r>
        <w:rPr>
          <w:rFonts w:ascii="Arial" w:eastAsia="Times New Roman" w:hAnsi="Arial" w:cs="Arial"/>
          <w:color w:val="000000" w:themeColor="text1"/>
          <w:lang w:val="en-US" w:eastAsia="de-DE"/>
        </w:rPr>
        <w:t>carbon fixation, respiration, as well as nutrient uptake and content have been observed to increase with cell size across plankton species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{"citationItems":[{"id":"ITEM-1","itemData":{"DOI":"10.1146/annurev-marine-010</w:instrText>
      </w:r>
      <w:r>
        <w:rPr>
          <w:rFonts w:ascii="Arial" w:eastAsia="Times New Roman" w:hAnsi="Arial" w:cs="Arial"/>
          <w:color w:val="000000" w:themeColor="text1"/>
          <w:lang w:val="en-US" w:eastAsia="de-DE"/>
        </w:rPr>
        <w:instrText>814-015955","ISSN":"19410611","PMID":"25062405","abstract":"Phytoplankton size structure controls the trophic organization of planktonic communities and their ability to export biogenic materials toward the ocean's interior. Our understanding of the mechan</w:instrText>
      </w:r>
      <w:r>
        <w:rPr>
          <w:rFonts w:ascii="Arial" w:eastAsia="Times New Roman" w:hAnsi="Arial" w:cs="Arial"/>
          <w:color w:val="000000" w:themeColor="text1"/>
          <w:lang w:val="en-US" w:eastAsia="de-DE"/>
        </w:rPr>
        <w:instrText xml:space="preserve">isms that drive the variability in phytoplankton size structure has been shaped by the assumption that the pace of metabolism decreases allometrically with increasing cell size. However, recent field and laboratory evidence indicates that biomass-specific </w:instrText>
      </w:r>
      <w:r>
        <w:rPr>
          <w:rFonts w:ascii="Arial" w:eastAsia="Times New Roman" w:hAnsi="Arial" w:cs="Arial"/>
          <w:color w:val="000000" w:themeColor="text1"/>
          <w:lang w:val="en-US" w:eastAsia="de-DE"/>
        </w:rPr>
        <w:instrText>production and growth rates are similar in both small and large cells but peak at intermediate cell sizes. The maximum nutrient uptake rate scales isometrically with cell volume and superisometrically with the minimum nutrient quota. The unimodal size scal</w:instrText>
      </w:r>
      <w:r>
        <w:rPr>
          <w:rFonts w:ascii="Arial" w:eastAsia="Times New Roman" w:hAnsi="Arial" w:cs="Arial"/>
          <w:color w:val="000000" w:themeColor="text1"/>
          <w:lang w:val="en-US" w:eastAsia="de-DE"/>
        </w:rPr>
        <w:instrText>ing of phytoplankton growth arises from ataxonomic, size-dependent trade-off processes related to nutrient requirement, acquisition, and use. The superior ability of intermediate-size cells to exploit high nutrient concentrations explains their biomass dom</w:instrText>
      </w:r>
      <w:r>
        <w:rPr>
          <w:rFonts w:ascii="Arial" w:eastAsia="Times New Roman" w:hAnsi="Arial" w:cs="Arial"/>
          <w:color w:val="000000" w:themeColor="text1"/>
          <w:lang w:val="en-US" w:eastAsia="de-DE"/>
        </w:rPr>
        <w:instrText>inance during blooms. Biogeographic patterns in phytoplankton size structure and growth rate are independent of temperature and driven mainly by changes in resource supply.","author":[{"dropping-particle":"","family":"Marañón","given":"Emilio","non-droppin</w:instrText>
      </w:r>
      <w:r>
        <w:rPr>
          <w:rFonts w:ascii="Arial" w:eastAsia="Times New Roman" w:hAnsi="Arial" w:cs="Arial"/>
          <w:color w:val="000000" w:themeColor="text1"/>
          <w:lang w:val="en-US" w:eastAsia="de-DE"/>
        </w:rPr>
        <w:instrText>g-particle":"","parse-names":false,"suffix":""}],"container-title":"Annual Review of Marine Science","id":"ITEM-1","issued":{"date-parts":[["2015","1","5"]]},"page":"241-264","publisher":"Annual Reviews","title":"Cell Size as a key determinant of phytoplan</w:instrText>
      </w:r>
      <w:r>
        <w:rPr>
          <w:rFonts w:ascii="Arial" w:eastAsia="Times New Roman" w:hAnsi="Arial" w:cs="Arial"/>
          <w:color w:val="000000" w:themeColor="text1"/>
          <w:lang w:val="en-US" w:eastAsia="de-DE"/>
        </w:rPr>
        <w:instrText>kton metabolism and community structure","type":"article-journal","volume":"7"},"uris":["http://www.mendeley.com/documents/?uuid=6783e69d-2350-3f78-8ca8-1e97bd8800a7"]},{"id":"ITEM-2","itemData":{"DOI":"10.1111/1365-2435.13986/SUPPINFO","ISSN":"13652435","</w:instrText>
      </w:r>
      <w:r>
        <w:rPr>
          <w:rFonts w:ascii="Arial" w:eastAsia="Times New Roman" w:hAnsi="Arial" w:cs="Arial"/>
          <w:color w:val="000000" w:themeColor="text1"/>
          <w:lang w:val="en-US" w:eastAsia="de-DE"/>
        </w:rPr>
        <w:instrText>abstract":"Body size is a decisive functional trait in many organisms, especially for phytoplankton, which span several orders of magnitude in cell volume. Therefore, the analysis of size as a functional trait driving species’ performance has received wide</w:instrText>
      </w:r>
      <w:r>
        <w:rPr>
          <w:rFonts w:ascii="Arial" w:eastAsia="Times New Roman" w:hAnsi="Arial" w:cs="Arial"/>
          <w:color w:val="000000" w:themeColor="text1"/>
          <w:lang w:val="en-US" w:eastAsia="de-DE"/>
        </w:rPr>
        <w:instrText xml:space="preserve"> attention in aquatic ecology, amended in recent decades by studies documenting changes in phytoplankton size in response to abiotic or biotic factors in the environment. We performed a systematic literature review to provide an overarching, partially quan</w:instrText>
      </w:r>
      <w:r>
        <w:rPr>
          <w:rFonts w:ascii="Arial" w:eastAsia="Times New Roman" w:hAnsi="Arial" w:cs="Arial"/>
          <w:color w:val="000000" w:themeColor="text1"/>
          <w:lang w:val="en-US" w:eastAsia="de-DE"/>
        </w:rPr>
        <w:instrText>titative synthesis of cell size as a driver and sentinel of phytoplankton ecology. We found consistent and significant allometric relationships between cell sizes and the functional performance of phytoplankton species (cellular rates of carbon fixation, r</w:instrText>
      </w:r>
      <w:r>
        <w:rPr>
          <w:rFonts w:ascii="Arial" w:eastAsia="Times New Roman" w:hAnsi="Arial" w:cs="Arial"/>
          <w:color w:val="000000" w:themeColor="text1"/>
          <w:lang w:val="en-US" w:eastAsia="de-DE"/>
        </w:rPr>
        <w:instrText>espiration and exudation as well as resource affinities, uptake and content). Size scaling became weaker, absent or even negative when addressing C- or volume-specific rates or growth. C-specific photosynthesis and population growth rate peaked at intermed</w:instrText>
      </w:r>
      <w:r>
        <w:rPr>
          <w:rFonts w:ascii="Arial" w:eastAsia="Times New Roman" w:hAnsi="Arial" w:cs="Arial"/>
          <w:color w:val="000000" w:themeColor="text1"/>
          <w:lang w:val="en-US" w:eastAsia="de-DE"/>
        </w:rPr>
        <w:instrText xml:space="preserve">iate cell sizes around 100 µm3. Additionally, we found a rich literature on sizes changing in response to warming, nutrients and pollutants. Whereas small cells tended to dominate under oligotrophic and warm conditions, there are a few notable exceptions, </w:instrText>
      </w:r>
      <w:r>
        <w:rPr>
          <w:rFonts w:ascii="Arial" w:eastAsia="Times New Roman" w:hAnsi="Arial" w:cs="Arial"/>
          <w:color w:val="000000" w:themeColor="text1"/>
          <w:lang w:val="en-US" w:eastAsia="de-DE"/>
        </w:rPr>
        <w:instrText>which indicates that other environmental or biotic constraints alter this general trend. Grazing seems a likely explanation, which we reviewed to understand both how size affects edibility and how size structure changes in response to grazing. Cell size al</w:instrText>
      </w:r>
      <w:r>
        <w:rPr>
          <w:rFonts w:ascii="Arial" w:eastAsia="Times New Roman" w:hAnsi="Arial" w:cs="Arial"/>
          <w:color w:val="000000" w:themeColor="text1"/>
          <w:lang w:val="en-US" w:eastAsia="de-DE"/>
        </w:rPr>
        <w:instrText>so predisposes the strength and outcome of competitive interactions between algal species. Finally, we address size in a community context, where size-abundance scaling describes community composition and thereby the biodiversity in phytoplankton assemblag</w:instrText>
      </w:r>
      <w:r>
        <w:rPr>
          <w:rFonts w:ascii="Arial" w:eastAsia="Times New Roman" w:hAnsi="Arial" w:cs="Arial"/>
          <w:color w:val="000000" w:themeColor="text1"/>
          <w:lang w:val="en-US" w:eastAsia="de-DE"/>
        </w:rPr>
        <w:instrText>es. We conclude that (a) size is a highly predictive trait for phytoplankton metabolism at the cellular scale, with less strong and nonlinear implications for growth and specific metabolism and (b) size structure is a highly suitable sentinel of phytoplank</w:instrText>
      </w:r>
      <w:r>
        <w:rPr>
          <w:rFonts w:ascii="Arial" w:eastAsia="Times New Roman" w:hAnsi="Arial" w:cs="Arial"/>
          <w:color w:val="000000" w:themeColor="text1"/>
          <w:lang w:val="en-US" w:eastAsia="de-DE"/>
        </w:rPr>
        <w:instrText>ton responses to changing environments. A free Plain Language Summary can be found within the Supporting Information of this article.","author":[{"dropping-particle":"","family":"Hillebrand","given":"Helmut","non-dropping-particle":"","parse-names":false,"</w:instrText>
      </w:r>
      <w:r>
        <w:rPr>
          <w:rFonts w:ascii="Arial" w:eastAsia="Times New Roman" w:hAnsi="Arial" w:cs="Arial"/>
          <w:color w:val="000000" w:themeColor="text1"/>
          <w:lang w:val="en-US" w:eastAsia="de-DE"/>
        </w:rPr>
        <w:instrText>suffix":""},{"dropping-particle":"","family":"Acevedo-Trejos","given":"Esteban","non-dropping-particle":"","parse-names":false,"suffix":""},{"dropping-particle":"","family":"Moorthi","given":"Stefanie D.","non-dropping-particle":"","parse-names":false,"suf</w:instrText>
      </w:r>
      <w:r>
        <w:rPr>
          <w:rFonts w:ascii="Arial" w:eastAsia="Times New Roman" w:hAnsi="Arial" w:cs="Arial"/>
          <w:color w:val="000000" w:themeColor="text1"/>
          <w:lang w:val="en-US" w:eastAsia="de-DE"/>
        </w:rPr>
        <w:instrText>fix":""},{"dropping-particle":"","family":"Ryabov","given":"Alexey","non-dropping-particle":"","parse-names":false,"suffix":""},{"dropping-particle":"","family":"Striebel","given":"Maren","non-dropping-particle":"","parse-names":false,"suffix":""},{"droppi</w:instrText>
      </w:r>
      <w:r>
        <w:rPr>
          <w:rFonts w:ascii="Arial" w:eastAsia="Times New Roman" w:hAnsi="Arial" w:cs="Arial"/>
          <w:color w:val="000000" w:themeColor="text1"/>
          <w:lang w:val="en-US" w:eastAsia="de-DE"/>
        </w:rPr>
        <w:instrText>ng-particle":"","family":"Thomas","given":"Patrick K.","non-dropping-particle":"","parse-names":false,"suffix":""},{"dropping-particle":"","family":"Schneider","given":"Marie Luise","non-dropping-particle":"","parse-names":false,"suffix":""}],"container-ti</w:instrText>
      </w:r>
      <w:r>
        <w:rPr>
          <w:rFonts w:ascii="Arial" w:eastAsia="Times New Roman" w:hAnsi="Arial" w:cs="Arial"/>
          <w:color w:val="000000" w:themeColor="text1"/>
          <w:lang w:val="en-US" w:eastAsia="de-DE"/>
        </w:rPr>
        <w:instrText>tle":"Functional Ecology","id":"ITEM-2","issue":"2","issued":{"date-parts":[["2022","2","1"]]},"page":"276-293","publisher":"John Wiley and Sons Inc","title":"Cell size as driver and sentinel of phytoplankton community structure and functioning","type":"ar</w:instrText>
      </w:r>
      <w:r>
        <w:rPr>
          <w:rFonts w:ascii="Arial" w:eastAsia="Times New Roman" w:hAnsi="Arial" w:cs="Arial"/>
          <w:color w:val="000000" w:themeColor="text1"/>
          <w:lang w:val="en-US" w:eastAsia="de-DE"/>
        </w:rPr>
        <w:instrText>ticle-journal","volume":"36"},"uris":["http://www.mendeley.com/documents/?uuid=8bb3bc52-d4ea-3b6d-a183-a1baa44af583"]},{"id":"ITEM-3","itemData":{"DOI":"10.1016/J.POCEAN.2023.102995","ISSN":"0079-6611","abstract":"Here we review, synthesize, and analyse th</w:instrText>
      </w:r>
      <w:r>
        <w:rPr>
          <w:rFonts w:ascii="Arial" w:eastAsia="Times New Roman" w:hAnsi="Arial" w:cs="Arial"/>
          <w:color w:val="000000" w:themeColor="text1"/>
          <w:lang w:val="en-US" w:eastAsia="de-DE"/>
        </w:rPr>
        <w:instrText xml:space="preserve">e size-based approach to model unicellular plankton cells and communities. We first review how cell size influences processes of the individual the cell: uptake of dissolved nutrients and dissolved organic carbon, phototrophy, phagotrophy, and metabolism. </w:instrText>
      </w:r>
      <w:r>
        <w:rPr>
          <w:rFonts w:ascii="Arial" w:eastAsia="Times New Roman" w:hAnsi="Arial" w:cs="Arial"/>
          <w:color w:val="000000" w:themeColor="text1"/>
          <w:lang w:val="en-US" w:eastAsia="de-DE"/>
        </w:rPr>
        <w:instrText>We parameterize processes primarily from first principles, using a synthesis of existing data only when needed, and show how these processes determine minimum and maximum cell size and limiting resource concentrations. The cell level processes scale direct</w:instrText>
      </w:r>
      <w:r>
        <w:rPr>
          <w:rFonts w:ascii="Arial" w:eastAsia="Times New Roman" w:hAnsi="Arial" w:cs="Arial"/>
          <w:color w:val="000000" w:themeColor="text1"/>
          <w:lang w:val="en-US" w:eastAsia="de-DE"/>
        </w:rPr>
        <w:instrText>ly up to the structure and function of the entire unicellular plankton ecosystem, from heterotrophic bacteria to zooplankton. Community structure is described by the size spectrum and by the emergent trophic strategies. We develop an analytical approximate</w:instrText>
      </w:r>
      <w:r>
        <w:rPr>
          <w:rFonts w:ascii="Arial" w:eastAsia="Times New Roman" w:hAnsi="Arial" w:cs="Arial"/>
          <w:color w:val="000000" w:themeColor="text1"/>
          <w:lang w:val="en-US" w:eastAsia="de-DE"/>
        </w:rPr>
        <w:instrText xml:space="preserve"> solution of the size spectrum and show how the trophic strategies of osmotrophy, light- and nutrient-limited phototrophy, mixotrophy, and pure phagotrophy depend on the resource environment. We further develop expressions to quantify the functions of the </w:instrText>
      </w:r>
      <w:r>
        <w:rPr>
          <w:rFonts w:ascii="Arial" w:eastAsia="Times New Roman" w:hAnsi="Arial" w:cs="Arial"/>
          <w:color w:val="000000" w:themeColor="text1"/>
          <w:lang w:val="en-US" w:eastAsia="de-DE"/>
        </w:rPr>
        <w:instrText>plankton community: production, respiration, and carbon available to production of higher trophic levels, and show how the plankton community responds to changes in temperature and grazing from higher trophic levels. We finally discuss strengths and limita</w:instrText>
      </w:r>
      <w:r>
        <w:rPr>
          <w:rFonts w:ascii="Arial" w:eastAsia="Times New Roman" w:hAnsi="Arial" w:cs="Arial"/>
          <w:color w:val="000000" w:themeColor="text1"/>
          <w:lang w:val="en-US" w:eastAsia="de-DE"/>
        </w:rPr>
        <w:instrText>tions of size-based representations of plankton communities and which additional trait axes will improve the description of plankton functional diversity.","author":[{"dropping-particle":"","family":"Andersen","given":"K. H.","non-dropping-particle":"","pa</w:instrText>
      </w:r>
      <w:r>
        <w:rPr>
          <w:rFonts w:ascii="Arial" w:eastAsia="Times New Roman" w:hAnsi="Arial" w:cs="Arial"/>
          <w:color w:val="000000" w:themeColor="text1"/>
          <w:lang w:val="en-US" w:eastAsia="de-DE"/>
        </w:rPr>
        <w:instrText>rse-names":false,"suffix":""},{"dropping-particle":"","family":"Visser","given":"A. W.","non-dropping-particle":"","parse-names":false,"suffix":""}],"container-title":"Progress in Oceanography","id":"ITEM-3","issued":{"date-parts":[["2023","4","1"]]},"page</w:instrText>
      </w:r>
      <w:r>
        <w:rPr>
          <w:rFonts w:ascii="Arial" w:eastAsia="Times New Roman" w:hAnsi="Arial" w:cs="Arial"/>
          <w:color w:val="000000" w:themeColor="text1"/>
          <w:lang w:val="en-US" w:eastAsia="de-DE"/>
        </w:rPr>
        <w:instrText>":"102995","publisher":"Pergamon","title":"From cell size and first principles to structure and function of unicellular plankton communities","type":"article-journal","volume":"213"},"uris":["http://www.mendeley.com/documents/?uuid=0b5883b2-4909-3312-9f30-</w:instrText>
      </w:r>
      <w:r>
        <w:rPr>
          <w:rFonts w:ascii="Arial" w:eastAsia="Times New Roman" w:hAnsi="Arial" w:cs="Arial"/>
          <w:color w:val="000000" w:themeColor="text1"/>
          <w:lang w:val="en-US" w:eastAsia="de-DE"/>
        </w:rPr>
        <w:instrText>ccb4779ef64c"]}],"mendeley":{"formattedCitation":"&lt;sup&gt;156–158&lt;/sup&gt;","plainTextFormattedCitation":"156–158","previouslyFormattedCitation":"&lt;sup&gt;156–158&lt;/sup&gt;"},"properties":{"noteIndex":0},"schema":"https://github.com/citation-style-language/schema/raw/ma</w:instrText>
      </w:r>
      <w:r>
        <w:rPr>
          <w:rFonts w:ascii="Arial" w:eastAsia="Times New Roman" w:hAnsi="Arial" w:cs="Arial"/>
          <w:color w:val="000000" w:themeColor="text1"/>
          <w:lang w:val="en-US" w:eastAsia="de-DE"/>
        </w:rPr>
        <w:instrText>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156–158</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Moreover, relative photosynthesis and growth rates, as </w:t>
      </w:r>
      <w:r>
        <w:rPr>
          <w:rFonts w:ascii="Arial" w:eastAsia="Times New Roman" w:hAnsi="Arial" w:cs="Arial"/>
          <w:color w:val="000000" w:themeColor="text1"/>
          <w:lang w:val="en-US" w:eastAsia="de-DE"/>
        </w:rPr>
        <w:lastRenderedPageBreak/>
        <w:t>well as mitochondrial efficiency peak at intermediate sized-cells and gradually decrease in smaller or larger cells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w:instrText>
      </w:r>
      <w:r>
        <w:rPr>
          <w:rFonts w:ascii="Arial" w:eastAsia="Times New Roman" w:hAnsi="Arial" w:cs="Arial"/>
          <w:color w:val="000000" w:themeColor="text1"/>
          <w:lang w:val="en-US" w:eastAsia="de-DE"/>
        </w:rPr>
        <w:instrText>{"citationItems":[{"id":"ITEM-1","itemData":{"DOI":"10.1146/annurev-marine-010814-015955","ISSN":"19410611","PMID":"25062405","abstract":"Phytoplankton size structure controls the trophic organization of planktonic communities and their ability to export b</w:instrText>
      </w:r>
      <w:r>
        <w:rPr>
          <w:rFonts w:ascii="Arial" w:eastAsia="Times New Roman" w:hAnsi="Arial" w:cs="Arial"/>
          <w:color w:val="000000" w:themeColor="text1"/>
          <w:lang w:val="en-US" w:eastAsia="de-DE"/>
        </w:rPr>
        <w:instrText xml:space="preserve">iogenic materials toward the ocean's interior. Our understanding of the mechanisms that drive the variability in phytoplankton size structure has been shaped by the assumption that the pace of metabolism decreases allometrically with increasing cell size. </w:instrText>
      </w:r>
      <w:r>
        <w:rPr>
          <w:rFonts w:ascii="Arial" w:eastAsia="Times New Roman" w:hAnsi="Arial" w:cs="Arial"/>
          <w:color w:val="000000" w:themeColor="text1"/>
          <w:lang w:val="en-US" w:eastAsia="de-DE"/>
        </w:rPr>
        <w:instrText xml:space="preserve">However, recent field and laboratory evidence indicates that biomass-specific production and growth rates are similar in both small and large cells but peak at intermediate cell sizes. The maximum nutrient uptake rate scales isometrically with cell volume </w:instrText>
      </w:r>
      <w:r>
        <w:rPr>
          <w:rFonts w:ascii="Arial" w:eastAsia="Times New Roman" w:hAnsi="Arial" w:cs="Arial"/>
          <w:color w:val="000000" w:themeColor="text1"/>
          <w:lang w:val="en-US" w:eastAsia="de-DE"/>
        </w:rPr>
        <w:instrText>and superisometrically with the minimum nutrient quota. The unimodal size scaling of phytoplankton growth arises from ataxonomic, size-dependent trade-off processes related to nutrient requirement, acquisition, and use. The superior ability of intermediate</w:instrText>
      </w:r>
      <w:r>
        <w:rPr>
          <w:rFonts w:ascii="Arial" w:eastAsia="Times New Roman" w:hAnsi="Arial" w:cs="Arial"/>
          <w:color w:val="000000" w:themeColor="text1"/>
          <w:lang w:val="en-US" w:eastAsia="de-DE"/>
        </w:rPr>
        <w:instrText>-size cells to exploit high nutrient concentrations explains their biomass dominance during blooms. Biogeographic patterns in phytoplankton size structure and growth rate are independent of temperature and driven mainly by changes in resource supply.","aut</w:instrText>
      </w:r>
      <w:r>
        <w:rPr>
          <w:rFonts w:ascii="Arial" w:eastAsia="Times New Roman" w:hAnsi="Arial" w:cs="Arial"/>
          <w:color w:val="000000" w:themeColor="text1"/>
          <w:lang w:val="en-US" w:eastAsia="de-DE"/>
        </w:rPr>
        <w:instrText>hor":[{"dropping-particle":"","family":"Marañón","given":"Emilio","non-dropping-particle":"","parse-names":false,"suffix":""}],"container-title":"Annual Review of Marine Science","id":"ITEM-1","issued":{"date-parts":[["2015","1","5"]]},"page":"241-264","pu</w:instrText>
      </w:r>
      <w:r>
        <w:rPr>
          <w:rFonts w:ascii="Arial" w:eastAsia="Times New Roman" w:hAnsi="Arial" w:cs="Arial"/>
          <w:color w:val="000000" w:themeColor="text1"/>
          <w:lang w:val="en-US" w:eastAsia="de-DE"/>
        </w:rPr>
        <w:instrText>blisher":"Annual Reviews","title":"Cell Size as a key determinant of phytoplankton metabolism and community structure","type":"article-journal","volume":"7"},"uris":["http://www.mendeley.com/documents/?uuid=6783e69d-2350-3f78-8ca8-1e97bd8800a7"]},{"id":"IT</w:instrText>
      </w:r>
      <w:r>
        <w:rPr>
          <w:rFonts w:ascii="Arial" w:eastAsia="Times New Roman" w:hAnsi="Arial" w:cs="Arial"/>
          <w:color w:val="000000" w:themeColor="text1"/>
          <w:lang w:val="en-US" w:eastAsia="de-DE"/>
        </w:rPr>
        <w:instrText>EM-2","itemData":{"DOI":"10.1016/j.devcel.2016.09.004","ISSN":"18781551","PMID":"27720611","abstract":"Eukaryotic cells attempt to maintain an optimal size, resulting in size homeostasis. While cellular content scales isometrically with cell size, allometr</w:instrText>
      </w:r>
      <w:r>
        <w:rPr>
          <w:rFonts w:ascii="Arial" w:eastAsia="Times New Roman" w:hAnsi="Arial" w:cs="Arial"/>
          <w:color w:val="000000" w:themeColor="text1"/>
          <w:lang w:val="en-US" w:eastAsia="de-DE"/>
        </w:rPr>
        <w:instrText>ic laws indicate that metabolism per mass unit should decline with increasing size. Here we use elutriation and single-cell flow cytometry to analyze mitochondrial scaling with cell size. While mitochondrial content increases linearly, mitochondrial membra</w:instrText>
      </w:r>
      <w:r>
        <w:rPr>
          <w:rFonts w:ascii="Arial" w:eastAsia="Times New Roman" w:hAnsi="Arial" w:cs="Arial"/>
          <w:color w:val="000000" w:themeColor="text1"/>
          <w:lang w:val="en-US" w:eastAsia="de-DE"/>
        </w:rPr>
        <w:instrText xml:space="preserve">ne potential and oxidative phosphorylation are highest at intermediate cell sizes. Thus, mitochondrial content and functional scaling are uncoupled. The nonlinearity of mitochondrial functionality is cell size, not cell cycle, dependent, and it results in </w:instrText>
      </w:r>
      <w:r>
        <w:rPr>
          <w:rFonts w:ascii="Arial" w:eastAsia="Times New Roman" w:hAnsi="Arial" w:cs="Arial"/>
          <w:color w:val="000000" w:themeColor="text1"/>
          <w:lang w:val="en-US" w:eastAsia="de-DE"/>
        </w:rPr>
        <w:instrText>an optimal cell size whereby cellular fitness and proliferative capacity are maximized. While optimal cell size is controlled by growth factor signaling, its establishment and maintenance requires mitochondrial dynamics, which can be controlled by the meva</w:instrText>
      </w:r>
      <w:r>
        <w:rPr>
          <w:rFonts w:ascii="Arial" w:eastAsia="Times New Roman" w:hAnsi="Arial" w:cs="Arial"/>
          <w:color w:val="000000" w:themeColor="text1"/>
          <w:lang w:val="en-US" w:eastAsia="de-DE"/>
        </w:rPr>
        <w:instrText>lonate pathway. Thus, optimization of cellular fitness and functionality through mitochondria can explain the requirement for size control, as well as provide means for its maintenance.","author":[{"dropping-particle":"","family":"Miettinen","given":"Teemu</w:instrText>
      </w:r>
      <w:r>
        <w:rPr>
          <w:rFonts w:ascii="Arial" w:eastAsia="Times New Roman" w:hAnsi="Arial" w:cs="Arial"/>
          <w:color w:val="000000" w:themeColor="text1"/>
          <w:lang w:val="en-US" w:eastAsia="de-DE"/>
        </w:rPr>
        <w:instrText xml:space="preserve"> P.","non-dropping-particle":"","parse-names":false,"suffix":""},{"dropping-particle":"","family":"Björklund","given":"Mikael","non-dropping-particle":"","parse-names":false,"suffix":""}],"container-title":"Developmental Cell","id":"ITEM-2","issue":"3","is</w:instrText>
      </w:r>
      <w:r>
        <w:rPr>
          <w:rFonts w:ascii="Arial" w:eastAsia="Times New Roman" w:hAnsi="Arial" w:cs="Arial"/>
          <w:color w:val="000000" w:themeColor="text1"/>
          <w:lang w:val="en-US" w:eastAsia="de-DE"/>
        </w:rPr>
        <w:instrText>sued":{"date-parts":[["2016","10"]]},"page":"370-382","publisher":"Elsevier","title":"Cellular Allometry of Mitochondrial Functionality Establishes the Optimal Cell Size","type":"article-journal","volume":"39"},"uris":["http://www.mendeley.com/documents/?u</w:instrText>
      </w:r>
      <w:r>
        <w:rPr>
          <w:rFonts w:ascii="Arial" w:eastAsia="Times New Roman" w:hAnsi="Arial" w:cs="Arial"/>
          <w:color w:val="000000" w:themeColor="text1"/>
          <w:lang w:val="en-US" w:eastAsia="de-DE"/>
        </w:rPr>
        <w:instrText>uid=75e59c85-e191-33bf-8a5f-a87b14fe761a"]},{"id":"ITEM-3","itemData":{"DOI":"10.1111/1365-2435.13986/SUPPINFO","ISSN":"13652435","abstract":"Body size is a decisive functional trait in many organisms, especially for phytoplankton, which span several order</w:instrText>
      </w:r>
      <w:r>
        <w:rPr>
          <w:rFonts w:ascii="Arial" w:eastAsia="Times New Roman" w:hAnsi="Arial" w:cs="Arial"/>
          <w:color w:val="000000" w:themeColor="text1"/>
          <w:lang w:val="en-US" w:eastAsia="de-DE"/>
        </w:rPr>
        <w:instrText xml:space="preserve">s of magnitude in cell volume. Therefore, the analysis of size as a functional trait driving species’ performance has received wide attention in aquatic ecology, amended in recent decades by studies documenting changes in phytoplankton size in response to </w:instrText>
      </w:r>
      <w:r>
        <w:rPr>
          <w:rFonts w:ascii="Arial" w:eastAsia="Times New Roman" w:hAnsi="Arial" w:cs="Arial"/>
          <w:color w:val="000000" w:themeColor="text1"/>
          <w:lang w:val="en-US" w:eastAsia="de-DE"/>
        </w:rPr>
        <w:instrText>abiotic or biotic factors in the environment. We performed a systematic literature review to provide an overarching, partially quantitative synthesis of cell size as a driver and sentinel of phytoplankton ecology. We found consistent and significant allome</w:instrText>
      </w:r>
      <w:r>
        <w:rPr>
          <w:rFonts w:ascii="Arial" w:eastAsia="Times New Roman" w:hAnsi="Arial" w:cs="Arial"/>
          <w:color w:val="000000" w:themeColor="text1"/>
          <w:lang w:val="en-US" w:eastAsia="de-DE"/>
        </w:rPr>
        <w:instrText>tric relationships between cell sizes and the functional performance of phytoplankton species (cellular rates of carbon fixation, respiration and exudation as well as resource affinities, uptake and content). Size scaling became weaker, absent or even nega</w:instrText>
      </w:r>
      <w:r>
        <w:rPr>
          <w:rFonts w:ascii="Arial" w:eastAsia="Times New Roman" w:hAnsi="Arial" w:cs="Arial"/>
          <w:color w:val="000000" w:themeColor="text1"/>
          <w:lang w:val="en-US" w:eastAsia="de-DE"/>
        </w:rPr>
        <w:instrText xml:space="preserve">tive when addressing C- or volume-specific rates or growth. C-specific photosynthesis and population growth rate peaked at intermediate cell sizes around 100 µm3. Additionally, we found a rich literature on sizes changing in response to warming, nutrients </w:instrText>
      </w:r>
      <w:r>
        <w:rPr>
          <w:rFonts w:ascii="Arial" w:eastAsia="Times New Roman" w:hAnsi="Arial" w:cs="Arial"/>
          <w:color w:val="000000" w:themeColor="text1"/>
          <w:lang w:val="en-US" w:eastAsia="de-DE"/>
        </w:rPr>
        <w:instrText xml:space="preserve">and pollutants. Whereas small cells tended to dominate under oligotrophic and warm conditions, there are a few notable exceptions, which indicates that other environmental or biotic constraints alter this general trend. Grazing seems a likely explanation, </w:instrText>
      </w:r>
      <w:r>
        <w:rPr>
          <w:rFonts w:ascii="Arial" w:eastAsia="Times New Roman" w:hAnsi="Arial" w:cs="Arial"/>
          <w:color w:val="000000" w:themeColor="text1"/>
          <w:lang w:val="en-US" w:eastAsia="de-DE"/>
        </w:rPr>
        <w:instrText>which we reviewed to understand both how size affects edibility and how size structure changes in response to grazing. Cell size also predisposes the strength and outcome of competitive interactions between algal species. Finally, we address size in a comm</w:instrText>
      </w:r>
      <w:r>
        <w:rPr>
          <w:rFonts w:ascii="Arial" w:eastAsia="Times New Roman" w:hAnsi="Arial" w:cs="Arial"/>
          <w:color w:val="000000" w:themeColor="text1"/>
          <w:lang w:val="en-US" w:eastAsia="de-DE"/>
        </w:rPr>
        <w:instrText>unity context, where size-abundance scaling describes community composition and thereby the biodiversity in phytoplankton assemblages. We conclude that (a) size is a highly predictive trait for phytoplankton metabolism at the cellular scale, with less stro</w:instrText>
      </w:r>
      <w:r>
        <w:rPr>
          <w:rFonts w:ascii="Arial" w:eastAsia="Times New Roman" w:hAnsi="Arial" w:cs="Arial"/>
          <w:color w:val="000000" w:themeColor="text1"/>
          <w:lang w:val="en-US" w:eastAsia="de-DE"/>
        </w:rPr>
        <w:instrText xml:space="preserve">ng and nonlinear implications for growth and specific metabolism and (b) size structure is a highly suitable sentinel of phytoplankton responses to changing environments. A free Plain Language Summary can be found within the Supporting Information of this </w:instrText>
      </w:r>
      <w:r>
        <w:rPr>
          <w:rFonts w:ascii="Arial" w:eastAsia="Times New Roman" w:hAnsi="Arial" w:cs="Arial"/>
          <w:color w:val="000000" w:themeColor="text1"/>
          <w:lang w:val="en-US" w:eastAsia="de-DE"/>
        </w:rPr>
        <w:instrText>article.","author":[{"dropping-particle":"","family":"Hillebrand","given":"Helmut","non-dropping-particle":"","parse-names":false,"suffix":""},{"dropping-particle":"","family":"Acevedo-Trejos","given":"Esteban","non-dropping-particle":"","parse-names":fals</w:instrText>
      </w:r>
      <w:r>
        <w:rPr>
          <w:rFonts w:ascii="Arial" w:eastAsia="Times New Roman" w:hAnsi="Arial" w:cs="Arial"/>
          <w:color w:val="000000" w:themeColor="text1"/>
          <w:lang w:val="en-US" w:eastAsia="de-DE"/>
        </w:rPr>
        <w:instrText>e,"suffix":""},{"dropping-particle":"","family":"Moorthi","given":"Stefanie D.","non-dropping-particle":"","parse-names":false,"suffix":""},{"dropping-particle":"","family":"Ryabov","given":"Alexey","non-dropping-particle":"","parse-names":false,"suffix":"</w:instrText>
      </w:r>
      <w:r>
        <w:rPr>
          <w:rFonts w:ascii="Arial" w:eastAsia="Times New Roman" w:hAnsi="Arial" w:cs="Arial"/>
          <w:color w:val="000000" w:themeColor="text1"/>
          <w:lang w:val="en-US" w:eastAsia="de-DE"/>
        </w:rPr>
        <w:instrText>"},{"dropping-particle":"","family":"Striebel","given":"Maren","non-dropping-particle":"","parse-names":false,"suffix":""},{"dropping-particle":"","family":"Thomas","given":"Patrick K.","non-dropping-particle":"","parse-names":false,"suffix":""},{"dropping</w:instrText>
      </w:r>
      <w:r>
        <w:rPr>
          <w:rFonts w:ascii="Arial" w:eastAsia="Times New Roman" w:hAnsi="Arial" w:cs="Arial"/>
          <w:color w:val="000000" w:themeColor="text1"/>
          <w:lang w:val="en-US" w:eastAsia="de-DE"/>
        </w:rPr>
        <w:instrText>-particle":"","family":"Schneider","given":"Marie Luise","non-dropping-particle":"","parse-names":false,"suffix":""}],"container-title":"Functional Ecology","id":"ITEM-3","issue":"2","issued":{"date-parts":[["2022","2","1"]]},"page":"276-293","publisher":"</w:instrText>
      </w:r>
      <w:r>
        <w:rPr>
          <w:rFonts w:ascii="Arial" w:eastAsia="Times New Roman" w:hAnsi="Arial" w:cs="Arial"/>
          <w:color w:val="000000" w:themeColor="text1"/>
          <w:lang w:val="en-US" w:eastAsia="de-DE"/>
        </w:rPr>
        <w:instrText>John Wiley and Sons Inc","title":"Cell size as driver and sentinel of phytoplankton community structure and functioning","type":"article-journal","volume":"36"},"uris":["http://www.mendeley.com/documents/?uuid=8bb3bc52-d4ea-3b6d-a183-a1baa44af583"]}],"mend</w:instrText>
      </w:r>
      <w:r>
        <w:rPr>
          <w:rFonts w:ascii="Arial" w:eastAsia="Times New Roman" w:hAnsi="Arial" w:cs="Arial"/>
          <w:color w:val="000000" w:themeColor="text1"/>
          <w:lang w:val="en-US" w:eastAsia="de-DE"/>
        </w:rPr>
        <w:instrText>eley":{"formattedCitation":"&lt;sup&gt;129,156,157&lt;/sup&gt;","plainTextFormattedCitation":"129,156,157","previouslyFormattedCitation":"&lt;sup&gt;129,156,157&lt;/sup&gt;"},"properties":{"noteIndex":0},"schema":"https://github.com/citation-style-language/schema/raw/master/csl-c</w:instrText>
      </w:r>
      <w:r>
        <w:rPr>
          <w:rFonts w:ascii="Arial" w:eastAsia="Times New Roman" w:hAnsi="Arial" w:cs="Arial"/>
          <w:color w:val="000000" w:themeColor="text1"/>
          <w:lang w:val="en-US" w:eastAsia="de-DE"/>
        </w:rPr>
        <w:instrText>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129,156,157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It is therefore not surprising that cells intrinsically maintain their size within a narrow range, which we here refer to as “optimal” cell size range. However, the optimal size range drastically varies across cell types, spec</w:t>
      </w:r>
      <w:r>
        <w:rPr>
          <w:rFonts w:ascii="Arial" w:eastAsia="Times New Roman" w:hAnsi="Arial" w:cs="Arial"/>
          <w:color w:val="000000" w:themeColor="text1"/>
          <w:lang w:val="en-US" w:eastAsia="de-DE"/>
        </w:rPr>
        <w:t>ies, and environmental conditions. To date, what factors dictate the varying optimal cell size across different taxa and cell types remains an enigma. However, due to the different size ranges and different biological functions, it seems unlikely that ther</w:t>
      </w:r>
      <w:r>
        <w:rPr>
          <w:rFonts w:ascii="Arial" w:eastAsia="Times New Roman" w:hAnsi="Arial" w:cs="Arial"/>
          <w:color w:val="000000" w:themeColor="text1"/>
          <w:lang w:val="en-US" w:eastAsia="de-DE"/>
        </w:rPr>
        <w:t>e is a single universal determining factor. For example, a recent analysis of thermal acclimation of phytoplankton suggests that cell size is set by a delicate balance between nutrient uptake, lipid dynamics, protein synthesis, and more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w:instrText>
      </w:r>
      <w:r>
        <w:rPr>
          <w:rFonts w:ascii="Arial" w:eastAsia="Times New Roman" w:hAnsi="Arial" w:cs="Arial"/>
          <w:color w:val="000000" w:themeColor="text1"/>
          <w:lang w:val="en-US" w:eastAsia="de-DE"/>
        </w:rPr>
        <w:instrText>"citationItems":[{"id":"ITEM-1","itemData":{"DOI":"10.1126/SCIADV.ADH8043/SUPPL_FILE/SCIADV.ADH8043_SM.PDF","ISSN":"23752548","PMID":"37656790","abstract":"Phytoplankton are responsible for half of all oxygen production and drive the ocean carbon cycle. Me</w:instrText>
      </w:r>
      <w:r>
        <w:rPr>
          <w:rFonts w:ascii="Arial" w:eastAsia="Times New Roman" w:hAnsi="Arial" w:cs="Arial"/>
          <w:color w:val="000000" w:themeColor="text1"/>
          <w:lang w:val="en-US" w:eastAsia="de-DE"/>
        </w:rPr>
        <w:instrText>tabolic theory predicts that increasing global temperatures will cause phytoplankton to become more heterotrophic and smaller. Here, we uncover the metabolic trade-offs between cellular space, energy, and stress management driving phytoplankton thermal acc</w:instrText>
      </w:r>
      <w:r>
        <w:rPr>
          <w:rFonts w:ascii="Arial" w:eastAsia="Times New Roman" w:hAnsi="Arial" w:cs="Arial"/>
          <w:color w:val="000000" w:themeColor="text1"/>
          <w:lang w:val="en-US" w:eastAsia="de-DE"/>
        </w:rPr>
        <w:instrText>limation and how these might be overcome through evolutionary adaptation. We show that the observed relationships between traits such as chlorophyll, lipid content, C:N, and size can be predicted on the basis of the metabolic demands of the cell, the therm</w:instrText>
      </w:r>
      <w:r>
        <w:rPr>
          <w:rFonts w:ascii="Arial" w:eastAsia="Times New Roman" w:hAnsi="Arial" w:cs="Arial"/>
          <w:color w:val="000000" w:themeColor="text1"/>
          <w:lang w:val="en-US" w:eastAsia="de-DE"/>
        </w:rPr>
        <w:instrText>al dependency of transporters, and changes in membrane lipids. We suggest that many of the observed relationships are not fixed physiological constraints but rather can be altered through adaptation. For example, the evolution of lipid metabolism can favor</w:instrText>
      </w:r>
      <w:r>
        <w:rPr>
          <w:rFonts w:ascii="Arial" w:eastAsia="Times New Roman" w:hAnsi="Arial" w:cs="Arial"/>
          <w:color w:val="000000" w:themeColor="text1"/>
          <w:lang w:val="en-US" w:eastAsia="de-DE"/>
        </w:rPr>
        <w:instrText xml:space="preserve"> larger cells with higher lipid content to mitigate oxidative stress. These results have implications for rates of carbon sequestration and export in a warmer ocean.","author":[{"dropping-particle":"","family":"Leles","given":"Suzana G.","non-dropping-part</w:instrText>
      </w:r>
      <w:r>
        <w:rPr>
          <w:rFonts w:ascii="Arial" w:eastAsia="Times New Roman" w:hAnsi="Arial" w:cs="Arial"/>
          <w:color w:val="000000" w:themeColor="text1"/>
          <w:lang w:val="en-US" w:eastAsia="de-DE"/>
        </w:rPr>
        <w:instrText>icle":"","parse-names":false,"suffix":""},{"dropping-particle":"","family":"Levine","given":"Naomi M.","non-dropping-particle":"","parse-names":false,"suffix":""}],"container-title":"Science Advances","id":"ITEM-1","issue":"35","issued":{"date-parts":[["20</w:instrText>
      </w:r>
      <w:r>
        <w:rPr>
          <w:rFonts w:ascii="Arial" w:eastAsia="Times New Roman" w:hAnsi="Arial" w:cs="Arial"/>
          <w:color w:val="000000" w:themeColor="text1"/>
          <w:lang w:val="en-US" w:eastAsia="de-DE"/>
        </w:rPr>
        <w:instrText>23"]]},"publisher":"American Association for the Advancement of Science","title":"Mechanistic constraints on the trade-off between photosynthesis and respiration in response to warming","type":"article-journal","volume":"9"},"uris":["http://www.mendeley.co</w:instrText>
      </w:r>
      <w:r>
        <w:rPr>
          <w:rFonts w:ascii="Arial" w:eastAsia="Times New Roman" w:hAnsi="Arial" w:cs="Arial"/>
          <w:color w:val="000000" w:themeColor="text1"/>
          <w:lang w:val="en-US" w:eastAsia="de-DE"/>
        </w:rPr>
        <w:instrText>m/documents/?uuid=85842313-264c-3543-8a0b-4aeec5cf15d3"]}],"mendeley":{"formattedCitation":"&lt;sup&gt;159&lt;/sup&gt;","plainTextFormattedCitation":"159","previouslyFormattedCitation":"&lt;sup&gt;159&lt;/sup&gt;"},"properties":{"noteIndex":0},"schema":"https://github.com/citatio</w:instrText>
      </w:r>
      <w:r>
        <w:rPr>
          <w:rFonts w:ascii="Arial" w:eastAsia="Times New Roman" w:hAnsi="Arial" w:cs="Arial"/>
          <w:color w:val="000000" w:themeColor="text1"/>
          <w:lang w:val="en-US" w:eastAsia="de-DE"/>
        </w:rPr>
        <w:instrText>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159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79FCA15D"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In both unicellular and multicellular organisms, recent evidence indicates that relative growth rate, that is growth rate per unit mass, peaks at intermediate cell sizes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w:instrText>
      </w:r>
      <w:r>
        <w:rPr>
          <w:rFonts w:ascii="Arial" w:eastAsia="Times New Roman" w:hAnsi="Arial" w:cs="Arial"/>
          <w:color w:val="000000"/>
          <w:lang w:val="en-US" w:eastAsia="de-DE"/>
        </w:rPr>
        <w:instrText>tionItems":[{"id":"ITEM-1","itemData":{"DOI":"10.1101/gad.1777309","ISBN":"doi:10.1101/gad.1777309","ISSN":"08909369","PMID":"19528319","abstract":"Cell growth is an essential requirement for cell cycle progression. While it is often held that growth is in</w:instrText>
      </w:r>
      <w:r>
        <w:rPr>
          <w:rFonts w:ascii="Arial" w:eastAsia="Times New Roman" w:hAnsi="Arial" w:cs="Arial"/>
          <w:color w:val="000000"/>
          <w:lang w:val="en-US" w:eastAsia="de-DE"/>
        </w:rPr>
        <w:instrText>dependent of cell cycle position, this relationship has not been closely scrutinized. Here we show that in budding yeast, the ability of cells to grow changes during the cell cycle. We find that cell growth is faster in cells arrested in anaphase and G1 th</w:instrText>
      </w:r>
      <w:r>
        <w:rPr>
          <w:rFonts w:ascii="Arial" w:eastAsia="Times New Roman" w:hAnsi="Arial" w:cs="Arial"/>
          <w:color w:val="000000"/>
          <w:lang w:val="en-US" w:eastAsia="de-DE"/>
        </w:rPr>
        <w:instrText xml:space="preserve">an in other cell cycle stages. We demonstrate that the establishment of a polarized actin cytoskeleton-either as a consequence of normal cell division or through activation of the mating pheromone response-potently attenuates protein synthesis and growth. </w:instrText>
      </w:r>
      <w:r>
        <w:rPr>
          <w:rFonts w:ascii="Arial" w:eastAsia="Times New Roman" w:hAnsi="Arial" w:cs="Arial"/>
          <w:color w:val="000000"/>
          <w:lang w:val="en-US" w:eastAsia="de-DE"/>
        </w:rPr>
        <w:instrText>We furthermore show by population and single-cell analysis that growth varies during an unperturbed cell cycle, slowing at the time of polarized growth. Our study uncovers a fundamental relationship whereby cell cycle position regulates growth.","author":[</w:instrText>
      </w:r>
      <w:r>
        <w:rPr>
          <w:rFonts w:ascii="Arial" w:eastAsia="Times New Roman" w:hAnsi="Arial" w:cs="Arial"/>
          <w:color w:val="000000"/>
          <w:lang w:val="en-US" w:eastAsia="de-DE"/>
        </w:rPr>
        <w:instrText>{"dropping-particle":"","family":"Goranov","given":"Alexi I","non-dropping-particle":"","parse-names":false,"suffix":""},{"dropping-particle":"","family":"Cook","given":"Michael","non-dropping-particle":"","parse-names":false,"suffix":""},{"dropping-partic</w:instrText>
      </w:r>
      <w:r>
        <w:rPr>
          <w:rFonts w:ascii="Arial" w:eastAsia="Times New Roman" w:hAnsi="Arial" w:cs="Arial"/>
          <w:color w:val="000000"/>
          <w:lang w:val="en-US" w:eastAsia="de-DE"/>
        </w:rPr>
        <w:instrText>le":"","family":"Ricicova","given":"Marketa","non-dropping-particle":"","parse-names":false,"suffix":""},{"dropping-particle":"","family":"Ben-Ari","given":"Giora","non-dropping-particle":"","parse-names":false,"suffix":""},{"dropping-particle":"","family"</w:instrText>
      </w:r>
      <w:r>
        <w:rPr>
          <w:rFonts w:ascii="Arial" w:eastAsia="Times New Roman" w:hAnsi="Arial" w:cs="Arial"/>
          <w:color w:val="000000"/>
          <w:lang w:val="en-US" w:eastAsia="de-DE"/>
        </w:rPr>
        <w:instrText>:"Gonzalez","given":"Christian","non-dropping-particle":"","parse-names":false,"suffix":""},{"dropping-particle":"","family":"Hansen","given":"Carl","non-dropping-particle":"","parse-names":false,"suffix":""},{"dropping-particle":"","family":"Tyers","given</w:instrText>
      </w:r>
      <w:r>
        <w:rPr>
          <w:rFonts w:ascii="Arial" w:eastAsia="Times New Roman" w:hAnsi="Arial" w:cs="Arial"/>
          <w:color w:val="000000"/>
          <w:lang w:val="en-US" w:eastAsia="de-DE"/>
        </w:rPr>
        <w:instrText>":"Mike","non-dropping-particle":"","parse-names":false,"suffix":""},{"dropping-particle":"","family":"Amon","given":"Angelika","non-dropping-particle":"","parse-names":false,"suffix":""}],"container-title":"Genes and Development","id":"ITEM-1","issue":"12</w:instrText>
      </w:r>
      <w:r>
        <w:rPr>
          <w:rFonts w:ascii="Arial" w:eastAsia="Times New Roman" w:hAnsi="Arial" w:cs="Arial"/>
          <w:color w:val="000000"/>
          <w:lang w:val="en-US" w:eastAsia="de-DE"/>
        </w:rPr>
        <w:instrText>","issued":{"date-parts":[["2009"]]},"page":"1408-1422","title":"The rate of cell growth is governed by cell cycle stage","type":"article-journal","volume":"23"},"uris":["http://www.mendeley.com/documents/?uuid=e2fdeda9-fcf0-48aa-afeb-038ed921e924"]},{"id"</w:instrText>
      </w:r>
      <w:r>
        <w:rPr>
          <w:rFonts w:ascii="Arial" w:eastAsia="Times New Roman" w:hAnsi="Arial" w:cs="Arial"/>
          <w:color w:val="000000"/>
          <w:lang w:val="en-US" w:eastAsia="de-DE"/>
        </w:rPr>
        <w:instrText xml:space="preserve">:"ITEM-2","itemData":{"DOI":"10.1038/nmeth.2133","PMID":"22863882","abstract":"We introduce a microfluidic system for simultaneously measuring single-cell mass and cell cycle progression over multiple generations. We use this system to obtain over 1,000 h </w:instrText>
      </w:r>
      <w:r>
        <w:rPr>
          <w:rFonts w:ascii="Arial" w:eastAsia="Times New Roman" w:hAnsi="Arial" w:cs="Arial"/>
          <w:color w:val="000000"/>
          <w:lang w:val="en-US" w:eastAsia="de-DE"/>
        </w:rPr>
        <w:instrText>of growth data from mouse lymphoblast and pro-B-cell lymphoid cell lines. Cell lineage analysis revealed a decrease in the growth rate variability at the G1-S phase transition, which suggests the presence of a growth rate threshold for maintaining size hom</w:instrText>
      </w:r>
      <w:r>
        <w:rPr>
          <w:rFonts w:ascii="Arial" w:eastAsia="Times New Roman" w:hAnsi="Arial" w:cs="Arial"/>
          <w:color w:val="000000"/>
          <w:lang w:val="en-US" w:eastAsia="de-DE"/>
        </w:rPr>
        <w:instrText>eostasis.","author":[{"dropping-particle":"","family":"Son","given":"Sungmin","non-dropping-particle":"","parse-names":false,"suffix":""},{"dropping-particle":"","family":"Tzur","given":"Amit","non-dropping-particle":"","parse-names":false,"suffix":""},{"d</w:instrText>
      </w:r>
      <w:r>
        <w:rPr>
          <w:rFonts w:ascii="Arial" w:eastAsia="Times New Roman" w:hAnsi="Arial" w:cs="Arial"/>
          <w:color w:val="000000"/>
          <w:lang w:val="en-US" w:eastAsia="de-DE"/>
        </w:rPr>
        <w:instrText>ropping-particle":"","family":"Weng","given":"Yaochung","non-dropping-particle":"","parse-names":false,"suffix":""},{"dropping-particle":"","family":"Jorgensen","given":"Paul","non-dropping-particle":"","parse-names":false,"suffix":""},{"dropping-particle"</w:instrText>
      </w:r>
      <w:r>
        <w:rPr>
          <w:rFonts w:ascii="Arial" w:eastAsia="Times New Roman" w:hAnsi="Arial" w:cs="Arial"/>
          <w:color w:val="000000"/>
          <w:lang w:val="en-US" w:eastAsia="de-DE"/>
        </w:rPr>
        <w:instrText>:"","family":"Kim","given":"Jisoo","non-dropping-particle":"","parse-names":false,"suffix":""},{"dropping-particle":"","family":"Kirschner","given":"Marc W","non-dropping-particle":"","parse-names":false,"suffix":""},{"dropping-particle":"","family":"Manal</w:instrText>
      </w:r>
      <w:r>
        <w:rPr>
          <w:rFonts w:ascii="Arial" w:eastAsia="Times New Roman" w:hAnsi="Arial" w:cs="Arial"/>
          <w:color w:val="000000"/>
          <w:lang w:val="en-US" w:eastAsia="de-DE"/>
        </w:rPr>
        <w:instrText>is","given":"Scott R","non-dropping-particle":"","parse-names":false,"suffix":""}],"container-title":"Nature methods","id":"ITEM-2","issue":"9","issued":{"date-parts":[["2012","9"]]},"page":"910-2","title":"Direct observation of mammalian cell growth and s</w:instrText>
      </w:r>
      <w:r>
        <w:rPr>
          <w:rFonts w:ascii="Arial" w:eastAsia="Times New Roman" w:hAnsi="Arial" w:cs="Arial"/>
          <w:color w:val="000000"/>
          <w:lang w:val="en-US" w:eastAsia="de-DE"/>
        </w:rPr>
        <w:instrText xml:space="preserve">ize regulation.","type":"article-journal","volume":"9"},"uris":["http://www.mendeley.com/documents/?uuid=49a71388-df19-4ad0-9893-aca42ebeb822"]},{"id":"ITEM-3","itemData":{"DOI":"10.1002/BIES.201700058","ISSN":"1521-1878","PMID":"28752618","abstract":"The </w:instrText>
      </w:r>
      <w:r>
        <w:rPr>
          <w:rFonts w:ascii="Arial" w:eastAsia="Times New Roman" w:hAnsi="Arial" w:cs="Arial"/>
          <w:color w:val="000000"/>
          <w:lang w:val="en-US" w:eastAsia="de-DE"/>
        </w:rPr>
        <w:instrText>maintenance of cell size homeostasis has been studied for years in different cellular systems. With the focus on ‘what regulates cell size’, the question ‘why cell size needs to be maintained’ has been largely overlooked. Recent evidence indicates that ani</w:instrText>
      </w:r>
      <w:r>
        <w:rPr>
          <w:rFonts w:ascii="Arial" w:eastAsia="Times New Roman" w:hAnsi="Arial" w:cs="Arial"/>
          <w:color w:val="000000"/>
          <w:lang w:val="en-US" w:eastAsia="de-DE"/>
        </w:rPr>
        <w:instrText xml:space="preserve">mal cells exhibit nonlinear cell size dependent growth rates and mitochondrial metabolism, which are maximal in intermediate sized cells within each cell population. Increases in intracellular distances and changes in the relative cell surface area impose </w:instrText>
      </w:r>
      <w:r>
        <w:rPr>
          <w:rFonts w:ascii="Arial" w:eastAsia="Times New Roman" w:hAnsi="Arial" w:cs="Arial"/>
          <w:color w:val="000000"/>
          <w:lang w:val="en-US" w:eastAsia="de-DE"/>
        </w:rPr>
        <w:instrText>biophysical limitations on cells, which can explain why growth and metabolic rates are maximal in a specific cell size range. Consistently, aberrant increases in cell size, for example through polyploidy, are typically disadvantageous to cellular metabolis</w:instrText>
      </w:r>
      <w:r>
        <w:rPr>
          <w:rFonts w:ascii="Arial" w:eastAsia="Times New Roman" w:hAnsi="Arial" w:cs="Arial"/>
          <w:color w:val="000000"/>
          <w:lang w:val="en-US" w:eastAsia="de-DE"/>
        </w:rPr>
        <w:instrText>m, fitness and functionality. Accordingly, cellular hypertrophy can potentially predispose to or worsen metabolic diseases. We propose that cell size control may have emerged as a guardian of cellular fitness and metabolic activity.","author":[{"dropping-p</w:instrText>
      </w:r>
      <w:r>
        <w:rPr>
          <w:rFonts w:ascii="Arial" w:eastAsia="Times New Roman" w:hAnsi="Arial" w:cs="Arial"/>
          <w:color w:val="000000"/>
          <w:lang w:val="en-US" w:eastAsia="de-DE"/>
        </w:rPr>
        <w:instrText>article":"","family":"Miettinen","given":"Teemu P.","non-dropping-particle":"","parse-names":false,"suffix":""},{"dropping-particle":"","family":"Caldez","given":"Matias J.","non-dropping-particle":"","parse-names":false,"suffix":""},{"dropping-particle":"</w:instrText>
      </w:r>
      <w:r>
        <w:rPr>
          <w:rFonts w:ascii="Arial" w:eastAsia="Times New Roman" w:hAnsi="Arial" w:cs="Arial"/>
          <w:color w:val="000000"/>
          <w:lang w:val="en-US" w:eastAsia="de-DE"/>
        </w:rPr>
        <w:instrText>","family":"Kaldis","given":"Philipp","non-dropping-particle":"","parse-names":false,"suffix":""},{"dropping-particle":"","family":"Björklund","given":"Mikael","non-dropping-particle":"","parse-names":false,"suffix":""}],"container-title":"BioEssays","id":</w:instrText>
      </w:r>
      <w:r>
        <w:rPr>
          <w:rFonts w:ascii="Arial" w:eastAsia="Times New Roman" w:hAnsi="Arial" w:cs="Arial"/>
          <w:color w:val="000000"/>
          <w:lang w:val="en-US" w:eastAsia="de-DE"/>
        </w:rPr>
        <w:instrText>"ITEM-3","issue":"9","issued":{"date-parts":[["2017","9","1"]]},"page":"1700058","publisher":"John Wiley &amp; Sons, Ltd","title":"Cell size control – a mechanism for maintaining fitness and function","type":"article-journal","volume":"39"},"uris":["http://www</w:instrText>
      </w:r>
      <w:r>
        <w:rPr>
          <w:rFonts w:ascii="Arial" w:eastAsia="Times New Roman" w:hAnsi="Arial" w:cs="Arial"/>
          <w:color w:val="000000"/>
          <w:lang w:val="en-US" w:eastAsia="de-DE"/>
        </w:rPr>
        <w:instrText xml:space="preserve">.mendeley.com/documents/?uuid=15d05fa2-70ee-36e4-9719-6f1fee9371d5"]},{"id":"ITEM-4","itemData":{"DOI":"10.1016/j.cub.2017.08.015","ISSN":"09609822","PMID":"28889980","abstract":"Although it has long been clear that cells actively regulate their size, the </w:instrText>
      </w:r>
      <w:r>
        <w:rPr>
          <w:rFonts w:ascii="Arial" w:eastAsia="Times New Roman" w:hAnsi="Arial" w:cs="Arial"/>
          <w:color w:val="000000"/>
          <w:lang w:val="en-US" w:eastAsia="de-DE"/>
        </w:rPr>
        <w:instrText>molecular mechanisms underlying this regulation have remained poorly understood. In budding yeast, cell size primarily modulates the duration of the cell-division cycle by controlling the G1/S transition known as Start. We have recently shown that the rate</w:instrText>
      </w:r>
      <w:r>
        <w:rPr>
          <w:rFonts w:ascii="Arial" w:eastAsia="Times New Roman" w:hAnsi="Arial" w:cs="Arial"/>
          <w:color w:val="000000"/>
          <w:lang w:val="en-US" w:eastAsia="de-DE"/>
        </w:rPr>
        <w:instrText xml:space="preserve"> of progression through Start increases with cell size, because cell growth dilutes the cell-cycle inhibitor Whi5 in G1. Recent phenomenological studies in yeast and bacteria have shown that these cells add an approximately constant volume during each comp</w:instrText>
      </w:r>
      <w:r>
        <w:rPr>
          <w:rFonts w:ascii="Arial" w:eastAsia="Times New Roman" w:hAnsi="Arial" w:cs="Arial"/>
          <w:color w:val="000000"/>
          <w:lang w:val="en-US" w:eastAsia="de-DE"/>
        </w:rPr>
        <w:instrText>lete cell cycle, independent of their size at birth. These results seem to be in conflict, as the phenomenological studies suggest that cells measure the amount they grow, rather than their size, and that size control acts over the whole cell cycle, rather</w:instrText>
      </w:r>
      <w:r>
        <w:rPr>
          <w:rFonts w:ascii="Arial" w:eastAsia="Times New Roman" w:hAnsi="Arial" w:cs="Arial"/>
          <w:color w:val="000000"/>
          <w:lang w:val="en-US" w:eastAsia="de-DE"/>
        </w:rPr>
        <w:instrText xml:space="preserve"> than specifically in G1. Here, we propose an integrated model that unifies the adder phenomenology with the molecular mechanism of G1/S cell-size control. We use single-cell microscopy to parameterize a full cell-cycle model based on independent control o</w:instrText>
      </w:r>
      <w:r>
        <w:rPr>
          <w:rFonts w:ascii="Arial" w:eastAsia="Times New Roman" w:hAnsi="Arial" w:cs="Arial"/>
          <w:color w:val="000000"/>
          <w:lang w:val="en-US" w:eastAsia="de-DE"/>
        </w:rPr>
        <w:instrText>f pre- and post-Start cell-cycle periods. We find that our model predicts the size-independent amount of cell growth during the full cell cycle. This suggests that the adder phenomenon is an emergent property of the independent regulation of pre- and post-</w:instrText>
      </w:r>
      <w:r>
        <w:rPr>
          <w:rFonts w:ascii="Arial" w:eastAsia="Times New Roman" w:hAnsi="Arial" w:cs="Arial"/>
          <w:color w:val="000000"/>
          <w:lang w:val="en-US" w:eastAsia="de-DE"/>
        </w:rPr>
        <w:instrText>Start cell-cycle periods rather than the consequence of an underlying molecular mechanism measuring a fixed amount of growth. Budding yeast daughter, but not mother, cells grow a size-independent amount in their cell cycle, known as the adder. Chandler-Bro</w:instrText>
      </w:r>
      <w:r>
        <w:rPr>
          <w:rFonts w:ascii="Arial" w:eastAsia="Times New Roman" w:hAnsi="Arial" w:cs="Arial"/>
          <w:color w:val="000000"/>
          <w:lang w:val="en-US" w:eastAsia="de-DE"/>
        </w:rPr>
        <w:instrText>wn, Schmoller, et al. show that the adder arises from independent regulation of the pre- and post-Start cell cycle rather than from a molecular adder mechanism. Accordingly, mutations of G1/S regulators disrupt the adder.","author":[{"dropping-particle":""</w:instrText>
      </w:r>
      <w:r>
        <w:rPr>
          <w:rFonts w:ascii="Arial" w:eastAsia="Times New Roman" w:hAnsi="Arial" w:cs="Arial"/>
          <w:color w:val="000000"/>
          <w:lang w:val="en-US" w:eastAsia="de-DE"/>
        </w:rPr>
        <w:instrText>,"family":"Chandler-Brown","given":"Devon","non-dropping-particle":"","parse-names":false,"suffix":""},{"dropping-particle":"","family":"Schmoller","given":"Kurt M.","non-dropping-particle":"","parse-names":false,"suffix":""},{"dropping-particle":"","famil</w:instrText>
      </w:r>
      <w:r>
        <w:rPr>
          <w:rFonts w:ascii="Arial" w:eastAsia="Times New Roman" w:hAnsi="Arial" w:cs="Arial"/>
          <w:color w:val="000000"/>
          <w:lang w:val="en-US" w:eastAsia="de-DE"/>
        </w:rPr>
        <w:instrText>y":"Winetraub","given":"Yonatan","non-dropping-particle":"","parse-names":false,"suffix":""},{"dropping-particle":"","family":"Skotheim","given":"Jan M.","non-dropping-particle":"","parse-names":false,"suffix":""}],"container-title":"Current Biology","id":</w:instrText>
      </w:r>
      <w:r>
        <w:rPr>
          <w:rFonts w:ascii="Arial" w:eastAsia="Times New Roman" w:hAnsi="Arial" w:cs="Arial"/>
          <w:color w:val="000000"/>
          <w:lang w:val="en-US" w:eastAsia="de-DE"/>
        </w:rPr>
        <w:instrText>"ITEM-4","issue":"18","issued":{"date-parts":[["2017"]]},"page":"2774-2783.e3","title":"The Adder Phenomenon Emerges from Independent Control of Pre- and Post-Start Phases of the Budding Yeast Cell Cycle","type":"article-journal","volume":"27"},"uris":["ht</w:instrText>
      </w:r>
      <w:r>
        <w:rPr>
          <w:rFonts w:ascii="Arial" w:eastAsia="Times New Roman" w:hAnsi="Arial" w:cs="Arial"/>
          <w:color w:val="000000"/>
          <w:lang w:val="en-US" w:eastAsia="de-DE"/>
        </w:rPr>
        <w:instrText>tp://www.mendeley.com/documents/?uuid=a41ea316-44af-44d7-b0fe-2d527534b8af"]},{"id":"ITEM-5","itemData":{"DOI":"10.7554/ELIFE.70816","ISSN":"2050084X","PMID":"35088713","abstract":"The way proliferating animal cells coordinate the growth of their mass, vol</w:instrText>
      </w:r>
      <w:r>
        <w:rPr>
          <w:rFonts w:ascii="Arial" w:eastAsia="Times New Roman" w:hAnsi="Arial" w:cs="Arial"/>
          <w:color w:val="000000"/>
          <w:lang w:val="en-US" w:eastAsia="de-DE"/>
        </w:rPr>
        <w:instrText>ume, and other relevant size parameters is a long-standing question in biology. Studies focusing on cell mass have identified patterns of mass growth as a function of time and cell cycle phase, but little is known about volume growth. To address this quest</w:instrText>
      </w:r>
      <w:r>
        <w:rPr>
          <w:rFonts w:ascii="Arial" w:eastAsia="Times New Roman" w:hAnsi="Arial" w:cs="Arial"/>
          <w:color w:val="000000"/>
          <w:lang w:val="en-US" w:eastAsia="de-DE"/>
        </w:rPr>
        <w:instrText>ion, we improved our fluorescence exclusion method of volume measurement (FXm) and obtained 1700 single-cell volume growth trajectories of HeLa cells. We find that, during most of the cell cycle, volume growth is close to exponential and proceeds at a high</w:instrText>
      </w:r>
      <w:r>
        <w:rPr>
          <w:rFonts w:ascii="Arial" w:eastAsia="Times New Roman" w:hAnsi="Arial" w:cs="Arial"/>
          <w:color w:val="000000"/>
          <w:lang w:val="en-US" w:eastAsia="de-DE"/>
        </w:rPr>
        <w:instrText>er rate in S-G2 than in G1. Comparing the data with a mathematical model, we establish that the cell-to-cell variability in volume growth arises from constant-amplitude fluctuations in volume steps rather than fluctuations of the underlying specific growth</w:instrText>
      </w:r>
      <w:r>
        <w:rPr>
          <w:rFonts w:ascii="Arial" w:eastAsia="Times New Roman" w:hAnsi="Arial" w:cs="Arial"/>
          <w:color w:val="000000"/>
          <w:lang w:val="en-US" w:eastAsia="de-DE"/>
        </w:rPr>
        <w:instrText xml:space="preserve"> rate. We hypothesize that such ‘addi-tive noise’ could emerge from the processes that regulate volume adaptation to biophysical cues, such as tension or osmotic pressure.","author":[{"dropping-particle":"","family":"Cadart","given":"Clotilde","non-droppin</w:instrText>
      </w:r>
      <w:r>
        <w:rPr>
          <w:rFonts w:ascii="Arial" w:eastAsia="Times New Roman" w:hAnsi="Arial" w:cs="Arial"/>
          <w:color w:val="000000"/>
          <w:lang w:val="en-US" w:eastAsia="de-DE"/>
        </w:rPr>
        <w:instrText>g-particle":"","parse-names":false,"suffix":""},{"dropping-particle":"","family":"Venkova","given":"Larisa","non-dropping-particle":"","parse-names":false,"suffix":""},{"dropping-particle":"","family":"Piel","given":"Matthieu","non-dropping-particle":"","p</w:instrText>
      </w:r>
      <w:r>
        <w:rPr>
          <w:rFonts w:ascii="Arial" w:eastAsia="Times New Roman" w:hAnsi="Arial" w:cs="Arial"/>
          <w:color w:val="000000"/>
          <w:lang w:val="en-US" w:eastAsia="de-DE"/>
        </w:rPr>
        <w:instrText>arse-names":false,"suffix":""},{"dropping-particle":"","family":"Cosentino Lagomarsino","given":"Marco","non-dropping-particle":"","parse-names":false,"suffix":""}],"container-title":"eLife","id":"ITEM-5","issued":{"date-parts":[["2022","1","1"]]},"publish</w:instrText>
      </w:r>
      <w:r>
        <w:rPr>
          <w:rFonts w:ascii="Arial" w:eastAsia="Times New Roman" w:hAnsi="Arial" w:cs="Arial"/>
          <w:color w:val="000000"/>
          <w:lang w:val="en-US" w:eastAsia="de-DE"/>
        </w:rPr>
        <w:instrText>er":"eLife Sciences Publications Ltd","title":"Volume growth in animal cells is cell cycle dependent and shows additive fluctuations","type":"article-journal","volume":"11"},"uris":["http://www.mendeley.com/documents/?uuid=f6ca1a1c-b312-366b-a435-83dc4e4ca</w:instrText>
      </w:r>
      <w:r>
        <w:rPr>
          <w:rFonts w:ascii="Arial" w:eastAsia="Times New Roman" w:hAnsi="Arial" w:cs="Arial"/>
          <w:color w:val="000000"/>
          <w:lang w:val="en-US" w:eastAsia="de-DE"/>
        </w:rPr>
        <w:instrText>1de"]},{"id":"ITEM-6","itemData":{"DOI":"10.1101/2022.11.08.515578","abstract":"Cell size and growth are intimately related across the evolutionary scale, and the molecular pathways underlying cell size homeostasis have received much attention over the las</w:instrText>
      </w:r>
      <w:r>
        <w:rPr>
          <w:rFonts w:ascii="Arial" w:eastAsia="Times New Roman" w:hAnsi="Arial" w:cs="Arial"/>
          <w:color w:val="000000"/>
          <w:lang w:val="en-US" w:eastAsia="de-DE"/>
        </w:rPr>
        <w:instrText>t decades. However, whether cell size is important to attain maximal growth or fitness is still an open question, and the reasons why a critical size is needed for triggering key transitions of the cell cycle are unknown. We show that growth is a non-monot</w:instrText>
      </w:r>
      <w:r>
        <w:rPr>
          <w:rFonts w:ascii="Arial" w:eastAsia="Times New Roman" w:hAnsi="Arial" w:cs="Arial"/>
          <w:color w:val="000000"/>
          <w:lang w:val="en-US" w:eastAsia="de-DE"/>
        </w:rPr>
        <w:instrText>onic function of volume in yeast cells, with maximal values around the critical size. Comparing small to normal, large and outsized cells, the transcriptome undergoes an extensive inversion that correlates with RNA polymerase II occupancy. Accordingly, hig</w:instrText>
      </w:r>
      <w:r>
        <w:rPr>
          <w:rFonts w:ascii="Arial" w:eastAsia="Times New Roman" w:hAnsi="Arial" w:cs="Arial"/>
          <w:color w:val="000000"/>
          <w:lang w:val="en-US" w:eastAsia="de-DE"/>
        </w:rPr>
        <w:instrText xml:space="preserve">hly expressed genes impose strong negative effects on growth when their DNA/mass ratio is altered. A similar transcriptomic inversion is displayed by mouse liver cells of different sizes, suggesting that the uncovered mechanistic implications of cell size </w:instrText>
      </w:r>
      <w:r>
        <w:rPr>
          <w:rFonts w:ascii="Arial" w:eastAsia="Times New Roman" w:hAnsi="Arial" w:cs="Arial"/>
          <w:color w:val="000000"/>
          <w:lang w:val="en-US" w:eastAsia="de-DE"/>
        </w:rPr>
        <w:instrText>on growth and fitness are universal. We propose that cell size is set to attain a properly balanced transcriptome and, hence, maximize growth during cell proliferation.","author":[{"dropping-particle":"","family":"Vidal","given":"Pedro J.","non-dropping-pa</w:instrText>
      </w:r>
      <w:r>
        <w:rPr>
          <w:rFonts w:ascii="Arial" w:eastAsia="Times New Roman" w:hAnsi="Arial" w:cs="Arial"/>
          <w:color w:val="000000"/>
          <w:lang w:val="en-US" w:eastAsia="de-DE"/>
        </w:rPr>
        <w:instrText>rticle":"","parse-names":false,"suffix":""},{"dropping-particle":"","family":"Pérez","given":"Alexis P.","non-dropping-particle":"","parse-names":false,"suffix":""},{"dropping-particle":"","family":"Aldea","given":"Martí","non-dropping-particle":"","parse-</w:instrText>
      </w:r>
      <w:r>
        <w:rPr>
          <w:rFonts w:ascii="Arial" w:eastAsia="Times New Roman" w:hAnsi="Arial" w:cs="Arial"/>
          <w:color w:val="000000"/>
          <w:lang w:val="en-US" w:eastAsia="de-DE"/>
        </w:rPr>
        <w:instrText>names":false,"suffix":""}],"container-title":"bioRxiv","id":"ITEM-6","issued":{"date-parts":[["2022","11","8"]]},"page":"2022.11.08.515578","publisher":"Cold Spring Harbor Laboratory","title":"Transcriptomic balance and optimal growth are determined by cel</w:instrText>
      </w:r>
      <w:r>
        <w:rPr>
          <w:rFonts w:ascii="Arial" w:eastAsia="Times New Roman" w:hAnsi="Arial" w:cs="Arial"/>
          <w:color w:val="000000"/>
          <w:lang w:val="en-US" w:eastAsia="de-DE"/>
        </w:rPr>
        <w:instrText>l size","type":"article-journal"},"uris":["http://www.mendeley.com/documents/?uuid=38249e79-81ec-334f-97c0-06ab176b0378"]}],"mendeley":{"formattedCitation":"&lt;sup&gt;160–165&lt;/sup&gt;","plainTextFormattedCitation":"160–165","previouslyFormattedCitation":"&lt;sup&gt;160–</w:instrText>
      </w:r>
      <w:r>
        <w:rPr>
          <w:rFonts w:ascii="Arial" w:eastAsia="Times New Roman" w:hAnsi="Arial" w:cs="Arial"/>
          <w:color w:val="000000"/>
          <w:lang w:val="en-US" w:eastAsia="de-DE"/>
        </w:rPr>
        <w:instrText>165&lt;/sup&gt;"},"properties":{"noteIndex":0},"schema":"https://github.com/citation-style-language/schema/raw/master/csl-citation.json"}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160–165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decline of growth rate in exceedingly large cells has been attributed to DNA becoming limiting and consequent</w:t>
      </w:r>
      <w:r>
        <w:rPr>
          <w:rFonts w:ascii="Arial" w:eastAsia="Times New Roman" w:hAnsi="Arial" w:cs="Arial"/>
          <w:color w:val="000000"/>
          <w:lang w:val="en-US" w:eastAsia="de-DE"/>
        </w:rPr>
        <w:t>ial cytoplasm dilution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{"citationItems":[{"id":"ITEM-1","itemData":{"DOI":"10.1016/j.cub.2010.10.002","ISBN":"1879-0445 (Electronic)\\r0960-9822 (Linking)","ISSN":"09609822","PMID":"20970341","abstract":"Although much is known about the r</w:instrText>
      </w:r>
      <w:r>
        <w:rPr>
          <w:rFonts w:ascii="Arial" w:eastAsia="Times New Roman" w:hAnsi="Arial" w:cs="Arial"/>
          <w:color w:val="000000"/>
          <w:lang w:val="en-US" w:eastAsia="de-DE"/>
        </w:rPr>
        <w:instrText>egulation of gene transcription in eukaryotes, it is not clear whether cells have global controls that determine overall rates of transcription. We have investigated the effects that the DNA-to-protein ratio has on both total transcription and the transcri</w:instrText>
      </w:r>
      <w:r>
        <w:rPr>
          <w:rFonts w:ascii="Arial" w:eastAsia="Times New Roman" w:hAnsi="Arial" w:cs="Arial"/>
          <w:color w:val="000000"/>
          <w:lang w:val="en-US" w:eastAsia="de-DE"/>
        </w:rPr>
        <w:instrText>ption of individual genes in the unicellular eukaryote fission yeast. Mutants altered in cell size and those blocked in cell-cycle progression were used to vary the DNA-to-protein ratio over a 5-fold range. We found that cells of sizes within 2-fold of the</w:instrText>
      </w:r>
      <w:r>
        <w:rPr>
          <w:rFonts w:ascii="Arial" w:eastAsia="Times New Roman" w:hAnsi="Arial" w:cs="Arial"/>
          <w:color w:val="000000"/>
          <w:lang w:val="en-US" w:eastAsia="de-DE"/>
        </w:rPr>
        <w:instrText xml:space="preserve"> wild-type value regulated global transcription to maintain similar transcription rates per protein regardless of the cellular DNA content. These changes in total transcription correlated with coordinated changes in gene occupancy by RNA polymerase II. In </w:instrText>
      </w:r>
      <w:r>
        <w:rPr>
          <w:rFonts w:ascii="Arial" w:eastAsia="Times New Roman" w:hAnsi="Arial" w:cs="Arial"/>
          <w:color w:val="000000"/>
          <w:lang w:val="en-US" w:eastAsia="de-DE"/>
        </w:rPr>
        <w:instrText xml:space="preserve">cell-cycle-arrested mutants exceeding a certain size, total transcription rates plateaued as DNA became limiting for transcription at low DNA-to-protein ratios [1]. Unexpectedly, expression levels of individual genes remained tightly coordinated with each </w:instrText>
      </w:r>
      <w:r>
        <w:rPr>
          <w:rFonts w:ascii="Arial" w:eastAsia="Times New Roman" w:hAnsi="Arial" w:cs="Arial"/>
          <w:color w:val="000000"/>
          <w:lang w:val="en-US" w:eastAsia="de-DE"/>
        </w:rPr>
        <w:instrText>other over the entire range of cell sizes. We propose that there is a coordinated, global control that determines the rate of transcription of most genes and that this control plays a role in regulating growth rate of the cell. © 2010 Elsevier Ltd All righ</w:instrText>
      </w:r>
      <w:r>
        <w:rPr>
          <w:rFonts w:ascii="Arial" w:eastAsia="Times New Roman" w:hAnsi="Arial" w:cs="Arial"/>
          <w:color w:val="000000"/>
          <w:lang w:val="en-US" w:eastAsia="de-DE"/>
        </w:rPr>
        <w:instrText>ts reserved.","author":[{"dropping-particle":"","family":"Zhurinsky","given":"Jacob","non-dropping-particle":"","parse-names":false,"suffix":""},{"dropping-particle":"","family":"Leonhard","given":"Klaus","non-dropping-particle":"","parse-names":false,"suf</w:instrText>
      </w:r>
      <w:r>
        <w:rPr>
          <w:rFonts w:ascii="Arial" w:eastAsia="Times New Roman" w:hAnsi="Arial" w:cs="Arial"/>
          <w:color w:val="000000"/>
          <w:lang w:val="en-US" w:eastAsia="de-DE"/>
        </w:rPr>
        <w:instrText>fix":""},{"dropping-particle":"","family":"Watt","given":"Stephen","non-dropping-particle":"","parse-names":false,"suffix":""},{"dropping-particle":"","family":"Marguerat","given":"Samuel","non-dropping-particle":"","parse-names":false,"suffix":""},{"dropp</w:instrText>
      </w:r>
      <w:r>
        <w:rPr>
          <w:rFonts w:ascii="Arial" w:eastAsia="Times New Roman" w:hAnsi="Arial" w:cs="Arial"/>
          <w:color w:val="000000"/>
          <w:lang w:val="en-US" w:eastAsia="de-DE"/>
        </w:rPr>
        <w:instrText>ing-particle":"","family":"Bähler","given":"Jürg","non-dropping-particle":"","parse-names":false,"suffix":""},{"dropping-particle":"","family":"Nurse","given":"Paul","non-dropping-particle":"","parse-names":false,"suffix":""}],"container-title":"Current Bi</w:instrText>
      </w:r>
      <w:r>
        <w:rPr>
          <w:rFonts w:ascii="Arial" w:eastAsia="Times New Roman" w:hAnsi="Arial" w:cs="Arial"/>
          <w:color w:val="000000"/>
          <w:lang w:val="en-US" w:eastAsia="de-DE"/>
        </w:rPr>
        <w:instrText>ology","id":"ITEM-1","issue":"22","issued":{"date-parts":[["2010"]]},"page":"2010-2015","title":"A coordinated global control over cellular transcription","type":"article-journal","volume":"20"},"uris":["http://www.mendeley.com/documents/?uuid=adce00d7-4d1</w:instrText>
      </w:r>
      <w:r>
        <w:rPr>
          <w:rFonts w:ascii="Arial" w:eastAsia="Times New Roman" w:hAnsi="Arial" w:cs="Arial"/>
          <w:color w:val="000000"/>
          <w:lang w:val="en-US" w:eastAsia="de-DE"/>
        </w:rPr>
        <w:instrText>7-4290-bb17-7de651ab16fa"]},{"id":"ITEM-2","itemData":{"DOI":"10.1016/J.CELL.2019.01.018","ISSN":"0092-8674","abstract":"Cell size varies greatly between cell types, yet within a specific cell type and growth condition, cell size is narrowly distributed. W</w:instrText>
      </w:r>
      <w:r>
        <w:rPr>
          <w:rFonts w:ascii="Arial" w:eastAsia="Times New Roman" w:hAnsi="Arial" w:cs="Arial"/>
          <w:color w:val="000000"/>
          <w:lang w:val="en-US" w:eastAsia="de-DE"/>
        </w:rPr>
        <w:instrText>hy maintenance of a cell-type specific cell size is important remains poorly understood. Here we show that growing budding yeast and primary mammalian cells beyond a certain size impairs gene induction, cell-cycle progression, and cell signaling. These def</w:instrText>
      </w:r>
      <w:r>
        <w:rPr>
          <w:rFonts w:ascii="Arial" w:eastAsia="Times New Roman" w:hAnsi="Arial" w:cs="Arial"/>
          <w:color w:val="000000"/>
          <w:lang w:val="en-US" w:eastAsia="de-DE"/>
        </w:rPr>
        <w:instrText>ects are due to the inability of large cells to scale nucleic acid and protein biosynthesis in accordance with cell volume increase, which effectively leads to cytoplasm dilution. We further show that loss of scaling beyond a certain critical size is due t</w:instrText>
      </w:r>
      <w:r>
        <w:rPr>
          <w:rFonts w:ascii="Arial" w:eastAsia="Times New Roman" w:hAnsi="Arial" w:cs="Arial"/>
          <w:color w:val="000000"/>
          <w:lang w:val="en-US" w:eastAsia="de-DE"/>
        </w:rPr>
        <w:instrText>o DNA becoming limiting. Based on the observation that senescent cells are large and exhibit many of the phenotypes of large cells, we propose that the range of DNA:cytoplasm ratio that supports optimal cell function is limited and that ratios outside thes</w:instrText>
      </w:r>
      <w:r>
        <w:rPr>
          <w:rFonts w:ascii="Arial" w:eastAsia="Times New Roman" w:hAnsi="Arial" w:cs="Arial"/>
          <w:color w:val="000000"/>
          <w:lang w:val="en-US" w:eastAsia="de-DE"/>
        </w:rPr>
        <w:instrText>e bounds contribute to aging.","author":[{"dropping-particle":"","family":"Neurohr","given":"Gabriel E.","non-dropping-particle":"","parse-names":false,"suffix":""},{"dropping-particle":"","family":"Terry","given":"Rachel L.","non-dropping-particle":"","pa</w:instrText>
      </w:r>
      <w:r>
        <w:rPr>
          <w:rFonts w:ascii="Arial" w:eastAsia="Times New Roman" w:hAnsi="Arial" w:cs="Arial"/>
          <w:color w:val="000000"/>
          <w:lang w:val="en-US" w:eastAsia="de-DE"/>
        </w:rPr>
        <w:instrText>rse-names":false,"suffix":""},{"dropping-particle":"","family":"Lengefeld","given":"Jette","non-dropping-particle":"","parse-names":false,"suffix":""},{"dropping-particle":"","family":"Bonney","given":"Megan","non-dropping-particle":"","parse-names":false,</w:instrText>
      </w:r>
      <w:r>
        <w:rPr>
          <w:rFonts w:ascii="Arial" w:eastAsia="Times New Roman" w:hAnsi="Arial" w:cs="Arial"/>
          <w:color w:val="000000"/>
          <w:lang w:val="en-US" w:eastAsia="de-DE"/>
        </w:rPr>
        <w:instrText>"suffix":""},{"dropping-particle":"","family":"Brittingham","given":"Gregory P.","non-dropping-particle":"","parse-names":false,"suffix":""},{"dropping-particle":"","family":"Moretto","given":"Fabien","non-dropping-particle":"","parse-names":false,"suffix"</w:instrText>
      </w:r>
      <w:r>
        <w:rPr>
          <w:rFonts w:ascii="Arial" w:eastAsia="Times New Roman" w:hAnsi="Arial" w:cs="Arial"/>
          <w:color w:val="000000"/>
          <w:lang w:val="en-US" w:eastAsia="de-DE"/>
        </w:rPr>
        <w:instrText>:""},{"dropping-particle":"","family":"Miettinen","given":"Teemu P.","non-dropping-particle":"","parse-names":false,"suffix":""},{"dropping-particle":"","family":"Vaites","given":"Laura Pontano","non-dropping-particle":"","parse-names":false,"suffix":""},{</w:instrText>
      </w:r>
      <w:r>
        <w:rPr>
          <w:rFonts w:ascii="Arial" w:eastAsia="Times New Roman" w:hAnsi="Arial" w:cs="Arial"/>
          <w:color w:val="000000"/>
          <w:lang w:val="en-US" w:eastAsia="de-DE"/>
        </w:rPr>
        <w:instrText>"dropping-particle":"","family":"Soares","given":"Luis M.","non-dropping-particle":"","parse-names":false,"suffix":""},{"dropping-particle":"","family":"Paulo","given":"Joao A.","non-dropping-particle":"","parse-names":false,"suffix":""},{"dropping-particl</w:instrText>
      </w:r>
      <w:r>
        <w:rPr>
          <w:rFonts w:ascii="Arial" w:eastAsia="Times New Roman" w:hAnsi="Arial" w:cs="Arial"/>
          <w:color w:val="000000"/>
          <w:lang w:val="en-US" w:eastAsia="de-DE"/>
        </w:rPr>
        <w:instrText>e":"","family":"Harper","given":"J. Wade","non-dropping-particle":"","parse-names":false,"suffix":""},{"dropping-particle":"","family":"Buratowski","given":"Stephen","non-dropping-particle":"","parse-names":false,"suffix":""},{"dropping-particle":"","famil</w:instrText>
      </w:r>
      <w:r>
        <w:rPr>
          <w:rFonts w:ascii="Arial" w:eastAsia="Times New Roman" w:hAnsi="Arial" w:cs="Arial"/>
          <w:color w:val="000000"/>
          <w:lang w:val="en-US" w:eastAsia="de-DE"/>
        </w:rPr>
        <w:instrText>y":"Manalis","given":"Scott","non-dropping-particle":"","parse-names":false,"suffix":""},{"dropping-particle":"","family":"Werven","given":"Folkert J.","non-dropping-particle":"van","parse-names":false,"suffix":""},{"dropping-particle":"","family":"Holt","</w:instrText>
      </w:r>
      <w:r>
        <w:rPr>
          <w:rFonts w:ascii="Arial" w:eastAsia="Times New Roman" w:hAnsi="Arial" w:cs="Arial"/>
          <w:color w:val="000000"/>
          <w:lang w:val="en-US" w:eastAsia="de-DE"/>
        </w:rPr>
        <w:instrText>given":"Liam J.","non-dropping-particle":"","parse-names":false,"suffix":""},{"dropping-particle":"","family":"Amon","given":"Angelika","non-dropping-particle":"","parse-names":false,"suffix":""}],"container-title":"Cell","id":"ITEM-2","issue":"5","issued"</w:instrText>
      </w:r>
      <w:r>
        <w:rPr>
          <w:rFonts w:ascii="Arial" w:eastAsia="Times New Roman" w:hAnsi="Arial" w:cs="Arial"/>
          <w:color w:val="000000"/>
          <w:lang w:val="en-US" w:eastAsia="de-DE"/>
        </w:rPr>
        <w:instrText>:{"date-parts":[["2019","2","21"]]},"page":"1083-1097.e18","publisher":"Cell Press","title":"Excessive Cell Growth Causes Cytoplasm Dilution And Contributes to Senescence","type":"article-journal","volume":"176"},"uris":["http://www.mendeley.com/documents/</w:instrText>
      </w:r>
      <w:r>
        <w:rPr>
          <w:rFonts w:ascii="Arial" w:eastAsia="Times New Roman" w:hAnsi="Arial" w:cs="Arial"/>
          <w:color w:val="000000"/>
          <w:lang w:val="en-US" w:eastAsia="de-DE"/>
        </w:rPr>
        <w:instrText>?uuid=4833c8e1-6ce1-37ae-98d6-80963c92a809"]}],"mendeley":{"formattedCitation":"&lt;sup&gt;3,14&lt;/sup&gt;","plainTextFormattedCitation":"3,14","previouslyFormattedCitation":"&lt;sup&gt;3,14&lt;/sup&gt;"},"properties":{"noteIndex":0},"schema":"https://github.com/citation-style-l</w:instrText>
      </w:r>
      <w:r>
        <w:rPr>
          <w:rFonts w:ascii="Arial" w:eastAsia="Times New Roman" w:hAnsi="Arial" w:cs="Arial"/>
          <w:color w:val="000000"/>
          <w:lang w:val="en-US" w:eastAsia="de-DE"/>
        </w:rPr>
        <w:instrText>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By contrast, it is far less understood what happens when cells are too small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{"citationItems":[{"id":"ITEM-1","itemData":{"DOI":"10.1002/BIES.201700058","ISSN":"1521-1878","PMID":"2875</w:instrText>
      </w:r>
      <w:r>
        <w:rPr>
          <w:rFonts w:ascii="Arial" w:eastAsia="Times New Roman" w:hAnsi="Arial" w:cs="Arial"/>
          <w:color w:val="000000"/>
          <w:lang w:val="en-US" w:eastAsia="de-DE"/>
        </w:rPr>
        <w:instrText>2618","abstract":"The maintenance of cell size homeostasis has been studied for years in different cellular systems. With the focus on ‘what regulates cell size’, the question ‘why cell size needs to be maintained’ has been largely overlooked. Recent evide</w:instrText>
      </w:r>
      <w:r>
        <w:rPr>
          <w:rFonts w:ascii="Arial" w:eastAsia="Times New Roman" w:hAnsi="Arial" w:cs="Arial"/>
          <w:color w:val="000000"/>
          <w:lang w:val="en-US" w:eastAsia="de-DE"/>
        </w:rPr>
        <w:instrText>nce indicates that animal cells exhibit nonlinear cell size dependent growth rates and mitochondrial metabolism, which are maximal in intermediate sized cells within each cell population. Increases in intracellular distances and changes in the relative cel</w:instrText>
      </w:r>
      <w:r>
        <w:rPr>
          <w:rFonts w:ascii="Arial" w:eastAsia="Times New Roman" w:hAnsi="Arial" w:cs="Arial"/>
          <w:color w:val="000000"/>
          <w:lang w:val="en-US" w:eastAsia="de-DE"/>
        </w:rPr>
        <w:instrText>l surface area impose biophysical limitations on cells, which can explain why growth and metabolic rates are maximal in a specific cell size range. Consistently, aberrant increases in cell size, for example through polyploidy, are typically disadvantageous</w:instrText>
      </w:r>
      <w:r>
        <w:rPr>
          <w:rFonts w:ascii="Arial" w:eastAsia="Times New Roman" w:hAnsi="Arial" w:cs="Arial"/>
          <w:color w:val="000000"/>
          <w:lang w:val="en-US" w:eastAsia="de-DE"/>
        </w:rPr>
        <w:instrText xml:space="preserve"> to cellular metabolism, fitness and functionality. Accordingly, cellular hypertrophy can potentially predispose to or worsen metabolic diseases. We propose that cell size control may have emerged as a guardian of cellular fitness and metabolic activity.",</w:instrText>
      </w:r>
      <w:r>
        <w:rPr>
          <w:rFonts w:ascii="Arial" w:eastAsia="Times New Roman" w:hAnsi="Arial" w:cs="Arial"/>
          <w:color w:val="000000"/>
          <w:lang w:val="en-US" w:eastAsia="de-DE"/>
        </w:rPr>
        <w:instrText>"author":[{"dropping-particle":"","family":"Miettinen","given":"Teemu P.","non-dropping-particle":"","parse-names":false,"suffix":""},{"dropping-particle":"","family":"Caldez","given":"Matias J.","non-dropping-particle":"","parse-names":false,"suffix":""},</w:instrText>
      </w:r>
      <w:r>
        <w:rPr>
          <w:rFonts w:ascii="Arial" w:eastAsia="Times New Roman" w:hAnsi="Arial" w:cs="Arial"/>
          <w:color w:val="000000"/>
          <w:lang w:val="en-US" w:eastAsia="de-DE"/>
        </w:rPr>
        <w:instrText>{"dropping-particle":"","family":"Kaldis","given":"Philipp","non-dropping-particle":"","parse-names":false,"suffix":""},{"dropping-particle":"","family":"Björklund","given":"Mikael","non-dropping-particle":"","parse-names":false,"suffix":""}],"container-ti</w:instrText>
      </w:r>
      <w:r>
        <w:rPr>
          <w:rFonts w:ascii="Arial" w:eastAsia="Times New Roman" w:hAnsi="Arial" w:cs="Arial"/>
          <w:color w:val="000000"/>
          <w:lang w:val="en-US" w:eastAsia="de-DE"/>
        </w:rPr>
        <w:instrText>tle":"BioEssays","id":"ITEM-1","issue":"9","issued":{"date-parts":[["2017","9","1"]]},"page":"1700058","publisher":"John Wiley &amp; Sons, Ltd","title":"Cell size control – a mechanism for maintaining fitness and function","type":"article-journal","volume":"39</w:instrText>
      </w:r>
      <w:r>
        <w:rPr>
          <w:rFonts w:ascii="Arial" w:eastAsia="Times New Roman" w:hAnsi="Arial" w:cs="Arial"/>
          <w:color w:val="000000"/>
          <w:lang w:val="en-US" w:eastAsia="de-DE"/>
        </w:rPr>
        <w:instrText>"},"uris":["http://www.mendeley.com/documents/?uuid=15d05fa2-70ee-36e4-9719-6f1fee9371d5"]}],"mendeley":{"formattedCitation":"&lt;sup&gt;162&lt;/sup&gt;","plainTextFormattedCitation":"162","previouslyFormattedCitation":"&lt;sup&gt;162&lt;/sup&gt;"},"properties":{"noteIndex":0},"s</w:instrText>
      </w:r>
      <w:r>
        <w:rPr>
          <w:rFonts w:ascii="Arial" w:eastAsia="Times New Roman" w:hAnsi="Arial" w:cs="Arial"/>
          <w:color w:val="000000"/>
          <w:lang w:val="en-US" w:eastAsia="de-DE"/>
        </w:rPr>
        <w:instrText>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6BC75442"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In unicellular organisms, achieving maximal growth and proliferation rate is thought to be a major determinant of the optimal cell size range. Work on resource </w:t>
      </w:r>
      <w:r>
        <w:rPr>
          <w:rFonts w:ascii="Arial" w:eastAsia="Times New Roman" w:hAnsi="Arial" w:cs="Arial"/>
          <w:color w:val="000000"/>
          <w:lang w:val="en-US" w:eastAsia="de-DE"/>
        </w:rPr>
        <w:t>allocation in bacteria suggests that maximization of growth rate can explain adaptation of optimal cell size, for example to different nutrients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{"citationItems":[{"id":"ITEM-1","itemData":{"DOI":"10.15252/MSB.20156178","PMID":"26519362",</w:instrText>
      </w:r>
      <w:r>
        <w:rPr>
          <w:rFonts w:ascii="Arial" w:eastAsia="Times New Roman" w:hAnsi="Arial" w:cs="Arial"/>
          <w:color w:val="000000"/>
          <w:lang w:val="en-US" w:eastAsia="de-DE"/>
        </w:rPr>
        <w:instrText>"abstract":"Understanding how the homeostasis of cellular size and composition is accomplished by different organisms is an outstanding challenge in biology. For exponentially growing Escherichia coli cells, it is long known that the size of cells exhibits</w:instrText>
      </w:r>
      <w:r>
        <w:rPr>
          <w:rFonts w:ascii="Arial" w:eastAsia="Times New Roman" w:hAnsi="Arial" w:cs="Arial"/>
          <w:color w:val="000000"/>
          <w:lang w:val="en-US" w:eastAsia="de-DE"/>
        </w:rPr>
        <w:instrText xml:space="preserve"> a strong positive relation with their growth rates in different nutrient conditions. Here, we characterized cell sizes in a set of orthogonal growth limitations. We report that cell size and mass exhibit positive or negative dependences with growth rate d</w:instrText>
      </w:r>
      <w:r>
        <w:rPr>
          <w:rFonts w:ascii="Arial" w:eastAsia="Times New Roman" w:hAnsi="Arial" w:cs="Arial"/>
          <w:color w:val="000000"/>
          <w:lang w:val="en-US" w:eastAsia="de-DE"/>
        </w:rPr>
        <w:instrText>epending on the growth limitation applied. In particular, synthesizing large amounts of \"useless\" proteins led to an inversion of the canonical, positive relation, with slow growing cells enlarged 7- to 8-fold compared to cells growing at similar rates u</w:instrText>
      </w:r>
      <w:r>
        <w:rPr>
          <w:rFonts w:ascii="Arial" w:eastAsia="Times New Roman" w:hAnsi="Arial" w:cs="Arial"/>
          <w:color w:val="000000"/>
          <w:lang w:val="en-US" w:eastAsia="de-DE"/>
        </w:rPr>
        <w:instrText>nder nutrient limitation. Strikingly, this increase in cell size was accompanied by a 3- to 4-fold increase in cellular DNA content at slow growth, reaching up to an amount equivalent to ~8 chromosomes per cell. Despite drastic changes in cell mass and mac</w:instrText>
      </w:r>
      <w:r>
        <w:rPr>
          <w:rFonts w:ascii="Arial" w:eastAsia="Times New Roman" w:hAnsi="Arial" w:cs="Arial"/>
          <w:color w:val="000000"/>
          <w:lang w:val="en-US" w:eastAsia="de-DE"/>
        </w:rPr>
        <w:instrText>romolecular composition, cellular dry mass density remained constant. Our findings reveal an important role of protein synthesis in cell division control.","author":[{"dropping-particle":"","family":"Basan","given":"Markus","non-dropping-particle":"","pars</w:instrText>
      </w:r>
      <w:r>
        <w:rPr>
          <w:rFonts w:ascii="Arial" w:eastAsia="Times New Roman" w:hAnsi="Arial" w:cs="Arial"/>
          <w:color w:val="000000"/>
          <w:lang w:val="en-US" w:eastAsia="de-DE"/>
        </w:rPr>
        <w:instrText>e-names":false,"suffix":""},{"dropping-particle":"","family":"Zhu","given":"Manlu","non-dropping-particle":"","parse-names":false,"suffix":""},{"dropping-particle":"","family":"Dai","given":"Xiongfeng","non-dropping-particle":"","parse-names":false,"suffix</w:instrText>
      </w:r>
      <w:r>
        <w:rPr>
          <w:rFonts w:ascii="Arial" w:eastAsia="Times New Roman" w:hAnsi="Arial" w:cs="Arial"/>
          <w:color w:val="000000"/>
          <w:lang w:val="en-US" w:eastAsia="de-DE"/>
        </w:rPr>
        <w:instrText>":""},{"dropping-particle":"","family":"Warren","given":"Mya","non-dropping-particle":"","parse-names":false,"suffix":""},{"dropping-particle":"","family":"Sévin","given":"Daniel","non-dropping-particle":"","parse-names":false,"suffix":""},{"dropping-parti</w:instrText>
      </w:r>
      <w:r>
        <w:rPr>
          <w:rFonts w:ascii="Arial" w:eastAsia="Times New Roman" w:hAnsi="Arial" w:cs="Arial"/>
          <w:color w:val="000000"/>
          <w:lang w:val="en-US" w:eastAsia="de-DE"/>
        </w:rPr>
        <w:instrText>cle":"","family":"Wang","given":"Yi-Ping","non-dropping-particle":"","parse-names":false,"suffix":""},{"dropping-particle":"","family":"Hwa","given":"Terence","non-dropping-particle":"","parse-names":false,"suffix":""}],"container-title":"Molecular systems</w:instrText>
      </w:r>
      <w:r>
        <w:rPr>
          <w:rFonts w:ascii="Arial" w:eastAsia="Times New Roman" w:hAnsi="Arial" w:cs="Arial"/>
          <w:color w:val="000000"/>
          <w:lang w:val="en-US" w:eastAsia="de-DE"/>
        </w:rPr>
        <w:instrText xml:space="preserve"> biology","id":"ITEM-1","issue":"10","issued":{"date-parts":[["2015","10","30"]]},"page":"836","publisher":"European Molecular Biology Organization","title":"Inflating bacterial cells by increased protein synthesis.","type":"article-journal","volume":"11"}</w:instrText>
      </w:r>
      <w:r>
        <w:rPr>
          <w:rFonts w:ascii="Arial" w:eastAsia="Times New Roman" w:hAnsi="Arial" w:cs="Arial"/>
          <w:color w:val="000000"/>
          <w:lang w:val="en-US" w:eastAsia="de-DE"/>
        </w:rPr>
        <w:instrText xml:space="preserve">,"uris":["http://www.mendeley.com/documents/?uuid=723bf7d8-1b9b-32ea-a3f4-3e422f26caac"]},{"id":"ITEM-2","itemData":{"DOI":"10.1371/journal.pcbi.1008245","ISBN":"1111111111","ISSN":"15537358","PMID":"32986690","abstract":"Universal observations in Biology </w:instrText>
      </w:r>
      <w:r>
        <w:rPr>
          <w:rFonts w:ascii="Arial" w:eastAsia="Times New Roman" w:hAnsi="Arial" w:cs="Arial"/>
          <w:color w:val="000000"/>
          <w:lang w:val="en-US" w:eastAsia="de-DE"/>
        </w:rPr>
        <w:instrText>are sometimes described as “laws”. In E. coli, experimental studies performed over the past six decades have revealed major growth laws relating ribosomal mass fraction and cell size to the growth rate. Because they formalize complex emerging principles in</w:instrText>
      </w:r>
      <w:r>
        <w:rPr>
          <w:rFonts w:ascii="Arial" w:eastAsia="Times New Roman" w:hAnsi="Arial" w:cs="Arial"/>
          <w:color w:val="000000"/>
          <w:lang w:val="en-US" w:eastAsia="de-DE"/>
        </w:rPr>
        <w:instrText xml:space="preserve"> biology, growth laws have been instrumental in shaping our understanding of bacterial physiology. Here, we discovered a novel size law that connects cell size to the inverse of the metabolic proteome mass fraction and the active fraction of ribosomes. We </w:instrText>
      </w:r>
      <w:r>
        <w:rPr>
          <w:rFonts w:ascii="Arial" w:eastAsia="Times New Roman" w:hAnsi="Arial" w:cs="Arial"/>
          <w:color w:val="000000"/>
          <w:lang w:val="en-US" w:eastAsia="de-DE"/>
        </w:rPr>
        <w:instrText>used a simple whole-cell coarse-grained model of cell physiology that combines the proteome allocation theory and the structural model of cell division. This integrated model captures all available experimental data connecting the cell proteome composition</w:instrText>
      </w:r>
      <w:r>
        <w:rPr>
          <w:rFonts w:ascii="Arial" w:eastAsia="Times New Roman" w:hAnsi="Arial" w:cs="Arial"/>
          <w:color w:val="000000"/>
          <w:lang w:val="en-US" w:eastAsia="de-DE"/>
        </w:rPr>
        <w:instrText>, ribosome activity, division size and growth rate in response to nutrient quality, antibiotic treatment and increased protein burden. Finally, a stochastic extension of the model explains non-trivial correlations observed in single cell experiments includ</w:instrText>
      </w:r>
      <w:r>
        <w:rPr>
          <w:rFonts w:ascii="Arial" w:eastAsia="Times New Roman" w:hAnsi="Arial" w:cs="Arial"/>
          <w:color w:val="000000"/>
          <w:lang w:val="en-US" w:eastAsia="de-DE"/>
        </w:rPr>
        <w:instrText>ing the adder principle. This work provides a simple and robust theoretical framework for studying the fundamental principles of cell size determination in unicellular organisms.","author":[{"dropping-particle":"","family":"Bertaux","given":"François","non</w:instrText>
      </w:r>
      <w:r>
        <w:rPr>
          <w:rFonts w:ascii="Arial" w:eastAsia="Times New Roman" w:hAnsi="Arial" w:cs="Arial"/>
          <w:color w:val="000000"/>
          <w:lang w:val="en-US" w:eastAsia="de-DE"/>
        </w:rPr>
        <w:instrText>-dropping-particle":"","parse-names":false,"suffix":""},{"dropping-particle":"","family":"Kügelgen","given":"Julius","non-dropping-particle":"von","parse-names":false,"suffix":""},{"dropping-particle":"","family":"Marguerat","given":"Samuel","non-dropping-</w:instrText>
      </w:r>
      <w:r>
        <w:rPr>
          <w:rFonts w:ascii="Arial" w:eastAsia="Times New Roman" w:hAnsi="Arial" w:cs="Arial"/>
          <w:color w:val="000000"/>
          <w:lang w:val="en-US" w:eastAsia="de-DE"/>
        </w:rPr>
        <w:instrText>particle":"","parse-names":false,"suffix":""},{"dropping-particle":"","family":"Shahrezaei","given":"Vahid","non-dropping-particle":"","parse-names":false,"suffix":""}],"container-title":"PLoS Computational Biology","id":"ITEM-2","issue":"9","issued":{"dat</w:instrText>
      </w:r>
      <w:r>
        <w:rPr>
          <w:rFonts w:ascii="Arial" w:eastAsia="Times New Roman" w:hAnsi="Arial" w:cs="Arial"/>
          <w:color w:val="000000"/>
          <w:lang w:val="en-US" w:eastAsia="de-DE"/>
        </w:rPr>
        <w:instrText>e-parts":[["2020"]]},"page":"1-21","title":"A bacterial size law revealed by a coarse-grained model of cell physiology","type":"article-journal","volume":"16"},"uris":["http://www.mendeley.com/documents/?uuid=0cb9882c-9c9f-40df-b187-a8f291a8b35e"]}],"mende</w:instrText>
      </w:r>
      <w:r>
        <w:rPr>
          <w:rFonts w:ascii="Arial" w:eastAsia="Times New Roman" w:hAnsi="Arial" w:cs="Arial"/>
          <w:color w:val="000000"/>
          <w:lang w:val="en-US" w:eastAsia="de-DE"/>
        </w:rPr>
        <w:instrText>ley":{"formattedCitation":"&lt;sup&gt;166,167&lt;/sup&gt;","plainTextFormattedCitation":"166,167","previouslyFormattedCitation":"&lt;sup&gt;166,167&lt;/sup&gt;"},"properties":{"noteIndex":0},"schema":"https://github.com/citation-style-language/schema/raw/master/csl-citation.json"</w:instrText>
      </w:r>
      <w:r>
        <w:rPr>
          <w:rFonts w:ascii="Arial" w:eastAsia="Times New Roman" w:hAnsi="Arial" w:cs="Arial"/>
          <w:color w:val="000000"/>
          <w:lang w:val="en-US" w:eastAsia="de-DE"/>
        </w:rPr>
        <w:instrText>}</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166,167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or upon overexpression of useless protein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{"citationItems":[{"id":"ITEM-1","itemData":{"DOI":"10.15252/MSB.20156178","PMID":"26519362","abstract":"Understanding how the homeostasis of cellular size and composition is accomplis</w:instrText>
      </w:r>
      <w:r>
        <w:rPr>
          <w:rFonts w:ascii="Arial" w:eastAsia="Times New Roman" w:hAnsi="Arial" w:cs="Arial"/>
          <w:color w:val="000000"/>
          <w:lang w:val="en-US" w:eastAsia="de-DE"/>
        </w:rPr>
        <w:instrText>hed by different organisms is an outstanding challenge in biology. For exponentially growing Escherichia coli cells, it is long known that the size of cells exhibits a strong positive relation with their growth rates in different nutrient conditions. Here,</w:instrText>
      </w:r>
      <w:r>
        <w:rPr>
          <w:rFonts w:ascii="Arial" w:eastAsia="Times New Roman" w:hAnsi="Arial" w:cs="Arial"/>
          <w:color w:val="000000"/>
          <w:lang w:val="en-US" w:eastAsia="de-DE"/>
        </w:rPr>
        <w:instrText xml:space="preserve"> we characterized cell sizes in a set of orthogonal growth limitations. We report that cell size and mass exhibit positive or negative dependences with growth rate depending on the growth limitation applied. In particular, synthesizing large amounts of \"u</w:instrText>
      </w:r>
      <w:r>
        <w:rPr>
          <w:rFonts w:ascii="Arial" w:eastAsia="Times New Roman" w:hAnsi="Arial" w:cs="Arial"/>
          <w:color w:val="000000"/>
          <w:lang w:val="en-US" w:eastAsia="de-DE"/>
        </w:rPr>
        <w:instrText>seless\" proteins led to an inversion of the canonical, positive relation, with slow growing cells enlarged 7- to 8-fold compared to cells growing at similar rates under nutrient limitation. Strikingly, this increase in cell size was accompanied by a 3- to</w:instrText>
      </w:r>
      <w:r>
        <w:rPr>
          <w:rFonts w:ascii="Arial" w:eastAsia="Times New Roman" w:hAnsi="Arial" w:cs="Arial"/>
          <w:color w:val="000000"/>
          <w:lang w:val="en-US" w:eastAsia="de-DE"/>
        </w:rPr>
        <w:instrText xml:space="preserve"> 4-fold increase in cellular DNA content at slow growth, reaching up to an amount equivalent to ~8 chromosomes per cell. Despite drastic changes in cell mass and macromolecular composition, cellular dry mass density remained constant. Our findings reveal a</w:instrText>
      </w:r>
      <w:r>
        <w:rPr>
          <w:rFonts w:ascii="Arial" w:eastAsia="Times New Roman" w:hAnsi="Arial" w:cs="Arial"/>
          <w:color w:val="000000"/>
          <w:lang w:val="en-US" w:eastAsia="de-DE"/>
        </w:rPr>
        <w:instrText>n important role of protein synthesis in cell division control.","author":[{"dropping-particle":"","family":"Basan","given":"Markus","non-dropping-particle":"","parse-names":false,"suffix":""},{"dropping-particle":"","family":"Zhu","given":"Manlu","non-dro</w:instrText>
      </w:r>
      <w:r>
        <w:rPr>
          <w:rFonts w:ascii="Arial" w:eastAsia="Times New Roman" w:hAnsi="Arial" w:cs="Arial"/>
          <w:color w:val="000000"/>
          <w:lang w:val="en-US" w:eastAsia="de-DE"/>
        </w:rPr>
        <w:instrText>pping-particle":"","parse-names":false,"suffix":""},{"dropping-particle":"","family":"Dai","given":"Xiongfeng","non-dropping-particle":"","parse-names":false,"suffix":""},{"dropping-particle":"","family":"Warren","given":"Mya","non-dropping-particle":"","p</w:instrText>
      </w:r>
      <w:r>
        <w:rPr>
          <w:rFonts w:ascii="Arial" w:eastAsia="Times New Roman" w:hAnsi="Arial" w:cs="Arial"/>
          <w:color w:val="000000"/>
          <w:lang w:val="en-US" w:eastAsia="de-DE"/>
        </w:rPr>
        <w:instrText>arse-names":false,"suffix":""},{"dropping-particle":"","family":"Sévin","given":"Daniel","non-dropping-particle":"","parse-names":false,"suffix":""},{"dropping-particle":"","family":"Wang","given":"Yi-Ping","non-dropping-particle":"","parse-names":false,"s</w:instrText>
      </w:r>
      <w:r>
        <w:rPr>
          <w:rFonts w:ascii="Arial" w:eastAsia="Times New Roman" w:hAnsi="Arial" w:cs="Arial"/>
          <w:color w:val="000000"/>
          <w:lang w:val="en-US" w:eastAsia="de-DE"/>
        </w:rPr>
        <w:instrText>uffix":""},{"dropping-particle":"","family":"Hwa","given":"Terence","non-dropping-particle":"","parse-names":false,"suffix":""}],"container-title":"Molecular systems biology","id":"ITEM-1","issue":"10","issued":{"date-parts":[["2015","10","30"]]},"page":"8</w:instrText>
      </w:r>
      <w:r>
        <w:rPr>
          <w:rFonts w:ascii="Arial" w:eastAsia="Times New Roman" w:hAnsi="Arial" w:cs="Arial"/>
          <w:color w:val="000000"/>
          <w:lang w:val="en-US" w:eastAsia="de-DE"/>
        </w:rPr>
        <w:instrText>36","publisher":"European Molecular Biology Organization","title":"Inflating bacterial cells by increased protein synthesis.","type":"article-journal","volume":"11"},"uris":["http://www.mendeley.com/documents/?uuid=723bf7d8-1b9b-32ea-a3f4-3e422f26caac"]},{</w:instrText>
      </w:r>
      <w:r>
        <w:rPr>
          <w:rFonts w:ascii="Arial" w:eastAsia="Times New Roman" w:hAnsi="Arial" w:cs="Arial"/>
          <w:color w:val="000000"/>
          <w:lang w:val="en-US" w:eastAsia="de-DE"/>
        </w:rPr>
        <w:instrText>"id":"ITEM-2","itemData":{"DOI":"10.1016/J.CELREP.2015.12.015","ISSN":"2211-1247","abstract":"The economy of protein production is central to cell physiology, being intimately linked with cell division rate and cell size. Attempts to model cellular physiol</w:instrText>
      </w:r>
      <w:r>
        <w:rPr>
          <w:rFonts w:ascii="Arial" w:eastAsia="Times New Roman" w:hAnsi="Arial" w:cs="Arial"/>
          <w:color w:val="000000"/>
          <w:lang w:val="en-US" w:eastAsia="de-DE"/>
        </w:rPr>
        <w:instrText>ogy are limited by the scarcity of experimental data defining the molecular processes limiting protein expression. Here, we distinguish the relative contribution of gene transcription and protein translation to the slower proliferation of budding yeast pro</w:instrText>
      </w:r>
      <w:r>
        <w:rPr>
          <w:rFonts w:ascii="Arial" w:eastAsia="Times New Roman" w:hAnsi="Arial" w:cs="Arial"/>
          <w:color w:val="000000"/>
          <w:lang w:val="en-US" w:eastAsia="de-DE"/>
        </w:rPr>
        <w:instrText>ducing excess levels of unneeded proteins. In contrast to widely held assumptions, rapidly growing cells are not universally limited by ribosome content. Rather, transcription dominates cost under some conditions (e.g., low phosphate), translation in other</w:instrText>
      </w:r>
      <w:r>
        <w:rPr>
          <w:rFonts w:ascii="Arial" w:eastAsia="Times New Roman" w:hAnsi="Arial" w:cs="Arial"/>
          <w:color w:val="000000"/>
          <w:lang w:val="en-US" w:eastAsia="de-DE"/>
        </w:rPr>
        <w:instrText>s (e.g., low nitrogen), and both in other conditions (e.g., rich media). Furthermore, cells adapted to enforced protein production by becoming larger and increasing their endogenous protein levels, suggesting limited competition for common resources. We pr</w:instrText>
      </w:r>
      <w:r>
        <w:rPr>
          <w:rFonts w:ascii="Arial" w:eastAsia="Times New Roman" w:hAnsi="Arial" w:cs="Arial"/>
          <w:color w:val="000000"/>
          <w:lang w:val="en-US" w:eastAsia="de-DE"/>
        </w:rPr>
        <w:instrText>opose that rapidly growing cells do not exhaust their resources to maximize growth but maintain sufficient reserves to accommodate changing requirements.","author":[{"dropping-particle":"","family":"Kafri","given":"Moshe","non-dropping-particle":"","parse-</w:instrText>
      </w:r>
      <w:r>
        <w:rPr>
          <w:rFonts w:ascii="Arial" w:eastAsia="Times New Roman" w:hAnsi="Arial" w:cs="Arial"/>
          <w:color w:val="000000"/>
          <w:lang w:val="en-US" w:eastAsia="de-DE"/>
        </w:rPr>
        <w:instrText>names":false,"suffix":""},{"dropping-particle":"","family":"Metzl-Raz","given":"Eyal","non-dropping-particle":"","parse-names":false,"suffix":""},{"dropping-particle":"","family":"Jona","given":"Ghil","non-dropping-particle":"","parse-names":false,"suffix"</w:instrText>
      </w:r>
      <w:r>
        <w:rPr>
          <w:rFonts w:ascii="Arial" w:eastAsia="Times New Roman" w:hAnsi="Arial" w:cs="Arial"/>
          <w:color w:val="000000"/>
          <w:lang w:val="en-US" w:eastAsia="de-DE"/>
        </w:rPr>
        <w:instrText>:""},{"dropping-particle":"","family":"Barkai","given":"Naama","non-dropping-particle":"","parse-names":false,"suffix":""}],"container-title":"Cell Reports","id":"ITEM-2","issue":"1","issued":{"date-parts":[["2016","1","5"]]},"page":"22-31","publisher":"Ce</w:instrText>
      </w:r>
      <w:r>
        <w:rPr>
          <w:rFonts w:ascii="Arial" w:eastAsia="Times New Roman" w:hAnsi="Arial" w:cs="Arial"/>
          <w:color w:val="000000"/>
          <w:lang w:val="en-US" w:eastAsia="de-DE"/>
        </w:rPr>
        <w:instrText>ll Press","title":"The Cost of Protein Production","type":"article-journal","volume":"14"},"uris":["http://www.mendeley.com/documents/?uuid=8d523f81-8fe1-3457-9015-d72511aee531"]}],"mendeley":{"formattedCitation":"&lt;sup&gt;166,168&lt;/sup&gt;","plainTextFormattedCit</w:instrText>
      </w:r>
      <w:r>
        <w:rPr>
          <w:rFonts w:ascii="Arial" w:eastAsia="Times New Roman" w:hAnsi="Arial" w:cs="Arial"/>
          <w:color w:val="000000"/>
          <w:lang w:val="en-US" w:eastAsia="de-DE"/>
        </w:rPr>
        <w:instrText>ation":"166,168","previouslyFormattedCitation":"&lt;sup&gt;166,168&lt;/sup&gt;"},"properties":{"noteIndex":0},"schema":"https://github.com/citation-style-language/schema/raw/master/csl-citation.json"}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166,168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rich nutrients, a larger proteome fraction is dedicat</w:t>
      </w:r>
      <w:r>
        <w:rPr>
          <w:rFonts w:ascii="Arial" w:eastAsia="Times New Roman" w:hAnsi="Arial" w:cs="Arial"/>
          <w:color w:val="000000"/>
          <w:lang w:val="en-US" w:eastAsia="de-DE"/>
        </w:rPr>
        <w:t>ed to biosynthesis, including ribosomes, which requires larger cell sizes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{"citationItems":[{"id":"ITEM-1","itemData":{"DOI":"10.1016/J.CELREP.2020.108183","ISSN":"2211-1247","PMID":"32966800","abstract":"Cell size control emerges from a </w:instrText>
      </w:r>
      <w:r>
        <w:rPr>
          <w:rFonts w:ascii="Arial" w:eastAsia="Times New Roman" w:hAnsi="Arial" w:cs="Arial"/>
          <w:color w:val="000000"/>
          <w:lang w:val="en-US" w:eastAsia="de-DE"/>
        </w:rPr>
        <w:instrText>regulated balance between the rates of cell growth and division. In bacteria, simple quantitative laws connect cellular growth rate to ribosome abundance. However, it remains poorly understood how translation regulates bacterial cell size and shape under g</w:instrText>
      </w:r>
      <w:r>
        <w:rPr>
          <w:rFonts w:ascii="Arial" w:eastAsia="Times New Roman" w:hAnsi="Arial" w:cs="Arial"/>
          <w:color w:val="000000"/>
          <w:lang w:val="en-US" w:eastAsia="de-DE"/>
        </w:rPr>
        <w:instrText>rowth perturbations. Here, we develop a whole-cell model for growth dynamics of rod-shaped bacteria that links ribosomal abundance with cell geometry, division control, and the extracellular environment. Our study reveals that cell size maintenance under n</w:instrText>
      </w:r>
      <w:r>
        <w:rPr>
          <w:rFonts w:ascii="Arial" w:eastAsia="Times New Roman" w:hAnsi="Arial" w:cs="Arial"/>
          <w:color w:val="000000"/>
          <w:lang w:val="en-US" w:eastAsia="de-DE"/>
        </w:rPr>
        <w:instrText>utrient perturbations requires a balanced trade-off between ribosomes and division protein synthesis. Deviations from this trade-off relationship are predicted under translation inhibition, leading to distinct modes of cell morphological changes, in agreem</w:instrText>
      </w:r>
      <w:r>
        <w:rPr>
          <w:rFonts w:ascii="Arial" w:eastAsia="Times New Roman" w:hAnsi="Arial" w:cs="Arial"/>
          <w:color w:val="000000"/>
          <w:lang w:val="en-US" w:eastAsia="de-DE"/>
        </w:rPr>
        <w:instrText>ent with single-cell experimental data on Escherichia coli. Furthermore, by calibrating our model with experimental data, we predict how combinations of nutrient-, translational-, and shape perturbations can be chosen to optimize bacterial growth fitness a</w:instrText>
      </w:r>
      <w:r>
        <w:rPr>
          <w:rFonts w:ascii="Arial" w:eastAsia="Times New Roman" w:hAnsi="Arial" w:cs="Arial"/>
          <w:color w:val="000000"/>
          <w:lang w:val="en-US" w:eastAsia="de-DE"/>
        </w:rPr>
        <w:instrText>nd antibiotic resistance.","author":[{"dropping-particle":"","family":"Serbanescu","given":"Diana","non-dropping-particle":"","parse-names":false,"suffix":""},{"dropping-particle":"","family":"Ojkic","given":"Nikola","non-dropping-particle":"","parse-names</w:instrText>
      </w:r>
      <w:r>
        <w:rPr>
          <w:rFonts w:ascii="Arial" w:eastAsia="Times New Roman" w:hAnsi="Arial" w:cs="Arial"/>
          <w:color w:val="000000"/>
          <w:lang w:val="en-US" w:eastAsia="de-DE"/>
        </w:rPr>
        <w:instrText>":false,"suffix":""},{"dropping-particle":"","family":"Banerjee","given":"Shiladitya","non-dropping-particle":"","parse-names":false,"suffix":""}],"container-title":"Cell Reports","id":"ITEM-1","issue":"12","issued":{"date-parts":[["2020","9","22"]]},"page</w:instrText>
      </w:r>
      <w:r>
        <w:rPr>
          <w:rFonts w:ascii="Arial" w:eastAsia="Times New Roman" w:hAnsi="Arial" w:cs="Arial"/>
          <w:color w:val="000000"/>
          <w:lang w:val="en-US" w:eastAsia="de-DE"/>
        </w:rPr>
        <w:instrText>":"108183","publisher":"Cell Press","title":"Nutrient-Dependent Trade-Offs between Ribosomes and Division Protein Synthesis Control Bacterial Cell Size and Growth","type":"article-journal","volume":"32"},"uris":["http://www.mendeley.com/documents/?uuid=156</w:instrText>
      </w:r>
      <w:r>
        <w:rPr>
          <w:rFonts w:ascii="Arial" w:eastAsia="Times New Roman" w:hAnsi="Arial" w:cs="Arial"/>
          <w:color w:val="000000"/>
          <w:lang w:val="en-US" w:eastAsia="de-DE"/>
        </w:rPr>
        <w:instrText>5dc27-2def-3896-ba85-e674196f21f3"]}],"mendeley":{"formattedCitation":"&lt;sup&gt;169&lt;/sup&gt;","plainTextFormattedCitation":"169","previouslyFormattedCitation":"&lt;sup&gt;169&lt;/sup&gt;"},"properties":{"noteIndex":0},"schema":"https://github.com/citation-style-language/sche</w:instrText>
      </w:r>
      <w:r>
        <w:rPr>
          <w:rFonts w:ascii="Arial" w:eastAsia="Times New Roman" w:hAnsi="Arial" w:cs="Arial"/>
          <w:color w:val="000000"/>
          <w:lang w:val="en-US" w:eastAsia="de-DE"/>
        </w:rPr>
        <w:instrText>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58F86255"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In multicellular species, also cell-type specific function is considered to be a significant factor determining optimal cell size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{"citationItems":[{"id":"ITEM-1","itemData":{"DOI":"10.1002/BIES.20</w:instrText>
      </w:r>
      <w:r>
        <w:rPr>
          <w:rFonts w:ascii="Arial" w:eastAsia="Times New Roman" w:hAnsi="Arial" w:cs="Arial"/>
          <w:color w:val="000000" w:themeColor="text1"/>
          <w:lang w:val="en-US" w:eastAsia="de-DE"/>
        </w:rPr>
        <w:instrText>1700058","ISSN":"1521-1878","PMID":"28752618","abstract":"The maintenance of cell size homeostasis has been studied for years in different cellular systems. With the focus on ‘what regulates cell size’, the question ‘why cell size needs to be maintained’ h</w:instrText>
      </w:r>
      <w:r>
        <w:rPr>
          <w:rFonts w:ascii="Arial" w:eastAsia="Times New Roman" w:hAnsi="Arial" w:cs="Arial"/>
          <w:color w:val="000000" w:themeColor="text1"/>
          <w:lang w:val="en-US" w:eastAsia="de-DE"/>
        </w:rPr>
        <w:instrText>as been largely overlooked. Recent evidence indicates that animal cells exhibit nonlinear cell size dependent growth rates and mitochondrial metabolism, which are maximal in intermediate sized cells within each cell population. Increases in intracellular d</w:instrText>
      </w:r>
      <w:r>
        <w:rPr>
          <w:rFonts w:ascii="Arial" w:eastAsia="Times New Roman" w:hAnsi="Arial" w:cs="Arial"/>
          <w:color w:val="000000" w:themeColor="text1"/>
          <w:lang w:val="en-US" w:eastAsia="de-DE"/>
        </w:rPr>
        <w:instrText>istances and changes in the relative cell surface area impose biophysical limitations on cells, which can explain why growth and metabolic rates are maximal in a specific cell size range. Consistently, aberrant increases in cell size, for example through p</w:instrText>
      </w:r>
      <w:r>
        <w:rPr>
          <w:rFonts w:ascii="Arial" w:eastAsia="Times New Roman" w:hAnsi="Arial" w:cs="Arial"/>
          <w:color w:val="000000" w:themeColor="text1"/>
          <w:lang w:val="en-US" w:eastAsia="de-DE"/>
        </w:rPr>
        <w:instrText>olyploidy, are typically disadvantageous to cellular metabolism, fitness and functionality. Accordingly, cellular hypertrophy can potentially predispose to or worsen metabolic diseases. We propose that cell size control may have emerged as a guardian of ce</w:instrText>
      </w:r>
      <w:r>
        <w:rPr>
          <w:rFonts w:ascii="Arial" w:eastAsia="Times New Roman" w:hAnsi="Arial" w:cs="Arial"/>
          <w:color w:val="000000" w:themeColor="text1"/>
          <w:lang w:val="en-US" w:eastAsia="de-DE"/>
        </w:rPr>
        <w:instrText>llular fitness and metabolic activity.","author":[{"dropping-particle":"","family":"Miettinen","given":"Teemu P.","non-dropping-particle":"","parse-names":false,"suffix":""},{"dropping-particle":"","family":"Caldez","given":"Matias J.","non-dropping-partic</w:instrText>
      </w:r>
      <w:r>
        <w:rPr>
          <w:rFonts w:ascii="Arial" w:eastAsia="Times New Roman" w:hAnsi="Arial" w:cs="Arial"/>
          <w:color w:val="000000" w:themeColor="text1"/>
          <w:lang w:val="en-US" w:eastAsia="de-DE"/>
        </w:rPr>
        <w:instrText>le":"","parse-names":false,"suffix":""},{"dropping-particle":"","family":"Kaldis","given":"Philipp","non-dropping-particle":"","parse-names":false,"suffix":""},{"dropping-particle":"","family":"Björklund","given":"Mikael","non-dropping-particle":"","parse-</w:instrText>
      </w:r>
      <w:r>
        <w:rPr>
          <w:rFonts w:ascii="Arial" w:eastAsia="Times New Roman" w:hAnsi="Arial" w:cs="Arial"/>
          <w:color w:val="000000" w:themeColor="text1"/>
          <w:lang w:val="en-US" w:eastAsia="de-DE"/>
        </w:rPr>
        <w:instrText>names":false,"suffix":""}],"container-title":"BioEssays","id":"ITEM-1","issue":"9","issued":{"date-parts":[["2017","9","1"]]},"page":"1700058","publisher":"John Wiley &amp; Sons, Ltd","title":"Cell size control – a mechanism for maintaining fitness and functio</w:instrText>
      </w:r>
      <w:r>
        <w:rPr>
          <w:rFonts w:ascii="Arial" w:eastAsia="Times New Roman" w:hAnsi="Arial" w:cs="Arial"/>
          <w:color w:val="000000" w:themeColor="text1"/>
          <w:lang w:val="en-US" w:eastAsia="de-DE"/>
        </w:rPr>
        <w:instrText>n","type":"article-journal","volume":"39"},"uris":["http://www.mendeley.com/documents/?uuid=15d05fa2-70ee-36e4-9719-6f1fee9371d5"]}],"mendeley":{"formattedCitation":"&lt;sup&gt;162&lt;/sup&gt;","plainTextFormattedCitation":"162","previouslyFormattedCitation":"&lt;sup&gt;162</w:instrText>
      </w:r>
      <w:r>
        <w:rPr>
          <w:rFonts w:ascii="Arial" w:eastAsia="Times New Roman" w:hAnsi="Arial" w:cs="Arial"/>
          <w:color w:val="000000" w:themeColor="text1"/>
          <w:lang w:val="en-US" w:eastAsia="de-DE"/>
        </w:rPr>
        <w:instrText>&lt;/sup&gt;"},"properties":{"noteIndex":0},"schema":"https://github.com/citation-style-language/schema/raw/master/csl-citation.json"}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162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(Fig. 4). For example, certain neurons maintain longer axon lengths to physically conduct electrical signals over longer </w:t>
      </w:r>
      <w:r>
        <w:rPr>
          <w:rFonts w:ascii="Arial" w:eastAsia="Times New Roman" w:hAnsi="Arial" w:cs="Arial"/>
          <w:color w:val="000000" w:themeColor="text1"/>
          <w:lang w:val="en-US" w:eastAsia="de-DE"/>
        </w:rPr>
        <w:t>distances towards target tissues, whereas interneurons have shorter axon lengths since they connect over shorter distances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{"citationItems":[{"id":"ITEM-1","itemData":{"DOI":"10.1016/J.CONB.2018.08.004","ISSN":"0959-4388","PMID":"30248549</w:instrText>
      </w:r>
      <w:r>
        <w:rPr>
          <w:rFonts w:ascii="Arial" w:eastAsia="Times New Roman" w:hAnsi="Arial" w:cs="Arial"/>
          <w:color w:val="000000" w:themeColor="text1"/>
          <w:lang w:val="en-US" w:eastAsia="de-DE"/>
        </w:rPr>
        <w:instrText>","abstract":"Understanding how neurons form, extend, and navigate their finger-like axonal and dendritic processes is crucial for developing therapeutics for the diseased and damaged brain. Although less well appreciated, many other types of cells also se</w:instrText>
      </w:r>
      <w:r>
        <w:rPr>
          <w:rFonts w:ascii="Arial" w:eastAsia="Times New Roman" w:hAnsi="Arial" w:cs="Arial"/>
          <w:color w:val="000000" w:themeColor="text1"/>
          <w:lang w:val="en-US" w:eastAsia="de-DE"/>
        </w:rPr>
        <w:instrText>nd out similar finger-like projections. Indeed, unlike neuronal specific phenomena such as synapse formation or synaptic transmission, an important issue for thought is that this critical long-standing question of how a cellular process like an axon or den</w:instrText>
      </w:r>
      <w:r>
        <w:rPr>
          <w:rFonts w:ascii="Arial" w:eastAsia="Times New Roman" w:hAnsi="Arial" w:cs="Arial"/>
          <w:color w:val="000000" w:themeColor="text1"/>
          <w:lang w:val="en-US" w:eastAsia="de-DE"/>
        </w:rPr>
        <w:instrText>drite forms and extends is not primarily a neuroscience problem but a cell biological problem. In that case, the use of simple cellular processes — such as the bristle cell process of Drosophila — can aid in the fight to answer these critical questions. Sp</w:instrText>
      </w:r>
      <w:r>
        <w:rPr>
          <w:rFonts w:ascii="Arial" w:eastAsia="Times New Roman" w:hAnsi="Arial" w:cs="Arial"/>
          <w:color w:val="000000" w:themeColor="text1"/>
          <w:lang w:val="en-US" w:eastAsia="de-DE"/>
        </w:rPr>
        <w:instrText>ecifically, determining how a model cellular process is generated can provide a framework for manipulations of all types of membranous process-containing cells, including different types of neurons.","author":[{"dropping-particle":"","family":"Rich","given</w:instrText>
      </w:r>
      <w:r>
        <w:rPr>
          <w:rFonts w:ascii="Arial" w:eastAsia="Times New Roman" w:hAnsi="Arial" w:cs="Arial"/>
          <w:color w:val="000000" w:themeColor="text1"/>
          <w:lang w:val="en-US" w:eastAsia="de-DE"/>
        </w:rPr>
        <w:instrText>":"Shannon K.","non-dropping-particle":"","parse-names":false,"suffix":""},{"dropping-particle":"","family":"Terman","given":"Jonathan R.","non-dropping-particle":"","parse-names":false,"suffix":""}],"container-title":"Current Opinion in Neurobiology","id"</w:instrText>
      </w:r>
      <w:r>
        <w:rPr>
          <w:rFonts w:ascii="Arial" w:eastAsia="Times New Roman" w:hAnsi="Arial" w:cs="Arial"/>
          <w:color w:val="000000" w:themeColor="text1"/>
          <w:lang w:val="en-US" w:eastAsia="de-DE"/>
        </w:rPr>
        <w:instrText>:"ITEM-1","issued":{"date-parts":[["2018","12","1"]]},"page":"174-182","publisher":"Elsevier Current Trends","title":"Axon formation, extension, and navigation: only a neuroscience phenomenon?","type":"article-journal","volume":"53"},"uris":["http://www.me</w:instrText>
      </w:r>
      <w:r>
        <w:rPr>
          <w:rFonts w:ascii="Arial" w:eastAsia="Times New Roman" w:hAnsi="Arial" w:cs="Arial"/>
          <w:color w:val="000000" w:themeColor="text1"/>
          <w:lang w:val="en-US" w:eastAsia="de-DE"/>
        </w:rPr>
        <w:instrText>ndeley.com/documents/?uuid=3a90d87c-35c5-3223-bd58-9d5d402e2ee4"]}],"mendeley":{"formattedCitation":"&lt;sup&gt;170&lt;/sup&gt;","plainTextFormattedCitation":"170","previouslyFormattedCitation":"&lt;sup&gt;170&lt;/sup&gt;"},"properties":{"noteIndex":0},"schema":"https://github.co</w:instrText>
      </w:r>
      <w:r>
        <w:rPr>
          <w:rFonts w:ascii="Arial" w:eastAsia="Times New Roman" w:hAnsi="Arial" w:cs="Arial"/>
          <w:color w:val="000000" w:themeColor="text1"/>
          <w:lang w:val="en-US" w:eastAsia="de-DE"/>
        </w:rPr>
        <w:instrText>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170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Mature oocytes, the biggest mononucleated human cells, contain a huge number of maternal factors deposited during oogenesis that are essential for embryonic development. Indeed, oocyte </w:t>
      </w:r>
      <w:r>
        <w:rPr>
          <w:rFonts w:ascii="Arial" w:eastAsia="Times New Roman" w:hAnsi="Arial" w:cs="Arial"/>
          <w:color w:val="000000" w:themeColor="text1"/>
          <w:lang w:val="en-US" w:eastAsia="de-DE"/>
        </w:rPr>
        <w:t>size is considered a good biomarker for selecting oocytes for in-vitro fertilisation</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{"citationItems":[{"id":"ITEM-1","itemData":{"DOI":"10.1007/S43032-020-00306-3","ISSN":"1933-7205","PMID":"32876908","abstract":"With the recent increase</w:instrText>
      </w:r>
      <w:r>
        <w:rPr>
          <w:rFonts w:ascii="Arial" w:eastAsia="Times New Roman" w:hAnsi="Arial" w:cs="Arial"/>
          <w:color w:val="000000" w:themeColor="text1"/>
          <w:lang w:val="en-US" w:eastAsia="de-DE"/>
        </w:rPr>
        <w:instrText>d utilization of oocyte vitrification for the purpose of fertility preservation, information regarding the future fertility potential of the frozen oocytes is mandatory. Nowadays, there is a relative lack of data about prediction of assisted reproductive t</w:instrText>
      </w:r>
      <w:r>
        <w:rPr>
          <w:rFonts w:ascii="Arial" w:eastAsia="Times New Roman" w:hAnsi="Arial" w:cs="Arial"/>
          <w:color w:val="000000" w:themeColor="text1"/>
          <w:lang w:val="en-US" w:eastAsia="de-DE"/>
        </w:rPr>
        <w:instrText>echnique (ART) success relying on the retrieved oocytes. In the present study, we therefore aimed to investigate whether oocyte diameter might predict the quality of the developing embryo. A retrospective, single-center cohort study. Oocytes retrieved foll</w:instrText>
      </w:r>
      <w:r>
        <w:rPr>
          <w:rFonts w:ascii="Arial" w:eastAsia="Times New Roman" w:hAnsi="Arial" w:cs="Arial"/>
          <w:color w:val="000000" w:themeColor="text1"/>
          <w:lang w:val="en-US" w:eastAsia="de-DE"/>
        </w:rPr>
        <w:instrText>owing controlled ovarian hyperstimulation cycles during 2016 and incubated in a time-lapse incubator system were analyzed. Oocytes were grouped by mean oocyte diameter (MOD) and incubated for 5 days before the final morphological evaluation done by an expe</w:instrText>
      </w:r>
      <w:r>
        <w:rPr>
          <w:rFonts w:ascii="Arial" w:eastAsia="Times New Roman" w:hAnsi="Arial" w:cs="Arial"/>
          <w:color w:val="000000" w:themeColor="text1"/>
          <w:lang w:val="en-US" w:eastAsia="de-DE"/>
        </w:rPr>
        <w:instrText>rt embryologist. A total of 471 cycles which yielded 3355 metaphase II oocytes were included in the analysis. Embryos developed from oocytes with MOD close to the average (Average 1SD &lt; MOD &lt; Average + 1SD) had increased good-quality blastulation rates com</w:instrText>
      </w:r>
      <w:r>
        <w:rPr>
          <w:rFonts w:ascii="Arial" w:eastAsia="Times New Roman" w:hAnsi="Arial" w:cs="Arial"/>
          <w:color w:val="000000" w:themeColor="text1"/>
          <w:lang w:val="en-US" w:eastAsia="de-DE"/>
        </w:rPr>
        <w:instrText xml:space="preserve">pared with embryos that developed from very small or very large oocytes. Oocytes with MOD between 105.96 and 118.69 μm have better probability of becoming top-quality D5 blastocysts (17.1–17.4% grade 1 embryos). There is a correlation between oocyte’s MOD </w:instrText>
      </w:r>
      <w:r>
        <w:rPr>
          <w:rFonts w:ascii="Arial" w:eastAsia="Times New Roman" w:hAnsi="Arial" w:cs="Arial"/>
          <w:color w:val="000000" w:themeColor="text1"/>
          <w:lang w:val="en-US" w:eastAsia="de-DE"/>
        </w:rPr>
        <w:instrText>and the embryo quality at day 5. The oocytes with near average MOD have a better chance to develop to a good-quality embryo. Therefore, the study suggests that MOD might serve as a predictor for embryo grading at day 5.","author":[{"dropping-particle":"","</w:instrText>
      </w:r>
      <w:r>
        <w:rPr>
          <w:rFonts w:ascii="Arial" w:eastAsia="Times New Roman" w:hAnsi="Arial" w:cs="Arial"/>
          <w:color w:val="000000" w:themeColor="text1"/>
          <w:lang w:val="en-US" w:eastAsia="de-DE"/>
        </w:rPr>
        <w:instrText>family":"Bassil","given":"Rawad","non-dropping-particle":"","parse-names":false,"suffix":""},{"dropping-particle":"","family":"Casper","given":"Robert F.","non-dropping-particle":"","parse-names":false,"suffix":""},{"dropping-particle":"","family":"Meriano</w:instrText>
      </w:r>
      <w:r>
        <w:rPr>
          <w:rFonts w:ascii="Arial" w:eastAsia="Times New Roman" w:hAnsi="Arial" w:cs="Arial"/>
          <w:color w:val="000000" w:themeColor="text1"/>
          <w:lang w:val="en-US" w:eastAsia="de-DE"/>
        </w:rPr>
        <w:instrText>","given":"Jim","non-dropping-particle":"","parse-names":false,"suffix":""},{"dropping-particle":"","family":"Smith","given":"Ramsey","non-dropping-particle":"","parse-names":false,"suffix":""},{"dropping-particle":"","family":"Haas","given":"Jigal","non-d</w:instrText>
      </w:r>
      <w:r>
        <w:rPr>
          <w:rFonts w:ascii="Arial" w:eastAsia="Times New Roman" w:hAnsi="Arial" w:cs="Arial"/>
          <w:color w:val="000000" w:themeColor="text1"/>
          <w:lang w:val="en-US" w:eastAsia="de-DE"/>
        </w:rPr>
        <w:instrText>ropping-particle":"","parse-names":false,"suffix":""},{"dropping-particle":"","family":"Mehta","given":"Chaula","non-dropping-particle":"","parse-names":false,"suffix":""},{"dropping-particle":"","family":"Orvieto","given":"Raoul","non-dropping-particle":"</w:instrText>
      </w:r>
      <w:r>
        <w:rPr>
          <w:rFonts w:ascii="Arial" w:eastAsia="Times New Roman" w:hAnsi="Arial" w:cs="Arial"/>
          <w:color w:val="000000" w:themeColor="text1"/>
          <w:lang w:val="en-US" w:eastAsia="de-DE"/>
        </w:rPr>
        <w:instrText>","parse-names":false,"suffix":""},{"dropping-particle":"","family":"Zilberberg","given":"Eran","non-dropping-particle":"","parse-names":false,"suffix":""}],"container-title":"Reproductive sciences (Thousand Oaks, Calif.)","id":"ITEM-1","issue":"3","issued</w:instrText>
      </w:r>
      <w:r>
        <w:rPr>
          <w:rFonts w:ascii="Arial" w:eastAsia="Times New Roman" w:hAnsi="Arial" w:cs="Arial"/>
          <w:color w:val="000000" w:themeColor="text1"/>
          <w:lang w:val="en-US" w:eastAsia="de-DE"/>
        </w:rPr>
        <w:instrText>":{"date-parts":[["2021","3","1"]]},"page":"904-908","publisher":"Reprod Sci","title":"Can Oocyte Diameter Predict Embryo Quality?","type":"article-journal","volume":"28"},"uris":["http://www.mendeley.com/documents/?uuid=ab4d2b97-6e7e-3dac-bf5f-1963a931b89</w:instrText>
      </w:r>
      <w:r>
        <w:rPr>
          <w:rFonts w:ascii="Arial" w:eastAsia="Times New Roman" w:hAnsi="Arial" w:cs="Arial"/>
          <w:color w:val="000000" w:themeColor="text1"/>
          <w:lang w:val="en-US" w:eastAsia="de-DE"/>
        </w:rPr>
        <w:instrText>b"]},{"id":"ITEM-2","itemData":{"DOI":"10.1007/S10815-022-02602-0/FIGURES/2","ISSN":"15737330","PMID":"36087150","abstract":"Purpose: To study the impact of oocyte diameter and cumulus cell mass on the potential for final maturation of immature human oocyt</w:instrText>
      </w:r>
      <w:r>
        <w:rPr>
          <w:rFonts w:ascii="Arial" w:eastAsia="Times New Roman" w:hAnsi="Arial" w:cs="Arial"/>
          <w:color w:val="000000" w:themeColor="text1"/>
          <w:lang w:val="en-US" w:eastAsia="de-DE"/>
        </w:rPr>
        <w:instrText>es in vitro. Methods: Immature oocytes (n = 1563) from 75 women undergoing fertility preservation by ovarian tissue cryopreservation (14–41 years) were collected. After preparation of the ovarian cortex for freezing, immature oocytes were collected from th</w:instrText>
      </w:r>
      <w:r>
        <w:rPr>
          <w:rFonts w:ascii="Arial" w:eastAsia="Times New Roman" w:hAnsi="Arial" w:cs="Arial"/>
          <w:color w:val="000000" w:themeColor="text1"/>
          <w:lang w:val="en-US" w:eastAsia="de-DE"/>
        </w:rPr>
        <w:instrText xml:space="preserve">e surplus medulla. After collection, IVM was performed according to standard published methods. The mass of cumulus cell surrounding the immature oocyte was grouped according to size. After IVM, each oocyte was photographed, measured, and the diameter was </w:instrText>
      </w:r>
      <w:r>
        <w:rPr>
          <w:rFonts w:ascii="Arial" w:eastAsia="Times New Roman" w:hAnsi="Arial" w:cs="Arial"/>
          <w:color w:val="000000" w:themeColor="text1"/>
          <w:lang w:val="en-US" w:eastAsia="de-DE"/>
        </w:rPr>
        <w:instrText>calculated as a mean of two perpendicular measurements. Results: The diameter of the oocytes ranged from 60 to 171 µm with a mean of 115 µm (SD:12.1) and an interquartile range from 107 to 124 µm. The oocyte diameter was positively associated with a higher</w:instrText>
      </w:r>
      <w:r>
        <w:rPr>
          <w:rFonts w:ascii="Arial" w:eastAsia="Times New Roman" w:hAnsi="Arial" w:cs="Arial"/>
          <w:color w:val="000000" w:themeColor="text1"/>
          <w:lang w:val="en-US" w:eastAsia="de-DE"/>
        </w:rPr>
        <w:instrText xml:space="preserve"> incidence of MII (p &lt; 0.001). MII oocytes had a significantly larger mean diameter than MI, GV, and degenerated oocytes. The size of the cumulus cell mass was significantly associated with the MII stage (p &lt; 0.001) and larger oocyte diameter (p &lt; 0.001). </w:instrText>
      </w:r>
      <w:r>
        <w:rPr>
          <w:rFonts w:ascii="Arial" w:eastAsia="Times New Roman" w:hAnsi="Arial" w:cs="Arial"/>
          <w:color w:val="000000" w:themeColor="text1"/>
          <w:lang w:val="en-US" w:eastAsia="de-DE"/>
        </w:rPr>
        <w:instrText>The results further confirm that the diameter of the fully grown oocyte is reached relatively early in human follicular development and that the factors governing oocyte maturation in vitro are connected to the surrounding cell mass and the oocyte. Conclus</w:instrText>
      </w:r>
      <w:r>
        <w:rPr>
          <w:rFonts w:ascii="Arial" w:eastAsia="Times New Roman" w:hAnsi="Arial" w:cs="Arial"/>
          <w:color w:val="000000" w:themeColor="text1"/>
          <w:lang w:val="en-US" w:eastAsia="de-DE"/>
        </w:rPr>
        <w:instrText>ion: The diameter of the oocyte is a highly determining factor in the nuclear maturation of the human oocyte during in vitro maturation, and the size of the cumulus cell mass is closely positively associated with a larger diameter.","author":[{"dropping-pa</w:instrText>
      </w:r>
      <w:r>
        <w:rPr>
          <w:rFonts w:ascii="Arial" w:eastAsia="Times New Roman" w:hAnsi="Arial" w:cs="Arial"/>
          <w:color w:val="000000" w:themeColor="text1"/>
          <w:lang w:val="en-US" w:eastAsia="de-DE"/>
        </w:rPr>
        <w:instrText>rticle":"","family":"Pors","given":"S. E.","non-dropping-particle":"","parse-names":false,"suffix":""},{"dropping-particle":"","family":"Nikiforov","given":"D.","non-dropping-particle":"","parse-names":false,"suffix":""},{"dropping-particle":"","family":"C</w:instrText>
      </w:r>
      <w:r>
        <w:rPr>
          <w:rFonts w:ascii="Arial" w:eastAsia="Times New Roman" w:hAnsi="Arial" w:cs="Arial"/>
          <w:color w:val="000000" w:themeColor="text1"/>
          <w:lang w:val="en-US" w:eastAsia="de-DE"/>
        </w:rPr>
        <w:instrText>adenas","given":"J.","non-dropping-particle":"","parse-names":false,"suffix":""},{"dropping-particle":"","family":"Ghezelayagh","given":"Z.","non-dropping-particle":"","parse-names":false,"suffix":""},{"dropping-particle":"","family":"Wakimoto","given":"Y.</w:instrText>
      </w:r>
      <w:r>
        <w:rPr>
          <w:rFonts w:ascii="Arial" w:eastAsia="Times New Roman" w:hAnsi="Arial" w:cs="Arial"/>
          <w:color w:val="000000" w:themeColor="text1"/>
          <w:lang w:val="en-US" w:eastAsia="de-DE"/>
        </w:rPr>
        <w:instrText>","non-dropping-particle":"","parse-names":false,"suffix":""},{"dropping-particle":"","family":"Jara","given":"L. A.Z.","non-dropping-particle":"","parse-names":false,"suffix":""},{"dropping-particle":"","family":"Cheng","given":"J.","non-dropping-particle</w:instrText>
      </w:r>
      <w:r>
        <w:rPr>
          <w:rFonts w:ascii="Arial" w:eastAsia="Times New Roman" w:hAnsi="Arial" w:cs="Arial"/>
          <w:color w:val="000000" w:themeColor="text1"/>
          <w:lang w:val="en-US" w:eastAsia="de-DE"/>
        </w:rPr>
        <w:instrText>":"","parse-names":false,"suffix":""},{"dropping-particle":"","family":"Dueholm","given":"M.","non-dropping-particle":"","parse-names":false,"suffix":""},{"dropping-particle":"","family":"Macklon","given":"K. T.","non-dropping-particle":"","parse-names":fa</w:instrText>
      </w:r>
      <w:r>
        <w:rPr>
          <w:rFonts w:ascii="Arial" w:eastAsia="Times New Roman" w:hAnsi="Arial" w:cs="Arial"/>
          <w:color w:val="000000" w:themeColor="text1"/>
          <w:lang w:val="en-US" w:eastAsia="de-DE"/>
        </w:rPr>
        <w:instrText>lse,"suffix":""},{"dropping-particle":"","family":"Flachs","given":"E. M.","non-dropping-particle":"","parse-names":false,"suffix":""},{"dropping-particle":"","family":"Mamsen","given":"L. S.","non-dropping-particle":"","parse-names":false,"suffix":""},{"d</w:instrText>
      </w:r>
      <w:r>
        <w:rPr>
          <w:rFonts w:ascii="Arial" w:eastAsia="Times New Roman" w:hAnsi="Arial" w:cs="Arial"/>
          <w:color w:val="000000" w:themeColor="text1"/>
          <w:lang w:val="en-US" w:eastAsia="de-DE"/>
        </w:rPr>
        <w:instrText>ropping-particle":"","family":"Kristensen","given":"S. G.","non-dropping-particle":"","parse-names":false,"suffix":""},{"dropping-particle":"","family":"Andersen","given":"C. Yding","non-dropping-particle":"","parse-names":false,"suffix":""}],"container-ti</w:instrText>
      </w:r>
      <w:r>
        <w:rPr>
          <w:rFonts w:ascii="Arial" w:eastAsia="Times New Roman" w:hAnsi="Arial" w:cs="Arial"/>
          <w:color w:val="000000" w:themeColor="text1"/>
          <w:lang w:val="en-US" w:eastAsia="de-DE"/>
        </w:rPr>
        <w:instrText xml:space="preserve">tle":"Journal of Assisted Reproduction and Genetics","id":"ITEM-2","issue":"10","issued":{"date-parts":[["2022","10","1"]]},"page":"2209-2214","publisher":"Springer","title":"Oocyte diameter predicts the maturation rate of human immature oocytes collected </w:instrText>
      </w:r>
      <w:r>
        <w:rPr>
          <w:rFonts w:ascii="Arial" w:eastAsia="Times New Roman" w:hAnsi="Arial" w:cs="Arial"/>
          <w:color w:val="000000" w:themeColor="text1"/>
          <w:lang w:val="en-US" w:eastAsia="de-DE"/>
        </w:rPr>
        <w:instrText>ex vivo","type":"article-journal","volume":"39"},"uris":["http://www.mendeley.com/documents/?uuid=bd87144f-3d3b-3ffe-acd3-dfba0f9226db"]}],"mendeley":{"formattedCitation":"&lt;sup&gt;171,172&lt;/sup&gt;","plainTextFormattedCitation":"171,172","previouslyFormattedCitat</w:instrText>
      </w:r>
      <w:r>
        <w:rPr>
          <w:rFonts w:ascii="Arial" w:eastAsia="Times New Roman" w:hAnsi="Arial" w:cs="Arial"/>
          <w:color w:val="000000" w:themeColor="text1"/>
          <w:lang w:val="en-US" w:eastAsia="de-DE"/>
        </w:rPr>
        <w:instrText>ion":"&lt;sup&gt;171,172&lt;/sup&gt;"},"properties":{"noteIndex":0},"schema":"https://github.com/citation-style-language/schema/raw/master/csl-citation.json"}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171,172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Another level of complexity in multicellular organisms arises from the need for organ homeostasis.</w:t>
      </w:r>
      <w:r>
        <w:rPr>
          <w:rFonts w:ascii="Arial" w:eastAsia="Times New Roman" w:hAnsi="Arial" w:cs="Arial"/>
          <w:color w:val="000000" w:themeColor="text1"/>
          <w:lang w:val="en-US" w:eastAsia="de-DE"/>
        </w:rPr>
        <w:t xml:space="preserve"> To maintain organ functionality, alterations in cell number can be compensated by cell size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{"citationItems":[{"id":"ITEM-1","itemData":{"DOI":"10.1016/S0959-437X(00)00191-X","ISSN":"0959-437X","PMID":"11377964","abstract":"The study of </w:instrText>
      </w:r>
      <w:r>
        <w:rPr>
          <w:rFonts w:ascii="Arial" w:eastAsia="Times New Roman" w:hAnsi="Arial" w:cs="Arial"/>
          <w:color w:val="000000" w:themeColor="text1"/>
          <w:lang w:val="en-US" w:eastAsia="de-DE"/>
        </w:rPr>
        <w:instrText>organ size control is a discipline of developmental biology that is largely unexplored. Although the size of an organ or organism depends largely on cell numbers and cell size, studies have found that the simple deregulation of cell proliferation or cell g</w:instrText>
      </w:r>
      <w:r>
        <w:rPr>
          <w:rFonts w:ascii="Arial" w:eastAsia="Times New Roman" w:hAnsi="Arial" w:cs="Arial"/>
          <w:color w:val="000000" w:themeColor="text1"/>
          <w:lang w:val="en-US" w:eastAsia="de-DE"/>
        </w:rPr>
        <w:instrText>rowth does not necessarily lead to changes in organ size. Recent genetic screens in Drosophila suggest that mutations that do affect organ size can be classified into three broad categories on the basis of their underlying effects: patterning, proliferatio</w:instrText>
      </w:r>
      <w:r>
        <w:rPr>
          <w:rFonts w:ascii="Arial" w:eastAsia="Times New Roman" w:hAnsi="Arial" w:cs="Arial"/>
          <w:color w:val="000000" w:themeColor="text1"/>
          <w:lang w:val="en-US" w:eastAsia="de-DE"/>
        </w:rPr>
        <w:instrText>n, and growth. Overall, experimental data suggest that organ size might be regulated by a 'total mass checkpoint' mechanism which functions to link the regulation of cell size and cell proliferation. The mechanisms of organ size control could also be criti</w:instrText>
      </w:r>
      <w:r>
        <w:rPr>
          <w:rFonts w:ascii="Arial" w:eastAsia="Times New Roman" w:hAnsi="Arial" w:cs="Arial"/>
          <w:color w:val="000000" w:themeColor="text1"/>
          <w:lang w:val="en-US" w:eastAsia="de-DE"/>
        </w:rPr>
        <w:instrText>cal targets for evolutionary events or disease processes such as tumorigenesis.","author":[{"dropping-particle":"","family":"Potter","given":"Christopher J.","non-dropping-particle":"","parse-names":false,"suffix":""},{"dropping-particle":"","family":"Xu",</w:instrText>
      </w:r>
      <w:r>
        <w:rPr>
          <w:rFonts w:ascii="Arial" w:eastAsia="Times New Roman" w:hAnsi="Arial" w:cs="Arial"/>
          <w:color w:val="000000" w:themeColor="text1"/>
          <w:lang w:val="en-US" w:eastAsia="de-DE"/>
        </w:rPr>
        <w:instrText>"given":"Tian","non-dropping-particle":"","parse-names":false,"suffix":""}],"container-title":"Current Opinion in Genetics &amp; Development","id":"ITEM-1","issue":"3","issued":{"date-parts":[["2001","6","1"]]},"page":"279-286","publisher":"Elsevier Current Tr</w:instrText>
      </w:r>
      <w:r>
        <w:rPr>
          <w:rFonts w:ascii="Arial" w:eastAsia="Times New Roman" w:hAnsi="Arial" w:cs="Arial"/>
          <w:color w:val="000000" w:themeColor="text1"/>
          <w:lang w:val="en-US" w:eastAsia="de-DE"/>
        </w:rPr>
        <w:instrText>ends","title":"Mechanisms of size control","type":"article-journal","volume":"11"},"uris":["http://www.mendeley.com/documents/?uuid=058ddd16-e206-3e37-8de0-7b191fda3853"]},{"id":"ITEM-2","itemData":{"DOI":"10.1016/S0092-8674(00)81462-2","ISSN":"0092-8674",</w:instrText>
      </w:r>
      <w:r>
        <w:rPr>
          <w:rFonts w:ascii="Arial" w:eastAsia="Times New Roman" w:hAnsi="Arial" w:cs="Arial"/>
          <w:color w:val="000000" w:themeColor="text1"/>
          <w:lang w:val="en-US" w:eastAsia="de-DE"/>
        </w:rPr>
        <w:instrText>"PMID":"9657151","abstract":"In most tissues, cell division is coordinated with increases in mass (i.e., growth). To understand this coordination, we altered rates of division in cell clones or compartments of the Drosophila wing and measured the effects o</w:instrText>
      </w:r>
      <w:r>
        <w:rPr>
          <w:rFonts w:ascii="Arial" w:eastAsia="Times New Roman" w:hAnsi="Arial" w:cs="Arial"/>
          <w:color w:val="000000" w:themeColor="text1"/>
          <w:lang w:val="en-US" w:eastAsia="de-DE"/>
        </w:rPr>
        <w:instrText>n growth. Constitute overproduction of the transcriptional regulator dE2F increased expression of the S- and M-phase initiators Cyclin E and String (Cdc25), thereby accelerating cell proliferation. Loss of dE2F or overproduction of its corepressor, RBF, re</w:instrText>
      </w:r>
      <w:r>
        <w:rPr>
          <w:rFonts w:ascii="Arial" w:eastAsia="Times New Roman" w:hAnsi="Arial" w:cs="Arial"/>
          <w:color w:val="000000" w:themeColor="text1"/>
          <w:lang w:val="en-US" w:eastAsia="de-DE"/>
        </w:rPr>
        <w:instrText>tarded cell proliferation. These manipulations altered cell numbers over a 4- to 5-fold range but had little effect on clone or compartment sizes. Instead, changes in cell division rates were offset by changes in cell sizes. We infer that dE2F and RBF func</w:instrText>
      </w:r>
      <w:r>
        <w:rPr>
          <w:rFonts w:ascii="Arial" w:eastAsia="Times New Roman" w:hAnsi="Arial" w:cs="Arial"/>
          <w:color w:val="000000" w:themeColor="text1"/>
          <w:lang w:val="en-US" w:eastAsia="de-DE"/>
        </w:rPr>
        <w:instrText>tion specifically in cell control, and that cell cycle acceleration is insufficient to stimulate growth. Variations in dE2F activity could be used to coordinate cell division with growth.","author":[{"dropping-particle":"","family":"Neufeld","given":"Thoma</w:instrText>
      </w:r>
      <w:r>
        <w:rPr>
          <w:rFonts w:ascii="Arial" w:eastAsia="Times New Roman" w:hAnsi="Arial" w:cs="Arial"/>
          <w:color w:val="000000" w:themeColor="text1"/>
          <w:lang w:val="en-US" w:eastAsia="de-DE"/>
        </w:rPr>
        <w:instrText>s P.","non-dropping-particle":"","parse-names":false,"suffix":""},{"dropping-particle":"","family":"La Cruz","given":"Aida Flor A.","non-dropping-particle":"De","parse-names":false,"suffix":""},{"dropping-particle":"","family":"Johnston","given":"Laura A."</w:instrText>
      </w:r>
      <w:r>
        <w:rPr>
          <w:rFonts w:ascii="Arial" w:eastAsia="Times New Roman" w:hAnsi="Arial" w:cs="Arial"/>
          <w:color w:val="000000" w:themeColor="text1"/>
          <w:lang w:val="en-US" w:eastAsia="de-DE"/>
        </w:rPr>
        <w:instrText>,"non-dropping-particle":"","parse-names":false,"suffix":""},{"dropping-particle":"","family":"Edgar","given":"Bruce A.","non-dropping-particle":"","parse-names":false,"suffix":""}],"container-title":"Cell","id":"ITEM-2","issue":"7","issued":{"date-parts":</w:instrText>
      </w:r>
      <w:r>
        <w:rPr>
          <w:rFonts w:ascii="Arial" w:eastAsia="Times New Roman" w:hAnsi="Arial" w:cs="Arial"/>
          <w:color w:val="000000" w:themeColor="text1"/>
          <w:lang w:val="en-US" w:eastAsia="de-DE"/>
        </w:rPr>
        <w:instrText>[["1998","6","26"]]},"page":"1183-1193","publisher":"Cell Press","title":"Coordination of Growth and Cell Division in the Drosophila Wing","type":"article-journal","volume":"93"},"uris":["http://www.mendeley.com/documents/?uuid=93c061ca-84d4-3866-a892-e139</w:instrText>
      </w:r>
      <w:r>
        <w:rPr>
          <w:rFonts w:ascii="Arial" w:eastAsia="Times New Roman" w:hAnsi="Arial" w:cs="Arial"/>
          <w:color w:val="000000" w:themeColor="text1"/>
          <w:lang w:val="en-US" w:eastAsia="de-DE"/>
        </w:rPr>
        <w:instrText>f109bfa6"]},{"id":"ITEM-3","itemData":{"DOI":"10.1073/PNAS.1115201109/SUPPL_FILE/PNAS.201115201SI.PDF","ISSN":"00278424","PMID":"22355113","abstract":"Cyclin-dependent kinase 1 (Cdk1) is an archetypical kinase and a central regulator that drives cells thro</w:instrText>
      </w:r>
      <w:r>
        <w:rPr>
          <w:rFonts w:ascii="Arial" w:eastAsia="Times New Roman" w:hAnsi="Arial" w:cs="Arial"/>
          <w:color w:val="000000" w:themeColor="text1"/>
          <w:lang w:val="en-US" w:eastAsia="de-DE"/>
        </w:rPr>
        <w:instrText>ugh G2 phase and mitosis. Knockouts of Cdk2, Cdk3, Cdk4, or Cdk6 have resulted in viable mice, but the in vivo functions of Cdk1 have not been fully explored in mammals. Here we have generated a conditional-knockout mouse model to study the functions of Cd</w:instrText>
      </w:r>
      <w:r>
        <w:rPr>
          <w:rFonts w:ascii="Arial" w:eastAsia="Times New Roman" w:hAnsi="Arial" w:cs="Arial"/>
          <w:color w:val="000000" w:themeColor="text1"/>
          <w:lang w:val="en-US" w:eastAsia="de-DE"/>
        </w:rPr>
        <w:instrText>k1 in vivo. Ablation of Cdk1 leads to arrest of embryonic development around the blastocyst stage. Interestingly, liver-specific deletion of Cdk1 is well tolerated, and liver regeneration after partial hepatectomy is not impaired, indicating that regenerat</w:instrText>
      </w:r>
      <w:r>
        <w:rPr>
          <w:rFonts w:ascii="Arial" w:eastAsia="Times New Roman" w:hAnsi="Arial" w:cs="Arial"/>
          <w:color w:val="000000" w:themeColor="text1"/>
          <w:lang w:val="en-US" w:eastAsia="de-DE"/>
        </w:rPr>
        <w:instrText xml:space="preserve">ion can be driven by cell growth without cell division. The loss of Cdk1 does not affect S phase progression but results in DNA re-replication because of an increase in Cdk2/cyclin A2 activity. Unlike other Cdks, loss of Cdk1 in the liver confers complete </w:instrText>
      </w:r>
      <w:r>
        <w:rPr>
          <w:rFonts w:ascii="Arial" w:eastAsia="Times New Roman" w:hAnsi="Arial" w:cs="Arial"/>
          <w:color w:val="000000" w:themeColor="text1"/>
          <w:lang w:val="en-US" w:eastAsia="de-DE"/>
        </w:rPr>
        <w:instrText>resistance against tumorigenesis induced by activated Ras and silencing of p53.","author":[{"dropping-particle":"","family":"Diril","given":"M. Kasim","non-dropping-particle":"","parse-names":false,"suffix":""},{"dropping-particle":"","family":"Ratnacaram"</w:instrText>
      </w:r>
      <w:r>
        <w:rPr>
          <w:rFonts w:ascii="Arial" w:eastAsia="Times New Roman" w:hAnsi="Arial" w:cs="Arial"/>
          <w:color w:val="000000" w:themeColor="text1"/>
          <w:lang w:val="en-US" w:eastAsia="de-DE"/>
        </w:rPr>
        <w:instrText>,"given":"Chandrahas Koumar","non-dropping-particle":"","parse-names":false,"suffix":""},{"dropping-particle":"","family":"Padmakumar","given":"V. C.","non-dropping-particle":"","parse-names":false,"suffix":""},{"dropping-particle":"","family":"Du","given"</w:instrText>
      </w:r>
      <w:r>
        <w:rPr>
          <w:rFonts w:ascii="Arial" w:eastAsia="Times New Roman" w:hAnsi="Arial" w:cs="Arial"/>
          <w:color w:val="000000" w:themeColor="text1"/>
          <w:lang w:val="en-US" w:eastAsia="de-DE"/>
        </w:rPr>
        <w:instrText>:"Tiehua","non-dropping-particle":"","parse-names":false,"suffix":""},{"dropping-particle":"","family":"Wasser","given":"Martin","non-dropping-particle":"","parse-names":false,"suffix":""},{"dropping-particle":"","family":"Coppola","given":"Vincenzo","non-</w:instrText>
      </w:r>
      <w:r>
        <w:rPr>
          <w:rFonts w:ascii="Arial" w:eastAsia="Times New Roman" w:hAnsi="Arial" w:cs="Arial"/>
          <w:color w:val="000000" w:themeColor="text1"/>
          <w:lang w:val="en-US" w:eastAsia="de-DE"/>
        </w:rPr>
        <w:instrText>dropping-particle":"","parse-names":false,"suffix":""},{"dropping-particle":"","family":"Tessarollo","given":"Lino","non-dropping-particle":"","parse-names":false,"suffix":""},{"dropping-particle":"","family":"Kaldis","given":"Philipp","non-dropping-partic</w:instrText>
      </w:r>
      <w:r>
        <w:rPr>
          <w:rFonts w:ascii="Arial" w:eastAsia="Times New Roman" w:hAnsi="Arial" w:cs="Arial"/>
          <w:color w:val="000000" w:themeColor="text1"/>
          <w:lang w:val="en-US" w:eastAsia="de-DE"/>
        </w:rPr>
        <w:instrText>le":"","parse-names":false,"suffix":""}],"container-title":"Proceedings of the National Academy of Sciences of the United States of America","id":"ITEM-3","issue":"10","issued":{"date-parts":[["2012","3","6"]]},"page":"3826-3831","publisher":"National Acad</w:instrText>
      </w:r>
      <w:r>
        <w:rPr>
          <w:rFonts w:ascii="Arial" w:eastAsia="Times New Roman" w:hAnsi="Arial" w:cs="Arial"/>
          <w:color w:val="000000" w:themeColor="text1"/>
          <w:lang w:val="en-US" w:eastAsia="de-DE"/>
        </w:rPr>
        <w:instrText>emy of Sciences","title":"Cyclin-dependent kinase 1 (Cdk1) is essential for cell division and suppression of DNA re-replication but not for liver regeneration","type":"article-journal","volume":"109"},"uris":["http://www.mendeley.com/documents/?uuid=1669a3</w:instrText>
      </w:r>
      <w:r>
        <w:rPr>
          <w:rFonts w:ascii="Arial" w:eastAsia="Times New Roman" w:hAnsi="Arial" w:cs="Arial"/>
          <w:color w:val="000000" w:themeColor="text1"/>
          <w:lang w:val="en-US" w:eastAsia="de-DE"/>
        </w:rPr>
        <w:instrText>71-7957-35f1-bd15-de3e20bc057e"]}],"mendeley":{"formattedCitation":"&lt;sup&gt;173–175&lt;/sup&gt;","plainTextFormattedCitation":"173–175","previouslyFormattedCitation":"&lt;sup&gt;173–175&lt;/sup&gt;"},"properties":{"noteIndex":0},"schema":"https://github.com/citation-style-lang</w:instrText>
      </w:r>
      <w:r>
        <w:rPr>
          <w:rFonts w:ascii="Arial" w:eastAsia="Times New Roman" w:hAnsi="Arial" w:cs="Arial"/>
          <w:color w:val="000000" w:themeColor="text1"/>
          <w:lang w:val="en-US" w:eastAsia="de-DE"/>
        </w:rPr>
        <w:instrText>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173–175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and vice versa</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{"citationItems":[{"id":"ITEM-1","itemData":{"DOI":"10.1002/JEZ.1401000310","ISSN":"1097010X","PMID":"21010861","author":[{"dropping-particle":"","family":"Fankhauser","</w:instrText>
      </w:r>
      <w:r>
        <w:rPr>
          <w:rFonts w:ascii="Arial" w:eastAsia="Times New Roman" w:hAnsi="Arial" w:cs="Arial"/>
          <w:color w:val="000000" w:themeColor="text1"/>
          <w:lang w:val="en-US" w:eastAsia="de-DE"/>
        </w:rPr>
        <w:instrText>given":"G.","non-dropping-particle":"","parse-names":false,"suffix":""}],"container-title":"Journal of Experimental Zoology","id":"ITEM-1","issue":"3","issued":{"date-parts":[["1945"]]},"page":"445-455","title":"Maintenance of normal structure in heteroplo</w:instrText>
      </w:r>
      <w:r>
        <w:rPr>
          <w:rFonts w:ascii="Arial" w:eastAsia="Times New Roman" w:hAnsi="Arial" w:cs="Arial"/>
          <w:color w:val="000000" w:themeColor="text1"/>
          <w:lang w:val="en-US" w:eastAsia="de-DE"/>
        </w:rPr>
        <w:instrText>id salamander larvae, through compensation of changes in cell size by adjustment of cell number and cell shape","type":"article-journal","volume":"100"},"uris":["http://www.mendeley.com/documents/?uuid=777eff10-d99a-3e32-ac71-e98bd70879eb"]}],"mendeley":{"</w:instrText>
      </w:r>
      <w:r>
        <w:rPr>
          <w:rFonts w:ascii="Arial" w:eastAsia="Times New Roman" w:hAnsi="Arial" w:cs="Arial"/>
          <w:color w:val="000000" w:themeColor="text1"/>
          <w:lang w:val="en-US" w:eastAsia="de-DE"/>
        </w:rPr>
        <w:instrText>formattedCitation":"&lt;sup&gt;104&lt;/sup&gt;","plainTextFormattedCitation":"104","previouslyFormattedCitation":"&lt;sup&gt;104&lt;/sup&gt;"},"properties":{"noteIndex":0},"schema":"https://github.com/citation-style-language/schema/raw/master/csl-citation.json"}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104</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t>
      </w:r>
    </w:p>
    <w:p w14:paraId="4BE1488B" w14:textId="77777777" w:rsidR="00066D11" w:rsidRDefault="00E55468">
      <w:pPr>
        <w:spacing w:before="240" w:after="240" w:line="240" w:lineRule="auto"/>
        <w:jc w:val="both"/>
      </w:pPr>
      <w:r>
        <w:rPr>
          <w:noProof/>
          <w:lang w:eastAsia="de-DE"/>
        </w:rPr>
        <w:lastRenderedPageBreak/>
        <w:drawing>
          <wp:inline distT="0" distB="0" distL="0" distR="0" wp14:anchorId="4FFAE527" wp14:editId="6735FA01">
            <wp:extent cx="5731510" cy="5615940"/>
            <wp:effectExtent l="0" t="0" r="0" b="0"/>
            <wp:docPr id="1565082463"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82463" name="Graphic 1565082463"/>
                    <pic:cNvPicPr/>
                  </pic:nvPicPr>
                  <pic:blipFill rotWithShape="1">
                    <a:blip r:embed="rId11">
                      <a:extLst>
                        <a:ext uri="{96DAC541-7B7A-43D3-8B79-37D633B846F1}">
                          <asvg:svgBlip xmlns:asvg="http://schemas.microsoft.com/office/drawing/2016/SVG/main" r:embed="rId12"/>
                        </a:ext>
                      </a:extLst>
                    </a:blip>
                    <a:srcRect t="8930" b="21792"/>
                    <a:stretch/>
                  </pic:blipFill>
                  <pic:spPr bwMode="auto">
                    <a:xfrm>
                      <a:off x="0" y="0"/>
                      <a:ext cx="5731510" cy="5615940"/>
                    </a:xfrm>
                    <a:prstGeom prst="rect">
                      <a:avLst/>
                    </a:prstGeom>
                    <a:ln>
                      <a:noFill/>
                    </a:ln>
                    <a:extLst>
                      <a:ext uri="{53640926-AAD7-44D8-BBD7-CCE9431645EC}">
                        <a14:shadowObscured xmlns:a14="http://schemas.microsoft.com/office/drawing/2010/main"/>
                      </a:ext>
                    </a:extLst>
                  </pic:spPr>
                </pic:pic>
              </a:graphicData>
            </a:graphic>
          </wp:inline>
        </w:drawing>
      </w:r>
    </w:p>
    <w:p w14:paraId="1CA8EB64" w14:textId="77777777" w:rsidR="00066D11" w:rsidRDefault="00E55468">
      <w:pPr>
        <w:spacing w:before="240" w:after="240" w:line="240" w:lineRule="auto"/>
        <w:jc w:val="both"/>
        <w:rPr>
          <w:rFonts w:ascii="Arial" w:eastAsia="Times New Roman" w:hAnsi="Arial" w:cs="Arial"/>
          <w:i/>
          <w:color w:val="000000"/>
          <w:lang w:val="en-US" w:eastAsia="de-DE"/>
        </w:rPr>
      </w:pPr>
      <w:r>
        <w:rPr>
          <w:rFonts w:ascii="Arial" w:eastAsia="Times New Roman" w:hAnsi="Arial" w:cs="Arial"/>
          <w:b/>
          <w:bCs/>
          <w:i/>
          <w:color w:val="000000"/>
          <w:lang w:val="en-US" w:eastAsia="de-DE"/>
        </w:rPr>
        <w:t xml:space="preserve">Fig. 4: </w:t>
      </w:r>
      <w:r>
        <w:rPr>
          <w:rFonts w:ascii="Arial" w:eastAsia="Times New Roman" w:hAnsi="Arial" w:cs="Arial"/>
          <w:i/>
          <w:color w:val="000000"/>
          <w:lang w:val="en-US" w:eastAsia="de-DE"/>
        </w:rPr>
        <w:t>In mammals, cell size varies across different cell types</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CSL_CITATION {"citationItems":[{"id":"ITEM-1","itemData":{"DOI":"10.1073/PNAS.2303077120/SUPPL_FILE/PNAS.2303077120.SD02.XLSX","ISSN":"10916490","PMID":"37722043","abstract":"Cell size a</w:instrText>
      </w:r>
      <w:r>
        <w:rPr>
          <w:rFonts w:ascii="Arial" w:eastAsia="Times New Roman" w:hAnsi="Arial" w:cs="Arial"/>
          <w:i/>
          <w:color w:val="000000"/>
          <w:lang w:val="en-US" w:eastAsia="de-DE"/>
        </w:rPr>
        <w:instrText>nd cell count are adaptively regulated and intimately linked to growth and function. Yet, despite their widespread relevance, the relation between cell size and count has never been formally examined over the whole human body. Here, we compile a comprehens</w:instrText>
      </w:r>
      <w:r>
        <w:rPr>
          <w:rFonts w:ascii="Arial" w:eastAsia="Times New Roman" w:hAnsi="Arial" w:cs="Arial"/>
          <w:i/>
          <w:color w:val="000000"/>
          <w:lang w:val="en-US" w:eastAsia="de-DE"/>
        </w:rPr>
        <w:instrText>ive dataset of cell size and count over all major cell types, with data drawn from &gt;1,500 published sources. We consider the body of a representative male (70 kg), which allows further estimates of a female (60 kg) and 10-y-old child (32 kg). We build a hi</w:instrText>
      </w:r>
      <w:r>
        <w:rPr>
          <w:rFonts w:ascii="Arial" w:eastAsia="Times New Roman" w:hAnsi="Arial" w:cs="Arial"/>
          <w:i/>
          <w:color w:val="000000"/>
          <w:lang w:val="en-US" w:eastAsia="de-DE"/>
        </w:rPr>
        <w:instrText xml:space="preserve">erarchical interface for the cellular organization of the body, giving easy access to data, methods, and sources (https://humancelltreemap.mis.mpg.de/). In total, we estimate total body counts of ≈36 trillion cells in the male, ≈28 trillion in the female, </w:instrText>
      </w:r>
      <w:r>
        <w:rPr>
          <w:rFonts w:ascii="Arial" w:eastAsia="Times New Roman" w:hAnsi="Arial" w:cs="Arial"/>
          <w:i/>
          <w:color w:val="000000"/>
          <w:lang w:val="en-US" w:eastAsia="de-DE"/>
        </w:rPr>
        <w:instrText>and ≈17 trillion in the child. These data reveal a surprising inverse relation between cell size and count, implying a trade-off between these variables, such that all cells within a given logarithmic size class contribute an equal fraction to the body’s t</w:instrText>
      </w:r>
      <w:r>
        <w:rPr>
          <w:rFonts w:ascii="Arial" w:eastAsia="Times New Roman" w:hAnsi="Arial" w:cs="Arial"/>
          <w:i/>
          <w:color w:val="000000"/>
          <w:lang w:val="en-US" w:eastAsia="de-DE"/>
        </w:rPr>
        <w:instrText>otal cellular biomass. We also find that the coefficient of variation is approximately independent of mean cell size, implying the existence of cell-size regulation across cell types. Our data serve to establish a holistic quantitative framework for the ce</w:instrText>
      </w:r>
      <w:r>
        <w:rPr>
          <w:rFonts w:ascii="Arial" w:eastAsia="Times New Roman" w:hAnsi="Arial" w:cs="Arial"/>
          <w:i/>
          <w:color w:val="000000"/>
          <w:lang w:val="en-US" w:eastAsia="de-DE"/>
        </w:rPr>
        <w:instrText>lls of the human body, and highlight large-scale patterns in cell biology.","author":[{"dropping-particle":"","family":"Hatton","given":"Ian A.","non-dropping-particle":"","parse-names":false,"suffix":""},{"dropping-particle":"","family":"Galbraith","given</w:instrText>
      </w:r>
      <w:r>
        <w:rPr>
          <w:rFonts w:ascii="Arial" w:eastAsia="Times New Roman" w:hAnsi="Arial" w:cs="Arial"/>
          <w:i/>
          <w:color w:val="000000"/>
          <w:lang w:val="en-US" w:eastAsia="de-DE"/>
        </w:rPr>
        <w:instrText>":"Eric D.","non-dropping-particle":"","parse-names":false,"suffix":""},{"dropping-particle":"","family":"Merleau","given":"Nono S.C.","non-dropping-particle":"","parse-names":false,"suffix":""},{"dropping-particle":"","family":"Miettinen","given":"Teemu P</w:instrText>
      </w:r>
      <w:r>
        <w:rPr>
          <w:rFonts w:ascii="Arial" w:eastAsia="Times New Roman" w:hAnsi="Arial" w:cs="Arial"/>
          <w:i/>
          <w:color w:val="000000"/>
          <w:lang w:val="en-US" w:eastAsia="de-DE"/>
        </w:rPr>
        <w:instrText>.","non-dropping-particle":"","parse-names":false,"suffix":""},{"dropping-particle":"","family":"Smith","given":"Benjamin Mc Donald","non-dropping-particle":"","parse-names":false,"suffix":""},{"dropping-particle":"","family":"Shander","given":"Jeffery A."</w:instrText>
      </w:r>
      <w:r>
        <w:rPr>
          <w:rFonts w:ascii="Arial" w:eastAsia="Times New Roman" w:hAnsi="Arial" w:cs="Arial"/>
          <w:i/>
          <w:color w:val="000000"/>
          <w:lang w:val="en-US" w:eastAsia="de-DE"/>
        </w:rPr>
        <w:instrText>,"non-dropping-particle":"","parse-names":false,"suffix":""}],"container-title":"Proceedings of the National Academy of Sciences of the United States of America","id":"ITEM-1","issue":"39","issued":{"date-parts":[["2023","9","26"]]},"page":"e2303077120","p</w:instrText>
      </w:r>
      <w:r>
        <w:rPr>
          <w:rFonts w:ascii="Arial" w:eastAsia="Times New Roman" w:hAnsi="Arial" w:cs="Arial"/>
          <w:i/>
          <w:color w:val="000000"/>
          <w:lang w:val="en-US" w:eastAsia="de-DE"/>
        </w:rPr>
        <w:instrText>ublisher":"National Academy of Sciences","title":"The human cell count and size distribution","type":"article-journal","volume":"120"},"uris":["http://www.mendeley.com/documents/?uuid=90fafa6f-2106-38d9-80ef-d197ecc309fd"]}],"mendeley":{"formattedCitation"</w:instrText>
      </w:r>
      <w:r>
        <w:rPr>
          <w:rFonts w:ascii="Arial" w:eastAsia="Times New Roman" w:hAnsi="Arial" w:cs="Arial"/>
          <w:i/>
          <w:color w:val="000000"/>
          <w:lang w:val="en-US" w:eastAsia="de-DE"/>
        </w:rPr>
        <w:instrText>:"&lt;sup&gt;176&lt;/sup&gt;","plainTextFormattedCitation":"176","previouslyFormattedCitation":"&lt;sup&gt;176&lt;/sup&gt;"},"properties":{"noteIndex":0},"schema":"https://github.com/citation-style-language/schema/raw/master/csl-citation.json"}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176</w:t>
      </w:r>
      <w:r>
        <w:rPr>
          <w:rFonts w:ascii="Arial" w:eastAsia="Times New Roman" w:hAnsi="Arial" w:cs="Arial"/>
          <w:i/>
          <w:color w:val="000000"/>
          <w:lang w:val="en-US" w:eastAsia="de-DE"/>
        </w:rPr>
        <w:fldChar w:fldCharType="end"/>
      </w:r>
      <w:r>
        <w:rPr>
          <w:rFonts w:ascii="Arial" w:eastAsia="Times New Roman" w:hAnsi="Arial" w:cs="Arial"/>
          <w:i/>
          <w:color w:val="000000"/>
          <w:lang w:val="en-US" w:eastAsia="de-DE"/>
        </w:rPr>
        <w:t xml:space="preserve">, potentially to aid specific </w:t>
      </w:r>
      <w:r>
        <w:rPr>
          <w:rFonts w:ascii="Arial" w:eastAsia="Times New Roman" w:hAnsi="Arial" w:cs="Arial"/>
          <w:i/>
          <w:color w:val="000000"/>
          <w:lang w:val="en-US" w:eastAsia="de-DE"/>
        </w:rPr>
        <w:t>cell functions. Cell types where cell size has been correlated with cell function include sperm</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CSL_CITATION {"citationItems":[{"id":"ITEM-1","itemData":{"DOI":"10.1098/RSBL.2009.1027","ISSN":"1744957X","PMID":"20147311","abstract":"Evolutionary biolo</w:instrText>
      </w:r>
      <w:r>
        <w:rPr>
          <w:rFonts w:ascii="Arial" w:eastAsia="Times New Roman" w:hAnsi="Arial" w:cs="Arial"/>
          <w:i/>
          <w:color w:val="000000"/>
          <w:lang w:val="en-US" w:eastAsia="de-DE"/>
        </w:rPr>
        <w:instrText>gists have argued that there should be a positive relationship between sperm size and sperm velocity, and that these traits influence a male's sperm competitiveness. However, comp...","author":[{"dropping-particle":"","family":"Firman","given":"Renée C.","</w:instrText>
      </w:r>
      <w:r>
        <w:rPr>
          <w:rFonts w:ascii="Arial" w:eastAsia="Times New Roman" w:hAnsi="Arial" w:cs="Arial"/>
          <w:i/>
          <w:color w:val="000000"/>
          <w:lang w:val="en-US" w:eastAsia="de-DE"/>
        </w:rPr>
        <w:instrText>non-dropping-particle":"","parse-names":false,"suffix":""},{"dropping-particle":"","family":"Simmons","given":"Leigh W.","non-dropping-particle":"","parse-names":false,"suffix":""}],"container-title":"Biology Letters","id":"ITEM-1","issue":"4","issued":{"d</w:instrText>
      </w:r>
      <w:r>
        <w:rPr>
          <w:rFonts w:ascii="Arial" w:eastAsia="Times New Roman" w:hAnsi="Arial" w:cs="Arial"/>
          <w:i/>
          <w:color w:val="000000"/>
          <w:lang w:val="en-US" w:eastAsia="de-DE"/>
        </w:rPr>
        <w:instrText>ate-parts":[["2010","8","23"]]},"page":"513-516","publisher":"\nThe Royal Society\n","title":"Sperm midpiece length predicts sperm swimming velocity in house mice","type":"article-journal","volume":"6"},"uris":["http://www.mendeley.com/documents/?uuid=f793</w:instrText>
      </w:r>
      <w:r>
        <w:rPr>
          <w:rFonts w:ascii="Arial" w:eastAsia="Times New Roman" w:hAnsi="Arial" w:cs="Arial"/>
          <w:i/>
          <w:color w:val="000000"/>
          <w:lang w:val="en-US" w:eastAsia="de-DE"/>
        </w:rPr>
        <w:instrText>2875-196e-3b64-9676-afc7e77b3fd7"]}],"mendeley":{"formattedCitation":"&lt;sup&gt;177&lt;/sup&gt;","plainTextFormattedCitation":"177","previouslyFormattedCitation":"&lt;sup&gt;177&lt;/sup&gt;"},"properties":{"noteIndex":0},"schema":"https://github.com/citation-style-language/schem</w:instrText>
      </w:r>
      <w:r>
        <w:rPr>
          <w:rFonts w:ascii="Arial" w:eastAsia="Times New Roman" w:hAnsi="Arial" w:cs="Arial"/>
          <w:i/>
          <w:color w:val="000000"/>
          <w:lang w:val="en-US" w:eastAsia="de-DE"/>
        </w:rPr>
        <w:instrText>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177</w:t>
      </w:r>
      <w:r>
        <w:rPr>
          <w:rFonts w:ascii="Arial" w:eastAsia="Times New Roman" w:hAnsi="Arial" w:cs="Arial"/>
          <w:i/>
          <w:color w:val="000000"/>
          <w:lang w:val="en-US" w:eastAsia="de-DE"/>
        </w:rPr>
        <w:fldChar w:fldCharType="end"/>
      </w:r>
      <w:r>
        <w:rPr>
          <w:rFonts w:ascii="Arial" w:eastAsia="Times New Roman" w:hAnsi="Arial" w:cs="Arial"/>
          <w:i/>
          <w:color w:val="000000"/>
          <w:lang w:val="en-US" w:eastAsia="de-DE"/>
        </w:rPr>
        <w:t>, hematopoietic stem cells</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CSL_CITATION {"citationItems":[{"id":"ITEM-1","itemData":{"DOI":"10.1126/SCIADV.ABK0271/SUPPL_FILE/SCIADV.ABK0271_TABLES_S1_TO_S3.ZIP","ISSN":"23752548","PMID":"34767451","abstract":"Ste</w:instrText>
      </w:r>
      <w:r>
        <w:rPr>
          <w:rFonts w:ascii="Arial" w:eastAsia="Times New Roman" w:hAnsi="Arial" w:cs="Arial"/>
          <w:i/>
          <w:color w:val="000000"/>
          <w:lang w:val="en-US" w:eastAsia="de-DE"/>
        </w:rPr>
        <w:instrText>m cells are remarkably small. Whether small size is important for stem cell function is unknown. We find that hematopoietic stem cells (HSCs) enlarge under conditions known to decrease stem cell function. This decreased fitness of large HSCs is due to redu</w:instrText>
      </w:r>
      <w:r>
        <w:rPr>
          <w:rFonts w:ascii="Arial" w:eastAsia="Times New Roman" w:hAnsi="Arial" w:cs="Arial"/>
          <w:i/>
          <w:color w:val="000000"/>
          <w:lang w:val="en-US" w:eastAsia="de-DE"/>
        </w:rPr>
        <w:instrText>ced proliferation and was accompanied by altered metabolism. Preventing HSC enlargement or reducing large HSCs in size averts the loss of stem cell potential under conditions causing stem cell exhaustion. Last, we show that murine and human HSCs enlarge du</w:instrText>
      </w:r>
      <w:r>
        <w:rPr>
          <w:rFonts w:ascii="Arial" w:eastAsia="Times New Roman" w:hAnsi="Arial" w:cs="Arial"/>
          <w:i/>
          <w:color w:val="000000"/>
          <w:lang w:val="en-US" w:eastAsia="de-DE"/>
        </w:rPr>
        <w:instrText>ring aging. Preventing this age-dependent enlargement improves HSC function. We conclude that small cell size is important for stem cell function in vivo and propose that stem cell enlargement contributes to their functional decline during aging.","author"</w:instrText>
      </w:r>
      <w:r>
        <w:rPr>
          <w:rFonts w:ascii="Arial" w:eastAsia="Times New Roman" w:hAnsi="Arial" w:cs="Arial"/>
          <w:i/>
          <w:color w:val="000000"/>
          <w:lang w:val="en-US" w:eastAsia="de-DE"/>
        </w:rPr>
        <w:instrText>:[{"dropping-particle":"","family":"Lengefeld","given":"Jette","non-dropping-particle":"","parse-names":false,"suffix":""},{"dropping-particle":"","family":"Cheng","given":"Chia Wei","non-dropping-particle":"","parse-names":false,"suffix":""},{"dropping-pa</w:instrText>
      </w:r>
      <w:r>
        <w:rPr>
          <w:rFonts w:ascii="Arial" w:eastAsia="Times New Roman" w:hAnsi="Arial" w:cs="Arial"/>
          <w:i/>
          <w:color w:val="000000"/>
          <w:lang w:val="en-US" w:eastAsia="de-DE"/>
        </w:rPr>
        <w:instrText>rticle":"","family":"Maretich","given":"Pema","non-dropping-particle":"","parse-names":false,"suffix":""},{"dropping-particle":"","family":"Blair","given":"Marguerite","non-dropping-particle":"","parse-names":false,"suffix":""},{"dropping-particle":"","fam</w:instrText>
      </w:r>
      <w:r>
        <w:rPr>
          <w:rFonts w:ascii="Arial" w:eastAsia="Times New Roman" w:hAnsi="Arial" w:cs="Arial"/>
          <w:i/>
          <w:color w:val="000000"/>
          <w:lang w:val="en-US" w:eastAsia="de-DE"/>
        </w:rPr>
        <w:instrText>ily":"Hagen","given":"Hannah","non-dropping-particle":"","parse-names":false,"suffix":""},{"dropping-particle":"","family":"McReynolds","given":"Melanie R.","non-dropping-particle":"","parse-names":false,"suffix":""},{"dropping-particle":"","family":"Sulli</w:instrText>
      </w:r>
      <w:r>
        <w:rPr>
          <w:rFonts w:ascii="Arial" w:eastAsia="Times New Roman" w:hAnsi="Arial" w:cs="Arial"/>
          <w:i/>
          <w:color w:val="000000"/>
          <w:lang w:val="en-US" w:eastAsia="de-DE"/>
        </w:rPr>
        <w:instrText>van","given":"Emily","non-dropping-particle":"","parse-names":false,"suffix":""},{"dropping-particle":"","family":"Majors","given":"Kyra","non-dropping-particle":"","parse-names":false,"suffix":""},{"dropping-particle":"","family":"Roberts","given":"Christ</w:instrText>
      </w:r>
      <w:r>
        <w:rPr>
          <w:rFonts w:ascii="Arial" w:eastAsia="Times New Roman" w:hAnsi="Arial" w:cs="Arial"/>
          <w:i/>
          <w:color w:val="000000"/>
          <w:lang w:val="en-US" w:eastAsia="de-DE"/>
        </w:rPr>
        <w:instrText>ina","non-dropping-particle":"","parse-names":false,"suffix":""},{"dropping-particle":"","family":"Kang","given":"Joon Ho","non-dropping-particle":"","parse-names":false,"suffix":""},{"dropping-particle":"","family":"Steiner","given":"Joachim D.","non-drop</w:instrText>
      </w:r>
      <w:r>
        <w:rPr>
          <w:rFonts w:ascii="Arial" w:eastAsia="Times New Roman" w:hAnsi="Arial" w:cs="Arial"/>
          <w:i/>
          <w:color w:val="000000"/>
          <w:lang w:val="en-US" w:eastAsia="de-DE"/>
        </w:rPr>
        <w:instrText>ping-particle":"","parse-names":false,"suffix":""},{"dropping-particle":"","family":"Miettinen","given":"Teemu P.","non-dropping-particle":"","parse-names":false,"suffix":""},{"dropping-particle":"","family":"Manalis","given":"Scott R.","non-dropping-parti</w:instrText>
      </w:r>
      <w:r>
        <w:rPr>
          <w:rFonts w:ascii="Arial" w:eastAsia="Times New Roman" w:hAnsi="Arial" w:cs="Arial"/>
          <w:i/>
          <w:color w:val="000000"/>
          <w:lang w:val="en-US" w:eastAsia="de-DE"/>
        </w:rPr>
        <w:instrText>cle":"","parse-names":false,"suffix":""},{"dropping-particle":"","family":"Antebi","given":"Adam","non-dropping-particle":"","parse-names":false,"suffix":""},{"dropping-particle":"","family":"Morrison","given":"Sean J.","non-dropping-particle":"","parse-na</w:instrText>
      </w:r>
      <w:r>
        <w:rPr>
          <w:rFonts w:ascii="Arial" w:eastAsia="Times New Roman" w:hAnsi="Arial" w:cs="Arial"/>
          <w:i/>
          <w:color w:val="000000"/>
          <w:lang w:val="en-US" w:eastAsia="de-DE"/>
        </w:rPr>
        <w:instrText>mes":false,"suffix":""},{"dropping-particle":"","family":"Lees","given":"Jacqueline A.","non-dropping-particle":"","parse-names":false,"suffix":""},{"dropping-particle":"","family":"Boyer","given":"Laurie A.","non-dropping-particle":"","parse-names":false,</w:instrText>
      </w:r>
      <w:r>
        <w:rPr>
          <w:rFonts w:ascii="Arial" w:eastAsia="Times New Roman" w:hAnsi="Arial" w:cs="Arial"/>
          <w:i/>
          <w:color w:val="000000"/>
          <w:lang w:val="en-US" w:eastAsia="de-DE"/>
        </w:rPr>
        <w:instrText>"suffix":""},{"dropping-particle":"","family":"Yilmaz","given":"Ömer H.","non-dropping-particle":"","parse-names":false,"suffix":""},{"dropping-particle":"","family":"Amon","given":"Angelika","non-dropping-particle":"","parse-names":false,"suffix":""}],"co</w:instrText>
      </w:r>
      <w:r>
        <w:rPr>
          <w:rFonts w:ascii="Arial" w:eastAsia="Times New Roman" w:hAnsi="Arial" w:cs="Arial"/>
          <w:i/>
          <w:color w:val="000000"/>
          <w:lang w:val="en-US" w:eastAsia="de-DE"/>
        </w:rPr>
        <w:instrText>ntainer-title":"Science Advances","id":"ITEM-1","issue":"46","issued":{"date-parts":[["2021","11","1"]]},"page":"271","publisher":"American Association for the Advancement of Science","title":"Cell size is a determinant of stem cell potential during aging"</w:instrText>
      </w:r>
      <w:r>
        <w:rPr>
          <w:rFonts w:ascii="Arial" w:eastAsia="Times New Roman" w:hAnsi="Arial" w:cs="Arial"/>
          <w:i/>
          <w:color w:val="000000"/>
          <w:lang w:val="en-US" w:eastAsia="de-DE"/>
        </w:rPr>
        <w:instrText>,"type":"article-journal","volume":"7"},"uris":["http://www.mendeley.com/documents/?uuid=c34cdf40-a099-3fc7-a713-f26e7defa245"]}],"mendeley":{"formattedCitation":"&lt;sup&gt;11&lt;/sup&gt;","plainTextFormattedCitation":"11","previouslyFormattedCitation":"&lt;sup&gt;11&lt;/sup&gt;</w:instrText>
      </w:r>
      <w:r>
        <w:rPr>
          <w:rFonts w:ascii="Arial" w:eastAsia="Times New Roman" w:hAnsi="Arial" w:cs="Arial"/>
          <w:i/>
          <w:color w:val="000000"/>
          <w:lang w:val="en-US" w:eastAsia="de-DE"/>
        </w:rPr>
        <w:instrText>"},"properties":{"noteIndex":0},"schema":"https://github.com/citation-style-language/schema/raw/master/csl-citation.json"}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11</w:t>
      </w:r>
      <w:r>
        <w:rPr>
          <w:rFonts w:ascii="Arial" w:eastAsia="Times New Roman" w:hAnsi="Arial" w:cs="Arial"/>
          <w:i/>
          <w:color w:val="000000"/>
          <w:lang w:val="en-US" w:eastAsia="de-DE"/>
        </w:rPr>
        <w:fldChar w:fldCharType="end"/>
      </w:r>
      <w:r>
        <w:rPr>
          <w:rFonts w:ascii="Arial" w:eastAsia="Times New Roman" w:hAnsi="Arial" w:cs="Arial"/>
          <w:i/>
          <w:color w:val="000000"/>
          <w:lang w:val="en-US" w:eastAsia="de-DE"/>
        </w:rPr>
        <w:t>, kidney epithelial cells</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CSL_CITATION {"citationItems":[{"id":"ITEM-1","itemData":{"DOI":"10.1038/ncb2117","ISSN":"1476-467</w:instrText>
      </w:r>
      <w:r>
        <w:rPr>
          <w:rFonts w:ascii="Arial" w:eastAsia="Times New Roman" w:hAnsi="Arial" w:cs="Arial"/>
          <w:i/>
          <w:color w:val="000000"/>
          <w:lang w:val="en-US" w:eastAsia="de-DE"/>
        </w:rPr>
        <w:instrText>9","PMID":"20972424","abstract":"The mTOR pathway is a well-known regulator of cell size, and deregulation of mTOR has been observed in cilia-related diseases. Cilia modulate cell size by restricting LKB-1-mediated activation of AMPK to the basal body, whi</w:instrText>
      </w:r>
      <w:r>
        <w:rPr>
          <w:rFonts w:ascii="Arial" w:eastAsia="Times New Roman" w:hAnsi="Arial" w:cs="Arial"/>
          <w:i/>
          <w:color w:val="000000"/>
          <w:lang w:val="en-US" w:eastAsia="de-DE"/>
        </w:rPr>
        <w:instrText>ch subsequently affects mTOR signalling. The mTOR pathway is the central regulator of cell size1. External signals from growth factors and nutrients converge on the mTORC1 multi-protein complex to modulate downstream targets, but how the different inputs a</w:instrText>
      </w:r>
      <w:r>
        <w:rPr>
          <w:rFonts w:ascii="Arial" w:eastAsia="Times New Roman" w:hAnsi="Arial" w:cs="Arial"/>
          <w:i/>
          <w:color w:val="000000"/>
          <w:lang w:val="en-US" w:eastAsia="de-DE"/>
        </w:rPr>
        <w:instrText>re integrated and translated into specific cellular responses is incompletely understood2,3,4. Deregulation of the mTOR pathway occurs in polycystic kidney disease (PKD)5,6,7, where cilia (filiform sensory organelles) fail to sense urine flow because of in</w:instrText>
      </w:r>
      <w:r>
        <w:rPr>
          <w:rFonts w:ascii="Arial" w:eastAsia="Times New Roman" w:hAnsi="Arial" w:cs="Arial"/>
          <w:i/>
          <w:color w:val="000000"/>
          <w:lang w:val="en-US" w:eastAsia="de-DE"/>
        </w:rPr>
        <w:instrText xml:space="preserve">herited mutations in ciliary proteins8. We therefore investigated if cilia have a role in mTOR regulation. Here, we show that ablation of cilia in transgenic mice results in enlarged cells when compared with control animals. In vitro analysis demonstrated </w:instrText>
      </w:r>
      <w:r>
        <w:rPr>
          <w:rFonts w:ascii="Arial" w:eastAsia="Times New Roman" w:hAnsi="Arial" w:cs="Arial"/>
          <w:i/>
          <w:color w:val="000000"/>
          <w:lang w:val="en-US" w:eastAsia="de-DE"/>
        </w:rPr>
        <w:instrText xml:space="preserve">that bending of the cilia by flow is required for mTOR downregulation and cell-size control. Surprisingly, regulation of cell size by cilia is independent of flow-induced calcium transients, or Akt. However, the tumour-suppressor protein Lkb1 localises in </w:instrText>
      </w:r>
      <w:r>
        <w:rPr>
          <w:rFonts w:ascii="Arial" w:eastAsia="Times New Roman" w:hAnsi="Arial" w:cs="Arial"/>
          <w:i/>
          <w:color w:val="000000"/>
          <w:lang w:val="en-US" w:eastAsia="de-DE"/>
        </w:rPr>
        <w:instrText>the cilium, and flow results in increased AMPK phosphorylation at the basal body. Conversely, knockdown of Lkb1 prevents normal cell-size regulation under flow conditions. Our results demonstrate that the cilium regulates mTOR signalling and cell size, and</w:instrText>
      </w:r>
      <w:r>
        <w:rPr>
          <w:rFonts w:ascii="Arial" w:eastAsia="Times New Roman" w:hAnsi="Arial" w:cs="Arial"/>
          <w:i/>
          <w:color w:val="000000"/>
          <w:lang w:val="en-US" w:eastAsia="de-DE"/>
        </w:rPr>
        <w:instrText xml:space="preserve"> identify the cilium-basal body compartment as a spatially restricted activation site for Lkb1 signalling.","author":[{"dropping-particle":"","family":"Boehlke","given":"Christopher","non-dropping-particle":"","parse-names":false,"suffix":""},{"dropping-pa</w:instrText>
      </w:r>
      <w:r>
        <w:rPr>
          <w:rFonts w:ascii="Arial" w:eastAsia="Times New Roman" w:hAnsi="Arial" w:cs="Arial"/>
          <w:i/>
          <w:color w:val="000000"/>
          <w:lang w:val="en-US" w:eastAsia="de-DE"/>
        </w:rPr>
        <w:instrText>rticle":"","family":"Kotsis","given":"Fruzsina","non-dropping-particle":"","parse-names":false,"suffix":""},{"dropping-particle":"","family":"Patel","given":"Vishal","non-dropping-particle":"","parse-names":false,"suffix":""},{"dropping-particle":"","famil</w:instrText>
      </w:r>
      <w:r>
        <w:rPr>
          <w:rFonts w:ascii="Arial" w:eastAsia="Times New Roman" w:hAnsi="Arial" w:cs="Arial"/>
          <w:i/>
          <w:color w:val="000000"/>
          <w:lang w:val="en-US" w:eastAsia="de-DE"/>
        </w:rPr>
        <w:instrText>y":"Braeg","given":"Simone","non-dropping-particle":"","parse-names":false,"suffix":""},{"dropping-particle":"","family":"Voelker","given":"Henriette","non-dropping-particle":"","parse-names":false,"suffix":""},{"dropping-particle":"","family":"Bredt","giv</w:instrText>
      </w:r>
      <w:r>
        <w:rPr>
          <w:rFonts w:ascii="Arial" w:eastAsia="Times New Roman" w:hAnsi="Arial" w:cs="Arial"/>
          <w:i/>
          <w:color w:val="000000"/>
          <w:lang w:val="en-US" w:eastAsia="de-DE"/>
        </w:rPr>
        <w:instrText>en":"Saskia","non-dropping-particle":"","parse-names":false,"suffix":""},{"dropping-particle":"","family":"Beyer","given":"Theresa","non-dropping-particle":"","parse-names":false,"suffix":""},{"dropping-particle":"","family":"Janusch","given":"Heike","non-</w:instrText>
      </w:r>
      <w:r>
        <w:rPr>
          <w:rFonts w:ascii="Arial" w:eastAsia="Times New Roman" w:hAnsi="Arial" w:cs="Arial"/>
          <w:i/>
          <w:color w:val="000000"/>
          <w:lang w:val="en-US" w:eastAsia="de-DE"/>
        </w:rPr>
        <w:instrText>dropping-particle":"","parse-names":false,"suffix":""},{"dropping-particle":"","family":"Hamann","given":"Christoph","non-dropping-particle":"","parse-names":false,"suffix":""},{"dropping-particle":"","family":"Gödel","given":"Markus","non-dropping-particl</w:instrText>
      </w:r>
      <w:r>
        <w:rPr>
          <w:rFonts w:ascii="Arial" w:eastAsia="Times New Roman" w:hAnsi="Arial" w:cs="Arial"/>
          <w:i/>
          <w:color w:val="000000"/>
          <w:lang w:val="en-US" w:eastAsia="de-DE"/>
        </w:rPr>
        <w:instrText>e":"","parse-names":false,"suffix":""},{"dropping-particle":"","family":"Müller","given":"Klaus","non-dropping-particle":"","parse-names":false,"suffix":""},{"dropping-particle":"","family":"Herbst","given":"Martin","non-dropping-particle":"","parse-names"</w:instrText>
      </w:r>
      <w:r>
        <w:rPr>
          <w:rFonts w:ascii="Arial" w:eastAsia="Times New Roman" w:hAnsi="Arial" w:cs="Arial"/>
          <w:i/>
          <w:color w:val="000000"/>
          <w:lang w:val="en-US" w:eastAsia="de-DE"/>
        </w:rPr>
        <w:instrText>:false,"suffix":""},{"dropping-particle":"","family":"Hornung","given":"Miriam","non-dropping-particle":"","parse-names":false,"suffix":""},{"dropping-particle":"","family":"Doerken","given":"Mara","non-dropping-particle":"","parse-names":false,"suffix":""</w:instrText>
      </w:r>
      <w:r>
        <w:rPr>
          <w:rFonts w:ascii="Arial" w:eastAsia="Times New Roman" w:hAnsi="Arial" w:cs="Arial"/>
          <w:i/>
          <w:color w:val="000000"/>
          <w:lang w:val="en-US" w:eastAsia="de-DE"/>
        </w:rPr>
        <w:instrText>},{"dropping-particle":"","family":"Köttgen","given":"Michael","non-dropping-particle":"","parse-names":false,"suffix":""},{"dropping-particle":"","family":"Nitschke","given":"Roland","non-dropping-particle":"","parse-names":false,"suffix":""},{"dropping-p</w:instrText>
      </w:r>
      <w:r>
        <w:rPr>
          <w:rFonts w:ascii="Arial" w:eastAsia="Times New Roman" w:hAnsi="Arial" w:cs="Arial"/>
          <w:i/>
          <w:color w:val="000000"/>
          <w:lang w:val="en-US" w:eastAsia="de-DE"/>
        </w:rPr>
        <w:instrText>article":"","family":"Igarashi","given":"Peter","non-dropping-particle":"","parse-names":false,"suffix":""},{"dropping-particle":"","family":"Walz","given":"Gerd","non-dropping-particle":"","parse-names":false,"suffix":""},{"dropping-particle":"","family":</w:instrText>
      </w:r>
      <w:r>
        <w:rPr>
          <w:rFonts w:ascii="Arial" w:eastAsia="Times New Roman" w:hAnsi="Arial" w:cs="Arial"/>
          <w:i/>
          <w:color w:val="000000"/>
          <w:lang w:val="en-US" w:eastAsia="de-DE"/>
        </w:rPr>
        <w:instrText>"Kuehn","given":"E. Wolfgang","non-dropping-particle":"","parse-names":false,"suffix":""}],"container-title":"Nature Cell Biology 2010 12:11","id":"ITEM-1","issue":"11","issued":{"date-parts":[["2010","10","24"]]},"page":"1115-1122","publisher":"Nature Pub</w:instrText>
      </w:r>
      <w:r>
        <w:rPr>
          <w:rFonts w:ascii="Arial" w:eastAsia="Times New Roman" w:hAnsi="Arial" w:cs="Arial"/>
          <w:i/>
          <w:color w:val="000000"/>
          <w:lang w:val="en-US" w:eastAsia="de-DE"/>
        </w:rPr>
        <w:instrText>lishing Group","title":"Primary cilia regulate mTORC1 activity and cell size through Lkb1","type":"article-journal","volume":"12"},"uris":["http://www.mendeley.com/documents/?uuid=fbde191f-3d2a-33df-b9ed-6fc3215b537e"]},{"id":"ITEM-2","itemData":{"DOI":"10</w:instrText>
      </w:r>
      <w:r>
        <w:rPr>
          <w:rFonts w:ascii="Arial" w:eastAsia="Times New Roman" w:hAnsi="Arial" w:cs="Arial"/>
          <w:i/>
          <w:color w:val="000000"/>
          <w:lang w:val="en-US" w:eastAsia="de-DE"/>
        </w:rPr>
        <w:instrText>.1016/j.cell.2013.08.053","ISBN":"1097-4172 (Electronic)\\r0092-8674 (Linking)","ISSN":"1097-4172","PMID":"24034244","abstract":"An adult animal consists of cells of vastly different size and activity, but the regulation of cell size remains poorly underst</w:instrText>
      </w:r>
      <w:r>
        <w:rPr>
          <w:rFonts w:ascii="Arial" w:eastAsia="Times New Roman" w:hAnsi="Arial" w:cs="Arial"/>
          <w:i/>
          <w:color w:val="000000"/>
          <w:lang w:val="en-US" w:eastAsia="de-DE"/>
        </w:rPr>
        <w:instrText>ood. Recent studies uncovering some of the signaling pathways important for size/growth control, together with the identification of diseases resulting from aberrations in these pathways, have renewed interest in this field. This Review will discuss our cu</w:instrText>
      </w:r>
      <w:r>
        <w:rPr>
          <w:rFonts w:ascii="Arial" w:eastAsia="Times New Roman" w:hAnsi="Arial" w:cs="Arial"/>
          <w:i/>
          <w:color w:val="000000"/>
          <w:lang w:val="en-US" w:eastAsia="de-DE"/>
        </w:rPr>
        <w:instrText>rrent understanding of how a cell sets its size, how it can adapt its size to a changing environment, and how these processes are relevant to human disease.","author":[{"dropping-particle":"","family":"Lloyd","given":"Alison C","non-dropping-particle":"","</w:instrText>
      </w:r>
      <w:r>
        <w:rPr>
          <w:rFonts w:ascii="Arial" w:eastAsia="Times New Roman" w:hAnsi="Arial" w:cs="Arial"/>
          <w:i/>
          <w:color w:val="000000"/>
          <w:lang w:val="en-US" w:eastAsia="de-DE"/>
        </w:rPr>
        <w:instrText>parse-names":false,"suffix":""}],"container-title":"Cell","id":"ITEM-2","issue":"6","issued":{"date-parts":[["2013"]]},"page":"1194-205","title":"The regulation of cell size.","type":"article-journal","volume":"154"},"uris":["http://www.mendeley.com/docume</w:instrText>
      </w:r>
      <w:r>
        <w:rPr>
          <w:rFonts w:ascii="Arial" w:eastAsia="Times New Roman" w:hAnsi="Arial" w:cs="Arial"/>
          <w:i/>
          <w:color w:val="000000"/>
          <w:lang w:val="en-US" w:eastAsia="de-DE"/>
        </w:rPr>
        <w:instrText>nts/?uuid=7448e0fc-e550-45fd-8963-bd0b7ff1b03d"]},{"id":"ITEM-3","itemData":{"DOI":"10.1007/S00467-013-2581-X/FIGURES/2","ISSN":"0931041X","PMID":"23974984","abstract":"The main functions of the kidney are to excrete metabolic waste products and actively r</w:instrText>
      </w:r>
      <w:r>
        <w:rPr>
          <w:rFonts w:ascii="Arial" w:eastAsia="Times New Roman" w:hAnsi="Arial" w:cs="Arial"/>
          <w:i/>
          <w:color w:val="000000"/>
          <w:lang w:val="en-US" w:eastAsia="de-DE"/>
        </w:rPr>
        <w:instrText>eabsorb essential molecules such as amino acids, ions, glucose and water. In humans, a wide range of genetic disorders exist characterized by wasting of metabolically important compounds. At the cellular level, more than 20 highly specialized renal epithel</w:instrText>
      </w:r>
      <w:r>
        <w:rPr>
          <w:rFonts w:ascii="Arial" w:eastAsia="Times New Roman" w:hAnsi="Arial" w:cs="Arial"/>
          <w:i/>
          <w:color w:val="000000"/>
          <w:lang w:val="en-US" w:eastAsia="de-DE"/>
        </w:rPr>
        <w:instrText>ial cell types located in different segments of the nephron contribute to the reabsorption process. In particular, proximal tubular cells play a crucial role and are uniquely adapted to maximize reabsorption efficiency. They accommodate high numbers of tra</w:instrText>
      </w:r>
      <w:r>
        <w:rPr>
          <w:rFonts w:ascii="Arial" w:eastAsia="Times New Roman" w:hAnsi="Arial" w:cs="Arial"/>
          <w:i/>
          <w:color w:val="000000"/>
          <w:lang w:val="en-US" w:eastAsia="de-DE"/>
        </w:rPr>
        <w:instrText>nsporters and channels by increasing the apical surface area in contact with the primary filtrate by forming a brush border as well as undergoing hypertrophy and hyperplasia. This adaptation is evolutionarily conserved and is detected in the primitive pron</w:instrText>
      </w:r>
      <w:r>
        <w:rPr>
          <w:rFonts w:ascii="Arial" w:eastAsia="Times New Roman" w:hAnsi="Arial" w:cs="Arial"/>
          <w:i/>
          <w:color w:val="000000"/>
          <w:lang w:val="en-US" w:eastAsia="de-DE"/>
        </w:rPr>
        <w:instrText xml:space="preserve">ephric kidney of fish and amphibians as well as the metanephric kidney of higher vertebrates. Surprisingly, signaling pathways regulating these three processes have remained largely unknown. Here we summarize recent studies that highlight the early phases </w:instrText>
      </w:r>
      <w:r>
        <w:rPr>
          <w:rFonts w:ascii="Arial" w:eastAsia="Times New Roman" w:hAnsi="Arial" w:cs="Arial"/>
          <w:i/>
          <w:color w:val="000000"/>
          <w:lang w:val="en-US" w:eastAsia="de-DE"/>
        </w:rPr>
        <w:instrText>of kidney development as a critical juncture in establishing proximal tubule size. © 2013 IPNA.","author":[{"dropping-particle":"","family":"Wessely","given":"Oliver","non-dropping-particle":"","parse-names":false,"suffix":""},{"dropping-particle":"","fami</w:instrText>
      </w:r>
      <w:r>
        <w:rPr>
          <w:rFonts w:ascii="Arial" w:eastAsia="Times New Roman" w:hAnsi="Arial" w:cs="Arial"/>
          <w:i/>
          <w:color w:val="000000"/>
          <w:lang w:val="en-US" w:eastAsia="de-DE"/>
        </w:rPr>
        <w:instrText>ly":"Cerqueira","given":"Débora M.","non-dropping-particle":"","parse-names":false,"suffix":""},{"dropping-particle":"","family":"Tran","given":"Uyen","non-dropping-particle":"","parse-names":false,"suffix":""},{"dropping-particle":"","family":"Kumar","giv</w:instrText>
      </w:r>
      <w:r>
        <w:rPr>
          <w:rFonts w:ascii="Arial" w:eastAsia="Times New Roman" w:hAnsi="Arial" w:cs="Arial"/>
          <w:i/>
          <w:color w:val="000000"/>
          <w:lang w:val="en-US" w:eastAsia="de-DE"/>
        </w:rPr>
        <w:instrText>en":"Vikash","non-dropping-particle":"","parse-names":false,"suffix":""},{"dropping-particle":"","family":"Hassey","given":"Jessie M.","non-dropping-particle":"","parse-names":false,"suffix":""},{"dropping-particle":"","family":"Romaker","given":"Daniel","</w:instrText>
      </w:r>
      <w:r>
        <w:rPr>
          <w:rFonts w:ascii="Arial" w:eastAsia="Times New Roman" w:hAnsi="Arial" w:cs="Arial"/>
          <w:i/>
          <w:color w:val="000000"/>
          <w:lang w:val="en-US" w:eastAsia="de-DE"/>
        </w:rPr>
        <w:instrText>non-dropping-particle":"","parse-names":false,"suffix":""}],"container-title":"Pediatric Nephrology","id":"ITEM-3","issue":"4","issued":{"date-parts":[["2014","4","22"]]},"page":"525-530","publisher":"Springer","title":"The bigger the better: Determining n</w:instrText>
      </w:r>
      <w:r>
        <w:rPr>
          <w:rFonts w:ascii="Arial" w:eastAsia="Times New Roman" w:hAnsi="Arial" w:cs="Arial"/>
          <w:i/>
          <w:color w:val="000000"/>
          <w:lang w:val="en-US" w:eastAsia="de-DE"/>
        </w:rPr>
        <w:instrText>ephron size in kidney","type":"article-journal","volume":"29"},"uris":["http://www.mendeley.com/documents/?uuid=e1e084e2-b592-336b-9daf-139ece36eb63"]}],"mendeley":{"formattedCitation":"&lt;sup&gt;178–180&lt;/sup&gt;","plainTextFormattedCitation":"178–180","previously</w:instrText>
      </w:r>
      <w:r>
        <w:rPr>
          <w:rFonts w:ascii="Arial" w:eastAsia="Times New Roman" w:hAnsi="Arial" w:cs="Arial"/>
          <w:i/>
          <w:color w:val="000000"/>
          <w:lang w:val="en-US" w:eastAsia="de-DE"/>
        </w:rPr>
        <w:instrText>FormattedCitation":"&lt;sup&gt;178–180&lt;/sup&gt;"},"properties":{"noteIndex":0},"schema":"https://github.com/citation-style-language/schema/raw/master/csl-citation.json"}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178–180</w:t>
      </w:r>
      <w:r>
        <w:rPr>
          <w:rFonts w:ascii="Arial" w:eastAsia="Times New Roman" w:hAnsi="Arial" w:cs="Arial"/>
          <w:i/>
          <w:color w:val="000000"/>
          <w:lang w:val="en-US" w:eastAsia="de-DE"/>
        </w:rPr>
        <w:fldChar w:fldCharType="end"/>
      </w:r>
      <w:r>
        <w:rPr>
          <w:rFonts w:ascii="Arial" w:eastAsia="Times New Roman" w:hAnsi="Arial" w:cs="Arial"/>
          <w:i/>
          <w:color w:val="000000"/>
          <w:lang w:val="en-US" w:eastAsia="de-DE"/>
        </w:rPr>
        <w:t xml:space="preserve">, </w:t>
      </w:r>
      <w:r>
        <w:rPr>
          <w:rFonts w:ascii="Arial" w:eastAsia="Times New Roman" w:hAnsi="Arial" w:cs="Arial"/>
          <w:i/>
          <w:lang w:val="en-US" w:eastAsia="de-DE"/>
        </w:rPr>
        <w:t>pancreatic beta cells</w:t>
      </w:r>
      <w:r>
        <w:rPr>
          <w:rFonts w:ascii="Arial" w:eastAsia="Times New Roman" w:hAnsi="Arial" w:cs="Arial"/>
          <w:i/>
          <w:lang w:val="en-US" w:eastAsia="de-DE"/>
        </w:rPr>
        <w:fldChar w:fldCharType="begin" w:fldLock="1"/>
      </w:r>
      <w:r>
        <w:rPr>
          <w:rFonts w:ascii="Arial" w:eastAsia="Times New Roman" w:hAnsi="Arial" w:cs="Arial"/>
          <w:i/>
          <w:lang w:val="en-US" w:eastAsia="de-DE"/>
        </w:rPr>
        <w:instrText>ADDIN CSL_CITATION {"citationItems":[{"id":"ITEM-1","itemData":</w:instrText>
      </w:r>
      <w:r>
        <w:rPr>
          <w:rFonts w:ascii="Arial" w:eastAsia="Times New Roman" w:hAnsi="Arial" w:cs="Arial"/>
          <w:i/>
          <w:lang w:val="en-US" w:eastAsia="de-DE"/>
        </w:rPr>
        <w:instrText xml:space="preserve">{"DOI":"10.1152/AJPCELL.1993.265.2.C358","ISSN":"00029513","PMID":"8368265","abstract":"To determine whether the heterogeneous B-cell response to glucose is related to a different metabolic handling of this sugar, we have compared rat B-cells differing in </w:instrText>
      </w:r>
      <w:r>
        <w:rPr>
          <w:rFonts w:ascii="Arial" w:eastAsia="Times New Roman" w:hAnsi="Arial" w:cs="Arial"/>
          <w:i/>
          <w:lang w:val="en-US" w:eastAsia="de-DE"/>
        </w:rPr>
        <w:instrText>their redox response to gluco...","author":[{"dropping-particle":"","family":"Giordano","given":"Emanuele","non-dropping-particle":"","parse-names":false,"suffix":""},{"dropping-particle":"","family":"Cirulli","given":"Vincenzo","non-dropping-particle":"",</w:instrText>
      </w:r>
      <w:r>
        <w:rPr>
          <w:rFonts w:ascii="Arial" w:eastAsia="Times New Roman" w:hAnsi="Arial" w:cs="Arial"/>
          <w:i/>
          <w:lang w:val="en-US" w:eastAsia="de-DE"/>
        </w:rPr>
        <w:instrText>"parse-names":false,"suffix":""},{"dropping-particle":"","family":"Bosco","given":"Domenico","non-dropping-particle":"","parse-names":false,"suffix":""},{"dropping-particle":"","family":"Rouiller","given":"Dominique","non-dropping-particle":"","parse-names</w:instrText>
      </w:r>
      <w:r>
        <w:rPr>
          <w:rFonts w:ascii="Arial" w:eastAsia="Times New Roman" w:hAnsi="Arial" w:cs="Arial"/>
          <w:i/>
          <w:lang w:val="en-US" w:eastAsia="de-DE"/>
        </w:rPr>
        <w:instrText>":false,"suffix":""},{"dropping-particle":"","family":"Halban","given":"Philippe","non-dropping-particle":"","parse-names":false,"suffix":""},{"dropping-particle":"","family":"Meda","given":"Paolo","non-dropping-particle":"","parse-names":false,"suffix":""</w:instrText>
      </w:r>
      <w:r>
        <w:rPr>
          <w:rFonts w:ascii="Arial" w:eastAsia="Times New Roman" w:hAnsi="Arial" w:cs="Arial"/>
          <w:i/>
          <w:lang w:val="en-US" w:eastAsia="de-DE"/>
        </w:rPr>
        <w:instrText>},{"dropping-particle":"","family":"Giordano","given":"Vincenzo","non-dropping-particle":"","parse-names":false,"suffix":""},{"dropping-particle":"","family":"Cirulli","given":"Domenico","non-dropping-particle":"","parse-names":false,"suffix":""},{"droppin</w:instrText>
      </w:r>
      <w:r>
        <w:rPr>
          <w:rFonts w:ascii="Arial" w:eastAsia="Times New Roman" w:hAnsi="Arial" w:cs="Arial"/>
          <w:i/>
          <w:lang w:val="en-US" w:eastAsia="de-DE"/>
        </w:rPr>
        <w:instrText>g-particle":"","family":"Bosco","given":"Dominique","non-dropping-particle":"","parse-names":false,"suffix":""},{"dropping-particle":"","family":"Rouiller","given":"Philippe","non-dropping-particle":"","parse-names":false,"suffix":""},{"dropping-particle":</w:instrText>
      </w:r>
      <w:r>
        <w:rPr>
          <w:rFonts w:ascii="Arial" w:eastAsia="Times New Roman" w:hAnsi="Arial" w:cs="Arial"/>
          <w:i/>
          <w:lang w:val="en-US" w:eastAsia="de-DE"/>
        </w:rPr>
        <w:instrText>"","family":"Halban","given":"Paolo Meda","non-dropping-particle":"","parse-names":false,"suffix":""}],"container-title":"https://doi.org/10.1152/ajpcell.1993.265.2.C358","id":"ITEM-1","issue":"2 34-2","issued":{"date-parts":[["1993"]]},"publisher":" Ameri</w:instrText>
      </w:r>
      <w:r>
        <w:rPr>
          <w:rFonts w:ascii="Arial" w:eastAsia="Times New Roman" w:hAnsi="Arial" w:cs="Arial"/>
          <w:i/>
          <w:lang w:val="en-US" w:eastAsia="de-DE"/>
        </w:rPr>
        <w:instrText>can Physiological Society Bethesda, MD ","title":"B-cell size influences glucose-stimulated insulin secretion","type":"article-journal","volume":"265"},"uris":["http://www.mendeley.com/documents/?uuid=55d83ccd-a4cd-3afb-b37d-07f5808d3a64"]},{"id":"ITEM-2",</w:instrText>
      </w:r>
      <w:r>
        <w:rPr>
          <w:rFonts w:ascii="Arial" w:eastAsia="Times New Roman" w:hAnsi="Arial" w:cs="Arial"/>
          <w:i/>
          <w:lang w:val="en-US" w:eastAsia="de-DE"/>
        </w:rPr>
        <w:instrText>"itemData":{"DOI":"10.1126/science.1245075","PMID":"25977557","abstract":"Different animal cell types have distinctive and characteristic sizes. How a particular cell size is specified by differentiation programs and physiology remains one of the fundament</w:instrText>
      </w:r>
      <w:r>
        <w:rPr>
          <w:rFonts w:ascii="Arial" w:eastAsia="Times New Roman" w:hAnsi="Arial" w:cs="Arial"/>
          <w:i/>
          <w:lang w:val="en-US" w:eastAsia="de-DE"/>
        </w:rPr>
        <w:instrText>al unknowns in cell biology. In this Review, we explore the evidence that individual cells autonomously sense and specify their own size. We discuss possible mechanisms by which size-sensing and size-specification may take place. Last, we explore the physi</w:instrText>
      </w:r>
      <w:r>
        <w:rPr>
          <w:rFonts w:ascii="Arial" w:eastAsia="Times New Roman" w:hAnsi="Arial" w:cs="Arial"/>
          <w:i/>
          <w:lang w:val="en-US" w:eastAsia="de-DE"/>
        </w:rPr>
        <w:instrText>ological implications of size control: Why is it important that particular cell types maintain a particular size? We develop these questions through examination of the current literature and pose the questions that we anticipate will guide this field in th</w:instrText>
      </w:r>
      <w:r>
        <w:rPr>
          <w:rFonts w:ascii="Arial" w:eastAsia="Times New Roman" w:hAnsi="Arial" w:cs="Arial"/>
          <w:i/>
          <w:lang w:val="en-US" w:eastAsia="de-DE"/>
        </w:rPr>
        <w:instrText>e upcoming years.","author":[{"dropping-particle":"","family":"Ginzberg","given":"M. B.","non-dropping-particle":"","parse-names":false,"suffix":""},{"dropping-particle":"","family":"Kafri","given":"R.","non-dropping-particle":"","parse-names":false,"suffi</w:instrText>
      </w:r>
      <w:r>
        <w:rPr>
          <w:rFonts w:ascii="Arial" w:eastAsia="Times New Roman" w:hAnsi="Arial" w:cs="Arial"/>
          <w:i/>
          <w:lang w:val="en-US" w:eastAsia="de-DE"/>
        </w:rPr>
        <w:instrText>x":""},{"dropping-particle":"","family":"Kirschner","given":"M.","non-dropping-particle":"","parse-names":false,"suffix":""}],"container-title":"Science","id":"ITEM-2","issue":"6236","issued":{"date-parts":[["2015","5","15"]]},"page":"1245075-1245075","tit</w:instrText>
      </w:r>
      <w:r>
        <w:rPr>
          <w:rFonts w:ascii="Arial" w:eastAsia="Times New Roman" w:hAnsi="Arial" w:cs="Arial"/>
          <w:i/>
          <w:lang w:val="en-US" w:eastAsia="de-DE"/>
        </w:rPr>
        <w:instrText>le":"On being the right (cell) size","type":"article-journal","volume":"348"},"uris":["http://www.mendeley.com/documents/?uuid=92564f82-0fe7-3dc4-bb67-6f972f035256"]}],"mendeley":{"formattedCitation":"&lt;sup&gt;7,181&lt;/sup&gt;","plainTextFormattedCitation":"7,181",</w:instrText>
      </w:r>
      <w:r>
        <w:rPr>
          <w:rFonts w:ascii="Arial" w:eastAsia="Times New Roman" w:hAnsi="Arial" w:cs="Arial"/>
          <w:i/>
          <w:lang w:val="en-US" w:eastAsia="de-DE"/>
        </w:rPr>
        <w:instrText>"previouslyFormattedCitation":"&lt;sup&gt;7,181&lt;/sup&gt;"},"properties":{"noteIndex":0},"schema":"https://github.com/citation-style-language/schema/raw/master/csl-citation.json"}</w:instrText>
      </w:r>
      <w:r>
        <w:rPr>
          <w:rFonts w:ascii="Arial" w:eastAsia="Times New Roman" w:hAnsi="Arial" w:cs="Arial"/>
          <w:i/>
          <w:lang w:val="en-US" w:eastAsia="de-DE"/>
        </w:rPr>
        <w:fldChar w:fldCharType="separate"/>
      </w:r>
      <w:r>
        <w:rPr>
          <w:rFonts w:ascii="Arial" w:eastAsia="Times New Roman" w:hAnsi="Arial" w:cs="Arial"/>
          <w:noProof/>
          <w:vertAlign w:val="superscript"/>
          <w:lang w:val="en-US" w:eastAsia="de-DE"/>
        </w:rPr>
        <w:t>7,181</w:t>
      </w:r>
      <w:r>
        <w:rPr>
          <w:rFonts w:ascii="Arial" w:eastAsia="Times New Roman" w:hAnsi="Arial" w:cs="Arial"/>
          <w:i/>
          <w:lang w:val="en-US" w:eastAsia="de-DE"/>
        </w:rPr>
        <w:fldChar w:fldCharType="end"/>
      </w:r>
      <w:r>
        <w:rPr>
          <w:rFonts w:ascii="Arial" w:eastAsia="Times New Roman" w:hAnsi="Arial" w:cs="Arial"/>
          <w:i/>
          <w:color w:val="000000"/>
          <w:lang w:val="en-US" w:eastAsia="de-DE"/>
        </w:rPr>
        <w:t>, plasma cells</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 xml:space="preserve">ADDIN CSL_CITATION </w:instrText>
      </w:r>
      <w:r>
        <w:rPr>
          <w:rFonts w:ascii="Arial" w:eastAsia="Times New Roman" w:hAnsi="Arial" w:cs="Arial"/>
          <w:i/>
          <w:color w:val="000000"/>
          <w:lang w:val="en-US" w:eastAsia="de-DE"/>
        </w:rPr>
        <w:instrText>{"citationItems":[{"id":"ITEM-1","itemData":{"DOI":"10.1182/BLOOD-2010-05-287821","ISSN":"0006-4971","PMID":"21079150","abstract":"Mammalian TOR (mTOR) regulates cell growth, proliferation, and migration. Because mTOR knock-outs are embryonic lethal, we ge</w:instrText>
      </w:r>
      <w:r>
        <w:rPr>
          <w:rFonts w:ascii="Arial" w:eastAsia="Times New Roman" w:hAnsi="Arial" w:cs="Arial"/>
          <w:i/>
          <w:color w:val="000000"/>
          <w:lang w:val="en-US" w:eastAsia="de-DE"/>
        </w:rPr>
        <w:instrText>nerated a viable hypomorphic mouse by neo-insertion that partially disrupts mTOR transcription and creates a potential physiologic model of mTORC1/ TORC2 inhibition. Homozygous knock-in mice exhibited reductions in body, organ, and cell size. Although redu</w:instrText>
      </w:r>
      <w:r>
        <w:rPr>
          <w:rFonts w:ascii="Arial" w:eastAsia="Times New Roman" w:hAnsi="Arial" w:cs="Arial"/>
          <w:i/>
          <w:color w:val="000000"/>
          <w:lang w:val="en-US" w:eastAsia="de-DE"/>
        </w:rPr>
        <w:instrText>ctions in most organ sizes were proportional to decreased body weight, spleens were disproportionately smaller. Decreases in the total number of T cells, particularly memory cells, and reduced responses to chemokines suggested alterations in T-cell homing/</w:instrText>
      </w:r>
      <w:r>
        <w:rPr>
          <w:rFonts w:ascii="Arial" w:eastAsia="Times New Roman" w:hAnsi="Arial" w:cs="Arial"/>
          <w:i/>
          <w:color w:val="000000"/>
          <w:lang w:val="en-US" w:eastAsia="de-DE"/>
        </w:rPr>
        <w:instrText>homeostasis. T-cell receptor-stimulated T cells proliferated less, produced lower cytokine levels, and expressed FoxP3. Decreased neutrophil numbers were also observed in the spleen, despite normal development and migration in the bone marrow. However, B-c</w:instrText>
      </w:r>
      <w:r>
        <w:rPr>
          <w:rFonts w:ascii="Arial" w:eastAsia="Times New Roman" w:hAnsi="Arial" w:cs="Arial"/>
          <w:i/>
          <w:color w:val="000000"/>
          <w:lang w:val="en-US" w:eastAsia="de-DE"/>
        </w:rPr>
        <w:instrText>ell effects were most pronounced, with a partial block in B-cell development in the bone marrow, altered splenic populations, and decreases in proliferation, antibody production, and migration to chemokines. Moreover, increased AKT Ser473 phosphorylation w</w:instrText>
      </w:r>
      <w:r>
        <w:rPr>
          <w:rFonts w:ascii="Arial" w:eastAsia="Times New Roman" w:hAnsi="Arial" w:cs="Arial"/>
          <w:i/>
          <w:color w:val="000000"/>
          <w:lang w:val="en-US" w:eastAsia="de-DE"/>
        </w:rPr>
        <w:instrText xml:space="preserve">as observed in activated B cells, reminiscent of cancers treated with rapamycin, and was reduced by a DNA-pk inhibitor. Thus, mTOR is required for the maturation and differentiation of multiple immune cell lineages. These mice provide a novel platform for </w:instrText>
      </w:r>
      <w:r>
        <w:rPr>
          <w:rFonts w:ascii="Arial" w:eastAsia="Times New Roman" w:hAnsi="Arial" w:cs="Arial"/>
          <w:i/>
          <w:color w:val="000000"/>
          <w:lang w:val="en-US" w:eastAsia="de-DE"/>
        </w:rPr>
        <w:instrText>studying the consequences of constitutively reduced mTORC1/TORC2 activity.","author":[{"dropping-particle":"","family":"Zhang","given":"Shuling","non-dropping-particle":"","parse-names":false,"suffix":""},{"dropping-particle":"","family":"Readinger","given</w:instrText>
      </w:r>
      <w:r>
        <w:rPr>
          <w:rFonts w:ascii="Arial" w:eastAsia="Times New Roman" w:hAnsi="Arial" w:cs="Arial"/>
          <w:i/>
          <w:color w:val="000000"/>
          <w:lang w:val="en-US" w:eastAsia="de-DE"/>
        </w:rPr>
        <w:instrText>":"Julie A.","non-dropping-particle":"","parse-names":false,"suffix":""},{"dropping-particle":"","family":"DuBois","given":"Wendy","non-dropping-particle":"","parse-names":false,"suffix":""},{"dropping-particle":"","family":"Janka-Junttila","given":"Mirkka</w:instrText>
      </w:r>
      <w:r>
        <w:rPr>
          <w:rFonts w:ascii="Arial" w:eastAsia="Times New Roman" w:hAnsi="Arial" w:cs="Arial"/>
          <w:i/>
          <w:color w:val="000000"/>
          <w:lang w:val="en-US" w:eastAsia="de-DE"/>
        </w:rPr>
        <w:instrText>","non-dropping-particle":"","parse-names":false,"suffix":""},{"dropping-particle":"","family":"Robinson","given":"Richard","non-dropping-particle":"","parse-names":false,"suffix":""},{"dropping-particle":"","family":"Pruitt","given":"Margaret","non-droppi</w:instrText>
      </w:r>
      <w:r>
        <w:rPr>
          <w:rFonts w:ascii="Arial" w:eastAsia="Times New Roman" w:hAnsi="Arial" w:cs="Arial"/>
          <w:i/>
          <w:color w:val="000000"/>
          <w:lang w:val="en-US" w:eastAsia="de-DE"/>
        </w:rPr>
        <w:instrText>ng-particle":"","parse-names":false,"suffix":""},{"dropping-particle":"","family":"Bliskovsky","given":"Val","non-dropping-particle":"","parse-names":false,"suffix":""},{"dropping-particle":"","family":"Wu","given":"Julie Z.","non-dropping-particle":"","pa</w:instrText>
      </w:r>
      <w:r>
        <w:rPr>
          <w:rFonts w:ascii="Arial" w:eastAsia="Times New Roman" w:hAnsi="Arial" w:cs="Arial"/>
          <w:i/>
          <w:color w:val="000000"/>
          <w:lang w:val="en-US" w:eastAsia="de-DE"/>
        </w:rPr>
        <w:instrText>rse-names":false,"suffix":""},{"dropping-particle":"","family":"Sakakibara","given":"Kaori","non-dropping-particle":"","parse-names":false,"suffix":""},{"dropping-particle":"","family":"Patel","given":"Jyoti","non-dropping-particle":"","parse-names":false,</w:instrText>
      </w:r>
      <w:r>
        <w:rPr>
          <w:rFonts w:ascii="Arial" w:eastAsia="Times New Roman" w:hAnsi="Arial" w:cs="Arial"/>
          <w:i/>
          <w:color w:val="000000"/>
          <w:lang w:val="en-US" w:eastAsia="de-DE"/>
        </w:rPr>
        <w:instrText>"suffix":""},{"dropping-particle":"","family":"Parent","given":"Carole A.","non-dropping-particle":"","parse-names":false,"suffix":""},{"dropping-particle":"","family":"Tessarollo","given":"Lino","non-dropping-particle":"","parse-names":false,"suffix":""},</w:instrText>
      </w:r>
      <w:r>
        <w:rPr>
          <w:rFonts w:ascii="Arial" w:eastAsia="Times New Roman" w:hAnsi="Arial" w:cs="Arial"/>
          <w:i/>
          <w:color w:val="000000"/>
          <w:lang w:val="en-US" w:eastAsia="de-DE"/>
        </w:rPr>
        <w:instrText>{"dropping-particle":"","family":"Schwartzberg","given":"Pamela L.","non-dropping-particle":"","parse-names":false,"suffix":""},{"dropping-particle":"","family":"Mock","given":"Beverly A.","non-dropping-particle":"","parse-names":false,"suffix":""}],"conta</w:instrText>
      </w:r>
      <w:r>
        <w:rPr>
          <w:rFonts w:ascii="Arial" w:eastAsia="Times New Roman" w:hAnsi="Arial" w:cs="Arial"/>
          <w:i/>
          <w:color w:val="000000"/>
          <w:lang w:val="en-US" w:eastAsia="de-DE"/>
        </w:rPr>
        <w:instrText>iner-title":"Blood","id":"ITEM-1","issue":"4","issued":{"date-parts":[["2011","1","27"]]},"page":"1228-1238","publisher":"American Society of Hematology","title":"Constitutive reductions in mTOR alter cell size, immune cell development, and antibody produc</w:instrText>
      </w:r>
      <w:r>
        <w:rPr>
          <w:rFonts w:ascii="Arial" w:eastAsia="Times New Roman" w:hAnsi="Arial" w:cs="Arial"/>
          <w:i/>
          <w:color w:val="000000"/>
          <w:lang w:val="en-US" w:eastAsia="de-DE"/>
        </w:rPr>
        <w:instrText>tion","type":"article-journal","volume":"117"},"uris":["http://www.mendeley.com/documents/?uuid=01e19648-6fab-3f82-9879-9e30a28d6b13"]},{"id":"ITEM-2","itemData":{"DOI":"10.1007/S00253-017-8531-Y/FIGURES/8","ISSN":"14320614","PMID":"28951949","abstract":"N</w:instrText>
      </w:r>
      <w:r>
        <w:rPr>
          <w:rFonts w:ascii="Arial" w:eastAsia="Times New Roman" w:hAnsi="Arial" w:cs="Arial"/>
          <w:i/>
          <w:color w:val="000000"/>
          <w:lang w:val="en-US" w:eastAsia="de-DE"/>
        </w:rPr>
        <w:instrText>ormally, the growth profile of a CHO cell fed-batch process can be divided into two main phases based on changes in cell concentration, being an exponential growth phase and a stationary (non-growth) phase. In this study, an additional phase is observed du</w:instrText>
      </w:r>
      <w:r>
        <w:rPr>
          <w:rFonts w:ascii="Arial" w:eastAsia="Times New Roman" w:hAnsi="Arial" w:cs="Arial"/>
          <w:i/>
          <w:color w:val="000000"/>
          <w:lang w:val="en-US" w:eastAsia="de-DE"/>
        </w:rPr>
        <w:instrText>ring which the cell division comes to a halt but the cell growth continues in the form of an increase in cell size. The cell size increase (SI) phase occurs between the exponential proliferation phase (also called the number increase or NI phase) and the s</w:instrText>
      </w:r>
      <w:r>
        <w:rPr>
          <w:rFonts w:ascii="Arial" w:eastAsia="Times New Roman" w:hAnsi="Arial" w:cs="Arial"/>
          <w:i/>
          <w:color w:val="000000"/>
          <w:lang w:val="en-US" w:eastAsia="de-DE"/>
        </w:rPr>
        <w:instrText>tationary phase. During the SI phase, the average volume and dry weight per cell increase threefold linearly with time. The average mAb specific productivity per cell increases linearly with the cell volume and therefore is on average two times higher in t</w:instrText>
      </w:r>
      <w:r>
        <w:rPr>
          <w:rFonts w:ascii="Arial" w:eastAsia="Times New Roman" w:hAnsi="Arial" w:cs="Arial"/>
          <w:i/>
          <w:color w:val="000000"/>
          <w:lang w:val="en-US" w:eastAsia="de-DE"/>
        </w:rPr>
        <w:instrText>he SI phase than in the NI phase. The specific essential amino acids consumption rates per cell remain fairly constant between the NI and the SI phase, which agrees with the similar biomass production rate per cell between these two phases. Accumulation of</w:instrText>
      </w:r>
      <w:r>
        <w:rPr>
          <w:rFonts w:ascii="Arial" w:eastAsia="Times New Roman" w:hAnsi="Arial" w:cs="Arial"/>
          <w:i/>
          <w:color w:val="000000"/>
          <w:lang w:val="en-US" w:eastAsia="de-DE"/>
        </w:rPr>
        <w:instrText xml:space="preserve"> fatty acids and formation of lipid droplets in the cells are observed during the SI phase, indicating that the fatty acids synthesis rate exceeds the demand for the synthesis of membrane lipids. A metabolic comparison between NI and SI phase shows that th</w:instrText>
      </w:r>
      <w:r>
        <w:rPr>
          <w:rFonts w:ascii="Arial" w:eastAsia="Times New Roman" w:hAnsi="Arial" w:cs="Arial"/>
          <w:i/>
          <w:color w:val="000000"/>
          <w:lang w:val="en-US" w:eastAsia="de-DE"/>
        </w:rPr>
        <w:instrText>e cells with a larger size produce more mAb per unit of O2 and nutrient consumed, which can be used for further process optimization.","author":[{"dropping-particle":"","family":"Pan","given":"Xiao","non-dropping-particle":"","parse-names":false,"suffix":"</w:instrText>
      </w:r>
      <w:r>
        <w:rPr>
          <w:rFonts w:ascii="Arial" w:eastAsia="Times New Roman" w:hAnsi="Arial" w:cs="Arial"/>
          <w:i/>
          <w:color w:val="000000"/>
          <w:lang w:val="en-US" w:eastAsia="de-DE"/>
        </w:rPr>
        <w:instrText>"},{"dropping-particle":"","family":"Dalm","given":"Ciska","non-dropping-particle":"","parse-names":false,"suffix":""},{"dropping-particle":"","family":"Wijffels","given":"René H.","non-dropping-particle":"","parse-names":false,"suffix":""},{"dropping-part</w:instrText>
      </w:r>
      <w:r>
        <w:rPr>
          <w:rFonts w:ascii="Arial" w:eastAsia="Times New Roman" w:hAnsi="Arial" w:cs="Arial"/>
          <w:i/>
          <w:color w:val="000000"/>
          <w:lang w:val="en-US" w:eastAsia="de-DE"/>
        </w:rPr>
        <w:instrText>icle":"","family":"Martens","given":"Dirk E.","non-dropping-particle":"","parse-names":false,"suffix":""}],"container-title":"Applied Microbiology and Biotechnology","id":"ITEM-2","issue":"22","issued":{"date-parts":[["2017","11","1"]]},"page":"8101-8113",</w:instrText>
      </w:r>
      <w:r>
        <w:rPr>
          <w:rFonts w:ascii="Arial" w:eastAsia="Times New Roman" w:hAnsi="Arial" w:cs="Arial"/>
          <w:i/>
          <w:color w:val="000000"/>
          <w:lang w:val="en-US" w:eastAsia="de-DE"/>
        </w:rPr>
        <w:instrText>"publisher":"Springer Verlag","title":"Metabolic characterization of a CHO cell size increase phase in fed-batch cultures","type":"article-journal","volume":"101"},"uris":["http://www.mendeley.com/documents/?uuid=e5e5baa2-1096-3a86-9980-7bd11623d8ee"]}],"m</w:instrText>
      </w:r>
      <w:r>
        <w:rPr>
          <w:rFonts w:ascii="Arial" w:eastAsia="Times New Roman" w:hAnsi="Arial" w:cs="Arial"/>
          <w:i/>
          <w:color w:val="000000"/>
          <w:lang w:val="en-US" w:eastAsia="de-DE"/>
        </w:rPr>
        <w:instrText>endeley":{"formattedCitation":"&lt;sup&gt;182,183&lt;/sup&gt;","plainTextFormattedCitation":"182,183","previouslyFormattedCitation":"&lt;sup&gt;182,183&lt;/sup&gt;"},"properties":{"noteIndex":0},"schema":"https://github.com/citation-style-language/schema/raw/master/csl-citation.j</w:instrText>
      </w:r>
      <w:r>
        <w:rPr>
          <w:rFonts w:ascii="Arial" w:eastAsia="Times New Roman" w:hAnsi="Arial" w:cs="Arial"/>
          <w:i/>
          <w:color w:val="000000"/>
          <w:lang w:val="en-US" w:eastAsia="de-DE"/>
        </w:rPr>
        <w:instrText>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182,183</w:t>
      </w:r>
      <w:r>
        <w:rPr>
          <w:rFonts w:ascii="Arial" w:eastAsia="Times New Roman" w:hAnsi="Arial" w:cs="Arial"/>
          <w:i/>
          <w:color w:val="000000"/>
          <w:lang w:val="en-US" w:eastAsia="de-DE"/>
        </w:rPr>
        <w:fldChar w:fldCharType="end"/>
      </w:r>
      <w:r>
        <w:rPr>
          <w:rFonts w:ascii="Arial" w:eastAsia="Times New Roman" w:hAnsi="Arial" w:cs="Arial"/>
          <w:i/>
          <w:lang w:val="en-US" w:eastAsia="de-DE"/>
        </w:rPr>
        <w:t>, neurons</w:t>
      </w:r>
      <w:r>
        <w:rPr>
          <w:rFonts w:ascii="Arial" w:eastAsia="Times New Roman" w:hAnsi="Arial" w:cs="Arial"/>
          <w:i/>
          <w:lang w:val="en-US" w:eastAsia="de-DE"/>
        </w:rPr>
        <w:fldChar w:fldCharType="begin" w:fldLock="1"/>
      </w:r>
      <w:r>
        <w:rPr>
          <w:rFonts w:ascii="Arial" w:eastAsia="Times New Roman" w:hAnsi="Arial" w:cs="Arial"/>
          <w:i/>
          <w:lang w:val="en-US" w:eastAsia="de-DE"/>
        </w:rPr>
        <w:instrText>ADDIN CSL_CITATION {"citationItems":[{"id":"ITEM-1","itemData":{"DOI":"10.1016/J.CONB.2018.08.004","ISSN":"0959-4388","PMID":"30248549","abstract":"Understanding how neurons form, extend, and navigate their finger-like axonal and de</w:instrText>
      </w:r>
      <w:r>
        <w:rPr>
          <w:rFonts w:ascii="Arial" w:eastAsia="Times New Roman" w:hAnsi="Arial" w:cs="Arial"/>
          <w:i/>
          <w:lang w:val="en-US" w:eastAsia="de-DE"/>
        </w:rPr>
        <w:instrText>ndritic processes is crucial for developing therapeutics for the diseased and damaged brain. Although less well appreciated, many other types of cells also send out similar finger-like projections. Indeed, unlike neuronal specific phenomena such as synapse</w:instrText>
      </w:r>
      <w:r>
        <w:rPr>
          <w:rFonts w:ascii="Arial" w:eastAsia="Times New Roman" w:hAnsi="Arial" w:cs="Arial"/>
          <w:i/>
          <w:lang w:val="en-US" w:eastAsia="de-DE"/>
        </w:rPr>
        <w:instrText xml:space="preserve"> formation or synaptic transmission, an important issue for thought is that this critical long-standing question of how a cellular process like an axon or dendrite forms and extends is not primarily a neuroscience problem but a cell biological problem. In </w:instrText>
      </w:r>
      <w:r>
        <w:rPr>
          <w:rFonts w:ascii="Arial" w:eastAsia="Times New Roman" w:hAnsi="Arial" w:cs="Arial"/>
          <w:i/>
          <w:lang w:val="en-US" w:eastAsia="de-DE"/>
        </w:rPr>
        <w:instrText>that case, the use of simple cellular processes — such as the bristle cell process of Drosophila — can aid in the fight to answer these critical questions. Specifically, determining how a model cellular process is generated can provide a framework for mani</w:instrText>
      </w:r>
      <w:r>
        <w:rPr>
          <w:rFonts w:ascii="Arial" w:eastAsia="Times New Roman" w:hAnsi="Arial" w:cs="Arial"/>
          <w:i/>
          <w:lang w:val="en-US" w:eastAsia="de-DE"/>
        </w:rPr>
        <w:instrText>pulations of all types of membranous process-containing cells, including different types of neurons.","author":[{"dropping-particle":"","family":"Rich","given":"Shannon K.","non-dropping-particle":"","parse-names":false,"suffix":""},{"dropping-particle":""</w:instrText>
      </w:r>
      <w:r>
        <w:rPr>
          <w:rFonts w:ascii="Arial" w:eastAsia="Times New Roman" w:hAnsi="Arial" w:cs="Arial"/>
          <w:i/>
          <w:lang w:val="en-US" w:eastAsia="de-DE"/>
        </w:rPr>
        <w:instrText>,"family":"Terman","given":"Jonathan R.","non-dropping-particle":"","parse-names":false,"suffix":""}],"container-title":"Current Opinion in Neurobiology","id":"ITEM-1","issued":{"date-parts":[["2018","12","1"]]},"page":"174-182","publisher":"Elsevier Curre</w:instrText>
      </w:r>
      <w:r>
        <w:rPr>
          <w:rFonts w:ascii="Arial" w:eastAsia="Times New Roman" w:hAnsi="Arial" w:cs="Arial"/>
          <w:i/>
          <w:lang w:val="en-US" w:eastAsia="de-DE"/>
        </w:rPr>
        <w:instrText>nt Trends","title":"Axon formation, extension, and navigation: only a neuroscience phenomenon?","type":"article-journal","volume":"53"},"uris":["http://www.mendeley.com/documents/?uuid=3a90d87c-35c5-3223-bd58-9d5d402e2ee4"]},{"id":"ITEM-2","itemData":{"DOI</w:instrText>
      </w:r>
      <w:r>
        <w:rPr>
          <w:rFonts w:ascii="Arial" w:eastAsia="Times New Roman" w:hAnsi="Arial" w:cs="Arial"/>
          <w:i/>
          <w:lang w:val="en-US" w:eastAsia="de-DE"/>
        </w:rPr>
        <w:instrText>":"10.1152/ajplegacy.1939.127.1.131","ISSN":"0002-9513","abstract":"Conduction velocity of the fastest fibers in nerve trunks of the cat and kitten were correlated with the outside diameter of the largest fibers in the trunks. The best curve relating veloc</w:instrText>
      </w:r>
      <w:r>
        <w:rPr>
          <w:rFonts w:ascii="Arial" w:eastAsia="Times New Roman" w:hAnsi="Arial" w:cs="Arial"/>
          <w:i/>
          <w:lang w:val="en-US" w:eastAsia="de-DE"/>
        </w:rPr>
        <w:instrText>ity and diameter proved to be a straight line rather than a square or a square-root relationship. This might indicate a relationship between velocity and internodal length as well as diameter.","author":[{"dropping-particle":"","family":"Hursh","given":"J.</w:instrText>
      </w:r>
      <w:r>
        <w:rPr>
          <w:rFonts w:ascii="Arial" w:eastAsia="Times New Roman" w:hAnsi="Arial" w:cs="Arial"/>
          <w:i/>
          <w:lang w:val="en-US" w:eastAsia="de-DE"/>
        </w:rPr>
        <w:instrText xml:space="preserve"> B.","non-dropping-particle":"","parse-names":false,"suffix":""}],"container-title":"American Journal of Physiology","id":"ITEM-2","issue":"1","issued":{"date-parts":[["1939","7","31"]]},"page":"131-139","publisher":"American Physiological Society","title"</w:instrText>
      </w:r>
      <w:r>
        <w:rPr>
          <w:rFonts w:ascii="Arial" w:eastAsia="Times New Roman" w:hAnsi="Arial" w:cs="Arial"/>
          <w:i/>
          <w:lang w:val="en-US" w:eastAsia="de-DE"/>
        </w:rPr>
        <w:instrText>:"CONDUCTION VELOCITY AND DIAMETER OF NERVE FIBERS","type":"article-journal","volume":"127"},"uris":["http://www.mendeley.com/documents/?uuid=6f892cbe-a514-3968-923d-9ffa6784bb01"]},{"id":"ITEM-3","itemData":{"DOI":"10.1002/GLIA.23665","ISSN":"1098-1136","</w:instrText>
      </w:r>
      <w:r>
        <w:rPr>
          <w:rFonts w:ascii="Arial" w:eastAsia="Times New Roman" w:hAnsi="Arial" w:cs="Arial"/>
          <w:i/>
          <w:lang w:val="en-US" w:eastAsia="de-DE"/>
        </w:rPr>
        <w:instrText>PMID":"31233642","abstract":"The study of structural and functional plasticity in the central nervous system (CNS) to date has focused primarily on that of neurons and synapses. However, more recent studies implicate glial cells as key regulators of neural</w:instrText>
      </w:r>
      <w:r>
        <w:rPr>
          <w:rFonts w:ascii="Arial" w:eastAsia="Times New Roman" w:hAnsi="Arial" w:cs="Arial"/>
          <w:i/>
          <w:lang w:val="en-US" w:eastAsia="de-DE"/>
        </w:rPr>
        <w:instrText xml:space="preserve"> circuit function. Among these, the myelinating glia of the CNS, oligodendrocytes, have been shown to be responsive to extrinsic signals including neuronal activity, and in turn, tune neurophysiological function. Due to the fact that myelin fundamentally a</w:instrText>
      </w:r>
      <w:r>
        <w:rPr>
          <w:rFonts w:ascii="Arial" w:eastAsia="Times New Roman" w:hAnsi="Arial" w:cs="Arial"/>
          <w:i/>
          <w:lang w:val="en-US" w:eastAsia="de-DE"/>
        </w:rPr>
        <w:instrText>lters the conduction properties of axons, much attention has focused on how dynamic regulation of myelination might represent a form of functional plasticity. Here, we highlight recent research that indicates that it is not only myelin, but essentially all</w:instrText>
      </w:r>
      <w:r>
        <w:rPr>
          <w:rFonts w:ascii="Arial" w:eastAsia="Times New Roman" w:hAnsi="Arial" w:cs="Arial"/>
          <w:i/>
          <w:lang w:val="en-US" w:eastAsia="de-DE"/>
        </w:rPr>
        <w:instrText xml:space="preserve"> the function-regulating components of the myelinated axon that are responsive to neuronal activity. For example, the axon initial segment, nodes of Ranvier, heminodes, axonal termini, and the morphology of the axon itself all exhibit the potential to resp</w:instrText>
      </w:r>
      <w:r>
        <w:rPr>
          <w:rFonts w:ascii="Arial" w:eastAsia="Times New Roman" w:hAnsi="Arial" w:cs="Arial"/>
          <w:i/>
          <w:lang w:val="en-US" w:eastAsia="de-DE"/>
        </w:rPr>
        <w:instrText>ond to neuronal activity, and in so doing might underpin specific functional outputs. We also highlight emerging evidence that the myelin sheath itself has a rich physiology capable of influencing axonal physiology. We suggest that to fully understand nerv</w:instrText>
      </w:r>
      <w:r>
        <w:rPr>
          <w:rFonts w:ascii="Arial" w:eastAsia="Times New Roman" w:hAnsi="Arial" w:cs="Arial"/>
          <w:i/>
          <w:lang w:val="en-US" w:eastAsia="de-DE"/>
        </w:rPr>
        <w:instrText>ous system plasticity we need to consider the fact that myelinated axon is an integrated functional unit and adaptations that influence the entire functional unit are likely to underpin modifications to neural circuit function.","author":[{"dropping-partic</w:instrText>
      </w:r>
      <w:r>
        <w:rPr>
          <w:rFonts w:ascii="Arial" w:eastAsia="Times New Roman" w:hAnsi="Arial" w:cs="Arial"/>
          <w:i/>
          <w:lang w:val="en-US" w:eastAsia="de-DE"/>
        </w:rPr>
        <w:instrText>le":"","family":"Suminaite","given":"Daumante","non-dropping-particle":"","parse-names":false,"suffix":""},{"dropping-particle":"","family":"Lyons","given":"David A.","non-dropping-particle":"","parse-names":false,"suffix":""},{"dropping-particle":"","fami</w:instrText>
      </w:r>
      <w:r>
        <w:rPr>
          <w:rFonts w:ascii="Arial" w:eastAsia="Times New Roman" w:hAnsi="Arial" w:cs="Arial"/>
          <w:i/>
          <w:lang w:val="en-US" w:eastAsia="de-DE"/>
        </w:rPr>
        <w:instrText>ly":"Livesey","given":"Matthew R.","non-dropping-particle":"","parse-names":false,"suffix":""}],"container-title":"Glia","id":"ITEM-3","issue":"11","issued":{"date-parts":[["2019","11","1"]]},"page":"2050-2062","publisher":"John Wiley &amp; Sons, Ltd","title":</w:instrText>
      </w:r>
      <w:r>
        <w:rPr>
          <w:rFonts w:ascii="Arial" w:eastAsia="Times New Roman" w:hAnsi="Arial" w:cs="Arial"/>
          <w:i/>
          <w:lang w:val="en-US" w:eastAsia="de-DE"/>
        </w:rPr>
        <w:instrText>"Myelinated axon physiology and regulation of neural circuit function","type":"article-journal","volume":"67"},"uris":["http://www.mendeley.com/documents/?uuid=a81cc1d7-bd97-3acb-a975-b79810d6d78f"]}],"mendeley":{"formattedCitation":"&lt;sup&gt;170,184,185&lt;/sup&gt;</w:instrText>
      </w:r>
      <w:r>
        <w:rPr>
          <w:rFonts w:ascii="Arial" w:eastAsia="Times New Roman" w:hAnsi="Arial" w:cs="Arial"/>
          <w:i/>
          <w:lang w:val="en-US" w:eastAsia="de-DE"/>
        </w:rPr>
        <w:instrText>","plainTextFormattedCitation":"170,184,185","previouslyFormattedCitation":"&lt;sup&gt;170,184,185&lt;/sup&gt;"},"properties":{"noteIndex":0},"schema":"https://github.com/citation-style-language/schema/raw/master/csl-citation.json"}</w:instrText>
      </w:r>
      <w:r>
        <w:rPr>
          <w:rFonts w:ascii="Arial" w:eastAsia="Times New Roman" w:hAnsi="Arial" w:cs="Arial"/>
          <w:i/>
          <w:lang w:val="en-US" w:eastAsia="de-DE"/>
        </w:rPr>
        <w:fldChar w:fldCharType="separate"/>
      </w:r>
      <w:r>
        <w:rPr>
          <w:rFonts w:ascii="Arial" w:eastAsia="Times New Roman" w:hAnsi="Arial" w:cs="Arial"/>
          <w:noProof/>
          <w:vertAlign w:val="superscript"/>
          <w:lang w:val="en-US" w:eastAsia="de-DE"/>
        </w:rPr>
        <w:t>170,184,185</w:t>
      </w:r>
      <w:r>
        <w:rPr>
          <w:rFonts w:ascii="Arial" w:eastAsia="Times New Roman" w:hAnsi="Arial" w:cs="Arial"/>
          <w:i/>
          <w:lang w:val="en-US" w:eastAsia="de-DE"/>
        </w:rPr>
        <w:fldChar w:fldCharType="end"/>
      </w:r>
      <w:r>
        <w:rPr>
          <w:rFonts w:ascii="Arial" w:eastAsia="Times New Roman" w:hAnsi="Arial" w:cs="Arial"/>
          <w:i/>
          <w:lang w:val="en-US" w:eastAsia="de-DE"/>
        </w:rPr>
        <w:t xml:space="preserve">, </w:t>
      </w:r>
      <w:r>
        <w:rPr>
          <w:rFonts w:ascii="Arial" w:eastAsia="Times New Roman" w:hAnsi="Arial" w:cs="Arial"/>
          <w:i/>
          <w:color w:val="000000"/>
          <w:lang w:val="en-US" w:eastAsia="de-DE"/>
        </w:rPr>
        <w:t>adipocytes</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w:instrText>
      </w:r>
      <w:r>
        <w:rPr>
          <w:rFonts w:ascii="Arial" w:eastAsia="Times New Roman" w:hAnsi="Arial" w:cs="Arial"/>
          <w:i/>
          <w:color w:val="000000"/>
          <w:lang w:val="en-US" w:eastAsia="de-DE"/>
        </w:rPr>
        <w:instrText>CITATION {"citationItems":[{"id":"ITEM-1","itemData":{"DOI":"10.1016/s0022-2275(20)39547-x","ISSN":"00222275","PMID":"4322518","abstract":"&lt;p&gt;When adipose tissue cells were incubated with collagenase for different periods of time, cell populations with dif</w:instrText>
      </w:r>
      <w:r>
        <w:rPr>
          <w:rFonts w:ascii="Arial" w:eastAsia="Times New Roman" w:hAnsi="Arial" w:cs="Arial"/>
          <w:i/>
          <w:color w:val="000000"/>
          <w:lang w:val="en-US" w:eastAsia="de-DE"/>
        </w:rPr>
        <w:instrText>ferent mean cell sizes were obtained from the same tissue sample. Lipid synthesis from glucose was studied as a function of adipose cell size and number. The incubations were performed in Parker medium 199, which is suitable for tissue culture of human adi</w:instrText>
      </w:r>
      <w:r>
        <w:rPr>
          <w:rFonts w:ascii="Arial" w:eastAsia="Times New Roman" w:hAnsi="Arial" w:cs="Arial"/>
          <w:i/>
          <w:color w:val="000000"/>
          <w:lang w:val="en-US" w:eastAsia="de-DE"/>
        </w:rPr>
        <w:instrText>pose tissue. The results show that the larger cells of a specimen have a greater rate of lipid synthesis than the smaller cells of the same specimen. This is mainly due to an increase in the synthesis of glyceride-glycerol. Addition of insulin stimulated l</w:instrText>
      </w:r>
      <w:r>
        <w:rPr>
          <w:rFonts w:ascii="Arial" w:eastAsia="Times New Roman" w:hAnsi="Arial" w:cs="Arial"/>
          <w:i/>
          <w:color w:val="000000"/>
          <w:lang w:val="en-US" w:eastAsia="de-DE"/>
        </w:rPr>
        <w:instrText>ipid synthesis. However, the larger adipose cells were less sensitive to the stimulating effect of insulin than the smaller cells.&lt;/p&gt;","author":[{"dropping-particle":"","family":"Smith","given":"U.","non-dropping-particle":"","parse-names":false,"suffix":</w:instrText>
      </w:r>
      <w:r>
        <w:rPr>
          <w:rFonts w:ascii="Arial" w:eastAsia="Times New Roman" w:hAnsi="Arial" w:cs="Arial"/>
          <w:i/>
          <w:color w:val="000000"/>
          <w:lang w:val="en-US" w:eastAsia="de-DE"/>
        </w:rPr>
        <w:instrText>""}],"container-title":"Journal of Lipid Research","id":"ITEM-1","issue":"1","issued":{"date-parts":[["1971","1","1"]]},"page":"65-70","publisher":"Elsevier","title":"Effect of cell size on lipid synthesis by human adipose tissue in vitro.","type":"article</w:instrText>
      </w:r>
      <w:r>
        <w:rPr>
          <w:rFonts w:ascii="Arial" w:eastAsia="Times New Roman" w:hAnsi="Arial" w:cs="Arial"/>
          <w:i/>
          <w:color w:val="000000"/>
          <w:lang w:val="en-US" w:eastAsia="de-DE"/>
        </w:rPr>
        <w:instrText>-journal","volume":"12"},"uris":["http://www.mendeley.com/documents/?uuid=2f7adf80-d24f-31a6-a804-12625824720b"]}],"mendeley":{"formattedCitation":"&lt;sup&gt;66&lt;/sup&gt;","plainTextFormattedCitation":"66","previouslyFormattedCitation":"&lt;sup&gt;66&lt;/sup&gt;"},"properties"</w:instrText>
      </w:r>
      <w:r>
        <w:rPr>
          <w:rFonts w:ascii="Arial" w:eastAsia="Times New Roman" w:hAnsi="Arial" w:cs="Arial"/>
          <w:i/>
          <w:color w:val="000000"/>
          <w:lang w:val="en-US" w:eastAsia="de-DE"/>
        </w:rPr>
        <w:instrText>:{"noteIndex":0},"schema":"https://github.com/citation-style-language/schema/raw/master/csl-citation.json"}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66</w:t>
      </w:r>
      <w:r>
        <w:rPr>
          <w:rFonts w:ascii="Arial" w:eastAsia="Times New Roman" w:hAnsi="Arial" w:cs="Arial"/>
          <w:i/>
          <w:color w:val="000000"/>
          <w:lang w:val="en-US" w:eastAsia="de-DE"/>
        </w:rPr>
        <w:fldChar w:fldCharType="end"/>
      </w:r>
      <w:r>
        <w:rPr>
          <w:rFonts w:ascii="Arial" w:eastAsia="Times New Roman" w:hAnsi="Arial" w:cs="Arial"/>
          <w:i/>
          <w:color w:val="000000"/>
          <w:lang w:val="en-US" w:eastAsia="de-DE"/>
        </w:rPr>
        <w:t>, ova</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CSL_CITATION {"citationItems":[{"id":"ITEM-1","itemData":{"DOI":"10.1007/S10815-022-02602-0/FIGURES/2","ISSN":"15737330","PMID":"3608</w:instrText>
      </w:r>
      <w:r>
        <w:rPr>
          <w:rFonts w:ascii="Arial" w:eastAsia="Times New Roman" w:hAnsi="Arial" w:cs="Arial"/>
          <w:i/>
          <w:color w:val="000000"/>
          <w:lang w:val="en-US" w:eastAsia="de-DE"/>
        </w:rPr>
        <w:instrText>7150","abstract":"Purpose: To study the impact of oocyte diameter and cumulus cell mass on the potential for final maturation of immature human oocytes in vitro. Methods: Immature oocytes (n = 1563) from 75 women undergoing fertility preservation by ovaria</w:instrText>
      </w:r>
      <w:r>
        <w:rPr>
          <w:rFonts w:ascii="Arial" w:eastAsia="Times New Roman" w:hAnsi="Arial" w:cs="Arial"/>
          <w:i/>
          <w:color w:val="000000"/>
          <w:lang w:val="en-US" w:eastAsia="de-DE"/>
        </w:rPr>
        <w:instrText>n tissue cryopreservation (14–41 years) were collected. After preparation of the ovarian cortex for freezing, immature oocytes were collected from the surplus medulla. After collection, IVM was performed according to standard published methods. The mass of</w:instrText>
      </w:r>
      <w:r>
        <w:rPr>
          <w:rFonts w:ascii="Arial" w:eastAsia="Times New Roman" w:hAnsi="Arial" w:cs="Arial"/>
          <w:i/>
          <w:color w:val="000000"/>
          <w:lang w:val="en-US" w:eastAsia="de-DE"/>
        </w:rPr>
        <w:instrText xml:space="preserve"> cumulus cell surrounding the immature oocyte was grouped according to size. After IVM, each oocyte was photographed, measured, and the diameter was calculated as a mean of two perpendicular measurements. Results: The diameter of the oocytes ranged from 60</w:instrText>
      </w:r>
      <w:r>
        <w:rPr>
          <w:rFonts w:ascii="Arial" w:eastAsia="Times New Roman" w:hAnsi="Arial" w:cs="Arial"/>
          <w:i/>
          <w:color w:val="000000"/>
          <w:lang w:val="en-US" w:eastAsia="de-DE"/>
        </w:rPr>
        <w:instrText xml:space="preserve"> to 171 µm with a mean of 115 µm (SD:12.1) and an interquartile range from 107 to 124 µm. The oocyte diameter was positively associated with a higher incidence of MII (p &lt; 0.001). MII oocytes had a significantly larger mean diameter than MI, GV, and degene</w:instrText>
      </w:r>
      <w:r>
        <w:rPr>
          <w:rFonts w:ascii="Arial" w:eastAsia="Times New Roman" w:hAnsi="Arial" w:cs="Arial"/>
          <w:i/>
          <w:color w:val="000000"/>
          <w:lang w:val="en-US" w:eastAsia="de-DE"/>
        </w:rPr>
        <w:instrText>rated oocytes. The size of the cumulus cell mass was significantly associated with the MII stage (p &lt; 0.001) and larger oocyte diameter (p &lt; 0.001). The results further confirm that the diameter of the fully grown oocyte is reached relatively early in huma</w:instrText>
      </w:r>
      <w:r>
        <w:rPr>
          <w:rFonts w:ascii="Arial" w:eastAsia="Times New Roman" w:hAnsi="Arial" w:cs="Arial"/>
          <w:i/>
          <w:color w:val="000000"/>
          <w:lang w:val="en-US" w:eastAsia="de-DE"/>
        </w:rPr>
        <w:instrText>n follicular development and that the factors governing oocyte maturation in vitro are connected to the surrounding cell mass and the oocyte. Conclusion: The diameter of the oocyte is a highly determining factor in the nuclear maturation of the human oocyt</w:instrText>
      </w:r>
      <w:r>
        <w:rPr>
          <w:rFonts w:ascii="Arial" w:eastAsia="Times New Roman" w:hAnsi="Arial" w:cs="Arial"/>
          <w:i/>
          <w:color w:val="000000"/>
          <w:lang w:val="en-US" w:eastAsia="de-DE"/>
        </w:rPr>
        <w:instrText>e during in vitro maturation, and the size of the cumulus cell mass is closely positively associated with a larger diameter.","author":[{"dropping-particle":"","family":"Pors","given":"S. E.","non-dropping-particle":"","parse-names":false,"suffix":""},{"dr</w:instrText>
      </w:r>
      <w:r>
        <w:rPr>
          <w:rFonts w:ascii="Arial" w:eastAsia="Times New Roman" w:hAnsi="Arial" w:cs="Arial"/>
          <w:i/>
          <w:color w:val="000000"/>
          <w:lang w:val="en-US" w:eastAsia="de-DE"/>
        </w:rPr>
        <w:instrText>opping-particle":"","family":"Nikiforov","given":"D.","non-dropping-particle":"","parse-names":false,"suffix":""},{"dropping-particle":"","family":"Cadenas","given":"J.","non-dropping-particle":"","parse-names":false,"suffix":""},{"dropping-particle":"","f</w:instrText>
      </w:r>
      <w:r>
        <w:rPr>
          <w:rFonts w:ascii="Arial" w:eastAsia="Times New Roman" w:hAnsi="Arial" w:cs="Arial"/>
          <w:i/>
          <w:color w:val="000000"/>
          <w:lang w:val="en-US" w:eastAsia="de-DE"/>
        </w:rPr>
        <w:instrText>amily":"Ghezelayagh","given":"Z.","non-dropping-particle":"","parse-names":false,"suffix":""},{"dropping-particle":"","family":"Wakimoto","given":"Y.","non-dropping-particle":"","parse-names":false,"suffix":""},{"dropping-particle":"","family":"Jara","give</w:instrText>
      </w:r>
      <w:r>
        <w:rPr>
          <w:rFonts w:ascii="Arial" w:eastAsia="Times New Roman" w:hAnsi="Arial" w:cs="Arial"/>
          <w:i/>
          <w:color w:val="000000"/>
          <w:lang w:val="en-US" w:eastAsia="de-DE"/>
        </w:rPr>
        <w:instrText>n":"L. A.Z.","non-dropping-particle":"","parse-names":false,"suffix":""},{"dropping-particle":"","family":"Cheng","given":"J.","non-dropping-particle":"","parse-names":false,"suffix":""},{"dropping-particle":"","family":"Dueholm","given":"M.","non-dropping</w:instrText>
      </w:r>
      <w:r>
        <w:rPr>
          <w:rFonts w:ascii="Arial" w:eastAsia="Times New Roman" w:hAnsi="Arial" w:cs="Arial"/>
          <w:i/>
          <w:color w:val="000000"/>
          <w:lang w:val="en-US" w:eastAsia="de-DE"/>
        </w:rPr>
        <w:instrText>-particle":"","parse-names":false,"suffix":""},{"dropping-particle":"","family":"Macklon","given":"K. T.","non-dropping-particle":"","parse-names":false,"suffix":""},{"dropping-particle":"","family":"Flachs","given":"E. M.","non-dropping-particle":"","pars</w:instrText>
      </w:r>
      <w:r>
        <w:rPr>
          <w:rFonts w:ascii="Arial" w:eastAsia="Times New Roman" w:hAnsi="Arial" w:cs="Arial"/>
          <w:i/>
          <w:color w:val="000000"/>
          <w:lang w:val="en-US" w:eastAsia="de-DE"/>
        </w:rPr>
        <w:instrText>e-names":false,"suffix":""},{"dropping-particle":"","family":"Mamsen","given":"L. S.","non-dropping-particle":"","parse-names":false,"suffix":""},{"dropping-particle":"","family":"Kristensen","given":"S. G.","non-dropping-particle":"","parse-names":false,"</w:instrText>
      </w:r>
      <w:r>
        <w:rPr>
          <w:rFonts w:ascii="Arial" w:eastAsia="Times New Roman" w:hAnsi="Arial" w:cs="Arial"/>
          <w:i/>
          <w:color w:val="000000"/>
          <w:lang w:val="en-US" w:eastAsia="de-DE"/>
        </w:rPr>
        <w:instrText>suffix":""},{"dropping-particle":"","family":"Andersen","given":"C. Yding","non-dropping-particle":"","parse-names":false,"suffix":""}],"container-title":"Journal of Assisted Reproduction and Genetics","id":"ITEM-1","issue":"10","issued":{"date-parts":[["2</w:instrText>
      </w:r>
      <w:r>
        <w:rPr>
          <w:rFonts w:ascii="Arial" w:eastAsia="Times New Roman" w:hAnsi="Arial" w:cs="Arial"/>
          <w:i/>
          <w:color w:val="000000"/>
          <w:lang w:val="en-US" w:eastAsia="de-DE"/>
        </w:rPr>
        <w:instrText>022","10","1"]]},"page":"2209-2214","publisher":"Springer","title":"Oocyte diameter predicts the maturation rate of human immature oocytes collected ex vivo","type":"article-journal","volume":"39"},"uris":["http://www.mendeley.com/documents/?uuid=bd87144f-</w:instrText>
      </w:r>
      <w:r>
        <w:rPr>
          <w:rFonts w:ascii="Arial" w:eastAsia="Times New Roman" w:hAnsi="Arial" w:cs="Arial"/>
          <w:i/>
          <w:color w:val="000000"/>
          <w:lang w:val="en-US" w:eastAsia="de-DE"/>
        </w:rPr>
        <w:instrText>3d3b-3ffe-acd3-dfba0f9226db"]},{"id":"ITEM-2","itemData":{"DOI":"10.1007/S43032-020-00306-3","ISSN":"1933-7205","PMID":"32876908","abstract":"With the recent increased utilization of oocyte vitrification for the purpose of fertility preservation, informati</w:instrText>
      </w:r>
      <w:r>
        <w:rPr>
          <w:rFonts w:ascii="Arial" w:eastAsia="Times New Roman" w:hAnsi="Arial" w:cs="Arial"/>
          <w:i/>
          <w:color w:val="000000"/>
          <w:lang w:val="en-US" w:eastAsia="de-DE"/>
        </w:rPr>
        <w:instrText>on regarding the future fertility potential of the frozen oocytes is mandatory. Nowadays, there is a relative lack of data about prediction of assisted reproductive technique (ART) success relying on the retrieved oocytes. In the present study, we therefor</w:instrText>
      </w:r>
      <w:r>
        <w:rPr>
          <w:rFonts w:ascii="Arial" w:eastAsia="Times New Roman" w:hAnsi="Arial" w:cs="Arial"/>
          <w:i/>
          <w:color w:val="000000"/>
          <w:lang w:val="en-US" w:eastAsia="de-DE"/>
        </w:rPr>
        <w:instrText>e aimed to investigate whether oocyte diameter might predict the quality of the developing embryo. A retrospective, single-center cohort study. Oocytes retrieved following controlled ovarian hyperstimulation cycles during 2016 and incubated in a time-lapse</w:instrText>
      </w:r>
      <w:r>
        <w:rPr>
          <w:rFonts w:ascii="Arial" w:eastAsia="Times New Roman" w:hAnsi="Arial" w:cs="Arial"/>
          <w:i/>
          <w:color w:val="000000"/>
          <w:lang w:val="en-US" w:eastAsia="de-DE"/>
        </w:rPr>
        <w:instrText xml:space="preserve"> incubator system were analyzed. Oocytes were grouped by mean oocyte diameter (MOD) and incubated for 5 days before the final morphological evaluation done by an expert embryologist. A total of 471 cycles which yielded 3355 metaphase II oocytes were includ</w:instrText>
      </w:r>
      <w:r>
        <w:rPr>
          <w:rFonts w:ascii="Arial" w:eastAsia="Times New Roman" w:hAnsi="Arial" w:cs="Arial"/>
          <w:i/>
          <w:color w:val="000000"/>
          <w:lang w:val="en-US" w:eastAsia="de-DE"/>
        </w:rPr>
        <w:instrText xml:space="preserve">ed in the analysis. Embryos developed from oocytes with MOD close to the average (Average 1SD &lt; MOD &lt; Average + 1SD) had increased good-quality blastulation rates compared with embryos that developed from very small or very large oocytes. Oocytes with MOD </w:instrText>
      </w:r>
      <w:r>
        <w:rPr>
          <w:rFonts w:ascii="Arial" w:eastAsia="Times New Roman" w:hAnsi="Arial" w:cs="Arial"/>
          <w:i/>
          <w:color w:val="000000"/>
          <w:lang w:val="en-US" w:eastAsia="de-DE"/>
        </w:rPr>
        <w:instrText>between 105.96 and 118.69 μm have better probability of becoming top-quality D5 blastocysts (17.1–17.4% grade 1 embryos). There is a correlation between oocyte’s MOD and the embryo quality at day 5. The oocytes with near average MOD have a better chance to</w:instrText>
      </w:r>
      <w:r>
        <w:rPr>
          <w:rFonts w:ascii="Arial" w:eastAsia="Times New Roman" w:hAnsi="Arial" w:cs="Arial"/>
          <w:i/>
          <w:color w:val="000000"/>
          <w:lang w:val="en-US" w:eastAsia="de-DE"/>
        </w:rPr>
        <w:instrText xml:space="preserve"> develop to a good-quality embryo. Therefore, the study suggests that MOD might serve as a predictor for embryo grading at day 5.","author":[{"dropping-particle":"","family":"Bassil","given":"Rawad","non-dropping-particle":"","parse-names":false,"suffix":"</w:instrText>
      </w:r>
      <w:r>
        <w:rPr>
          <w:rFonts w:ascii="Arial" w:eastAsia="Times New Roman" w:hAnsi="Arial" w:cs="Arial"/>
          <w:i/>
          <w:color w:val="000000"/>
          <w:lang w:val="en-US" w:eastAsia="de-DE"/>
        </w:rPr>
        <w:instrText>"},{"dropping-particle":"","family":"Casper","given":"Robert F.","non-dropping-particle":"","parse-names":false,"suffix":""},{"dropping-particle":"","family":"Meriano","given":"Jim","non-dropping-particle":"","parse-names":false,"suffix":""},{"dropping-par</w:instrText>
      </w:r>
      <w:r>
        <w:rPr>
          <w:rFonts w:ascii="Arial" w:eastAsia="Times New Roman" w:hAnsi="Arial" w:cs="Arial"/>
          <w:i/>
          <w:color w:val="000000"/>
          <w:lang w:val="en-US" w:eastAsia="de-DE"/>
        </w:rPr>
        <w:instrText>ticle":"","family":"Smith","given":"Ramsey","non-dropping-particle":"","parse-names":false,"suffix":""},{"dropping-particle":"","family":"Haas","given":"Jigal","non-dropping-particle":"","parse-names":false,"suffix":""},{"dropping-particle":"","family":"Me</w:instrText>
      </w:r>
      <w:r>
        <w:rPr>
          <w:rFonts w:ascii="Arial" w:eastAsia="Times New Roman" w:hAnsi="Arial" w:cs="Arial"/>
          <w:i/>
          <w:color w:val="000000"/>
          <w:lang w:val="en-US" w:eastAsia="de-DE"/>
        </w:rPr>
        <w:instrText>hta","given":"Chaula","non-dropping-particle":"","parse-names":false,"suffix":""},{"dropping-particle":"","family":"Orvieto","given":"Raoul","non-dropping-particle":"","parse-names":false,"suffix":""},{"dropping-particle":"","family":"Zilberberg","given":"</w:instrText>
      </w:r>
      <w:r>
        <w:rPr>
          <w:rFonts w:ascii="Arial" w:eastAsia="Times New Roman" w:hAnsi="Arial" w:cs="Arial"/>
          <w:i/>
          <w:color w:val="000000"/>
          <w:lang w:val="en-US" w:eastAsia="de-DE"/>
        </w:rPr>
        <w:instrText>Eran","non-dropping-particle":"","parse-names":false,"suffix":""}],"container-title":"Reproductive sciences (Thousand Oaks, Calif.)","id":"ITEM-2","issue":"3","issued":{"date-parts":[["2021","3","1"]]},"page":"904-908","publisher":"Reprod Sci","title":"Can</w:instrText>
      </w:r>
      <w:r>
        <w:rPr>
          <w:rFonts w:ascii="Arial" w:eastAsia="Times New Roman" w:hAnsi="Arial" w:cs="Arial"/>
          <w:i/>
          <w:color w:val="000000"/>
          <w:lang w:val="en-US" w:eastAsia="de-DE"/>
        </w:rPr>
        <w:instrText xml:space="preserve"> Oocyte Diameter Predict Embryo Quality?","type":"article-journal","volume":"28"},"uris":["http://www.mendeley.com/documents/?uuid=ab4d2b97-6e7e-3dac-bf5f-1963a931b89b"]}],"mendeley":{"formattedCitation":"&lt;sup&gt;171,172&lt;/sup&gt;","plainTextFormattedCitation":"1</w:instrText>
      </w:r>
      <w:r>
        <w:rPr>
          <w:rFonts w:ascii="Arial" w:eastAsia="Times New Roman" w:hAnsi="Arial" w:cs="Arial"/>
          <w:i/>
          <w:color w:val="000000"/>
          <w:lang w:val="en-US" w:eastAsia="de-DE"/>
        </w:rPr>
        <w:instrText>71,172","previouslyFormattedCitation":"&lt;sup&gt;171,172&lt;/sup&gt;"},"properties":{"noteIndex":0},"schema":"https://github.com/citation-style-language/schema/raw/master/csl-citation.json"}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171,172</w:t>
      </w:r>
      <w:r>
        <w:rPr>
          <w:rFonts w:ascii="Arial" w:eastAsia="Times New Roman" w:hAnsi="Arial" w:cs="Arial"/>
          <w:i/>
          <w:color w:val="000000"/>
          <w:lang w:val="en-US" w:eastAsia="de-DE"/>
        </w:rPr>
        <w:fldChar w:fldCharType="end"/>
      </w:r>
      <w:r>
        <w:rPr>
          <w:rFonts w:ascii="Arial" w:eastAsia="Times New Roman" w:hAnsi="Arial" w:cs="Arial"/>
          <w:i/>
          <w:color w:val="000000"/>
          <w:lang w:val="en-US" w:eastAsia="de-DE"/>
        </w:rPr>
        <w:t>, and muscle cells</w:t>
      </w:r>
      <w:r>
        <w:rPr>
          <w:rFonts w:ascii="Arial" w:eastAsia="Times New Roman" w:hAnsi="Arial" w:cs="Arial"/>
          <w:i/>
          <w:color w:val="000000"/>
          <w:lang w:val="en-US" w:eastAsia="de-DE"/>
        </w:rPr>
        <w:fldChar w:fldCharType="begin" w:fldLock="1"/>
      </w:r>
      <w:r>
        <w:rPr>
          <w:rFonts w:ascii="Arial" w:eastAsia="Times New Roman" w:hAnsi="Arial" w:cs="Arial"/>
          <w:i/>
          <w:color w:val="000000"/>
          <w:lang w:val="en-US" w:eastAsia="de-DE"/>
        </w:rPr>
        <w:instrText>ADDIN CSL_CITATION {"citationItems":[{"id":"ITEM-</w:instrText>
      </w:r>
      <w:r>
        <w:rPr>
          <w:rFonts w:ascii="Arial" w:eastAsia="Times New Roman" w:hAnsi="Arial" w:cs="Arial"/>
          <w:i/>
          <w:color w:val="000000"/>
          <w:lang w:val="en-US" w:eastAsia="de-DE"/>
        </w:rPr>
        <w:instrText>1","itemData":{"DOI":"10.1113/EXPPHYSIOL.2010.055269","ISSN":"1469-445X","PMID":"21317219","abstract":"When the contractile properties of single muscle fibres are studied, force is typically normalized by fibre cross-sectional area and expressed as specifi</w:instrText>
      </w:r>
      <w:r>
        <w:rPr>
          <w:rFonts w:ascii="Arial" w:eastAsia="Times New Roman" w:hAnsi="Arial" w:cs="Arial"/>
          <w:i/>
          <w:color w:val="000000"/>
          <w:lang w:val="en-US" w:eastAsia="de-DE"/>
        </w:rPr>
        <w:instrText>c force. We studied a set of 2725 chemically skinned human single muscle fibres from 119 healthy adults to determine whether specific force is the optimal way to express the relationship between single-fibre force and size. A linear mixed effects model was</w:instrText>
      </w:r>
      <w:r>
        <w:rPr>
          <w:rFonts w:ascii="Arial" w:eastAsia="Times New Roman" w:hAnsi="Arial" w:cs="Arial"/>
          <w:i/>
          <w:color w:val="000000"/>
          <w:lang w:val="en-US" w:eastAsia="de-DE"/>
        </w:rPr>
        <w:instrText xml:space="preserve"> used to estimate the slope and slope variability among individuals of log-log plots of force and diameter. For type I fibres, the slope estimate was 0.99 (95% confidence interval 0.36-1.62), and for type IIa fibres it was 0.94 (95% confidence interval 0.7</w:instrText>
      </w:r>
      <w:r>
        <w:rPr>
          <w:rFonts w:ascii="Arial" w:eastAsia="Times New Roman" w:hAnsi="Arial" w:cs="Arial"/>
          <w:i/>
          <w:color w:val="000000"/>
          <w:lang w:val="en-US" w:eastAsia="de-DE"/>
        </w:rPr>
        <w:instrText>7-1.11), indicating that force is proportional to fibre diameter, rather than to cross-sectional area. If force were proportional to cross-sectional area, the slope estimate would be 2.0. In future studies using the chemically skinned single fibre preparat</w:instrText>
      </w:r>
      <w:r>
        <w:rPr>
          <w:rFonts w:ascii="Arial" w:eastAsia="Times New Roman" w:hAnsi="Arial" w:cs="Arial"/>
          <w:i/>
          <w:color w:val="000000"/>
          <w:lang w:val="en-US" w:eastAsia="de-DE"/>
        </w:rPr>
        <w:instrText>ion, force may be normalized to fibre diameter rather than cross-sectional area. We propose that a new term, 'normalized force', be used for this variable, with units of newtons per metre. We demonstrate using our data set that when populations of single f</w:instrText>
      </w:r>
      <w:r>
        <w:rPr>
          <w:rFonts w:ascii="Arial" w:eastAsia="Times New Roman" w:hAnsi="Arial" w:cs="Arial"/>
          <w:i/>
          <w:color w:val="000000"/>
          <w:lang w:val="en-US" w:eastAsia="de-DE"/>
        </w:rPr>
        <w:instrText>ibres are compared with one another, the determination of whether the size and force relationship is the same or different is dependent upon the method used to account for fibre size (i.e. specific forceversus'normalized force'). © 2011 The Authors. Journa</w:instrText>
      </w:r>
      <w:r>
        <w:rPr>
          <w:rFonts w:ascii="Arial" w:eastAsia="Times New Roman" w:hAnsi="Arial" w:cs="Arial"/>
          <w:i/>
          <w:color w:val="000000"/>
          <w:lang w:val="en-US" w:eastAsia="de-DE"/>
        </w:rPr>
        <w:instrText>l compilation © 2011 The Physiological Society.","author":[{"dropping-particle":"","family":"Krivickas","given":"Lisa S.","non-dropping-particle":"","parse-names":false,"suffix":""},{"dropping-particle":"","family":"Dorer","given":"David J.","non-dropping-</w:instrText>
      </w:r>
      <w:r>
        <w:rPr>
          <w:rFonts w:ascii="Arial" w:eastAsia="Times New Roman" w:hAnsi="Arial" w:cs="Arial"/>
          <w:i/>
          <w:color w:val="000000"/>
          <w:lang w:val="en-US" w:eastAsia="de-DE"/>
        </w:rPr>
        <w:instrText>particle":"","parse-names":false,"suffix":""},{"dropping-particle":"","family":"Ochala","given":"Julien","non-dropping-particle":"","parse-names":false,"suffix":""},{"dropping-particle":"","family":"Frontera","given":"Walter R.","non-dropping-particle":"",</w:instrText>
      </w:r>
      <w:r>
        <w:rPr>
          <w:rFonts w:ascii="Arial" w:eastAsia="Times New Roman" w:hAnsi="Arial" w:cs="Arial"/>
          <w:i/>
          <w:color w:val="000000"/>
          <w:lang w:val="en-US" w:eastAsia="de-DE"/>
        </w:rPr>
        <w:instrText>"parse-names":false,"suffix":""}],"container-title":"Experimental Physiology","id":"ITEM-1","issue":"5","issued":{"date-parts":[["2011","5","1"]]},"page":"539-547","publisher":"John Wiley &amp; Sons, Ltd","title":"Relationship between force and size in human s</w:instrText>
      </w:r>
      <w:r>
        <w:rPr>
          <w:rFonts w:ascii="Arial" w:eastAsia="Times New Roman" w:hAnsi="Arial" w:cs="Arial"/>
          <w:i/>
          <w:color w:val="000000"/>
          <w:lang w:val="en-US" w:eastAsia="de-DE"/>
        </w:rPr>
        <w:instrText>ingle muscle fibres","type":"article-journal","volume":"96"},"uris":["http://www.mendeley.com/documents/?uuid=222531d3-bbe5-3e71-9921-e50f64457886"]}],"mendeley":{"formattedCitation":"&lt;sup&gt;186&lt;/sup&gt;","plainTextFormattedCitation":"186","previouslyFormattedC</w:instrText>
      </w:r>
      <w:r>
        <w:rPr>
          <w:rFonts w:ascii="Arial" w:eastAsia="Times New Roman" w:hAnsi="Arial" w:cs="Arial"/>
          <w:i/>
          <w:color w:val="000000"/>
          <w:lang w:val="en-US" w:eastAsia="de-DE"/>
        </w:rPr>
        <w:instrText>itation":"&lt;sup&gt;186&lt;/sup&gt;"},"properties":{"noteIndex":0},"schema":"https://github.com/citation-style-language/schema/raw/master/csl-citation.json"}</w:instrText>
      </w:r>
      <w:r>
        <w:rPr>
          <w:rFonts w:ascii="Arial" w:eastAsia="Times New Roman" w:hAnsi="Arial" w:cs="Arial"/>
          <w:i/>
          <w:color w:val="000000"/>
          <w:lang w:val="en-US" w:eastAsia="de-DE"/>
        </w:rPr>
        <w:fldChar w:fldCharType="separate"/>
      </w:r>
      <w:r>
        <w:rPr>
          <w:rFonts w:ascii="Arial" w:eastAsia="Times New Roman" w:hAnsi="Arial" w:cs="Arial"/>
          <w:noProof/>
          <w:color w:val="000000"/>
          <w:vertAlign w:val="superscript"/>
          <w:lang w:val="en-US" w:eastAsia="de-DE"/>
        </w:rPr>
        <w:t>186</w:t>
      </w:r>
      <w:r>
        <w:rPr>
          <w:rFonts w:ascii="Arial" w:eastAsia="Times New Roman" w:hAnsi="Arial" w:cs="Arial"/>
          <w:i/>
          <w:color w:val="000000"/>
          <w:lang w:val="en-US" w:eastAsia="de-DE"/>
        </w:rPr>
        <w:fldChar w:fldCharType="end"/>
      </w:r>
      <w:r>
        <w:rPr>
          <w:rFonts w:ascii="Arial" w:eastAsia="Times New Roman" w:hAnsi="Arial" w:cs="Arial"/>
          <w:i/>
          <w:color w:val="000000"/>
          <w:lang w:val="en-US" w:eastAsia="de-DE"/>
        </w:rPr>
        <w:t>.</w:t>
      </w:r>
    </w:p>
    <w:p w14:paraId="175B2E94" w14:textId="77777777" w:rsidR="00066D11" w:rsidRDefault="00E55468">
      <w:pPr>
        <w:jc w:val="both"/>
        <w:rPr>
          <w:rFonts w:ascii="Arial" w:eastAsia="Times New Roman" w:hAnsi="Arial" w:cs="Arial"/>
          <w:color w:val="000000"/>
          <w:lang w:val="en-US" w:eastAsia="de-DE"/>
        </w:rPr>
      </w:pPr>
      <w:r>
        <w:rPr>
          <w:rFonts w:ascii="Arial" w:eastAsia="Times New Roman" w:hAnsi="Arial" w:cs="Arial"/>
          <w:color w:val="000000"/>
          <w:lang w:val="en-US" w:eastAsia="de-DE"/>
        </w:rPr>
        <w:t>One additional noteworthy example where cell size seems to be linked to a specific cell function are s</w:t>
      </w:r>
      <w:r>
        <w:rPr>
          <w:rFonts w:ascii="Arial" w:eastAsia="Times New Roman" w:hAnsi="Arial" w:cs="Arial"/>
          <w:color w:val="000000"/>
          <w:lang w:val="en-US" w:eastAsia="de-DE"/>
        </w:rPr>
        <w:t>tem cells. Stem cells are undifferentiated cells that have a self-renewal property, as well as the ability to differentiate into a plethora of different cell types with specialized functions and morphological characteristics, including cell size. Many stud</w:t>
      </w:r>
      <w:r>
        <w:rPr>
          <w:rFonts w:ascii="Arial" w:eastAsia="Times New Roman" w:hAnsi="Arial" w:cs="Arial"/>
          <w:color w:val="000000"/>
          <w:lang w:val="en-US" w:eastAsia="de-DE"/>
        </w:rPr>
        <w:t>ies across different multicellular species found that one of the most common features among stem cells is their small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{"citationItems":[{"id":"ITEM-1","itemData":{"DOI":"10.1002/AR.A.10134","ISSN":"1552-4892","PMID":"14699636","abstr</w:instrText>
      </w:r>
      <w:r>
        <w:rPr>
          <w:rFonts w:ascii="Arial" w:eastAsia="Times New Roman" w:hAnsi="Arial" w:cs="Arial"/>
          <w:color w:val="000000"/>
          <w:lang w:val="en-US" w:eastAsia="de-DE"/>
        </w:rPr>
        <w:instrText xml:space="preserve">act":"Development of a multicellular organism is accomplished through a series of events that are preprogrammed in the genome. These events encompass cellular proliferation, lineage commitment, lineage progression, lineage expression, cellular inhibition, </w:instrText>
      </w:r>
      <w:r>
        <w:rPr>
          <w:rFonts w:ascii="Arial" w:eastAsia="Times New Roman" w:hAnsi="Arial" w:cs="Arial"/>
          <w:color w:val="000000"/>
          <w:lang w:val="en-US" w:eastAsia="de-DE"/>
        </w:rPr>
        <w:instrText>and regulated apoptosis. The sequential progression of cells through these events results in the formation of the differentiated cells, tissues, and organs that constitute an individual. Although most cells progress through this sequence during development</w:instrText>
      </w:r>
      <w:r>
        <w:rPr>
          <w:rFonts w:ascii="Arial" w:eastAsia="Times New Roman" w:hAnsi="Arial" w:cs="Arial"/>
          <w:color w:val="000000"/>
          <w:lang w:val="en-US" w:eastAsia="de-DE"/>
        </w:rPr>
        <w:instrText xml:space="preserve">, a few cells leave the developmental continuum to become reserve precursor cells. The reserve precursor cells are involved in the continual maintenance and repair of the tissues and organs throughout the life span of the individual. Until recently it was </w:instrText>
      </w:r>
      <w:r>
        <w:rPr>
          <w:rFonts w:ascii="Arial" w:eastAsia="Times New Roman" w:hAnsi="Arial" w:cs="Arial"/>
          <w:color w:val="000000"/>
          <w:lang w:val="en-US" w:eastAsia="de-DE"/>
        </w:rPr>
        <w:instrText>generally assumed that the precursor cells in postnatal individuals were limited to lineage-committed progenitor cells specific for various tissues. However, studies by Young, his colleagues, and others have demonstrated the presence of two categories of p</w:instrText>
      </w:r>
      <w:r>
        <w:rPr>
          <w:rFonts w:ascii="Arial" w:eastAsia="Times New Roman" w:hAnsi="Arial" w:cs="Arial"/>
          <w:color w:val="000000"/>
          <w:lang w:val="en-US" w:eastAsia="de-DE"/>
        </w:rPr>
        <w:instrText>recursor cells that reside within the organs and tissues of postnatal animals. These two categories of precursor cells are lineage-committed (multipotent, tripotent, bipotent, and unipotent) progenitor cells and lineage-uncommitted pluripotent (epiblastic-</w:instrText>
      </w:r>
      <w:r>
        <w:rPr>
          <w:rFonts w:ascii="Arial" w:eastAsia="Times New Roman" w:hAnsi="Arial" w:cs="Arial"/>
          <w:color w:val="000000"/>
          <w:lang w:val="en-US" w:eastAsia="de-DE"/>
        </w:rPr>
        <w:instrText>like, ectodermal, mesodermal, and endodermal) stem cells. These reserve precursor cells provide for the continual maintenance and repair of the organism after birth. © 2004 Wiley-Liss, Inc.","author":[{"dropping-particle":"","family":"Young","given":"Henry</w:instrText>
      </w:r>
      <w:r>
        <w:rPr>
          <w:rFonts w:ascii="Arial" w:eastAsia="Times New Roman" w:hAnsi="Arial" w:cs="Arial"/>
          <w:color w:val="000000"/>
          <w:lang w:val="en-US" w:eastAsia="de-DE"/>
        </w:rPr>
        <w:instrText xml:space="preserve"> E.","non-dropping-particle":"","parse-names":false,"suffix":""},{"dropping-particle":"","family":"Black","given":"Asa C.","non-dropping-particle":"","parse-names":false,"suffix":""}],"container-title":"The Anatomical Record Part A: Discoveries in Molecula</w:instrText>
      </w:r>
      <w:r>
        <w:rPr>
          <w:rFonts w:ascii="Arial" w:eastAsia="Times New Roman" w:hAnsi="Arial" w:cs="Arial"/>
          <w:color w:val="000000"/>
          <w:lang w:val="en-US" w:eastAsia="de-DE"/>
        </w:rPr>
        <w:instrText>r, Cellular, and Evolutionary Biology","id":"ITEM-1","issue":"1","issued":{"date-parts":[["2004","1","1"]]},"page":"75-102","publisher":"John Wiley &amp; Sons, Ltd","title":"Adult stem cells","type":"article-journal","volume":"276A"},"uris":["http://www.mendel</w:instrText>
      </w:r>
      <w:r>
        <w:rPr>
          <w:rFonts w:ascii="Arial" w:eastAsia="Times New Roman" w:hAnsi="Arial" w:cs="Arial"/>
          <w:color w:val="000000"/>
          <w:lang w:val="en-US" w:eastAsia="de-DE"/>
        </w:rPr>
        <w:instrText>ey.com/documents/?uuid=7c0f3594-1998-350f-b0f3-52fbdb58fa35"]},{"id":"ITEM-2","itemData":{"DOI":"10.1038/35030000","ISSN":"1476-4687","PMID":"11014181","abstract":"Plant cell walls are the starting materials for many commercial products, from lumber, paper</w:instrText>
      </w:r>
      <w:r>
        <w:rPr>
          <w:rFonts w:ascii="Arial" w:eastAsia="Times New Roman" w:hAnsi="Arial" w:cs="Arial"/>
          <w:color w:val="000000"/>
          <w:lang w:val="en-US" w:eastAsia="de-DE"/>
        </w:rPr>
        <w:instrText xml:space="preserve"> and textiles to thickeners, films and explosives. The cell wall is secreted by each cell in the plant body, forming a thin fibreglass-like network with remarkable strength and flexibility. During growth, plant cells secrete a protein called expansin, whic</w:instrText>
      </w:r>
      <w:r>
        <w:rPr>
          <w:rFonts w:ascii="Arial" w:eastAsia="Times New Roman" w:hAnsi="Arial" w:cs="Arial"/>
          <w:color w:val="000000"/>
          <w:lang w:val="en-US" w:eastAsia="de-DE"/>
        </w:rPr>
        <w:instrText>h unlocks the network of wall polysaccharides, permitting turgor-driven cell enlargement. Germinating grass pollen also secretes an unusual expansin that loosens maternal cell walls to aid penetration of the stigma by the pollen tube. Expansin's action has</w:instrText>
      </w:r>
      <w:r>
        <w:rPr>
          <w:rFonts w:ascii="Arial" w:eastAsia="Times New Roman" w:hAnsi="Arial" w:cs="Arial"/>
          <w:color w:val="000000"/>
          <w:lang w:val="en-US" w:eastAsia="de-DE"/>
        </w:rPr>
        <w:instrText xml:space="preserve"> puzzling implications for plant cell-wall structure. The recent explosion of gene sequences and expression data has given new hints of additional biological functions for expansins.","author":[{"dropping-particle":"","family":"Cosgrove","given":"Daniel J.</w:instrText>
      </w:r>
      <w:r>
        <w:rPr>
          <w:rFonts w:ascii="Arial" w:eastAsia="Times New Roman" w:hAnsi="Arial" w:cs="Arial"/>
          <w:color w:val="000000"/>
          <w:lang w:val="en-US" w:eastAsia="de-DE"/>
        </w:rPr>
        <w:instrText>","non-dropping-particle":"","parse-names":false,"suffix":""}],"container-title":"Nature 2000 407:6802","id":"ITEM-2","issue":"6802","issued":{"date-parts":[["2000","9","21"]]},"page":"321-326","publisher":"Nature Publishing Group","title":"Loosening of pl</w:instrText>
      </w:r>
      <w:r>
        <w:rPr>
          <w:rFonts w:ascii="Arial" w:eastAsia="Times New Roman" w:hAnsi="Arial" w:cs="Arial"/>
          <w:color w:val="000000"/>
          <w:lang w:val="en-US" w:eastAsia="de-DE"/>
        </w:rPr>
        <w:instrText>ant cell walls by expansins","type":"article-journal","volume":"407"},"uris":["http://www.mendeley.com/documents/?uuid=0da5d7c1-9f26-338a-b12f-6c6e36480f96"]}],"mendeley":{"formattedCitation":"&lt;sup&gt;187,188&lt;/sup&gt;","plainTextFormattedCitation":"187,188","pre</w:instrText>
      </w:r>
      <w:r>
        <w:rPr>
          <w:rFonts w:ascii="Arial" w:eastAsia="Times New Roman" w:hAnsi="Arial" w:cs="Arial"/>
          <w:color w:val="000000"/>
          <w:lang w:val="en-US" w:eastAsia="de-DE"/>
        </w:rPr>
        <w:instrText>viouslyFormattedCitation":"&lt;sup&gt;187,188&lt;/sup&gt;"},"properties":{"noteIndex":0},"schema":"https://github.com/citation-style-language/schema/raw/master/csl-citation.json"}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187,188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Moreover, the criteria used for identification of human induced pluripotent s</w:t>
      </w:r>
      <w:r>
        <w:rPr>
          <w:rFonts w:ascii="Arial" w:eastAsia="Times New Roman" w:hAnsi="Arial" w:cs="Arial"/>
          <w:color w:val="000000"/>
          <w:lang w:val="en-US" w:eastAsia="de-DE"/>
        </w:rPr>
        <w:t>tem cells (iPSCs) not only include expression of pluripotency factors but also morphological features, in particular a small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{"citationItems":[{"id":"ITEM-1","itemData":{"DOI":"10.1371/JOURNAL.PONE.0048677","ISSN":"1932-6203","P</w:instrText>
      </w:r>
      <w:r>
        <w:rPr>
          <w:rFonts w:ascii="Arial" w:eastAsia="Times New Roman" w:hAnsi="Arial" w:cs="Arial"/>
          <w:color w:val="000000"/>
          <w:lang w:val="en-US" w:eastAsia="de-DE"/>
        </w:rPr>
        <w:instrText>MID":"23272044","abstract":"Induced pluripotent stem (iPS) cells can be generated from somatic cells by the forced expression of four factors, Oct3/4, Sox2, Klf4, and c-Myc. While a great variety of colonies grow during induction, only a few of them develo</w:instrText>
      </w:r>
      <w:r>
        <w:rPr>
          <w:rFonts w:ascii="Arial" w:eastAsia="Times New Roman" w:hAnsi="Arial" w:cs="Arial"/>
          <w:color w:val="000000"/>
          <w:lang w:val="en-US" w:eastAsia="de-DE"/>
        </w:rPr>
        <w:instrText>p into iPS cells. Researchers currently use visual observation to identify iPS cells and select colonies resembling embryonic stem (ES) cells, and there are no established objective criteria. Therefore, we exhaustively analyzed the morphology and gene expr</w:instrText>
      </w:r>
      <w:r>
        <w:rPr>
          <w:rFonts w:ascii="Arial" w:eastAsia="Times New Roman" w:hAnsi="Arial" w:cs="Arial"/>
          <w:color w:val="000000"/>
          <w:lang w:val="en-US" w:eastAsia="de-DE"/>
        </w:rPr>
        <w:instrText>ession of all the colonies generated from human fibroblasts after transfection with four retroviral vectors encoding individual factors (192 and 203 colonies in two experiments) and with a single polycistronic retroviral vector encoding all four factors (1</w:instrText>
      </w:r>
      <w:r>
        <w:rPr>
          <w:rFonts w:ascii="Arial" w:eastAsia="Times New Roman" w:hAnsi="Arial" w:cs="Arial"/>
          <w:color w:val="000000"/>
          <w:lang w:val="en-US" w:eastAsia="de-DE"/>
        </w:rPr>
        <w:instrText>99 and 192 colonies in two experiments). Here we demonstrate that the morphologic features of emerged colonies can be categorized based on six parameters, and all generated colonies that could be passaged were classified into seven subtypes in colonies tra</w:instrText>
      </w:r>
      <w:r>
        <w:rPr>
          <w:rFonts w:ascii="Arial" w:eastAsia="Times New Roman" w:hAnsi="Arial" w:cs="Arial"/>
          <w:color w:val="000000"/>
          <w:lang w:val="en-US" w:eastAsia="de-DE"/>
        </w:rPr>
        <w:instrText xml:space="preserve">nsfected with four retroviral vectors and six subtypes with a single polycistronic retroviral vector, both including iPS cell colonies. The essential qualifications for iPS cells were: cells with a single nucleolus; nucleus to nucleolus (N/Nls) ratio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 xml:space="preserve">2.19: cell size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 xml:space="preserve">43.5 µm2: a nucleus to cytoplasm (N/C) ratio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 xml:space="preserve">0.87: cell density in a colony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5900 cells/mm2: and number of cell layer single. Most importantly, gene expression analysis revealed for the first time that endogenous Sox2 and Cdx2 were expres</w:instrText>
      </w:r>
      <w:r>
        <w:rPr>
          <w:rFonts w:ascii="Arial" w:eastAsia="Times New Roman" w:hAnsi="Arial" w:cs="Arial"/>
          <w:color w:val="000000"/>
          <w:lang w:val="en-US" w:eastAsia="de-DE"/>
        </w:rPr>
        <w:instrText>sed specifically in iPS cells, whereas Oct3/4 and Nanog, popularly used markers for identifying iPS cells, are expressed in colonies other than iPS cells, suggesting that Sox2 and Cdx2 are reliable markers for identifying iPS cells. Our findings indicate t</w:instrText>
      </w:r>
      <w:r>
        <w:rPr>
          <w:rFonts w:ascii="Arial" w:eastAsia="Times New Roman" w:hAnsi="Arial" w:cs="Arial"/>
          <w:color w:val="000000"/>
          <w:lang w:val="en-US" w:eastAsia="de-DE"/>
        </w:rPr>
        <w:instrText>hat morphologic parameters and the expression of endogenous Sox2 and Cdx2 can be used to accurately identify iPS cells.","author":[{"dropping-particle":"","family":"Wakao","given":"Shohei","non-dropping-particle":"","parse-names":false,"suffix":""},{"dropp</w:instrText>
      </w:r>
      <w:r>
        <w:rPr>
          <w:rFonts w:ascii="Arial" w:eastAsia="Times New Roman" w:hAnsi="Arial" w:cs="Arial"/>
          <w:color w:val="000000"/>
          <w:lang w:val="en-US" w:eastAsia="de-DE"/>
        </w:rPr>
        <w:instrText>ing-particle":"","family":"Kitada","given":"Masaaki","non-dropping-particle":"","parse-names":false,"suffix":""},{"dropping-particle":"","family":"Kuroda","given":"Yasumasa","non-dropping-particle":"","parse-names":false,"suffix":""},{"dropping-particle":"</w:instrText>
      </w:r>
      <w:r>
        <w:rPr>
          <w:rFonts w:ascii="Arial" w:eastAsia="Times New Roman" w:hAnsi="Arial" w:cs="Arial"/>
          <w:color w:val="000000"/>
          <w:lang w:val="en-US" w:eastAsia="de-DE"/>
        </w:rPr>
        <w:instrText>","family":"Ogura","given":"Fumitaka","non-dropping-particle":"","parse-names":false,"suffix":""},{"dropping-particle":"","family":"Murakami","given":"Toru","non-dropping-particle":"","parse-names":false,"suffix":""},{"dropping-particle":"","family":"Niwa"</w:instrText>
      </w:r>
      <w:r>
        <w:rPr>
          <w:rFonts w:ascii="Arial" w:eastAsia="Times New Roman" w:hAnsi="Arial" w:cs="Arial"/>
          <w:color w:val="000000"/>
          <w:lang w:val="en-US" w:eastAsia="de-DE"/>
        </w:rPr>
        <w:instrText>,"given":"Akira","non-dropping-particle":"","parse-names":false,"suffix":""},{"dropping-particle":"","family":"Dezawa","given":"Mari","non-dropping-particle":"","parse-names":false,"suffix":""}],"container-title":"PLOS ONE","id":"ITEM-1","issue":"12","issu</w:instrText>
      </w:r>
      <w:r>
        <w:rPr>
          <w:rFonts w:ascii="Arial" w:eastAsia="Times New Roman" w:hAnsi="Arial" w:cs="Arial"/>
          <w:color w:val="000000"/>
          <w:lang w:val="en-US" w:eastAsia="de-DE"/>
        </w:rPr>
        <w:instrText>ed":{"date-parts":[["2012","12","13"]]},"page":"e48677","publisher":"Public Library of Science","title":"Morphologic and Gene Expression Criteria for Identifying Human Induced Pluripotent Stem Cells","type":"article-journal","volume":"7"},"uris":["http://w</w:instrText>
      </w:r>
      <w:r>
        <w:rPr>
          <w:rFonts w:ascii="Arial" w:eastAsia="Times New Roman" w:hAnsi="Arial" w:cs="Arial"/>
          <w:color w:val="000000"/>
          <w:lang w:val="en-US" w:eastAsia="de-DE"/>
        </w:rPr>
        <w:instrText>ww.mendeley.com/documents/?uuid=e569c835-830f-309b-9a93-7330e4dc2170"]}],"mendeley":{"formattedCitation":"&lt;sup&gt;189&lt;/sup&gt;","plainTextFormattedCitation":"189","previouslyFormattedCitation":"&lt;sup&gt;189&lt;/sup&gt;"},"properties":{"noteIndex":0},"schema":"https://gith</w:instrText>
      </w:r>
      <w:r>
        <w:rPr>
          <w:rFonts w:ascii="Arial" w:eastAsia="Times New Roman" w:hAnsi="Arial" w:cs="Arial"/>
          <w:color w:val="000000"/>
          <w:lang w:val="en-US" w:eastAsia="de-DE"/>
        </w:rPr>
        <w:instrText>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189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Linking small cell size to stem cell function, Lengefeld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{"citationItems":[{"id":"ITEM-1","itemData":{"DOI":"10.1126/SCIADV.ABK0271/SUPPL_FILE/SCIADV.ABK02</w:instrText>
      </w:r>
      <w:r>
        <w:rPr>
          <w:rFonts w:ascii="Arial" w:eastAsia="Times New Roman" w:hAnsi="Arial" w:cs="Arial"/>
          <w:color w:val="000000"/>
          <w:lang w:val="en-US" w:eastAsia="de-DE"/>
        </w:rPr>
        <w:instrText>71_TABLES_S1_TO_S3.ZIP","ISSN":"23752548","PMID":"34767451","abstract":"Stem cells are remarkably small. Whether small size is important for stem cell function is unknown. We find that hematopoietic stem cells (HSCs) enlarge under conditions known to decre</w:instrText>
      </w:r>
      <w:r>
        <w:rPr>
          <w:rFonts w:ascii="Arial" w:eastAsia="Times New Roman" w:hAnsi="Arial" w:cs="Arial"/>
          <w:color w:val="000000"/>
          <w:lang w:val="en-US" w:eastAsia="de-DE"/>
        </w:rPr>
        <w:instrText>ase stem cell function. This decreased fitness of large HSCs is due to reduced proliferation and was accompanied by altered metabolism. Preventing HSC enlargement or reducing large HSCs in size averts the loss of stem cell potential under conditions causin</w:instrText>
      </w:r>
      <w:r>
        <w:rPr>
          <w:rFonts w:ascii="Arial" w:eastAsia="Times New Roman" w:hAnsi="Arial" w:cs="Arial"/>
          <w:color w:val="000000"/>
          <w:lang w:val="en-US" w:eastAsia="de-DE"/>
        </w:rPr>
        <w:instrText xml:space="preserve">g stem cell exhaustion. Last, we show that murine and human HSCs enlarge during aging. Preventing this age-dependent enlargement improves HSC function. We conclude that small cell size is important for stem cell function in vivo and propose that stem cell </w:instrText>
      </w:r>
      <w:r>
        <w:rPr>
          <w:rFonts w:ascii="Arial" w:eastAsia="Times New Roman" w:hAnsi="Arial" w:cs="Arial"/>
          <w:color w:val="000000"/>
          <w:lang w:val="en-US" w:eastAsia="de-DE"/>
        </w:rPr>
        <w:instrText>enlargement contributes to their functional decline during aging.","author":[{"dropping-particle":"","family":"Lengefeld","given":"Jette","non-dropping-particle":"","parse-names":false,"suffix":""},{"dropping-particle":"","family":"Cheng","given":"Chia Wei</w:instrText>
      </w:r>
      <w:r>
        <w:rPr>
          <w:rFonts w:ascii="Arial" w:eastAsia="Times New Roman" w:hAnsi="Arial" w:cs="Arial"/>
          <w:color w:val="000000"/>
          <w:lang w:val="en-US" w:eastAsia="de-DE"/>
        </w:rPr>
        <w:instrText>","non-dropping-particle":"","parse-names":false,"suffix":""},{"dropping-particle":"","family":"Maretich","given":"Pema","non-dropping-particle":"","parse-names":false,"suffix":""},{"dropping-particle":"","family":"Blair","given":"Marguerite","non-dropping</w:instrText>
      </w:r>
      <w:r>
        <w:rPr>
          <w:rFonts w:ascii="Arial" w:eastAsia="Times New Roman" w:hAnsi="Arial" w:cs="Arial"/>
          <w:color w:val="000000"/>
          <w:lang w:val="en-US" w:eastAsia="de-DE"/>
        </w:rPr>
        <w:instrText>-particle":"","parse-names":false,"suffix":""},{"dropping-particle":"","family":"Hagen","given":"Hannah","non-dropping-particle":"","parse-names":false,"suffix":""},{"dropping-particle":"","family":"McReynolds","given":"Melanie R.","non-dropping-particle":</w:instrText>
      </w:r>
      <w:r>
        <w:rPr>
          <w:rFonts w:ascii="Arial" w:eastAsia="Times New Roman" w:hAnsi="Arial" w:cs="Arial"/>
          <w:color w:val="000000"/>
          <w:lang w:val="en-US" w:eastAsia="de-DE"/>
        </w:rPr>
        <w:instrText>"","parse-names":false,"suffix":""},{"dropping-particle":"","family":"Sullivan","given":"Emily","non-dropping-particle":"","parse-names":false,"suffix":""},{"dropping-particle":"","family":"Majors","given":"Kyra","non-dropping-particle":"","parse-names":fa</w:instrText>
      </w:r>
      <w:r>
        <w:rPr>
          <w:rFonts w:ascii="Arial" w:eastAsia="Times New Roman" w:hAnsi="Arial" w:cs="Arial"/>
          <w:color w:val="000000"/>
          <w:lang w:val="en-US" w:eastAsia="de-DE"/>
        </w:rPr>
        <w:instrText>lse,"suffix":""},{"dropping-particle":"","family":"Roberts","given":"Christina","non-dropping-particle":"","parse-names":false,"suffix":""},{"dropping-particle":"","family":"Kang","given":"Joon Ho","non-dropping-particle":"","parse-names":false,"suffix":""</w:instrText>
      </w:r>
      <w:r>
        <w:rPr>
          <w:rFonts w:ascii="Arial" w:eastAsia="Times New Roman" w:hAnsi="Arial" w:cs="Arial"/>
          <w:color w:val="000000"/>
          <w:lang w:val="en-US" w:eastAsia="de-DE"/>
        </w:rPr>
        <w:instrText>},{"dropping-particle":"","family":"Steiner","given":"Joachim D.","non-dropping-particle":"","parse-names":false,"suffix":""},{"dropping-particle":"","family":"Miettinen","given":"Teemu P.","non-dropping-particle":"","parse-names":false,"suffix":""},{"drop</w:instrText>
      </w:r>
      <w:r>
        <w:rPr>
          <w:rFonts w:ascii="Arial" w:eastAsia="Times New Roman" w:hAnsi="Arial" w:cs="Arial"/>
          <w:color w:val="000000"/>
          <w:lang w:val="en-US" w:eastAsia="de-DE"/>
        </w:rPr>
        <w:instrText>ping-particle":"","family":"Manalis","given":"Scott R.","non-dropping-particle":"","parse-names":false,"suffix":""},{"dropping-particle":"","family":"Antebi","given":"Adam","non-dropping-particle":"","parse-names":false,"suffix":""},{"dropping-particle":""</w:instrText>
      </w:r>
      <w:r>
        <w:rPr>
          <w:rFonts w:ascii="Arial" w:eastAsia="Times New Roman" w:hAnsi="Arial" w:cs="Arial"/>
          <w:color w:val="000000"/>
          <w:lang w:val="en-US" w:eastAsia="de-DE"/>
        </w:rPr>
        <w:instrText>,"family":"Morrison","given":"Sean J.","non-dropping-particle":"","parse-names":false,"suffix":""},{"dropping-particle":"","family":"Lees","given":"Jacqueline A.","non-dropping-particle":"","parse-names":false,"suffix":""},{"dropping-particle":"","family":</w:instrText>
      </w:r>
      <w:r>
        <w:rPr>
          <w:rFonts w:ascii="Arial" w:eastAsia="Times New Roman" w:hAnsi="Arial" w:cs="Arial"/>
          <w:color w:val="000000"/>
          <w:lang w:val="en-US" w:eastAsia="de-DE"/>
        </w:rPr>
        <w:instrText>"Boyer","given":"Laurie A.","non-dropping-particle":"","parse-names":false,"suffix":""},{"dropping-particle":"","family":"Yilmaz","given":"Ömer H.","non-dropping-particle":"","parse-names":false,"suffix":""},{"dropping-particle":"","family":"Amon","given":</w:instrText>
      </w:r>
      <w:r>
        <w:rPr>
          <w:rFonts w:ascii="Arial" w:eastAsia="Times New Roman" w:hAnsi="Arial" w:cs="Arial"/>
          <w:color w:val="000000"/>
          <w:lang w:val="en-US" w:eastAsia="de-DE"/>
        </w:rPr>
        <w:instrText>"Angelika","non-dropping-particle":"","parse-names":false,"suffix":""}],"container-title":"Science Advances","id":"ITEM-1","issue":"46","issued":{"date-parts":[["2021","11","1"]]},"page":"271","publisher":"American Association for the Advancement of Scienc</w:instrText>
      </w:r>
      <w:r>
        <w:rPr>
          <w:rFonts w:ascii="Arial" w:eastAsia="Times New Roman" w:hAnsi="Arial" w:cs="Arial"/>
          <w:color w:val="000000"/>
          <w:lang w:val="en-US" w:eastAsia="de-DE"/>
        </w:rPr>
        <w:instrText>e","title":"Cell size is a determinant of stem cell potential during aging","type":"article-journal","volume":"7"},"uris":["http://www.mendeley.com/documents/?uuid=c34cdf40-a099-3fc7-a713-f26e7defa245"]}],"mendeley":{"formattedCitation":"&lt;sup&gt;11&lt;/sup&gt;","pl</w:instrText>
      </w:r>
      <w:r>
        <w:rPr>
          <w:rFonts w:ascii="Arial" w:eastAsia="Times New Roman" w:hAnsi="Arial" w:cs="Arial"/>
          <w:color w:val="000000"/>
          <w:lang w:val="en-US" w:eastAsia="de-DE"/>
        </w:rPr>
        <w:instrText>ainTextFormattedCitation":"11","previouslyFormattedCitation":"&lt;sup&gt;11&lt;/sup&gt;"},"properties":{"noteIndex":0},"schema":"https://github.com/citation-style-language/schema/raw/master/csl-citation.json"}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showed that the stem cell renewal potential of enlarg</w:t>
      </w:r>
      <w:r>
        <w:rPr>
          <w:rFonts w:ascii="Arial" w:eastAsia="Times New Roman" w:hAnsi="Arial" w:cs="Arial"/>
          <w:color w:val="000000"/>
          <w:lang w:val="en-US" w:eastAsia="de-DE"/>
        </w:rPr>
        <w:t xml:space="preserve">ed hematopoietic stem cells (HSCs) was negatively impacted. This is due to a decrease in their ability to proliferate rather than a decreased differentiation potential, and was shown for both naturally large HSCs, and HSCs whose size was increased by drug </w:t>
      </w:r>
      <w:r>
        <w:rPr>
          <w:rFonts w:ascii="Arial" w:eastAsia="Times New Roman" w:hAnsi="Arial" w:cs="Arial"/>
          <w:color w:val="000000"/>
          <w:lang w:val="en-US" w:eastAsia="de-DE"/>
        </w:rPr>
        <w:t xml:space="preserve">treatment. However, more generally the small size </w:t>
      </w:r>
      <w:r>
        <w:rPr>
          <w:rFonts w:ascii="Arial" w:eastAsia="Times New Roman" w:hAnsi="Arial" w:cs="Arial"/>
          <w:color w:val="000000"/>
          <w:lang w:val="en-US" w:eastAsia="de-DE"/>
        </w:rPr>
        <w:lastRenderedPageBreak/>
        <w:t>of stem cells also raises the question of how much of a role cell size plays in controlling cell fate decisions during development and differentiation.</w:t>
      </w:r>
    </w:p>
    <w:p w14:paraId="20168FAD"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u w:val="single"/>
          <w:lang w:val="en-US" w:eastAsia="de-DE"/>
        </w:rPr>
        <w:t>5 Cell size as a regulator for development and differe</w:t>
      </w:r>
      <w:r>
        <w:rPr>
          <w:rFonts w:ascii="Arial" w:eastAsia="Times New Roman" w:hAnsi="Arial" w:cs="Arial"/>
          <w:b/>
          <w:bCs/>
          <w:color w:val="000000"/>
          <w:u w:val="single"/>
          <w:lang w:val="en-US" w:eastAsia="de-DE"/>
        </w:rPr>
        <w:t>ntiation</w:t>
      </w:r>
    </w:p>
    <w:p w14:paraId="1C92A442"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Development of a multicellular organism encompasses cells differentiating into various cell types and organizing into tissues, organs and organ systems. During differentiation and various stages of development, cell size can change drastically. Wh</w:t>
      </w:r>
      <w:r>
        <w:rPr>
          <w:rFonts w:ascii="Arial" w:eastAsia="Times New Roman" w:hAnsi="Arial" w:cs="Arial"/>
          <w:color w:val="000000" w:themeColor="text1"/>
          <w:lang w:val="en-US" w:eastAsia="de-DE"/>
        </w:rPr>
        <w:t xml:space="preserve">ile in part this can be understood as a downstream consequence of producing </w:t>
      </w:r>
      <w:proofErr w:type="gramStart"/>
      <w:r>
        <w:rPr>
          <w:rFonts w:ascii="Arial" w:eastAsia="Times New Roman" w:hAnsi="Arial" w:cs="Arial"/>
          <w:color w:val="000000" w:themeColor="text1"/>
          <w:lang w:val="en-US" w:eastAsia="de-DE"/>
        </w:rPr>
        <w:t>optimally-sized</w:t>
      </w:r>
      <w:proofErr w:type="gramEnd"/>
      <w:r>
        <w:rPr>
          <w:rFonts w:ascii="Arial" w:eastAsia="Times New Roman" w:hAnsi="Arial" w:cs="Arial"/>
          <w:color w:val="000000" w:themeColor="text1"/>
          <w:lang w:val="en-US" w:eastAsia="de-DE"/>
        </w:rPr>
        <w:t xml:space="preserve"> cell types, cell size can also act as a regulator of developmental processes (Fig. 5). </w:t>
      </w:r>
    </w:p>
    <w:p w14:paraId="40B44B99"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5.1 DNA-to-cytoplasm ratio controls zygotic genome activation</w:t>
      </w:r>
    </w:p>
    <w:p w14:paraId="5FC4FB5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Early animal d</w:t>
      </w:r>
      <w:r>
        <w:rPr>
          <w:rFonts w:ascii="Arial" w:eastAsia="Times New Roman" w:hAnsi="Arial" w:cs="Arial"/>
          <w:color w:val="000000"/>
          <w:lang w:val="en-US" w:eastAsia="de-DE"/>
        </w:rPr>
        <w:t xml:space="preserve">evelopment starts from an extremely large totipotent single cell, the zygote, that undergoes successive cleavage divisions, leading to an exponential decrease of cell size and consequently an increase of the DNA-to-cytoplasm ratio. After a fixed number of </w:t>
      </w:r>
      <w:r>
        <w:rPr>
          <w:rFonts w:ascii="Arial" w:eastAsia="Times New Roman" w:hAnsi="Arial" w:cs="Arial"/>
          <w:color w:val="000000"/>
          <w:lang w:val="en-US" w:eastAsia="de-DE"/>
        </w:rPr>
        <w:t xml:space="preserve">cleavage divisions, which varies across species, the embryo then transitions from rapid synchronous cleavages to slower non-synchronous mitotic divisions. This stage is called </w:t>
      </w:r>
      <w:proofErr w:type="spellStart"/>
      <w:r>
        <w:rPr>
          <w:rFonts w:ascii="Arial" w:eastAsia="Times New Roman" w:hAnsi="Arial" w:cs="Arial"/>
          <w:color w:val="000000"/>
          <w:lang w:val="en-US" w:eastAsia="de-DE"/>
        </w:rPr>
        <w:t>midblastula</w:t>
      </w:r>
      <w:proofErr w:type="spellEnd"/>
      <w:r>
        <w:rPr>
          <w:rFonts w:ascii="Arial" w:eastAsia="Times New Roman" w:hAnsi="Arial" w:cs="Arial"/>
          <w:color w:val="000000"/>
          <w:lang w:val="en-US" w:eastAsia="de-DE"/>
        </w:rPr>
        <w:t xml:space="preserve"> transition. The initially transcriptionally inactive embryonic genom</w:t>
      </w:r>
      <w:r>
        <w:rPr>
          <w:rFonts w:ascii="Arial" w:eastAsia="Times New Roman" w:hAnsi="Arial" w:cs="Arial"/>
          <w:color w:val="000000"/>
          <w:lang w:val="en-US" w:eastAsia="de-DE"/>
        </w:rPr>
        <w:t>e also transitions to an active state, a process which is termed as zygotic genome activation (ZGA). </w:t>
      </w:r>
    </w:p>
    <w:p w14:paraId="22EAC20C"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Several studies indicate that ZGA timing correlates with a threshold DNA-to-cytoplasm (or nucleus-to-cytoplasm) ratio in </w:t>
      </w:r>
      <w:r>
        <w:rPr>
          <w:rFonts w:ascii="Arial" w:eastAsia="Times New Roman" w:hAnsi="Arial" w:cs="Arial"/>
          <w:i/>
          <w:iCs/>
          <w:color w:val="000000"/>
          <w:lang w:val="en-US" w:eastAsia="de-DE"/>
        </w:rPr>
        <w:t>Drosophila</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w:instrText>
      </w:r>
      <w:r>
        <w:rPr>
          <w:rFonts w:ascii="Arial" w:eastAsia="Times New Roman" w:hAnsi="Arial" w:cs="Arial"/>
          <w:i/>
          <w:iCs/>
          <w:color w:val="000000"/>
          <w:lang w:val="en-US" w:eastAsia="de-DE"/>
        </w:rPr>
        <w:instrText>tationItems":[{"id":"ITEM-1","itemData":{"DOI":"10.1016/0092-8674(86)90771-3","ISSN":"0092-8674","PMID":"3080248","abstract":"We have studied the role of the nucleo-cytoplasmic ratio in the early development of Drosophila, using mutants and experimental ma</w:instrText>
      </w:r>
      <w:r>
        <w:rPr>
          <w:rFonts w:ascii="Arial" w:eastAsia="Times New Roman" w:hAnsi="Arial" w:cs="Arial"/>
          <w:i/>
          <w:iCs/>
          <w:color w:val="000000"/>
          <w:lang w:val="en-US" w:eastAsia="de-DE"/>
        </w:rPr>
        <w:instrText>nipulations that alter nuclear density. Haploid embryos produced by either maternal or paternal effect mutations compensate for haploidy by an extra nuclear division during the syncytial blastoderm stage. Decreasing the nucleo-cytoplasmic ratio in wild-typ</w:instrText>
      </w:r>
      <w:r>
        <w:rPr>
          <w:rFonts w:ascii="Arial" w:eastAsia="Times New Roman" w:hAnsi="Arial" w:cs="Arial"/>
          <w:i/>
          <w:iCs/>
          <w:color w:val="000000"/>
          <w:lang w:val="en-US" w:eastAsia="de-DE"/>
        </w:rPr>
        <w:instrText>e embryos by ligation can cause a similar extra blastoderm division. Conversely, increasing this ratio can cause the omission of a blastoderm division. The duration of mitotic cycles is affected by the nucleo-cytoplasmic ratio four cycles before the termin</w:instrText>
      </w:r>
      <w:r>
        <w:rPr>
          <w:rFonts w:ascii="Arial" w:eastAsia="Times New Roman" w:hAnsi="Arial" w:cs="Arial"/>
          <w:i/>
          <w:iCs/>
          <w:color w:val="000000"/>
          <w:lang w:val="en-US" w:eastAsia="de-DE"/>
        </w:rPr>
        <w:instrText>al blastoderm division. Transcription patterns in haploid embryos indicate that transcriptional activation is not directly controlled by the nucleo-cytoplasmic ratio, but may be an effect of the lengthening of interphase periods. © 1986.","author":[{"dropp</w:instrText>
      </w:r>
      <w:r>
        <w:rPr>
          <w:rFonts w:ascii="Arial" w:eastAsia="Times New Roman" w:hAnsi="Arial" w:cs="Arial"/>
          <w:i/>
          <w:iCs/>
          <w:color w:val="000000"/>
          <w:lang w:val="en-US" w:eastAsia="de-DE"/>
        </w:rPr>
        <w:instrText>ing-particle":"","family":"Edgar","given":"Bruce A.","non-dropping-particle":"","parse-names":false,"suffix":""},{"dropping-particle":"","family":"Kiehle","given":"Caroline P.","non-dropping-particle":"","parse-names":false,"suffix":""},{"dropping-particle</w:instrText>
      </w:r>
      <w:r>
        <w:rPr>
          <w:rFonts w:ascii="Arial" w:eastAsia="Times New Roman" w:hAnsi="Arial" w:cs="Arial"/>
          <w:i/>
          <w:iCs/>
          <w:color w:val="000000"/>
          <w:lang w:val="en-US" w:eastAsia="de-DE"/>
        </w:rPr>
        <w:instrText>":"","family":"Schubiger","given":"Gerold","non-dropping-particle":"","parse-names":false,"suffix":""}],"container-title":"Cell","id":"ITEM-1","issue":"2","issued":{"date-parts":[["1986","1","31"]]},"page":"365-372","publisher":"Cell Press","title":"Cell c</w:instrText>
      </w:r>
      <w:r>
        <w:rPr>
          <w:rFonts w:ascii="Arial" w:eastAsia="Times New Roman" w:hAnsi="Arial" w:cs="Arial"/>
          <w:i/>
          <w:iCs/>
          <w:color w:val="000000"/>
          <w:lang w:val="en-US" w:eastAsia="de-DE"/>
        </w:rPr>
        <w:instrText>ycle control by the nucleo-cytoplasmic ratio in early Drosophila development","type":"article-journal","volume":"44"},"uris":["http://www.mendeley.com/documents/?uuid=292926c5-cee6-36f8-90a7-35454f7ad5a0"]},{"id":"ITEM-2","itemData":{"DOI":"10.1242/DEV.034</w:instrText>
      </w:r>
      <w:r>
        <w:rPr>
          <w:rFonts w:ascii="Arial" w:eastAsia="Times New Roman" w:hAnsi="Arial" w:cs="Arial"/>
          <w:i/>
          <w:iCs/>
          <w:color w:val="000000"/>
          <w:lang w:val="en-US" w:eastAsia="de-DE"/>
        </w:rPr>
        <w:instrText>421","ISSN":"0950-1991","PMID":"19465600","abstract":"One of the most prominent features at the mid-blastula transition (MBT) observed in most embryos is a pause in cell cycle regulated by the nucleocytoplasmic (N/C) ratio. By using chromosome rearrangemen</w:instrText>
      </w:r>
      <w:r>
        <w:rPr>
          <w:rFonts w:ascii="Arial" w:eastAsia="Times New Roman" w:hAnsi="Arial" w:cs="Arial"/>
          <w:i/>
          <w:iCs/>
          <w:color w:val="000000"/>
          <w:lang w:val="en-US" w:eastAsia="de-DE"/>
        </w:rPr>
        <w:instrText>ts to manipulate the DNA content of embryos, we determined that the threshold for this cell cycle pause in Drosophila is about 70% of the DNA content normally present at cycle 14. Embryos with DNA contents around this value show intermediate cell cycle beh</w:instrText>
      </w:r>
      <w:r>
        <w:rPr>
          <w:rFonts w:ascii="Arial" w:eastAsia="Times New Roman" w:hAnsi="Arial" w:cs="Arial"/>
          <w:i/>
          <w:iCs/>
          <w:color w:val="000000"/>
          <w:lang w:val="en-US" w:eastAsia="de-DE"/>
        </w:rPr>
        <w:instrText>aviors. Some pause at cycle 14, some at cycle 15, and some form patches arrested in different mitotic cycles. A second feature at MBT is a massive increase in zygotic transcription and a parallel degradation of maternally supplied RNAs. To determine whethe</w:instrText>
      </w:r>
      <w:r>
        <w:rPr>
          <w:rFonts w:ascii="Arial" w:eastAsia="Times New Roman" w:hAnsi="Arial" w:cs="Arial"/>
          <w:i/>
          <w:iCs/>
          <w:color w:val="000000"/>
          <w:lang w:val="en-US" w:eastAsia="de-DE"/>
        </w:rPr>
        <w:instrText>r these changes in gene expression are governed by the same N/C ratio that controls cell cycle pause, we compared gene expression in haploid and diploid Drosophila embryos. We find that most maternal RNA degradation and most new transcription correlate wit</w:instrText>
      </w:r>
      <w:r>
        <w:rPr>
          <w:rFonts w:ascii="Arial" w:eastAsia="Times New Roman" w:hAnsi="Arial" w:cs="Arial"/>
          <w:i/>
          <w:iCs/>
          <w:color w:val="000000"/>
          <w:lang w:val="en-US" w:eastAsia="de-DE"/>
        </w:rPr>
        <w:instrText>h absolute time or developmental stage, and are timed independently of the N/C ratio. We identify a class of zygotically active genes whose expression depends on the N/C ratio and which are only expressed at cycle 15 in haploids. In embryos with patchy cel</w:instrText>
      </w:r>
      <w:r>
        <w:rPr>
          <w:rFonts w:ascii="Arial" w:eastAsia="Times New Roman" w:hAnsi="Arial" w:cs="Arial"/>
          <w:i/>
          <w:iCs/>
          <w:color w:val="000000"/>
          <w:lang w:val="en-US" w:eastAsia="de-DE"/>
        </w:rPr>
        <w:instrText>l cycle behavior due to threshold DNA contents, the expression of these genes correlates tightly with the boundaries of the mitotic patches, suggesting either that the mechanism that pauses the mitotic cycle is the same as the one that measures the N/C rat</w:instrText>
      </w:r>
      <w:r>
        <w:rPr>
          <w:rFonts w:ascii="Arial" w:eastAsia="Times New Roman" w:hAnsi="Arial" w:cs="Arial"/>
          <w:i/>
          <w:iCs/>
          <w:color w:val="000000"/>
          <w:lang w:val="en-US" w:eastAsia="de-DE"/>
        </w:rPr>
        <w:instrText>io, or that it is tightly coupled to the mechanism controlling zygotic transcription of N/C ratio genes at the MBT.","author":[{"dropping-particle":"","family":"Lu","given":"Xuemin","non-dropping-particle":"","parse-names":false,"suffix":""},{"dropping-par</w:instrText>
      </w:r>
      <w:r>
        <w:rPr>
          <w:rFonts w:ascii="Arial" w:eastAsia="Times New Roman" w:hAnsi="Arial" w:cs="Arial"/>
          <w:i/>
          <w:iCs/>
          <w:color w:val="000000"/>
          <w:lang w:val="en-US" w:eastAsia="de-DE"/>
        </w:rPr>
        <w:instrText>ticle":"","family":"Li","given":"Jennifer M.","non-dropping-particle":"","parse-names":false,"suffix":""},{"dropping-particle":"","family":"Elemento","given":"Olivier","non-dropping-particle":"","parse-names":false,"suffix":""},{"dropping-particle":"","fam</w:instrText>
      </w:r>
      <w:r>
        <w:rPr>
          <w:rFonts w:ascii="Arial" w:eastAsia="Times New Roman" w:hAnsi="Arial" w:cs="Arial"/>
          <w:i/>
          <w:iCs/>
          <w:color w:val="000000"/>
          <w:lang w:val="en-US" w:eastAsia="de-DE"/>
        </w:rPr>
        <w:instrText>ily":"Tavazoie","given":"Saeed","non-dropping-particle":"","parse-names":false,"suffix":""},{"dropping-particle":"","family":"Wieschaus","given":"Eric F.","non-dropping-particle":"","parse-names":false,"suffix":""}],"container-title":"Development","id":"IT</w:instrText>
      </w:r>
      <w:r>
        <w:rPr>
          <w:rFonts w:ascii="Arial" w:eastAsia="Times New Roman" w:hAnsi="Arial" w:cs="Arial"/>
          <w:i/>
          <w:iCs/>
          <w:color w:val="000000"/>
          <w:lang w:val="en-US" w:eastAsia="de-DE"/>
        </w:rPr>
        <w:instrText>EM-2","issue":"12","issued":{"date-parts":[["2009","6","15"]]},"page":"2101-2110","publisher":"The Company of Biologists","title":"Coupling of zygotic transcription to mitotic control at the Drosophila mid-blastula transition","type":"article-journal","vol</w:instrText>
      </w:r>
      <w:r>
        <w:rPr>
          <w:rFonts w:ascii="Arial" w:eastAsia="Times New Roman" w:hAnsi="Arial" w:cs="Arial"/>
          <w:i/>
          <w:iCs/>
          <w:color w:val="000000"/>
          <w:lang w:val="en-US" w:eastAsia="de-DE"/>
        </w:rPr>
        <w:instrText>ume":"136"},"uris":["http://www.mendeley.com/documents/?uuid=a25c870e-9b5d-3f49-a00a-72300d8ba46c"]},{"id":"ITEM-3","itemData":{"DOI":"10.1016/J.CUB.2012.11.029","ISSN":"1879-0445","PMID":"23290553","abstract":"In most metazoans, early embryonic developmen</w:instrText>
      </w:r>
      <w:r>
        <w:rPr>
          <w:rFonts w:ascii="Arial" w:eastAsia="Times New Roman" w:hAnsi="Arial" w:cs="Arial"/>
          <w:i/>
          <w:iCs/>
          <w:color w:val="000000"/>
          <w:lang w:val="en-US" w:eastAsia="de-DE"/>
        </w:rPr>
        <w:instrText>t is characterized by rapid mitotic divisions that are controlled by maternal mRNAs and proteins that accumulate during oogenesis [1]. These rapid divisions pause at the midblastula transition (MBT), coinciding with a dramatic increase in gene transcriptio</w:instrText>
      </w:r>
      <w:r>
        <w:rPr>
          <w:rFonts w:ascii="Arial" w:eastAsia="Times New Roman" w:hAnsi="Arial" w:cs="Arial"/>
          <w:i/>
          <w:iCs/>
          <w:color w:val="000000"/>
          <w:lang w:val="en-US" w:eastAsia="de-DE"/>
        </w:rPr>
        <w:instrText>n and the degradation of a subset of maternal mRNAs [2, 3]. In Drosophila, the cell-cycle pause is controlled by inhibitory phosphorylation of Cdk1, which in turn is driven by downregulation of the activating Cdc25 phosphatases [4, 5]. Here, we show that t</w:instrText>
      </w:r>
      <w:r>
        <w:rPr>
          <w:rFonts w:ascii="Arial" w:eastAsia="Times New Roman" w:hAnsi="Arial" w:cs="Arial"/>
          <w:i/>
          <w:iCs/>
          <w:color w:val="000000"/>
          <w:lang w:val="en-US" w:eastAsia="de-DE"/>
        </w:rPr>
        <w:instrText xml:space="preserve">he two Drosophila Cdc25 homologs, String and Twine, differ in their dynamics and that, contrary to current models [4], their downregulations are not controlled by mRNA degradation but through different posttranslational mechanisms. The degradation rate of </w:instrText>
      </w:r>
      <w:r>
        <w:rPr>
          <w:rFonts w:ascii="Arial" w:eastAsia="Times New Roman" w:hAnsi="Arial" w:cs="Arial"/>
          <w:i/>
          <w:iCs/>
          <w:color w:val="000000"/>
          <w:lang w:val="en-US" w:eastAsia="de-DE"/>
        </w:rPr>
        <w:instrText>String protein gradually increases during the late syncytial cycles in a manner dependent on the nuclear-to-cytoplasmic ratio and on the DNA replication checkpoints. Twine, on the other hand, is targeted for degradation at the onset of the MBT through a sw</w:instrText>
      </w:r>
      <w:r>
        <w:rPr>
          <w:rFonts w:ascii="Arial" w:eastAsia="Times New Roman" w:hAnsi="Arial" w:cs="Arial"/>
          <w:i/>
          <w:iCs/>
          <w:color w:val="000000"/>
          <w:lang w:val="en-US" w:eastAsia="de-DE"/>
        </w:rPr>
        <w:instrText>itch-like mechanism controlled, like String, by the nuclear-to-cytoplasmic ratio, but not requiring the DNA replication checkpoints. We demonstrate that posttranslational control of Twine degradation ensures that the proper number of mitoses precede the MB</w:instrText>
      </w:r>
      <w:r>
        <w:rPr>
          <w:rFonts w:ascii="Arial" w:eastAsia="Times New Roman" w:hAnsi="Arial" w:cs="Arial"/>
          <w:i/>
          <w:iCs/>
          <w:color w:val="000000"/>
          <w:lang w:val="en-US" w:eastAsia="de-DE"/>
        </w:rPr>
        <w:instrText>T. © 2013 Elsevier Ltd All rights reserved.","author":[{"dropping-particle":"","family":"Talia","given":"Stefano","non-dropping-particle":"Di","parse-names":false,"suffix":""},{"dropping-particle":"","family":"She","given":"Richard","non-dropping-particle"</w:instrText>
      </w:r>
      <w:r>
        <w:rPr>
          <w:rFonts w:ascii="Arial" w:eastAsia="Times New Roman" w:hAnsi="Arial" w:cs="Arial"/>
          <w:i/>
          <w:iCs/>
          <w:color w:val="000000"/>
          <w:lang w:val="en-US" w:eastAsia="de-DE"/>
        </w:rPr>
        <w:instrText>:"","parse-names":false,"suffix":""},{"dropping-particle":"","family":"Blythe","given":"Shelby A.","non-dropping-particle":"","parse-names":false,"suffix":""},{"dropping-particle":"","family":"Lu","given":"Xuemin","non-dropping-particle":"","parse-names":f</w:instrText>
      </w:r>
      <w:r>
        <w:rPr>
          <w:rFonts w:ascii="Arial" w:eastAsia="Times New Roman" w:hAnsi="Arial" w:cs="Arial"/>
          <w:i/>
          <w:iCs/>
          <w:color w:val="000000"/>
          <w:lang w:val="en-US" w:eastAsia="de-DE"/>
        </w:rPr>
        <w:instrText>alse,"suffix":""},{"dropping-particle":"","family":"Zhang","given":"Qi Fan","non-dropping-particle":"","parse-names":false,"suffix":""},{"dropping-particle":"","family":"Wieschaus","given":"Eric F.","non-dropping-particle":"","parse-names":false,"suffix":"</w:instrText>
      </w:r>
      <w:r>
        <w:rPr>
          <w:rFonts w:ascii="Arial" w:eastAsia="Times New Roman" w:hAnsi="Arial" w:cs="Arial"/>
          <w:i/>
          <w:iCs/>
          <w:color w:val="000000"/>
          <w:lang w:val="en-US" w:eastAsia="de-DE"/>
        </w:rPr>
        <w:instrText>"}],"container-title":"Current biology : CB","id":"ITEM-3","issue":"2","issued":{"date-parts":[["2013","1","21"]]},"page":"127-132","publisher":"Curr Biol","title":"Posttranslational control of Cdc25 degradation terminates Drosophila's early cell-cycle pro</w:instrText>
      </w:r>
      <w:r>
        <w:rPr>
          <w:rFonts w:ascii="Arial" w:eastAsia="Times New Roman" w:hAnsi="Arial" w:cs="Arial"/>
          <w:i/>
          <w:iCs/>
          <w:color w:val="000000"/>
          <w:lang w:val="en-US" w:eastAsia="de-DE"/>
        </w:rPr>
        <w:instrText>gram","type":"article-journal","volume":"23"},"uris":["http://www.mendeley.com/documents/?uuid=08ff8df2-d2bc-32f3-b6fd-49e049d90c2e"]}],"mendeley":{"formattedCitation":"&lt;sup&gt;190–192&lt;/sup&gt;","plainTextFormattedCitation":"190–192","previouslyFormattedCitation</w:instrText>
      </w:r>
      <w:r>
        <w:rPr>
          <w:rFonts w:ascii="Arial" w:eastAsia="Times New Roman" w:hAnsi="Arial" w:cs="Arial"/>
          <w:i/>
          <w:iCs/>
          <w:color w:val="000000"/>
          <w:lang w:val="en-US" w:eastAsia="de-DE"/>
        </w:rPr>
        <w:instrText>":"&lt;sup&gt;190–192&lt;/sup&gt;"},"properties":{"noteIndex":0},"schema":"https://github.com/citation-style-language/schema/raw/master/csl-citation.json"}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eastAsia="de-DE"/>
        </w:rPr>
        <w:t>190–192</w:t>
      </w:r>
      <w:r>
        <w:rPr>
          <w:rFonts w:ascii="Arial" w:eastAsia="Times New Roman" w:hAnsi="Arial" w:cs="Arial"/>
          <w:i/>
          <w:iCs/>
          <w:color w:val="000000"/>
          <w:lang w:val="en-US" w:eastAsia="de-DE"/>
        </w:rPr>
        <w:fldChar w:fldCharType="end"/>
      </w:r>
      <w:r>
        <w:rPr>
          <w:rFonts w:ascii="Arial" w:eastAsia="Times New Roman" w:hAnsi="Arial" w:cs="Arial"/>
          <w:color w:val="000000"/>
          <w:lang w:eastAsia="de-DE"/>
        </w:rPr>
        <w:t xml:space="preserve">, </w:t>
      </w:r>
      <w:r>
        <w:rPr>
          <w:rFonts w:ascii="Arial" w:eastAsia="Times New Roman" w:hAnsi="Arial" w:cs="Arial"/>
          <w:i/>
          <w:iCs/>
          <w:color w:val="000000"/>
          <w:lang w:eastAsia="de-DE"/>
        </w:rPr>
        <w:t>Xenopus</w:t>
      </w:r>
      <w:r>
        <w:rPr>
          <w:rFonts w:ascii="Arial" w:eastAsia="Times New Roman" w:hAnsi="Arial" w:cs="Arial"/>
          <w:i/>
          <w:iCs/>
          <w:color w:val="000000"/>
          <w:lang w:eastAsia="de-DE"/>
        </w:rPr>
        <w:fldChar w:fldCharType="begin" w:fldLock="1"/>
      </w:r>
      <w:r>
        <w:rPr>
          <w:rFonts w:ascii="Arial" w:eastAsia="Times New Roman" w:hAnsi="Arial" w:cs="Arial"/>
          <w:i/>
          <w:iCs/>
          <w:color w:val="000000"/>
          <w:lang w:eastAsia="de-DE"/>
        </w:rPr>
        <w:instrText xml:space="preserve">ADDIN CSL_CITATION </w:instrText>
      </w:r>
      <w:r>
        <w:rPr>
          <w:rFonts w:ascii="Arial" w:eastAsia="Times New Roman" w:hAnsi="Arial" w:cs="Arial"/>
          <w:i/>
          <w:iCs/>
          <w:color w:val="000000"/>
          <w:lang w:eastAsia="de-DE"/>
        </w:rPr>
        <w:instrText>{"citationItems":[{"id":"ITEM-1","itemData":{"DOI":"10.1016/0092-8674(82)90272-0","ISSN":"0092-8674","PMID":"6183003","abstract":"The Xenopus embryo undergoes 12 rapid synchronous cleavages followed by a period of slower asynchronous divisions more typical</w:instrText>
      </w:r>
      <w:r>
        <w:rPr>
          <w:rFonts w:ascii="Arial" w:eastAsia="Times New Roman" w:hAnsi="Arial" w:cs="Arial"/>
          <w:i/>
          <w:iCs/>
          <w:color w:val="000000"/>
          <w:lang w:eastAsia="de-DE"/>
        </w:rPr>
        <w:instrText xml:space="preserve"> of somatic cells. This change in cell cleavage has been termed the midblastula transition (MBT). We show that at the MBT the blastomeres become motile and transcriptionally active for the first time. We have investigated the timing of the MBT and found th</w:instrText>
      </w:r>
      <w:r>
        <w:rPr>
          <w:rFonts w:ascii="Arial" w:eastAsia="Times New Roman" w:hAnsi="Arial" w:cs="Arial"/>
          <w:i/>
          <w:iCs/>
          <w:color w:val="000000"/>
          <w:lang w:eastAsia="de-DE"/>
        </w:rPr>
        <w:instrText>at it does not depend on cell division, on time since fertilization or on a counting mechanism involving the sequential modification of DNA. Rather, the timing of the MBT depends on reaching a critical ratio of nucleus to cytoplasm. We view the MBT as a co</w:instrText>
      </w:r>
      <w:r>
        <w:rPr>
          <w:rFonts w:ascii="Arial" w:eastAsia="Times New Roman" w:hAnsi="Arial" w:cs="Arial"/>
          <w:i/>
          <w:iCs/>
          <w:color w:val="000000"/>
          <w:lang w:eastAsia="de-DE"/>
        </w:rPr>
        <w:instrText>nsequence of the titration of some substance, originally present in the egg, by the exponentially increasing nuclear material. When this substance is exhausted a new cell program is engaged, leading to the acquisition of several new cell properties. © 1982</w:instrText>
      </w:r>
      <w:r>
        <w:rPr>
          <w:rFonts w:ascii="Arial" w:eastAsia="Times New Roman" w:hAnsi="Arial" w:cs="Arial"/>
          <w:i/>
          <w:iCs/>
          <w:color w:val="000000"/>
          <w:lang w:eastAsia="de-DE"/>
        </w:rPr>
        <w:instrText>.","author":[{"dropping-particle":"","family":"Newport","given":"John","non-dropping-particle":"","parse-names":false,"suffix":""},{"dropping-particle":"","family":"Kirschner","given":"Marc","non-dropping-particle":"","parse-names":false,"suffix":""}],"con</w:instrText>
      </w:r>
      <w:r>
        <w:rPr>
          <w:rFonts w:ascii="Arial" w:eastAsia="Times New Roman" w:hAnsi="Arial" w:cs="Arial"/>
          <w:i/>
          <w:iCs/>
          <w:color w:val="000000"/>
          <w:lang w:eastAsia="de-DE"/>
        </w:rPr>
        <w:instrText xml:space="preserve">tainer-title":"Cell","id":"ITEM-1","issue":"3","issued":{"date-parts":[["1982"]]},"page":"675-686","publisher":"Cell","title":"A major developmental transition in early Xenopus embryos: I. characterization and timing of cellular changes at the midblastula </w:instrText>
      </w:r>
      <w:r>
        <w:rPr>
          <w:rFonts w:ascii="Arial" w:eastAsia="Times New Roman" w:hAnsi="Arial" w:cs="Arial"/>
          <w:i/>
          <w:iCs/>
          <w:color w:val="000000"/>
          <w:lang w:eastAsia="de-DE"/>
        </w:rPr>
        <w:instrText>stage","type":"article-journal","volume":"30"},"uris":["http://www.mendeley.com/documents/?uuid=06526779-913a-3d3e-8012-50d979100b3d"]},{"id":"ITEM-2","itemData":{"DOI":"10.1016/0092-8674(82)90273-2","ISSN":"00928674","abstract":"We have shown in the accom</w:instrText>
      </w:r>
      <w:r>
        <w:rPr>
          <w:rFonts w:ascii="Arial" w:eastAsia="Times New Roman" w:hAnsi="Arial" w:cs="Arial"/>
          <w:i/>
          <w:iCs/>
          <w:color w:val="000000"/>
          <w:lang w:eastAsia="de-DE"/>
        </w:rPr>
        <w:instrText>panying paper that a developmental transition occurs at the midblastula stage (cleavage 12) in Xenopus embryos, and that this midblastula transition (MBT) is apparently initiated when the ratio of nucleus to cytoplasm reaches a critical value. One manifest</w:instrText>
      </w:r>
      <w:r>
        <w:rPr>
          <w:rFonts w:ascii="Arial" w:eastAsia="Times New Roman" w:hAnsi="Arial" w:cs="Arial"/>
          <w:i/>
          <w:iCs/>
          <w:color w:val="000000"/>
          <w:lang w:eastAsia="de-DE"/>
        </w:rPr>
        <w:instrText>ation of this transition is the onset of transcription. We show here that a plasmid containing a cloned gene coding for a yeast leucine tRNA comes under developmental control when injected into cleaving eggs. In pre-MBT eggs this plasmid is transiently tra</w:instrText>
      </w:r>
      <w:r>
        <w:rPr>
          <w:rFonts w:ascii="Arial" w:eastAsia="Times New Roman" w:hAnsi="Arial" w:cs="Arial"/>
          <w:i/>
          <w:iCs/>
          <w:color w:val="000000"/>
          <w:lang w:eastAsia="de-DE"/>
        </w:rPr>
        <w:instrText>nscribed and then becomes inactive; however, it becomes transcriptionally active again at the MBT. This pre-MBT suppression of transcription can be reversed by addition of competing DNA. The amount of DNA needed to induce premature transcription is equal t</w:instrText>
      </w:r>
      <w:r>
        <w:rPr>
          <w:rFonts w:ascii="Arial" w:eastAsia="Times New Roman" w:hAnsi="Arial" w:cs="Arial"/>
          <w:i/>
          <w:iCs/>
          <w:color w:val="000000"/>
          <w:lang w:eastAsia="de-DE"/>
        </w:rPr>
        <w:instrText>o the amount of nuclear DNA present after 12 cleavages (24 ng), suggesting that the MBT is triggered by the DNA through titration of suppressor components present in the egg.","author":[{"dropping-particle":"","family":"Newport","given":"John","non-droppin</w:instrText>
      </w:r>
      <w:r>
        <w:rPr>
          <w:rFonts w:ascii="Arial" w:eastAsia="Times New Roman" w:hAnsi="Arial" w:cs="Arial"/>
          <w:i/>
          <w:iCs/>
          <w:color w:val="000000"/>
          <w:lang w:eastAsia="de-DE"/>
        </w:rPr>
        <w:instrText>g-particle":"","parse-names":false,"suffix":""},{"dropping-particle":"","family":"Kirschner","given":"Marc","non-dropping-particle":"","parse-names":false,"suffix":""}],"container-title":"Cell","id":"ITEM-2","issue":"3","issued":{"date-parts":[["1982","10"</w:instrText>
      </w:r>
      <w:r>
        <w:rPr>
          <w:rFonts w:ascii="Arial" w:eastAsia="Times New Roman" w:hAnsi="Arial" w:cs="Arial"/>
          <w:i/>
          <w:iCs/>
          <w:color w:val="000000"/>
          <w:lang w:eastAsia="de-DE"/>
        </w:rPr>
        <w:instrText>]]},"page":"687-696","title":"A major developmental transition in early xenopus embryos: II. control of the onset of transcription","type":"article-journal","volume":"30"},"uris":["http://www.mendeley.com/documents/?uuid=06eadbe5-b138-456c-aa86-8bdda050966</w:instrText>
      </w:r>
      <w:r>
        <w:rPr>
          <w:rFonts w:ascii="Arial" w:eastAsia="Times New Roman" w:hAnsi="Arial" w:cs="Arial"/>
          <w:i/>
          <w:iCs/>
          <w:color w:val="000000"/>
          <w:lang w:eastAsia="de-DE"/>
        </w:rPr>
        <w:instrText>e"]},{"id":"ITEM-3","itemData":{"DOI":"10.1016/0092-8674(94)90158-9","ISSN":"0092-8674","PMID":"8181062","abstract":"Xenopus early development is characterized by a generalized absence of transcription, which resumes at the midblastula transition (MBT). We</w:instrText>
      </w:r>
      <w:r>
        <w:rPr>
          <w:rFonts w:ascii="Arial" w:eastAsia="Times New Roman" w:hAnsi="Arial" w:cs="Arial"/>
          <w:i/>
          <w:iCs/>
          <w:color w:val="000000"/>
          <w:lang w:eastAsia="de-DE"/>
        </w:rPr>
        <w:instrText xml:space="preserve"> analyzed this regulation using a plasmid containing the c-myc promoter that is under the same developmental control when injected into fertilized eggs. We find that the repression of transcription can be relieved simply by preincubating the reporter plasm</w:instrText>
      </w:r>
      <w:r>
        <w:rPr>
          <w:rFonts w:ascii="Arial" w:eastAsia="Times New Roman" w:hAnsi="Arial" w:cs="Arial"/>
          <w:i/>
          <w:iCs/>
          <w:color w:val="000000"/>
          <w:lang w:eastAsia="de-DE"/>
        </w:rPr>
        <w:instrText xml:space="preserve">id with TATA binding protein (TBP). However, the repression of gene activity normally occurring before the MBT soon becomes dominant over this activation independent of cell cycle phases. This inactivation correlates with chromatin assembly, and titration </w:instrText>
      </w:r>
      <w:r>
        <w:rPr>
          <w:rFonts w:ascii="Arial" w:eastAsia="Times New Roman" w:hAnsi="Arial" w:cs="Arial"/>
          <w:i/>
          <w:iCs/>
          <w:color w:val="000000"/>
          <w:lang w:eastAsia="de-DE"/>
        </w:rPr>
        <w:instrText>of chromatin components not only relieves repression of TBP-dependent transcription but also permits the establishment of stable transcription during early development. Our data suggest that the large excess of histones represses gene activity during early</w:instrText>
      </w:r>
      <w:r>
        <w:rPr>
          <w:rFonts w:ascii="Arial" w:eastAsia="Times New Roman" w:hAnsi="Arial" w:cs="Arial"/>
          <w:i/>
          <w:iCs/>
          <w:color w:val="000000"/>
          <w:lang w:eastAsia="de-DE"/>
        </w:rPr>
        <w:instrText xml:space="preserve"> development through a dynamic competition between chromatin assembly and transcription complex assembly. © 1994.","author":[{"dropping-particle":"","family":"Prioleau","given":"Marie Noëlle","non-dropping-particle":"","parse-names":false,"suffix":""},{"dr</w:instrText>
      </w:r>
      <w:r>
        <w:rPr>
          <w:rFonts w:ascii="Arial" w:eastAsia="Times New Roman" w:hAnsi="Arial" w:cs="Arial"/>
          <w:i/>
          <w:iCs/>
          <w:color w:val="000000"/>
          <w:lang w:eastAsia="de-DE"/>
        </w:rPr>
        <w:instrText>opping-particle":"","family":"Huet","given":"Janine","non-dropping-particle":"","parse-names":false,"suffix":""},{"dropping-particle":"","family":"Sentenac","given":"André","non-dropping-particle":"","parse-names":false,"suffix":""},{"dropping-particle":""</w:instrText>
      </w:r>
      <w:r>
        <w:rPr>
          <w:rFonts w:ascii="Arial" w:eastAsia="Times New Roman" w:hAnsi="Arial" w:cs="Arial"/>
          <w:i/>
          <w:iCs/>
          <w:color w:val="000000"/>
          <w:lang w:eastAsia="de-DE"/>
        </w:rPr>
        <w:instrText>,"family":"Méchali","given":"Marcel","non-dropping-particle":"","parse-names":false,"suffix":""}],"container-title":"Cell","id":"ITEM-3","issue":"3","issued":{"date-parts":[["1994","5","6"]]},"page":"439-449","publisher":"Cell","title":"Competition between</w:instrText>
      </w:r>
      <w:r>
        <w:rPr>
          <w:rFonts w:ascii="Arial" w:eastAsia="Times New Roman" w:hAnsi="Arial" w:cs="Arial"/>
          <w:i/>
          <w:iCs/>
          <w:color w:val="000000"/>
          <w:lang w:eastAsia="de-DE"/>
        </w:rPr>
        <w:instrText xml:space="preserve"> chromatin and transcription complex assembly regulates gene expression during early development","type":"article-journal","volume":"77"},"uris":["http://www.mendeley.com/documents/?uuid=7e6f2a9e-8077-3043-8726-84566e8d1ded"]},{"id":"ITEM-4","itemData":{"D</w:instrText>
      </w:r>
      <w:r>
        <w:rPr>
          <w:rFonts w:ascii="Arial" w:eastAsia="Times New Roman" w:hAnsi="Arial" w:cs="Arial"/>
          <w:i/>
          <w:iCs/>
          <w:color w:val="000000"/>
          <w:lang w:eastAsia="de-DE"/>
        </w:rPr>
        <w:instrText>OI":"10.1073/pnas.1413990112","ISSN":"1091-6490","PMID":"25713373","abstract":"During early development, animal embryos depend on maternally deposited RNA until zygotic genes become transcriptionally active. Before this maternal-to-zygotic transition, many</w:instrText>
      </w:r>
      <w:r>
        <w:rPr>
          <w:rFonts w:ascii="Arial" w:eastAsia="Times New Roman" w:hAnsi="Arial" w:cs="Arial"/>
          <w:i/>
          <w:iCs/>
          <w:color w:val="000000"/>
          <w:lang w:eastAsia="de-DE"/>
        </w:rPr>
        <w:instrText xml:space="preserve"> species execute rapid and synchronous cell divisions without growth phases or cell cycle checkpoints. The coordinated onset of transcription, cell cycle lengthening, and cell cycle checkpoints comprise the midblastula transition (MBT). A long-standing mod</w:instrText>
      </w:r>
      <w:r>
        <w:rPr>
          <w:rFonts w:ascii="Arial" w:eastAsia="Times New Roman" w:hAnsi="Arial" w:cs="Arial"/>
          <w:i/>
          <w:iCs/>
          <w:color w:val="000000"/>
          <w:lang w:eastAsia="de-DE"/>
        </w:rPr>
        <w:instrText>el in the frog, Xenopus laevis, posits that MBT timing is controlled by a maternally loaded inhibitory factor that is titrated against the exponentially increasing amount of DNA. To identify MBT regulators, we developed an assay using Xenopus egg extract t</w:instrText>
      </w:r>
      <w:r>
        <w:rPr>
          <w:rFonts w:ascii="Arial" w:eastAsia="Times New Roman" w:hAnsi="Arial" w:cs="Arial"/>
          <w:i/>
          <w:iCs/>
          <w:color w:val="000000"/>
          <w:lang w:eastAsia="de-DE"/>
        </w:rPr>
        <w:instrText>hat recapitulates the activation of transcription only above the DNA-to-cytoplasm ratio found in embryos at the MBT. We used this system to biochemically purify factors responsible for inhibiting transcription below the threshold DNA-to-cytoplasm ratio. Th</w:instrText>
      </w:r>
      <w:r>
        <w:rPr>
          <w:rFonts w:ascii="Arial" w:eastAsia="Times New Roman" w:hAnsi="Arial" w:cs="Arial"/>
          <w:i/>
          <w:iCs/>
          <w:color w:val="000000"/>
          <w:lang w:eastAsia="de-DE"/>
        </w:rPr>
        <w:instrText>is unbiased approach identified histones H3 and H4 as concentration-dependent inhibitory factors. Addition or depletion of H3/H4 from the extract quantitatively shifted the amount of DNA required for transcriptional activation in vitro. Moreover, reduction</w:instrText>
      </w:r>
      <w:r>
        <w:rPr>
          <w:rFonts w:ascii="Arial" w:eastAsia="Times New Roman" w:hAnsi="Arial" w:cs="Arial"/>
          <w:i/>
          <w:iCs/>
          <w:color w:val="000000"/>
          <w:lang w:eastAsia="de-DE"/>
        </w:rPr>
        <w:instrText xml:space="preserve"> of H3 protein in embryos induced premature transcriptional activation and cell cycle lengthening, and the addition of H3/H4 shortened post-MBT cell cycles. Our observations support a model for MBT regulation by DNA-based titration and suggest that depleti</w:instrText>
      </w:r>
      <w:r>
        <w:rPr>
          <w:rFonts w:ascii="Arial" w:eastAsia="Times New Roman" w:hAnsi="Arial" w:cs="Arial"/>
          <w:i/>
          <w:iCs/>
          <w:color w:val="000000"/>
          <w:lang w:eastAsia="de-DE"/>
        </w:rPr>
        <w:instrText>on of free histones regulates the MBT. More broadly, our work shows how a constant concentration DNA binding molecule can effectively measure the amount of cytoplasm per genome to coordinate division, growth, and development.","author":[{"dropping-particle</w:instrText>
      </w:r>
      <w:r>
        <w:rPr>
          <w:rFonts w:ascii="Arial" w:eastAsia="Times New Roman" w:hAnsi="Arial" w:cs="Arial"/>
          <w:i/>
          <w:iCs/>
          <w:color w:val="000000"/>
          <w:lang w:eastAsia="de-DE"/>
        </w:rPr>
        <w:instrText>":"","family":"Amodeo","given":"Amanda A","non-dropping-particle":"","parse-names":false,"suffix":""},{"dropping-particle":"","family":"Jukam","given":"David","non-dropping-particle":"","parse-names":false,"suffix":""},{"dropping-particle":"","family":"Str</w:instrText>
      </w:r>
      <w:r>
        <w:rPr>
          <w:rFonts w:ascii="Arial" w:eastAsia="Times New Roman" w:hAnsi="Arial" w:cs="Arial"/>
          <w:i/>
          <w:iCs/>
          <w:color w:val="000000"/>
          <w:lang w:eastAsia="de-DE"/>
        </w:rPr>
        <w:instrText>aight","given":"Aaron F","non-dropping-particle":"","parse-names":false,"suffix":""},{"dropping-particle":"","family":"Skotheim","given":"Jan M","non-dropping-particle":"","parse-names":false,"suffix":""}],"container-title":"Proceedings of the National Aca</w:instrText>
      </w:r>
      <w:r>
        <w:rPr>
          <w:rFonts w:ascii="Arial" w:eastAsia="Times New Roman" w:hAnsi="Arial" w:cs="Arial"/>
          <w:i/>
          <w:iCs/>
          <w:color w:val="000000"/>
          <w:lang w:eastAsia="de-DE"/>
        </w:rPr>
        <w:instrText>demy of Sciences of the United States of America","id":"ITEM-4","issue":"10","issued":{"date-parts":[["2015","3","10"]]},"page":"E1086-95","title":"Histone titration against the genome sets the DNA-to-cytoplasm threshold for the Xenopus midblastula transit</w:instrText>
      </w:r>
      <w:r>
        <w:rPr>
          <w:rFonts w:ascii="Arial" w:eastAsia="Times New Roman" w:hAnsi="Arial" w:cs="Arial"/>
          <w:i/>
          <w:iCs/>
          <w:color w:val="000000"/>
          <w:lang w:eastAsia="de-DE"/>
        </w:rPr>
        <w:instrText>ion.","type":"article-journal","volume":"112"},"uris":["http://www.mendeley.com/documents/?uuid=43631feb-5355-4ba0-96a7-8b41ebbedb1f"]}],"mendeley":{"formattedCitation":"&lt;sup&gt;193–196&lt;/sup&gt;","plainTextFormattedCitation":"193–196","previouslyFormattedCitatio</w:instrText>
      </w:r>
      <w:r>
        <w:rPr>
          <w:rFonts w:ascii="Arial" w:eastAsia="Times New Roman" w:hAnsi="Arial" w:cs="Arial"/>
          <w:i/>
          <w:iCs/>
          <w:color w:val="000000"/>
          <w:lang w:eastAsia="de-DE"/>
        </w:rPr>
        <w:instrText>n":"&lt;sup&gt;193–196&lt;/sup&gt;"},"properties":{"noteIndex":0},"schema":"https://github.com/citation-style-language/schema/raw/master/csl-citation.json"}</w:instrText>
      </w:r>
      <w:r>
        <w:rPr>
          <w:rFonts w:ascii="Arial" w:eastAsia="Times New Roman" w:hAnsi="Arial" w:cs="Arial"/>
          <w:i/>
          <w:iCs/>
          <w:color w:val="000000"/>
          <w:lang w:eastAsia="de-DE"/>
        </w:rPr>
        <w:fldChar w:fldCharType="separate"/>
      </w:r>
      <w:r>
        <w:rPr>
          <w:rFonts w:ascii="Arial" w:eastAsia="Times New Roman" w:hAnsi="Arial" w:cs="Arial"/>
          <w:iCs/>
          <w:noProof/>
          <w:color w:val="000000"/>
          <w:vertAlign w:val="superscript"/>
          <w:lang w:eastAsia="de-DE"/>
        </w:rPr>
        <w:t>193–196</w:t>
      </w:r>
      <w:r>
        <w:rPr>
          <w:rFonts w:ascii="Arial" w:eastAsia="Times New Roman" w:hAnsi="Arial" w:cs="Arial"/>
          <w:i/>
          <w:iCs/>
          <w:color w:val="000000"/>
          <w:lang w:eastAsia="de-DE"/>
        </w:rPr>
        <w:fldChar w:fldCharType="end"/>
      </w:r>
      <w:r>
        <w:rPr>
          <w:rFonts w:ascii="Arial" w:eastAsia="Times New Roman" w:hAnsi="Arial" w:cs="Arial"/>
          <w:color w:val="000000"/>
          <w:lang w:eastAsia="de-DE"/>
        </w:rPr>
        <w:t xml:space="preserve"> and zebrafish</w:t>
      </w:r>
      <w:r>
        <w:rPr>
          <w:rFonts w:ascii="Arial" w:eastAsia="Times New Roman" w:hAnsi="Arial" w:cs="Arial"/>
          <w:color w:val="000000"/>
          <w:lang w:eastAsia="de-DE"/>
        </w:rPr>
        <w:fldChar w:fldCharType="begin" w:fldLock="1"/>
      </w:r>
      <w:r>
        <w:rPr>
          <w:rFonts w:ascii="Arial" w:eastAsia="Times New Roman" w:hAnsi="Arial" w:cs="Arial"/>
          <w:color w:val="000000"/>
          <w:lang w:eastAsia="de-DE"/>
        </w:rPr>
        <w:instrText>ADDIN CSL_CITATION {"citationItems":[{"id":"ITEM-1","itemData":{"DOI":"10.1242/DEV.119.2</w:instrText>
      </w:r>
      <w:r>
        <w:rPr>
          <w:rFonts w:ascii="Arial" w:eastAsia="Times New Roman" w:hAnsi="Arial" w:cs="Arial"/>
          <w:color w:val="000000"/>
          <w:lang w:eastAsia="de-DE"/>
        </w:rPr>
        <w:instrText>.447","ISSN":"0950-1991","PMID":"8287796","abstract":"The zebraflsh midblastula transition (MBT) begins at cycle 10. It is characterized by cell cycle lengthening, loss of cell synchrony, activation of transcription and appearance of cell motility. Superce</w:instrText>
      </w:r>
      <w:r>
        <w:rPr>
          <w:rFonts w:ascii="Arial" w:eastAsia="Times New Roman" w:hAnsi="Arial" w:cs="Arial"/>
          <w:color w:val="000000"/>
          <w:lang w:eastAsia="de-DE"/>
        </w:rPr>
        <w:instrText>ding a 15 minute oscillator that controls the first nine cycles, the nucleocytoplasmic ratio appears to govern the MBT. This timing mechanism operates cell autonomously: clones of labeled cells initiate cell cycle lengthening independently of neighbors but</w:instrText>
      </w:r>
      <w:r>
        <w:rPr>
          <w:rFonts w:ascii="Arial" w:eastAsia="Times New Roman" w:hAnsi="Arial" w:cs="Arial"/>
          <w:color w:val="000000"/>
          <w:lang w:eastAsia="de-DE"/>
        </w:rPr>
        <w:instrText xml:space="preserve"> dependent on immediate lineal ancestors. Unequal divisions, when they occur, produce asymmetric cell cycle lengthening based on the volume of each daughter. During the several cycles after the MBT begins, cycle length is correlated with the reciprocal of </w:instrText>
      </w:r>
      <w:r>
        <w:rPr>
          <w:rFonts w:ascii="Arial" w:eastAsia="Times New Roman" w:hAnsi="Arial" w:cs="Arial"/>
          <w:color w:val="000000"/>
          <w:lang w:eastAsia="de-DE"/>
        </w:rPr>
        <w:instrText>the blastomere volume, suggesting a continuation of cell cycle regulation by the nucleocytoplasmic ratio during an interval that we term the 'MBT period'.","author":[{"dropping-particle":"","family":"Kane","given":"Donald A.","non-dropping-particle":"","pa</w:instrText>
      </w:r>
      <w:r>
        <w:rPr>
          <w:rFonts w:ascii="Arial" w:eastAsia="Times New Roman" w:hAnsi="Arial" w:cs="Arial"/>
          <w:color w:val="000000"/>
          <w:lang w:eastAsia="de-DE"/>
        </w:rPr>
        <w:instrText>rse-names":false,"suffix":""},{"dropping-particle":"","family":"Kimmel","given":"Charles B.","non-dropping-particle":"","parse-names":false,"suffix":""}],"container-title":"Development","id":"ITEM-1","issue":"2","issued":{"date-parts":[["1993","10","1"]]},</w:instrText>
      </w:r>
      <w:r>
        <w:rPr>
          <w:rFonts w:ascii="Arial" w:eastAsia="Times New Roman" w:hAnsi="Arial" w:cs="Arial"/>
          <w:color w:val="000000"/>
          <w:lang w:eastAsia="de-DE"/>
        </w:rPr>
        <w:instrText>"page":"447-456","publisher":"The Company of Biologists","title":"The zebrafish midblastula transition","type":"article-journal","volume":"119"},"uris":["http://www.mendeley.com/documents/?uuid=74eade34-a1a8-3e57-94cf-ec3f010e59b1"]},{"id":"ITEM-2","itemDa</w:instrText>
      </w:r>
      <w:r>
        <w:rPr>
          <w:rFonts w:ascii="Arial" w:eastAsia="Times New Roman" w:hAnsi="Arial" w:cs="Arial"/>
          <w:color w:val="000000"/>
          <w:lang w:eastAsia="de-DE"/>
        </w:rPr>
        <w:instrText xml:space="preserve">ta":{"DOI":"10.1242/DEV.00606","ISSN":"0950-1991","PMID":"12874114","abstract":"Embryos have been successfully used for the general study fof the cell cycle. Although there are significant differences between the early embryonic and the somatic cell cycle </w:instrText>
      </w:r>
      <w:r>
        <w:rPr>
          <w:rFonts w:ascii="Arial" w:eastAsia="Times New Roman" w:hAnsi="Arial" w:cs="Arial"/>
          <w:color w:val="000000"/>
          <w:lang w:eastAsia="de-DE"/>
        </w:rPr>
        <w:instrText>in vertebrates, the existence of specialised factors that play a role during the early cell cycles has remained elusive. We analysed a lethal recessive maternal-effect mutant, futile cycle (fue), isolated in a maternal-effect screen for nuclear division de</w:instrText>
      </w:r>
      <w:r>
        <w:rPr>
          <w:rFonts w:ascii="Arial" w:eastAsia="Times New Roman" w:hAnsi="Arial" w:cs="Arial"/>
          <w:color w:val="000000"/>
          <w:lang w:eastAsia="de-DE"/>
        </w:rPr>
        <w:instrText>fects in the zebrafish (Danio rerio). The pronuclei fail to congress in zygotes derived from homozygous fue mothers. In addition, a defect in the formation of chromosomal microtubules prevents mitotic spindle assembly and thus chromosome segregation in fue</w:instrText>
      </w:r>
      <w:r>
        <w:rPr>
          <w:rFonts w:ascii="Arial" w:eastAsia="Times New Roman" w:hAnsi="Arial" w:cs="Arial"/>
          <w:color w:val="000000"/>
          <w:lang w:eastAsia="de-DE"/>
        </w:rPr>
        <w:instrText xml:space="preserve"> zygotes. However, centrosomal functions do not appear to be affected in fue embryos, suggesting this mutant blocks a subset of microtubule functions. Cleavage occurs normally for severa</w:instrText>
      </w:r>
      <w:r>
        <w:rPr>
          <w:rFonts w:ascii="Arial" w:eastAsia="Times New Roman" w:hAnsi="Arial" w:cs="Arial"/>
          <w:color w:val="000000"/>
          <w:lang w:val="en-US" w:eastAsia="de-DE"/>
        </w:rPr>
        <w:instrText>l divisions resulting in many anucleate cells, thus showing that nucle</w:instrText>
      </w:r>
      <w:r>
        <w:rPr>
          <w:rFonts w:ascii="Arial" w:eastAsia="Times New Roman" w:hAnsi="Arial" w:cs="Arial"/>
          <w:color w:val="000000"/>
          <w:lang w:val="en-US" w:eastAsia="de-DE"/>
        </w:rPr>
        <w:instrText>ar- and cell division can be uncoupled genetically. Therefore, we propose that in mitotic spindle assembly chromosome-dependent microtubule nucleation is essential for the coupling of nuclear and cell division.","author":[{"dropping-particle":"","family":"</w:instrText>
      </w:r>
      <w:r>
        <w:rPr>
          <w:rFonts w:ascii="Arial" w:eastAsia="Times New Roman" w:hAnsi="Arial" w:cs="Arial"/>
          <w:color w:val="000000"/>
          <w:lang w:val="en-US" w:eastAsia="de-DE"/>
        </w:rPr>
        <w:instrText>Dekens","given":"Marcus P.S.","non-dropping-particle":"","parse-names":false,"suffix":""},{"dropping-particle":"","family":"Pelegri","given":"Francisco J.","non-dropping-particle":"","parse-names":false,"suffix":""},{"dropping-particle":"","family":"Maisch</w:instrText>
      </w:r>
      <w:r>
        <w:rPr>
          <w:rFonts w:ascii="Arial" w:eastAsia="Times New Roman" w:hAnsi="Arial" w:cs="Arial"/>
          <w:color w:val="000000"/>
          <w:lang w:val="en-US" w:eastAsia="de-DE"/>
        </w:rPr>
        <w:instrText>ein","given":"Hans Martin","non-dropping-particle":"","parse-names":false,"suffix":""},{"dropping-particle":"","family":"Nüsslein-Volhard","given":"Christiane","non-dropping-particle":"","parse-names":false,"suffix":""}],"container-title":"Development","id</w:instrText>
      </w:r>
      <w:r>
        <w:rPr>
          <w:rFonts w:ascii="Arial" w:eastAsia="Times New Roman" w:hAnsi="Arial" w:cs="Arial"/>
          <w:color w:val="000000"/>
          <w:lang w:val="en-US" w:eastAsia="de-DE"/>
        </w:rPr>
        <w:instrText>":"ITEM-2","issue":"17","issued":{"date-parts":[["2003","9","1"]]},"page":"3907-3916","publisher":"The Company of Biologists","title":"The maternal-effect gene futile cycle is essential for pronuclear congression and mitotic spindle assembly in the zebrafi</w:instrText>
      </w:r>
      <w:r>
        <w:rPr>
          <w:rFonts w:ascii="Arial" w:eastAsia="Times New Roman" w:hAnsi="Arial" w:cs="Arial"/>
          <w:color w:val="000000"/>
          <w:lang w:val="en-US" w:eastAsia="de-DE"/>
        </w:rPr>
        <w:instrText>sh zygote","type":"article-journal","volume":"130"},"uris":["http://www.mendeley.com/documents/?uuid=263bb13b-7c3a-33ac-b8cf-84c6d101314b"]}],"mendeley":{"formattedCitation":"&lt;sup&gt;197,198&lt;/sup&gt;","plainTextFormattedCitation":"197,198","previouslyFormattedCi</w:instrText>
      </w:r>
      <w:r>
        <w:rPr>
          <w:rFonts w:ascii="Arial" w:eastAsia="Times New Roman" w:hAnsi="Arial" w:cs="Arial"/>
          <w:color w:val="000000"/>
          <w:lang w:val="en-US" w:eastAsia="de-DE"/>
        </w:rPr>
        <w:instrText>tation":"&lt;sup&gt;197,198&lt;/sup&gt;"},"properties":{"noteIndex":0},"schema":"https://github.com/citation-style-language/schema/raw/master/csl-citation.json"}</w:instrText>
      </w:r>
      <w:r>
        <w:rPr>
          <w:rFonts w:ascii="Arial" w:eastAsia="Times New Roman" w:hAnsi="Arial" w:cs="Arial"/>
          <w:color w:val="000000"/>
          <w:lang w:eastAsia="de-DE"/>
        </w:rPr>
        <w:fldChar w:fldCharType="separate"/>
      </w:r>
      <w:r>
        <w:rPr>
          <w:rFonts w:ascii="Arial" w:eastAsia="Times New Roman" w:hAnsi="Arial" w:cs="Arial"/>
          <w:noProof/>
          <w:color w:val="000000"/>
          <w:vertAlign w:val="superscript"/>
          <w:lang w:val="en-US" w:eastAsia="de-DE"/>
        </w:rPr>
        <w:t>197,198</w:t>
      </w:r>
      <w:r>
        <w:rPr>
          <w:rFonts w:ascii="Arial" w:eastAsia="Times New Roman" w:hAnsi="Arial" w:cs="Arial"/>
          <w:color w:val="000000"/>
          <w:lang w:eastAsia="de-DE"/>
        </w:rPr>
        <w:fldChar w:fldCharType="end"/>
      </w:r>
      <w:r>
        <w:rPr>
          <w:rFonts w:ascii="Arial" w:eastAsia="Times New Roman" w:hAnsi="Arial" w:cs="Arial"/>
          <w:color w:val="000000"/>
          <w:lang w:val="en-US" w:eastAsia="de-DE"/>
        </w:rPr>
        <w:t xml:space="preserve"> (Fig. 5a). The mechanism behind this correlation involves the titration of maternally deposited </w:t>
      </w:r>
      <w:r>
        <w:rPr>
          <w:rFonts w:ascii="Arial" w:eastAsia="Times New Roman" w:hAnsi="Arial" w:cs="Arial"/>
          <w:color w:val="000000"/>
          <w:lang w:val="en-US" w:eastAsia="de-DE"/>
        </w:rPr>
        <w:t>histones against constant DNA amounts during early embryonic cleavages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{"citationItems":[{"id":"ITEM-1","itemData":{"DOI":"10.1073/pnas.1413990112","ISSN":"1091-6490","PMID":"25713373","abstract":"During early development, animal embryos </w:instrText>
      </w:r>
      <w:r>
        <w:rPr>
          <w:rFonts w:ascii="Arial" w:eastAsia="Times New Roman" w:hAnsi="Arial" w:cs="Arial"/>
          <w:color w:val="000000"/>
          <w:lang w:val="en-US" w:eastAsia="de-DE"/>
        </w:rPr>
        <w:instrText>depend on maternally deposited RNA until zygotic genes become transcriptionally active. Before this maternal-to-zygotic transition, many species execute rapid and synchronous cell divisions without growth phases or cell cycle checkpoints. The coordinated o</w:instrText>
      </w:r>
      <w:r>
        <w:rPr>
          <w:rFonts w:ascii="Arial" w:eastAsia="Times New Roman" w:hAnsi="Arial" w:cs="Arial"/>
          <w:color w:val="000000"/>
          <w:lang w:val="en-US" w:eastAsia="de-DE"/>
        </w:rPr>
        <w:instrText>nset of transcription, cell cycle lengthening, and cell cycle checkpoints comprise the midblastula transition (MBT). A long-standing model in the frog, Xenopus laevis, posits that MBT timing is controlled by a maternally loaded inhibitory factor that is ti</w:instrText>
      </w:r>
      <w:r>
        <w:rPr>
          <w:rFonts w:ascii="Arial" w:eastAsia="Times New Roman" w:hAnsi="Arial" w:cs="Arial"/>
          <w:color w:val="000000"/>
          <w:lang w:val="en-US" w:eastAsia="de-DE"/>
        </w:rPr>
        <w:instrText xml:space="preserve">trated against the exponentially increasing amount of DNA. To identify MBT regulators, we developed an assay using Xenopus egg extract that recapitulates the activation of transcription only above the DNA-to-cytoplasm ratio found in embryos at the MBT. We </w:instrText>
      </w:r>
      <w:r>
        <w:rPr>
          <w:rFonts w:ascii="Arial" w:eastAsia="Times New Roman" w:hAnsi="Arial" w:cs="Arial"/>
          <w:color w:val="000000"/>
          <w:lang w:val="en-US" w:eastAsia="de-DE"/>
        </w:rPr>
        <w:instrText xml:space="preserve">used this system to biochemically purify factors responsible for inhibiting transcription below the threshold DNA-to-cytoplasm ratio. This unbiased approach identified histones H3 and H4 as concentration-dependent inhibitory factors. Addition or depletion </w:instrText>
      </w:r>
      <w:r>
        <w:rPr>
          <w:rFonts w:ascii="Arial" w:eastAsia="Times New Roman" w:hAnsi="Arial" w:cs="Arial"/>
          <w:color w:val="000000"/>
          <w:lang w:val="en-US" w:eastAsia="de-DE"/>
        </w:rPr>
        <w:instrText>of H3/H4 from the extract quantitatively shifted the amount of DNA required for transcriptional activation in vitro. Moreover, reduction of H3 protein in embryos induced premature transcriptional activation and cell cycle lengthening, and the addition of H</w:instrText>
      </w:r>
      <w:r>
        <w:rPr>
          <w:rFonts w:ascii="Arial" w:eastAsia="Times New Roman" w:hAnsi="Arial" w:cs="Arial"/>
          <w:color w:val="000000"/>
          <w:lang w:val="en-US" w:eastAsia="de-DE"/>
        </w:rPr>
        <w:instrText>3/H4 shortened post-MBT cell cycles. Our observations support a model for MBT regulation by DNA-based titration and suggest that depletion of free histones regulates the MBT. More broadly, our work shows how a constant concentration DNA binding molecule ca</w:instrText>
      </w:r>
      <w:r>
        <w:rPr>
          <w:rFonts w:ascii="Arial" w:eastAsia="Times New Roman" w:hAnsi="Arial" w:cs="Arial"/>
          <w:color w:val="000000"/>
          <w:lang w:val="en-US" w:eastAsia="de-DE"/>
        </w:rPr>
        <w:instrText>n effectively measure the amount of cytoplasm per genome to coordinate division, growth, and development.","author":[{"dropping-particle":"","family":"Amodeo","given":"Amanda A","non-dropping-particle":"","parse-names":false,"suffix":""},{"dropping-particl</w:instrText>
      </w:r>
      <w:r>
        <w:rPr>
          <w:rFonts w:ascii="Arial" w:eastAsia="Times New Roman" w:hAnsi="Arial" w:cs="Arial"/>
          <w:color w:val="000000"/>
          <w:lang w:val="en-US" w:eastAsia="de-DE"/>
        </w:rPr>
        <w:instrText>e":"","family":"Jukam","given":"David","non-dropping-particle":"","parse-names":false,"suffix":""},{"dropping-particle":"","family":"Straight","given":"Aaron F","non-dropping-particle":"","parse-names":false,"suffix":""},{"dropping-particle":"","family":"S</w:instrText>
      </w:r>
      <w:r>
        <w:rPr>
          <w:rFonts w:ascii="Arial" w:eastAsia="Times New Roman" w:hAnsi="Arial" w:cs="Arial"/>
          <w:color w:val="000000"/>
          <w:lang w:val="en-US" w:eastAsia="de-DE"/>
        </w:rPr>
        <w:instrText>kotheim","given":"Jan M","non-dropping-particle":"","parse-names":false,"suffix":""}],"container-title":"Proceedings of the National Academy of Sciences of the United States of America","id":"ITEM-1","issue":"10","issued":{"date-parts":[["2015","3","10"]]}</w:instrText>
      </w:r>
      <w:r>
        <w:rPr>
          <w:rFonts w:ascii="Arial" w:eastAsia="Times New Roman" w:hAnsi="Arial" w:cs="Arial"/>
          <w:color w:val="000000"/>
          <w:lang w:val="en-US" w:eastAsia="de-DE"/>
        </w:rPr>
        <w:instrText>,"page":"E1086-95","title":"Histone titration against the genome sets the DNA-to-cytoplasm threshold for the Xenopus midblastula transition.","type":"article-journal","volume":"112"},"uris":["http://www.mendeley.com/documents/?uuid=43631feb-5355-4ba0-96a7-</w:instrText>
      </w:r>
      <w:r>
        <w:rPr>
          <w:rFonts w:ascii="Arial" w:eastAsia="Times New Roman" w:hAnsi="Arial" w:cs="Arial"/>
          <w:color w:val="000000"/>
          <w:lang w:val="en-US" w:eastAsia="de-DE"/>
        </w:rPr>
        <w:instrText xml:space="preserve">8b41ebbedb1f"]},{"id":"ITEM-2","itemData":{"DOI":"10.7554/eLife.23326","ISSN":"2050-084X","abstract":"&lt;p&gt;Upon fertilization, the genome of animal embryos remains transcriptionally inactive until the maternal-to-zygotic transition. At this time, the embryo </w:instrText>
      </w:r>
      <w:r>
        <w:rPr>
          <w:rFonts w:ascii="Arial" w:eastAsia="Times New Roman" w:hAnsi="Arial" w:cs="Arial"/>
          <w:color w:val="000000"/>
          <w:lang w:val="en-US" w:eastAsia="de-DE"/>
        </w:rPr>
        <w:instrText>takes control of its development and transcription begins. How the onset of zygotic transcription is regulated remains unclear. Here, we show that a dynamic competition for DNA binding between nucleosome-forming histones and transcription factors regulates</w:instrText>
      </w:r>
      <w:r>
        <w:rPr>
          <w:rFonts w:ascii="Arial" w:eastAsia="Times New Roman" w:hAnsi="Arial" w:cs="Arial"/>
          <w:color w:val="000000"/>
          <w:lang w:val="en-US" w:eastAsia="de-DE"/>
        </w:rPr>
        <w:instrText xml:space="preserve"> zebrafish genome activation. Taking a quantitative approach, we found that the concentration of non-DNA-bound core histones sets the time for the onset of transcription. The reduction in nuclear histone concentration that coincides with genome activation </w:instrText>
      </w:r>
      <w:r>
        <w:rPr>
          <w:rFonts w:ascii="Arial" w:eastAsia="Times New Roman" w:hAnsi="Arial" w:cs="Arial"/>
          <w:color w:val="000000"/>
          <w:lang w:val="en-US" w:eastAsia="de-DE"/>
        </w:rPr>
        <w:instrText>does not affect nucleosome density on DNA, but allows transcription factors to compete successfully for DNA binding. In agreement with this, transcription factor binding is sensitive to histone levels and the concentration of transcription factors also aff</w:instrText>
      </w:r>
      <w:r>
        <w:rPr>
          <w:rFonts w:ascii="Arial" w:eastAsia="Times New Roman" w:hAnsi="Arial" w:cs="Arial"/>
          <w:color w:val="000000"/>
          <w:lang w:val="en-US" w:eastAsia="de-DE"/>
        </w:rPr>
        <w:instrText>ects the time of transcription. Our results demonstrate that the relative levels of histones and transcription factors regulate the onset of transcription in the embryo.&lt;/p&gt;","author":[{"dropping-particle":"","family":"Joseph","given":"Shai R","non-droppin</w:instrText>
      </w:r>
      <w:r>
        <w:rPr>
          <w:rFonts w:ascii="Arial" w:eastAsia="Times New Roman" w:hAnsi="Arial" w:cs="Arial"/>
          <w:color w:val="000000"/>
          <w:lang w:val="en-US" w:eastAsia="de-DE"/>
        </w:rPr>
        <w:instrText>g-particle":"","parse-names":false,"suffix":""},{"dropping-particle":"","family":"Pálfy","given":"Máté","non-dropping-particle":"","parse-names":false,"suffix":""},{"dropping-particle":"","family":"Hilbert","given":"Lennart","non-dropping-particle":"","par</w:instrText>
      </w:r>
      <w:r>
        <w:rPr>
          <w:rFonts w:ascii="Arial" w:eastAsia="Times New Roman" w:hAnsi="Arial" w:cs="Arial"/>
          <w:color w:val="000000"/>
          <w:lang w:val="en-US" w:eastAsia="de-DE"/>
        </w:rPr>
        <w:instrText>se-names":false,"suffix":""},{"dropping-particle":"","family":"Kumar","given":"Mukesh","non-dropping-particle":"","parse-names":false,"suffix":""},{"dropping-particle":"","family":"Karschau","given":"Jens","non-dropping-particle":"","parse-names":false,"su</w:instrText>
      </w:r>
      <w:r>
        <w:rPr>
          <w:rFonts w:ascii="Arial" w:eastAsia="Times New Roman" w:hAnsi="Arial" w:cs="Arial"/>
          <w:color w:val="000000"/>
          <w:lang w:val="en-US" w:eastAsia="de-DE"/>
        </w:rPr>
        <w:instrText>ffix":""},{"dropping-particle":"","family":"Zaburdaev","given":"Vasily","non-dropping-particle":"","parse-names":false,"suffix":""},{"dropping-particle":"","family":"Shevchenko","given":"Andrej","non-dropping-particle":"","parse-names":false,"suffix":""},{</w:instrText>
      </w:r>
      <w:r>
        <w:rPr>
          <w:rFonts w:ascii="Arial" w:eastAsia="Times New Roman" w:hAnsi="Arial" w:cs="Arial"/>
          <w:color w:val="000000"/>
          <w:lang w:val="en-US" w:eastAsia="de-DE"/>
        </w:rPr>
        <w:instrText>"dropping-particle":"","family":"Vastenhouw","given":"Nadine L","non-dropping-particle":"","parse-names":false,"suffix":""}],"container-title":"eLife","id":"ITEM-2","issued":{"date-parts":[["2017","4","20"]]},"title":"Competition between histone and transc</w:instrText>
      </w:r>
      <w:r>
        <w:rPr>
          <w:rFonts w:ascii="Arial" w:eastAsia="Times New Roman" w:hAnsi="Arial" w:cs="Arial"/>
          <w:color w:val="000000"/>
          <w:lang w:val="en-US" w:eastAsia="de-DE"/>
        </w:rPr>
        <w:instrText>ription factor binding regulates the onset of transcription in zebrafish embryos","type":"article-journal","volume":"6"},"uris":["http://www.mendeley.com/documents/?uuid=6d5149e8-35c2-3529-99fe-e2d32726b842"]},{"id":"ITEM-3","itemData":{"DOI":"10.1242/DEV.</w:instrText>
      </w:r>
      <w:r>
        <w:rPr>
          <w:rFonts w:ascii="Arial" w:eastAsia="Times New Roman" w:hAnsi="Arial" w:cs="Arial"/>
          <w:color w:val="000000"/>
          <w:lang w:val="en-US" w:eastAsia="de-DE"/>
        </w:rPr>
        <w:instrText>177402/VIDEO-4","ISSN":"14779129","PMID":"31511251","abstract":"The early embryos of many animals, including flies, fish and frogs, have unusually rapid cell cycles and delayed onset of transcription. These divisions are dependent on maternally supplied RN</w:instrText>
      </w:r>
      <w:r>
        <w:rPr>
          <w:rFonts w:ascii="Arial" w:eastAsia="Times New Roman" w:hAnsi="Arial" w:cs="Arial"/>
          <w:color w:val="000000"/>
          <w:lang w:val="en-US" w:eastAsia="de-DE"/>
        </w:rPr>
        <w:instrText>As and proteins including histones. Previous work suggests that the pool size of maternally provided histones can alter the timing of zygotic genome activation (ZGA) in frogs and fish. Here, we examine the effects of under- and overexpression of maternal h</w:instrText>
      </w:r>
      <w:r>
        <w:rPr>
          <w:rFonts w:ascii="Arial" w:eastAsia="Times New Roman" w:hAnsi="Arial" w:cs="Arial"/>
          <w:color w:val="000000"/>
          <w:lang w:val="en-US" w:eastAsia="de-DE"/>
        </w:rPr>
        <w:instrText>istones in Drosophila embryogenesis. Decreasing histone concentration advances zygotic transcription, cell cycle elongation, Chk1 activation and gastrulation. Conversely, increasing histone concentration delays transcription and results in an additional nu</w:instrText>
      </w:r>
      <w:r>
        <w:rPr>
          <w:rFonts w:ascii="Arial" w:eastAsia="Times New Roman" w:hAnsi="Arial" w:cs="Arial"/>
          <w:color w:val="000000"/>
          <w:lang w:val="en-US" w:eastAsia="de-DE"/>
        </w:rPr>
        <w:instrText>clear cycle before gastrulation. Numerous zygotic transcripts are sensitive to histone concentration, and the promoters of histone-sensitive genes are associated with specific chromatin features linked to increased histone turnover. These include enrichmen</w:instrText>
      </w:r>
      <w:r>
        <w:rPr>
          <w:rFonts w:ascii="Arial" w:eastAsia="Times New Roman" w:hAnsi="Arial" w:cs="Arial"/>
          <w:color w:val="000000"/>
          <w:lang w:val="en-US" w:eastAsia="de-DE"/>
        </w:rPr>
        <w:instrText>t of the pioneer transcription factor Zelda, and lack of SIN3A and associated histone deacetylases. Our findings uncover a crucial regulatory role for histone concentrations in ZGA of Drosophila.","author":[{"dropping-particle":"","family":"Chari","given":</w:instrText>
      </w:r>
      <w:r>
        <w:rPr>
          <w:rFonts w:ascii="Arial" w:eastAsia="Times New Roman" w:hAnsi="Arial" w:cs="Arial"/>
          <w:color w:val="000000"/>
          <w:lang w:val="en-US" w:eastAsia="de-DE"/>
        </w:rPr>
        <w:instrText>"Sudarshan","non-dropping-particle":"","parse-names":false,"suffix":""},{"dropping-particle":"","family":"Wilky","given":"Henry","non-dropping-particle":"","parse-names":false,"suffix":""},{"dropping-particle":"","family":"Govindan","given":"Jayalakshmi","</w:instrText>
      </w:r>
      <w:r>
        <w:rPr>
          <w:rFonts w:ascii="Arial" w:eastAsia="Times New Roman" w:hAnsi="Arial" w:cs="Arial"/>
          <w:color w:val="000000"/>
          <w:lang w:val="en-US" w:eastAsia="de-DE"/>
        </w:rPr>
        <w:instrText>non-dropping-particle":"","parse-names":false,"suffix":""},{"dropping-particle":"","family":"Amodeo","given":"Amanda A.","non-dropping-particle":"","parse-names":false,"suffix":""}],"container-title":"Development (Cambridge)","id":"ITEM-3","issue":"19","is</w:instrText>
      </w:r>
      <w:r>
        <w:rPr>
          <w:rFonts w:ascii="Arial" w:eastAsia="Times New Roman" w:hAnsi="Arial" w:cs="Arial"/>
          <w:color w:val="000000"/>
          <w:lang w:val="en-US" w:eastAsia="de-DE"/>
        </w:rPr>
        <w:instrText>sued":{"date-parts":[["2019","10","1"]]},"publisher":"Company of Biologists Ltd","title":"Histone concentration regulates the cell cycle and transcription in early development","type":"article-journal","volume":"146"},"uris":["http://www.mendeley.com/docum</w:instrText>
      </w:r>
      <w:r>
        <w:rPr>
          <w:rFonts w:ascii="Arial" w:eastAsia="Times New Roman" w:hAnsi="Arial" w:cs="Arial"/>
          <w:color w:val="000000"/>
          <w:lang w:val="en-US" w:eastAsia="de-DE"/>
        </w:rPr>
        <w:instrText>ents/?uuid=5e648fa8-7430-3354-b4ef-65c7c061aeaf"]},{"id":"ITEM-4","itemData":{"DOI":"10.1016/J.CUB.2021.07.035","ISSN":"1879-0445","PMID":"34388374","abstract":"In multicellular animals, the first major event after fertilization is the switch from maternal</w:instrText>
      </w:r>
      <w:r>
        <w:rPr>
          <w:rFonts w:ascii="Arial" w:eastAsia="Times New Roman" w:hAnsi="Arial" w:cs="Arial"/>
          <w:color w:val="000000"/>
          <w:lang w:val="en-US" w:eastAsia="de-DE"/>
        </w:rPr>
        <w:instrText xml:space="preserve"> to zygotic control of development. During this transition, zygotic gene transcription is broadly activated in an otherwise quiescent genome in a process known as zygotic genome activation (ZGA). In fast-developing embryos, ZGA often overlaps with the slow</w:instrText>
      </w:r>
      <w:r>
        <w:rPr>
          <w:rFonts w:ascii="Arial" w:eastAsia="Times New Roman" w:hAnsi="Arial" w:cs="Arial"/>
          <w:color w:val="000000"/>
          <w:lang w:val="en-US" w:eastAsia="de-DE"/>
        </w:rPr>
        <w:instrText>ing of initially synchronous cell divisions at the mid-blastula transition (MBT). Initial studies of the MBT led to the nuclear-to-cytoplasmic ratio model where MBT timing is regulated by the exponentially increasing amounts of some nuclear component “N” t</w:instrText>
      </w:r>
      <w:r>
        <w:rPr>
          <w:rFonts w:ascii="Arial" w:eastAsia="Times New Roman" w:hAnsi="Arial" w:cs="Arial"/>
          <w:color w:val="000000"/>
          <w:lang w:val="en-US" w:eastAsia="de-DE"/>
        </w:rPr>
        <w:instrText xml:space="preserve">itrated against a fixed cytoplasmic component “C.” However, more recent experiments have been interpreted to suggest that ZGA is independent of the N/C ratio. To determine the role of the N/C ratio in ZGA, we generated Xenopus frog embryos with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3-fold dif</w:instrText>
      </w:r>
      <w:r>
        <w:rPr>
          <w:rFonts w:ascii="Arial" w:eastAsia="Times New Roman" w:hAnsi="Arial" w:cs="Arial"/>
          <w:color w:val="000000"/>
          <w:lang w:val="en-US" w:eastAsia="de-DE"/>
        </w:rPr>
        <w:instrText>ferences in genomic DNA (i.e., N) by using X. tropicalis sperm to fertilize X. laevis eggs with or without their maternal genome. Resulting embryos have otherwise identical X. tropicalis genome template amounts, embryo sizes, and X. laevis maternal environ</w:instrText>
      </w:r>
      <w:r>
        <w:rPr>
          <w:rFonts w:ascii="Arial" w:eastAsia="Times New Roman" w:hAnsi="Arial" w:cs="Arial"/>
          <w:color w:val="000000"/>
          <w:lang w:val="en-US" w:eastAsia="de-DE"/>
        </w:rPr>
        <w:instrText>ments. We generated transcriptomic time series across the MBT in both conditions and used X. tropicalis paternally derived mRNA to identify a high-confidence set of exclusively zygotic transcripts. Both ZGA and the increase in cell-cycle duration are delay</w:instrText>
      </w:r>
      <w:r>
        <w:rPr>
          <w:rFonts w:ascii="Arial" w:eastAsia="Times New Roman" w:hAnsi="Arial" w:cs="Arial"/>
          <w:color w:val="000000"/>
          <w:lang w:val="en-US" w:eastAsia="de-DE"/>
        </w:rPr>
        <w:instrText xml:space="preserve">ed in embryos with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3-fold less DNA per cell. Thus, DNA is an important component of the N/C ratio, which is a critical regulator of zygotic genome activation in Xenopus embryos.","author":[{"dropping-particle":"","family":"Jukam","given":"David","non-drop</w:instrText>
      </w:r>
      <w:r>
        <w:rPr>
          <w:rFonts w:ascii="Arial" w:eastAsia="Times New Roman" w:hAnsi="Arial" w:cs="Arial"/>
          <w:color w:val="000000"/>
          <w:lang w:val="en-US" w:eastAsia="de-DE"/>
        </w:rPr>
        <w:instrText>ping-particle":"","parse-names":false,"suffix":""},{"dropping-particle":"","family":"Kapoor","given":"Rishabh R.","non-dropping-particle":"","parse-names":false,"suffix":""},{"dropping-particle":"","family":"Straight","given":"Aaron F.","non-dropping-parti</w:instrText>
      </w:r>
      <w:r>
        <w:rPr>
          <w:rFonts w:ascii="Arial" w:eastAsia="Times New Roman" w:hAnsi="Arial" w:cs="Arial"/>
          <w:color w:val="000000"/>
          <w:lang w:val="en-US" w:eastAsia="de-DE"/>
        </w:rPr>
        <w:instrText>cle":"","parse-names":false,"suffix":""},{"dropping-particle":"","family":"Skotheim","given":"Jan M.","non-dropping-particle":"","parse-names":false,"suffix":""}],"container-title":"Current biology : CB","id":"ITEM-4","issue":"19","issued":{"date-parts":[[</w:instrText>
      </w:r>
      <w:r>
        <w:rPr>
          <w:rFonts w:ascii="Arial" w:eastAsia="Times New Roman" w:hAnsi="Arial" w:cs="Arial"/>
          <w:color w:val="000000"/>
          <w:lang w:val="en-US" w:eastAsia="de-DE"/>
        </w:rPr>
        <w:instrText>"2021","10","11"]]},"page":"4269-4281.e8","publisher":"Curr Biol","title":"The DNA-to-cytoplasm ratio broadly activates zygotic gene expression in Xenopus","type":"article-journal","volume":"31"},"uris":["http://www.mendeley.com/documents/?uuid=e8449d43-8d</w:instrText>
      </w:r>
      <w:r>
        <w:rPr>
          <w:rFonts w:ascii="Arial" w:eastAsia="Times New Roman" w:hAnsi="Arial" w:cs="Arial"/>
          <w:color w:val="000000"/>
          <w:lang w:val="en-US" w:eastAsia="de-DE"/>
        </w:rPr>
        <w:instrText>05-3bdf-9702-d7e512d6198a"]}],"mendeley":{"formattedCitation":"&lt;sup&gt;196,199–201&lt;/sup&gt;","plainTextFormattedCitation":"196,199–201","previouslyFormattedCitation":"&lt;sup&gt;196,199–201&lt;/sup&gt;"},"properties":{"noteIndex":0},"schema":"https://github.com/citation-sty</w:instrText>
      </w:r>
      <w:r>
        <w:rPr>
          <w:rFonts w:ascii="Arial" w:eastAsia="Times New Roman" w:hAnsi="Arial" w:cs="Arial"/>
          <w:color w:val="000000"/>
          <w:lang w:val="en-US" w:eastAsia="de-DE"/>
        </w:rPr>
        <w:instrText>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196,199–201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Moreover, also the titration of replication factors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{"citationItems":[{"id":"ITEM-1","itemData":{"DOI":"10.1126/SCIENCE.1241530/SUPPL_FILE/COLLART.SM.PDF","ISSN":"10959203","abstract":"The rapid, reductive early divisions of many metazoan embryos are followed by the midblastula transition (MBT), during whic</w:instrText>
      </w:r>
      <w:r>
        <w:rPr>
          <w:rFonts w:ascii="Arial" w:eastAsia="Times New Roman" w:hAnsi="Arial" w:cs="Arial"/>
          <w:color w:val="000000"/>
          <w:lang w:val="en-US" w:eastAsia="de-DE"/>
        </w:rPr>
        <w:instrText>h the cell cycle elongates and zygotic transcription begins. It has been proposed that the increasing nuclear to cytoplasmic (N/C) ratio is critical for controlling the events of the MBT. We show that four DNA replication factors - Cut5, RecQ4, Treslin, an</w:instrText>
      </w:r>
      <w:r>
        <w:rPr>
          <w:rFonts w:ascii="Arial" w:eastAsia="Times New Roman" w:hAnsi="Arial" w:cs="Arial"/>
          <w:color w:val="000000"/>
          <w:lang w:val="en-US" w:eastAsia="de-DE"/>
        </w:rPr>
        <w:instrText xml:space="preserve">d Drf1 - are limiting for replication initiation at increasing N/C ratios in vitro and in vivo in Xenopus laevis. The levels of these factors regulate multiple events of the MBT, including the slowing of the cell cycle, the onset of zygotic transcription, </w:instrText>
      </w:r>
      <w:r>
        <w:rPr>
          <w:rFonts w:ascii="Arial" w:eastAsia="Times New Roman" w:hAnsi="Arial" w:cs="Arial"/>
          <w:color w:val="000000"/>
          <w:lang w:val="en-US" w:eastAsia="de-DE"/>
        </w:rPr>
        <w:instrText>and the developmental activation of the kinase Chk1. This work provides a mechanism for how the N/C ratio controls the MBT and shows that the regulation of replication initiation is fundamental for normal embryogenesis.","author":[{"dropping-particle":"","</w:instrText>
      </w:r>
      <w:r>
        <w:rPr>
          <w:rFonts w:ascii="Arial" w:eastAsia="Times New Roman" w:hAnsi="Arial" w:cs="Arial"/>
          <w:color w:val="000000"/>
          <w:lang w:val="en-US" w:eastAsia="de-DE"/>
        </w:rPr>
        <w:instrText>family":"Collart","given":"Clara","non-dropping-particle":"","parse-names":false,"suffix":""},{"dropping-particle":"","family":"Allen","given":"George E.","non-dropping-particle":"","parse-names":false,"suffix":""},{"dropping-particle":"","family":"Bradsha</w:instrText>
      </w:r>
      <w:r>
        <w:rPr>
          <w:rFonts w:ascii="Arial" w:eastAsia="Times New Roman" w:hAnsi="Arial" w:cs="Arial"/>
          <w:color w:val="000000"/>
          <w:lang w:val="en-US" w:eastAsia="de-DE"/>
        </w:rPr>
        <w:instrText>w","given":"Charles R.","non-dropping-particle":"","parse-names":false,"suffix":""},{"dropping-particle":"","family":"Smith","given":"James C.","non-dropping-particle":"","parse-names":false,"suffix":""},{"dropping-particle":"","family":"Zegerman","given":</w:instrText>
      </w:r>
      <w:r>
        <w:rPr>
          <w:rFonts w:ascii="Arial" w:eastAsia="Times New Roman" w:hAnsi="Arial" w:cs="Arial"/>
          <w:color w:val="000000"/>
          <w:lang w:val="en-US" w:eastAsia="de-DE"/>
        </w:rPr>
        <w:instrText>"Philip","non-dropping-particle":"","parse-names":false,"suffix":""}],"container-title":"Science","id":"ITEM-1","issue":"6148","issued":{"date-parts":[["2013","8","23"]]},"page":"893-896","publisher":"American Association for the Advancement of Science","t</w:instrText>
      </w:r>
      <w:r>
        <w:rPr>
          <w:rFonts w:ascii="Arial" w:eastAsia="Times New Roman" w:hAnsi="Arial" w:cs="Arial"/>
          <w:color w:val="000000"/>
          <w:lang w:val="en-US" w:eastAsia="de-DE"/>
        </w:rPr>
        <w:instrText>itle":"Titration of four replication factors is essential for the Xenopus laevis midblastula transition","type":"article-journal","volume":"341"},"uris":["http://www.mendeley.com/documents/?uuid=842924b8-e4c1-3688-8e0a-43f7c8fa77d3"]}],"mendeley":{"formatt</w:instrText>
      </w:r>
      <w:r>
        <w:rPr>
          <w:rFonts w:ascii="Arial" w:eastAsia="Times New Roman" w:hAnsi="Arial" w:cs="Arial"/>
          <w:color w:val="000000"/>
          <w:lang w:val="en-US" w:eastAsia="de-DE"/>
        </w:rPr>
        <w:instrText>edCitation":"&lt;sup&gt;202&lt;/sup&gt;","plainTextFormattedCitation":"202","previouslyFormattedCitation":"&lt;sup&gt;202&lt;/sup&gt;"},"properties":{"noteIndex":0},"schema":"https://github.com/citation-style-language/schema/raw/master/csl-citation.json"}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202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the competitio</w:t>
      </w:r>
      <w:r>
        <w:rPr>
          <w:rFonts w:ascii="Arial" w:eastAsia="Times New Roman" w:hAnsi="Arial" w:cs="Arial"/>
          <w:color w:val="000000"/>
          <w:lang w:val="en-US" w:eastAsia="de-DE"/>
        </w:rPr>
        <w:t>n between histones and transcription factors for DNA binding</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{"citationItems":[{"id":"ITEM-1","itemData":{"DOI":"10.7554/eLife.23326","ISSN":"2050-084X","abstract":"&lt;p&gt;Upon fertilization, the genome of animal embryos remains transcription</w:instrText>
      </w:r>
      <w:r>
        <w:rPr>
          <w:rFonts w:ascii="Arial" w:eastAsia="Times New Roman" w:hAnsi="Arial" w:cs="Arial"/>
          <w:color w:val="000000"/>
          <w:lang w:val="en-US" w:eastAsia="de-DE"/>
        </w:rPr>
        <w:instrText>ally inactive until the maternal-to-zygotic transition. At this time, the embryo takes control of its development and transcription begins. How the onset of zygotic transcription is regulated remains unclear. Here, we show that a dynamic competition for DN</w:instrText>
      </w:r>
      <w:r>
        <w:rPr>
          <w:rFonts w:ascii="Arial" w:eastAsia="Times New Roman" w:hAnsi="Arial" w:cs="Arial"/>
          <w:color w:val="000000"/>
          <w:lang w:val="en-US" w:eastAsia="de-DE"/>
        </w:rPr>
        <w:instrText xml:space="preserve">A binding between nucleosome-forming histones and transcription factors regulates zebrafish genome activation. Taking a quantitative approach, we found that the concentration of non-DNA-bound core histones sets the time for the onset of transcription. The </w:instrText>
      </w:r>
      <w:r>
        <w:rPr>
          <w:rFonts w:ascii="Arial" w:eastAsia="Times New Roman" w:hAnsi="Arial" w:cs="Arial"/>
          <w:color w:val="000000"/>
          <w:lang w:val="en-US" w:eastAsia="de-DE"/>
        </w:rPr>
        <w:instrText>reduction in nuclear histone concentration that coincides with genome activation does not affect nucleosome density on DNA, but allows transcription factors to compete successfully for DNA binding. In agreement with this, transcription factor binding is se</w:instrText>
      </w:r>
      <w:r>
        <w:rPr>
          <w:rFonts w:ascii="Arial" w:eastAsia="Times New Roman" w:hAnsi="Arial" w:cs="Arial"/>
          <w:color w:val="000000"/>
          <w:lang w:val="en-US" w:eastAsia="de-DE"/>
        </w:rPr>
        <w:instrText>nsitive to histone levels and the concentration of transcription factors also affects the time of transcription. Our results demonstrate that the relative levels of histones and transcription factors regulate the onset of transcription in the embryo.&lt;/p&gt;",</w:instrText>
      </w:r>
      <w:r>
        <w:rPr>
          <w:rFonts w:ascii="Arial" w:eastAsia="Times New Roman" w:hAnsi="Arial" w:cs="Arial"/>
          <w:color w:val="000000"/>
          <w:lang w:val="en-US" w:eastAsia="de-DE"/>
        </w:rPr>
        <w:instrText>"author":[{"dropping-particle":"","family":"Joseph","given":"Shai R","non-dropping-particle":"","parse-names":false,"suffix":""},{"dropping-particle":"","family":"Pálfy","given":"Máté","non-dropping-particle":"","parse-names":false,"suffix":""},{"dropping-</w:instrText>
      </w:r>
      <w:r>
        <w:rPr>
          <w:rFonts w:ascii="Arial" w:eastAsia="Times New Roman" w:hAnsi="Arial" w:cs="Arial"/>
          <w:color w:val="000000"/>
          <w:lang w:val="en-US" w:eastAsia="de-DE"/>
        </w:rPr>
        <w:instrText>particle":"","family":"Hilbert","given":"Lennart","non-dropping-particle":"","parse-names":false,"suffix":""},{"dropping-particle":"","family":"Kumar","given":"Mukesh","non-dropping-particle":"","parse-names":false,"suffix":""},{"dropping-particle":"","fam</w:instrText>
      </w:r>
      <w:r>
        <w:rPr>
          <w:rFonts w:ascii="Arial" w:eastAsia="Times New Roman" w:hAnsi="Arial" w:cs="Arial"/>
          <w:color w:val="000000"/>
          <w:lang w:val="en-US" w:eastAsia="de-DE"/>
        </w:rPr>
        <w:instrText>ily":"Karschau","given":"Jens","non-dropping-particle":"","parse-names":false,"suffix":""},{"dropping-particle":"","family":"Zaburdaev","given":"Vasily","non-dropping-particle":"","parse-names":false,"suffix":""},{"dropping-particle":"","family":"Shevchenk</w:instrText>
      </w:r>
      <w:r>
        <w:rPr>
          <w:rFonts w:ascii="Arial" w:eastAsia="Times New Roman" w:hAnsi="Arial" w:cs="Arial"/>
          <w:color w:val="000000"/>
          <w:lang w:val="en-US" w:eastAsia="de-DE"/>
        </w:rPr>
        <w:instrText>o","given":"Andrej","non-dropping-particle":"","parse-names":false,"suffix":""},{"dropping-particle":"","family":"Vastenhouw","given":"Nadine L","non-dropping-particle":"","parse-names":false,"suffix":""}],"container-title":"eLife","id":"ITEM-1","issued":{</w:instrText>
      </w:r>
      <w:r>
        <w:rPr>
          <w:rFonts w:ascii="Arial" w:eastAsia="Times New Roman" w:hAnsi="Arial" w:cs="Arial"/>
          <w:color w:val="000000"/>
          <w:lang w:val="en-US" w:eastAsia="de-DE"/>
        </w:rPr>
        <w:instrText>"date-parts":[["2017","4","20"]]},"title":"Competition between histone and transcription factor binding regulates the onset of transcription in zebrafish embryos","type":"article-journal","volume":"6"},"uris":["http://www.mendeley.com/documents/?uuid=6d514</w:instrText>
      </w:r>
      <w:r>
        <w:rPr>
          <w:rFonts w:ascii="Arial" w:eastAsia="Times New Roman" w:hAnsi="Arial" w:cs="Arial"/>
          <w:color w:val="000000"/>
          <w:lang w:val="en-US" w:eastAsia="de-DE"/>
        </w:rPr>
        <w:instrText>9e8-35c2-3529-99fe-e2d32726b842"]}],"mendeley":{"formattedCitation":"&lt;sup&gt;199&lt;/sup&gt;","plainTextFormattedCitation":"199","previouslyFormattedCitation":"&lt;sup&gt;199&lt;/sup&gt;"},"properties":{"noteIndex":0},"schema":"https://github.com/citation-style-language/schema</w:instrText>
      </w:r>
      <w:r>
        <w:rPr>
          <w:rFonts w:ascii="Arial" w:eastAsia="Times New Roman" w:hAnsi="Arial" w:cs="Arial"/>
          <w:color w:val="000000"/>
          <w:lang w:val="en-US" w:eastAsia="de-DE"/>
        </w:rPr>
        <w:instrText>/raw/master/csl-citation.json"}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199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have been shown to play a role in ZGA timing in </w:t>
      </w:r>
      <w:r>
        <w:rPr>
          <w:rFonts w:ascii="Arial" w:eastAsia="Times New Roman" w:hAnsi="Arial" w:cs="Arial"/>
          <w:i/>
          <w:iCs/>
          <w:color w:val="000000"/>
          <w:lang w:val="en-US" w:eastAsia="de-DE"/>
        </w:rPr>
        <w:t>Xenopus</w:t>
      </w:r>
      <w:r>
        <w:rPr>
          <w:rFonts w:ascii="Arial" w:eastAsia="Times New Roman" w:hAnsi="Arial" w:cs="Arial"/>
          <w:color w:val="000000"/>
          <w:lang w:val="en-US" w:eastAsia="de-DE"/>
        </w:rPr>
        <w:t xml:space="preserve"> and zebrafish embryos, respectively. In addition, </w:t>
      </w:r>
      <w:r>
        <w:rPr>
          <w:rFonts w:ascii="Arial" w:eastAsia="Times New Roman" w:hAnsi="Arial" w:cs="Arial"/>
          <w:i/>
          <w:iCs/>
          <w:color w:val="000000"/>
          <w:lang w:val="en-US" w:eastAsia="de-DE"/>
        </w:rPr>
        <w:t>Xenopus</w:t>
      </w:r>
      <w:r>
        <w:rPr>
          <w:rFonts w:ascii="Arial" w:eastAsia="Times New Roman" w:hAnsi="Arial" w:cs="Arial"/>
          <w:color w:val="000000"/>
          <w:lang w:val="en-US" w:eastAsia="de-DE"/>
        </w:rPr>
        <w:t xml:space="preserve"> embryos have a cell size specific spatial distribution of blastomeres, where small cells are located at </w:t>
      </w:r>
      <w:r>
        <w:rPr>
          <w:rFonts w:ascii="Arial" w:eastAsia="Times New Roman" w:hAnsi="Arial" w:cs="Arial"/>
          <w:color w:val="000000"/>
          <w:lang w:val="en-US" w:eastAsia="de-DE"/>
        </w:rPr>
        <w:t>the animal pole while big cells are located on the vegetal pole. ZGA is first triggered in the small sized cells, then this activation wave gradually flows towards the other pole in a cell size dependent manner</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w:instrText>
      </w:r>
      <w:r>
        <w:rPr>
          <w:rFonts w:ascii="Arial" w:eastAsia="Times New Roman" w:hAnsi="Arial" w:cs="Arial"/>
          <w:color w:val="000000"/>
          <w:lang w:val="en-US" w:eastAsia="de-DE"/>
        </w:rPr>
        <w:instrText>EM-1","itemData":{"DOI":"10.1016/J.DEVCEL.2019.05.036","ISSN":"1878-1551","PMID":"31211992","abstract":"A defining feature of early embryogenesis is the transition from maternal to zygotic control. This transition requires embryo-wide zygotic genome activa</w:instrText>
      </w:r>
      <w:r>
        <w:rPr>
          <w:rFonts w:ascii="Arial" w:eastAsia="Times New Roman" w:hAnsi="Arial" w:cs="Arial"/>
          <w:color w:val="000000"/>
          <w:lang w:val="en-US" w:eastAsia="de-DE"/>
        </w:rPr>
        <w:instrText>tion (ZGA), but the extent of spatiotemporal coordination of ZGA between individual cells is unknown. Multiple interrelated parameters, including elapsed time, completed cycles of cell division, and cell size may impact ZGA onset; however, the principal de</w:instrText>
      </w:r>
      <w:r>
        <w:rPr>
          <w:rFonts w:ascii="Arial" w:eastAsia="Times New Roman" w:hAnsi="Arial" w:cs="Arial"/>
          <w:color w:val="000000"/>
          <w:lang w:val="en-US" w:eastAsia="de-DE"/>
        </w:rPr>
        <w:instrText xml:space="preserve">terminant of ZGA during vertebrate embryogenesis is debated. Here, we perform single-cell imaging of large-scale ZGA in whole-mount Xenopus embryos. We find a striking new spatiotemporal pattern of ZGA whose onset tightly correlates with cell size but not </w:instrText>
      </w:r>
      <w:r>
        <w:rPr>
          <w:rFonts w:ascii="Arial" w:eastAsia="Times New Roman" w:hAnsi="Arial" w:cs="Arial"/>
          <w:color w:val="000000"/>
          <w:lang w:val="en-US" w:eastAsia="de-DE"/>
        </w:rPr>
        <w:instrText>with elapsed time or number of cell divisions. Further, reducing cell size induces premature ZGA, dose dependently. We conclude that large-scale ZGA is not spatially uniform and that its onset is determined at the single-cell level, primarily by cell size.</w:instrText>
      </w:r>
      <w:r>
        <w:rPr>
          <w:rFonts w:ascii="Arial" w:eastAsia="Times New Roman" w:hAnsi="Arial" w:cs="Arial"/>
          <w:color w:val="000000"/>
          <w:lang w:val="en-US" w:eastAsia="de-DE"/>
        </w:rPr>
        <w:instrText xml:space="preserve"> Our study suggests that spatial patterns of ZGA onset may be a common feature of embryonic systems. Zygotic genome activation (ZGA) is a hallmark of early embryonic development. Chen et al. imaged nascent transcripts at the single-cell level in Xenopus wh</w:instrText>
      </w:r>
      <w:r>
        <w:rPr>
          <w:rFonts w:ascii="Arial" w:eastAsia="Times New Roman" w:hAnsi="Arial" w:cs="Arial"/>
          <w:color w:val="000000"/>
          <w:lang w:val="en-US" w:eastAsia="de-DE"/>
        </w:rPr>
        <w:instrText>ole-mount embryos, discovering a stereotypic spatiotemporal pattern of large-scale ZGA. This patterned ZGA onset is dependent on cells reaching a threshold size, not time or cell-cycle count.","author":[{"dropping-particle":"","family":"Chen","given":"Hui"</w:instrText>
      </w:r>
      <w:r>
        <w:rPr>
          <w:rFonts w:ascii="Arial" w:eastAsia="Times New Roman" w:hAnsi="Arial" w:cs="Arial"/>
          <w:color w:val="000000"/>
          <w:lang w:val="en-US" w:eastAsia="de-DE"/>
        </w:rPr>
        <w:instrText>,"non-dropping-particle":"","parse-names":false,"suffix":""},{"dropping-particle":"","family":"Einstein","given":"Lily C.","non-dropping-particle":"","parse-names":false,"suffix":""},{"dropping-particle":"","family":"Little","given":"Shawn C.","non-droppin</w:instrText>
      </w:r>
      <w:r>
        <w:rPr>
          <w:rFonts w:ascii="Arial" w:eastAsia="Times New Roman" w:hAnsi="Arial" w:cs="Arial"/>
          <w:color w:val="000000"/>
          <w:lang w:val="en-US" w:eastAsia="de-DE"/>
        </w:rPr>
        <w:instrText>g-particle":"","parse-names":false,"suffix":""},{"dropping-particle":"","family":"Good","given":"Matthew C.","non-dropping-particle":"","parse-names":false,"suffix":""}],"container-title":"Developmental cell","id":"ITEM-1","issue":"6","issued":{"date-parts</w:instrText>
      </w:r>
      <w:r>
        <w:rPr>
          <w:rFonts w:ascii="Arial" w:eastAsia="Times New Roman" w:hAnsi="Arial" w:cs="Arial"/>
          <w:color w:val="000000"/>
          <w:lang w:val="en-US" w:eastAsia="de-DE"/>
        </w:rPr>
        <w:instrText>":[["2019","6","17"]]},"page":"852-866.e7","publisher":"Dev Cell","title":"Spatiotemporal Patterning of Zygotic Genome Activation in a Model Vertebrate Embryo","type":"article-journal","volume":"49"},"uris":["http://www.mendeley.com/documents/?uuid=4eea0cb</w:instrText>
      </w:r>
      <w:r>
        <w:rPr>
          <w:rFonts w:ascii="Arial" w:eastAsia="Times New Roman" w:hAnsi="Arial" w:cs="Arial"/>
          <w:color w:val="000000"/>
          <w:lang w:val="en-US" w:eastAsia="de-DE"/>
        </w:rPr>
        <w:instrText>f-9237-3eb0-974a-2152206ea828"]}],"mendeley":{"formattedCitation":"&lt;sup&gt;203&lt;/sup&gt;","plainTextFormattedCitation":"203","previouslyFormattedCitation":"&lt;sup&gt;203&lt;/sup&gt;"},"properties":{"noteIndex":0},"schema":"https://github.com/citation-style-language/schema/r</w:instrText>
      </w:r>
      <w:r>
        <w:rPr>
          <w:rFonts w:ascii="Arial" w:eastAsia="Times New Roman" w:hAnsi="Arial" w:cs="Arial"/>
          <w:color w:val="000000"/>
          <w:lang w:val="en-US" w:eastAsia="de-DE"/>
        </w:rPr>
        <w:instrText>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203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(Fig. 5b).</w:t>
      </w:r>
    </w:p>
    <w:p w14:paraId="23231BDB"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5.2 Cell size impacts cellular differentiation  </w:t>
      </w:r>
    </w:p>
    <w:p w14:paraId="14F05DB4"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 xml:space="preserve">In addition to its importance for ZGA in early embryos, cell size also has been linked to cell differentiation. For example, an increase of the size of </w:t>
      </w:r>
      <w:r>
        <w:rPr>
          <w:rFonts w:ascii="Arial" w:eastAsia="Times New Roman" w:hAnsi="Arial" w:cs="Arial"/>
          <w:i/>
          <w:iCs/>
          <w:color w:val="000000"/>
          <w:lang w:val="en-US" w:eastAsia="de-DE"/>
        </w:rPr>
        <w:t>Arabidop</w:t>
      </w:r>
      <w:r>
        <w:rPr>
          <w:rFonts w:ascii="Arial" w:eastAsia="Times New Roman" w:hAnsi="Arial" w:cs="Arial"/>
          <w:i/>
          <w:iCs/>
          <w:color w:val="000000"/>
          <w:lang w:val="en-US" w:eastAsia="de-DE"/>
        </w:rPr>
        <w:t>sis</w:t>
      </w:r>
      <w:r>
        <w:rPr>
          <w:rFonts w:ascii="Arial" w:eastAsia="Times New Roman" w:hAnsi="Arial" w:cs="Arial"/>
          <w:color w:val="000000"/>
          <w:lang w:val="en-US" w:eastAsia="de-DE"/>
        </w:rPr>
        <w:t xml:space="preserve"> root meristems is essential for initiating differentiation, and consequently for root development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{"citationItems":[{"id":"ITEM-1","itemData":{"DOI":"10.15252/EMBJ.201899134","ISSN":"1460-2075","PMID":"30012836","abstract":"In multice</w:instrText>
      </w:r>
      <w:r>
        <w:rPr>
          <w:rFonts w:ascii="Arial" w:eastAsia="Times New Roman" w:hAnsi="Arial" w:cs="Arial"/>
          <w:color w:val="000000"/>
          <w:lang w:val="en-US" w:eastAsia="de-DE"/>
        </w:rPr>
        <w:instrText>llular systems, the control of cell size is fundamental in regulating the development and growth of the different organs and of the whole organism. In most systems, major changes in cell size can be observed during differentiation processes where cells cha</w:instrText>
      </w:r>
      <w:r>
        <w:rPr>
          <w:rFonts w:ascii="Arial" w:eastAsia="Times New Roman" w:hAnsi="Arial" w:cs="Arial"/>
          <w:color w:val="000000"/>
          <w:lang w:val="en-US" w:eastAsia="de-DE"/>
        </w:rPr>
        <w:instrText>nge their volume to adapt their shape to their final function. How relevant changes in cell volume are in driving the differentiation program is a long-standing fundamental question in developmental biology. In the Arabidopsis root meristem, characteristic</w:instrText>
      </w:r>
      <w:r>
        <w:rPr>
          <w:rFonts w:ascii="Arial" w:eastAsia="Times New Roman" w:hAnsi="Arial" w:cs="Arial"/>
          <w:color w:val="000000"/>
          <w:lang w:val="en-US" w:eastAsia="de-DE"/>
        </w:rPr>
        <w:instrText xml:space="preserve"> changes in the size of the distal meristematic cells identify cells that initiated the differentiation program. Here, we show that changes in cell size are essential for the initial steps of cell differentiation and that these changes depend on the concom</w:instrText>
      </w:r>
      <w:r>
        <w:rPr>
          <w:rFonts w:ascii="Arial" w:eastAsia="Times New Roman" w:hAnsi="Arial" w:cs="Arial"/>
          <w:color w:val="000000"/>
          <w:lang w:val="en-US" w:eastAsia="de-DE"/>
        </w:rPr>
        <w:instrText>itant activation by the plant hormone cytokinin of the EXPAs proteins and the AHA1 and AHA2 proton pumps. These findings identify a growth module that builds on a synergy between cytokinin-dependent pH modification and wall remodeling to drive differentiat</w:instrText>
      </w:r>
      <w:r>
        <w:rPr>
          <w:rFonts w:ascii="Arial" w:eastAsia="Times New Roman" w:hAnsi="Arial" w:cs="Arial"/>
          <w:color w:val="000000"/>
          <w:lang w:val="en-US" w:eastAsia="de-DE"/>
        </w:rPr>
        <w:instrText>ion through the mechanical control of cell walls.","author":[{"dropping-particle":"","family":"Pacifici","given":"Elena","non-dropping-particle":"","parse-names":false,"suffix":""},{"dropping-particle":"Di","family":"Mambro","given":"Riccardo","non-droppin</w:instrText>
      </w:r>
      <w:r>
        <w:rPr>
          <w:rFonts w:ascii="Arial" w:eastAsia="Times New Roman" w:hAnsi="Arial" w:cs="Arial"/>
          <w:color w:val="000000"/>
          <w:lang w:val="en-US" w:eastAsia="de-DE"/>
        </w:rPr>
        <w:instrText>g-particle":"","parse-names":false,"suffix":""},{"dropping-particle":"Dello","family":"Ioio","given":"Raffaele","non-dropping-particle":"","parse-names":false,"suffix":""},{"dropping-particle":"","family":"Costantino","given":"Paolo","non-dropping-particle</w:instrText>
      </w:r>
      <w:r>
        <w:rPr>
          <w:rFonts w:ascii="Arial" w:eastAsia="Times New Roman" w:hAnsi="Arial" w:cs="Arial"/>
          <w:color w:val="000000"/>
          <w:lang w:val="en-US" w:eastAsia="de-DE"/>
        </w:rPr>
        <w:instrText>":"","parse-names":false,"suffix":""},{"dropping-particle":"","family":"Sabatini","given":"Sabrina","non-dropping-particle":"","parse-names":false,"suffix":""}],"container-title":"The EMBO Journal","id":"ITEM-1","issue":"16","issued":{"date-parts":[["2018"</w:instrText>
      </w:r>
      <w:r>
        <w:rPr>
          <w:rFonts w:ascii="Arial" w:eastAsia="Times New Roman" w:hAnsi="Arial" w:cs="Arial"/>
          <w:color w:val="000000"/>
          <w:lang w:val="en-US" w:eastAsia="de-DE"/>
        </w:rPr>
        <w:instrText>,"8","15"]]},"page":"e99134","publisher":"John Wiley &amp; Sons, Ltd","title":"Acidic cell elongation drives cell differentiation in the Arabidopsis root","type":"article-journal","volume":"37"},"uris":["http://www.mendeley.com/documents/?uuid=fd4ba36b-99df-37</w:instrText>
      </w:r>
      <w:r>
        <w:rPr>
          <w:rFonts w:ascii="Arial" w:eastAsia="Times New Roman" w:hAnsi="Arial" w:cs="Arial"/>
          <w:color w:val="000000"/>
          <w:lang w:val="en-US" w:eastAsia="de-DE"/>
        </w:rPr>
        <w:instrText>9c-acf9-32cbe8b49ed6"]}],"mendeley":{"formattedCitation":"&lt;sup&gt;204&lt;/sup&gt;","plainTextFormattedCitation":"204","previouslyFormattedCitation":"&lt;sup&gt;204&lt;/sup&gt;"},"properties":{"noteIndex":0},"schema":"https://github.com/citation-style-language/schema/raw/master</w:instrText>
      </w:r>
      <w:r>
        <w:rPr>
          <w:rFonts w:ascii="Arial" w:eastAsia="Times New Roman" w:hAnsi="Arial" w:cs="Arial"/>
          <w:color w:val="000000"/>
          <w:lang w:val="en-US" w:eastAsia="de-DE"/>
        </w:rPr>
        <w:instrText>/csl-citation.json"}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204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Moreover, the fate of murine bone marrow mesenchymal stem cells (</w:t>
      </w:r>
      <w:proofErr w:type="spellStart"/>
      <w:r>
        <w:rPr>
          <w:rFonts w:ascii="Arial" w:eastAsia="Times New Roman" w:hAnsi="Arial" w:cs="Arial"/>
          <w:color w:val="000000"/>
          <w:lang w:val="en-US" w:eastAsia="de-DE"/>
        </w:rPr>
        <w:t>mMSCs</w:t>
      </w:r>
      <w:proofErr w:type="spellEnd"/>
      <w:r>
        <w:rPr>
          <w:rFonts w:ascii="Arial" w:eastAsia="Times New Roman" w:hAnsi="Arial" w:cs="Arial"/>
          <w:color w:val="000000"/>
          <w:lang w:val="en-US" w:eastAsia="de-DE"/>
        </w:rPr>
        <w:t>) can be manipulated by cell volume changes induced through osmotic perturbations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w:instrText>
      </w:r>
      <w:r>
        <w:rPr>
          <w:rFonts w:ascii="Arial" w:eastAsia="Times New Roman" w:hAnsi="Arial" w:cs="Arial"/>
          <w:color w:val="000000"/>
          <w:lang w:val="en-US" w:eastAsia="de-DE"/>
        </w:rPr>
        <w:instrText>3/PNAS.1705179114/SUPPL_FILE/PNAS.1705179114.SM01.WMV","ISSN":"10916490","PMID":"28973866","abstract":"Cells alter their mechanical properties in response to their local microenvironment; this plays a role in determining cell function and can even influenc</w:instrText>
      </w:r>
      <w:r>
        <w:rPr>
          <w:rFonts w:ascii="Arial" w:eastAsia="Times New Roman" w:hAnsi="Arial" w:cs="Arial"/>
          <w:color w:val="000000"/>
          <w:lang w:val="en-US" w:eastAsia="de-DE"/>
        </w:rPr>
        <w:instrText>e stem cell fate. Here, we identify a robust and unified relationship between cell stiffness and cell volume. As a cell spreads on a substrate, its volume decreases, while its stiffness concomitantly increases. We find that both cortical and cytoplasmic ce</w:instrText>
      </w:r>
      <w:r>
        <w:rPr>
          <w:rFonts w:ascii="Arial" w:eastAsia="Times New Roman" w:hAnsi="Arial" w:cs="Arial"/>
          <w:color w:val="000000"/>
          <w:lang w:val="en-US" w:eastAsia="de-DE"/>
        </w:rPr>
        <w:instrText>ll stiffness scale with volume for numerous perturbations, including varying substrate stiffness, cell spread area, and external osmotic pressure. The reduction of cell volume is a result of water efflux, which leads to a corresponding increase in intracel</w:instrText>
      </w:r>
      <w:r>
        <w:rPr>
          <w:rFonts w:ascii="Arial" w:eastAsia="Times New Roman" w:hAnsi="Arial" w:cs="Arial"/>
          <w:color w:val="000000"/>
          <w:lang w:val="en-US" w:eastAsia="de-DE"/>
        </w:rPr>
        <w:instrText>lular molecular crowding. Furthermore, we find that changes in cell volume, and hence stiffness, alter stem-cell differentiation, regardless of the method by which these are induced. These observations reveal a surprising, previously unidentified relations</w:instrText>
      </w:r>
      <w:r>
        <w:rPr>
          <w:rFonts w:ascii="Arial" w:eastAsia="Times New Roman" w:hAnsi="Arial" w:cs="Arial"/>
          <w:color w:val="000000"/>
          <w:lang w:val="en-US" w:eastAsia="de-DE"/>
        </w:rPr>
        <w:instrText>hip between cell stiffness and cell volume that strongly influences cell biology.","author":[{"dropping-particle":"","family":"Guo","given":"Ming","non-dropping-particle":"","parse-names":false,"suffix":""},{"dropping-particle":"","family":"Pegoraro","give</w:instrText>
      </w:r>
      <w:r>
        <w:rPr>
          <w:rFonts w:ascii="Arial" w:eastAsia="Times New Roman" w:hAnsi="Arial" w:cs="Arial"/>
          <w:color w:val="000000"/>
          <w:lang w:val="en-US" w:eastAsia="de-DE"/>
        </w:rPr>
        <w:instrText>n":"Adrian F.","non-dropping-particle":"","parse-names":false,"suffix":""},{"dropping-particle":"","family":"Mao","given":"Angelo","non-dropping-particle":"","parse-names":false,"suffix":""},{"dropping-particle":"","family":"Zhou","given":"Enhua H.","non-d</w:instrText>
      </w:r>
      <w:r>
        <w:rPr>
          <w:rFonts w:ascii="Arial" w:eastAsia="Times New Roman" w:hAnsi="Arial" w:cs="Arial"/>
          <w:color w:val="000000"/>
          <w:lang w:val="en-US" w:eastAsia="de-DE"/>
        </w:rPr>
        <w:instrText>ropping-particle":"","parse-names":false,"suffix":""},{"dropping-particle":"","family":"Arany","given":"Praveen R.","non-dropping-particle":"","parse-names":false,"suffix":""},{"dropping-particle":"","family":"Han","given":"Yulong","non-dropping-particle":</w:instrText>
      </w:r>
      <w:r>
        <w:rPr>
          <w:rFonts w:ascii="Arial" w:eastAsia="Times New Roman" w:hAnsi="Arial" w:cs="Arial"/>
          <w:color w:val="000000"/>
          <w:lang w:val="en-US" w:eastAsia="de-DE"/>
        </w:rPr>
        <w:instrText>"","parse-names":false,"suffix":""},{"dropping-particle":"","family":"Burnette","given":"Dylan T.","non-dropping-particle":"","parse-names":false,"suffix":""},{"dropping-particle":"","family":"Jensen","given":"Mikkel H.","non-dropping-particle":"","parse-n</w:instrText>
      </w:r>
      <w:r>
        <w:rPr>
          <w:rFonts w:ascii="Arial" w:eastAsia="Times New Roman" w:hAnsi="Arial" w:cs="Arial"/>
          <w:color w:val="000000"/>
          <w:lang w:val="en-US" w:eastAsia="de-DE"/>
        </w:rPr>
        <w:instrText>ames":false,"suffix":""},{"dropping-particle":"","family":"Kasza","given":"Karen E.","non-dropping-particle":"","parse-names":false,"suffix":""},{"dropping-particle":"","family":"Moore","given":"Jeffrey R.","non-dropping-particle":"","parse-names":false,"s</w:instrText>
      </w:r>
      <w:r>
        <w:rPr>
          <w:rFonts w:ascii="Arial" w:eastAsia="Times New Roman" w:hAnsi="Arial" w:cs="Arial"/>
          <w:color w:val="000000"/>
          <w:lang w:val="en-US" w:eastAsia="de-DE"/>
        </w:rPr>
        <w:instrText>uffix":""},{"dropping-particle":"","family":"Mackintosh","given":"Frederick C.","non-dropping-particle":"","parse-names":false,"suffix":""},{"dropping-particle":"","family":"Fredberg","given":"Jeffrey J.","non-dropping-particle":"","parse-names":false,"suf</w:instrText>
      </w:r>
      <w:r>
        <w:rPr>
          <w:rFonts w:ascii="Arial" w:eastAsia="Times New Roman" w:hAnsi="Arial" w:cs="Arial"/>
          <w:color w:val="000000"/>
          <w:lang w:val="en-US" w:eastAsia="de-DE"/>
        </w:rPr>
        <w:instrText>fix":""},{"dropping-particle":"","family":"Mooney","given":"David J.","non-dropping-particle":"","parse-names":false,"suffix":""},{"dropping-particle":"","family":"Lippincott-Schwartz","given":"Jennifer","non-dropping-particle":"","parse-names":false,"suff</w:instrText>
      </w:r>
      <w:r>
        <w:rPr>
          <w:rFonts w:ascii="Arial" w:eastAsia="Times New Roman" w:hAnsi="Arial" w:cs="Arial"/>
          <w:color w:val="000000"/>
          <w:lang w:val="en-US" w:eastAsia="de-DE"/>
        </w:rPr>
        <w:instrText>ix":""},{"dropping-particle":"","family":"Weitz","given":"David A.","non-dropping-particle":"","parse-names":false,"suffix":""}],"container-title":"Proceedings of the National Academy of Sciences of the United States of America","id":"ITEM-1","issue":"41",</w:instrText>
      </w:r>
      <w:r>
        <w:rPr>
          <w:rFonts w:ascii="Arial" w:eastAsia="Times New Roman" w:hAnsi="Arial" w:cs="Arial"/>
          <w:color w:val="000000"/>
          <w:lang w:val="en-US" w:eastAsia="de-DE"/>
        </w:rPr>
        <w:instrText>"issued":{"date-parts":[["2017","10","10"]]},"page":"E8618-E8627","publisher":"National Academy of Sciences","title":"Cell volume change through water efflux impacts cell stiffness and stem cell fate","type":"article-journal","volume":"114"},"uris":["http:</w:instrText>
      </w:r>
      <w:r>
        <w:rPr>
          <w:rFonts w:ascii="Arial" w:eastAsia="Times New Roman" w:hAnsi="Arial" w:cs="Arial"/>
          <w:color w:val="000000"/>
          <w:lang w:val="en-US" w:eastAsia="de-DE"/>
        </w:rPr>
        <w:instrText>//www.mendeley.com/documents/?uuid=c36f651f-690a-3eef-98ae-63225ff040c9"]}],"mendeley":{"formattedCitation":"&lt;sup&gt;205&lt;/sup&gt;","plainTextFormattedCitation":"205","previouslyFormattedCitation":"&lt;sup&gt;205&lt;/sup&gt;"},"properties":{"noteIndex":0},"schema":"https://g</w:instrText>
      </w:r>
      <w:r>
        <w:rPr>
          <w:rFonts w:ascii="Arial" w:eastAsia="Times New Roman" w:hAnsi="Arial" w:cs="Arial"/>
          <w:color w:val="000000"/>
          <w:lang w:val="en-US" w:eastAsia="de-DE"/>
        </w:rPr>
        <w:instrText>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205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In hypoosmotic conditions, </w:t>
      </w:r>
      <w:proofErr w:type="spellStart"/>
      <w:r>
        <w:rPr>
          <w:rFonts w:ascii="Arial" w:eastAsia="Times New Roman" w:hAnsi="Arial" w:cs="Arial"/>
          <w:color w:val="000000"/>
          <w:lang w:val="en-US" w:eastAsia="de-DE"/>
        </w:rPr>
        <w:t>mMSCs</w:t>
      </w:r>
      <w:proofErr w:type="spellEnd"/>
      <w:r>
        <w:rPr>
          <w:rFonts w:ascii="Arial" w:eastAsia="Times New Roman" w:hAnsi="Arial" w:cs="Arial"/>
          <w:color w:val="000000"/>
          <w:lang w:val="en-US" w:eastAsia="de-DE"/>
        </w:rPr>
        <w:t xml:space="preserve"> increased in volume and differentiated into adipocytes. By contrast, in hyperosmotic conditions, </w:t>
      </w:r>
      <w:proofErr w:type="spellStart"/>
      <w:r>
        <w:rPr>
          <w:rFonts w:ascii="Arial" w:eastAsia="Times New Roman" w:hAnsi="Arial" w:cs="Arial"/>
          <w:color w:val="000000"/>
          <w:lang w:val="en-US" w:eastAsia="de-DE"/>
        </w:rPr>
        <w:t>mMSCs</w:t>
      </w:r>
      <w:proofErr w:type="spellEnd"/>
      <w:r>
        <w:rPr>
          <w:rFonts w:ascii="Arial" w:eastAsia="Times New Roman" w:hAnsi="Arial" w:cs="Arial"/>
          <w:color w:val="000000"/>
          <w:lang w:val="en-US" w:eastAsia="de-DE"/>
        </w:rPr>
        <w:t xml:space="preserve"> decreased in volume and differentiated in</w:t>
      </w:r>
      <w:r>
        <w:rPr>
          <w:rFonts w:ascii="Arial" w:eastAsia="Times New Roman" w:hAnsi="Arial" w:cs="Arial"/>
          <w:color w:val="000000"/>
          <w:lang w:val="en-US" w:eastAsia="de-DE"/>
        </w:rPr>
        <w:t>to osteocytes. However, it is still unclear to what extent this is explained by cell volume dependent density changes, or other downstream effects of osmotic stress.</w:t>
      </w:r>
    </w:p>
    <w:p w14:paraId="64477E42" w14:textId="77777777" w:rsidR="00066D11" w:rsidRDefault="00E55468">
      <w:pPr>
        <w:spacing w:before="240" w:after="240" w:line="240" w:lineRule="auto"/>
        <w:jc w:val="center"/>
      </w:pPr>
      <w:r>
        <w:rPr>
          <w:noProof/>
          <w:lang w:eastAsia="de-DE"/>
        </w:rPr>
        <w:lastRenderedPageBreak/>
        <w:drawing>
          <wp:inline distT="0" distB="0" distL="0" distR="0" wp14:anchorId="1CC4DFB1" wp14:editId="47C64F49">
            <wp:extent cx="5731510" cy="8106410"/>
            <wp:effectExtent l="0" t="0" r="2540" b="8890"/>
            <wp:docPr id="468299997" name="Picture 6" descr="A diagram of a cell di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99997" name="Picture 6" descr="A diagram of a cell division&#10;&#10;Description automatically generated"/>
                    <pic:cNvPicPr/>
                  </pic:nvPicPr>
                  <pic:blipFill>
                    <a:blip r:embed="rId13"/>
                    <a:stretch>
                      <a:fillRect/>
                    </a:stretch>
                  </pic:blipFill>
                  <pic:spPr>
                    <a:xfrm>
                      <a:off x="0" y="0"/>
                      <a:ext cx="5731510" cy="8106410"/>
                    </a:xfrm>
                    <a:prstGeom prst="rect">
                      <a:avLst/>
                    </a:prstGeom>
                  </pic:spPr>
                </pic:pic>
              </a:graphicData>
            </a:graphic>
          </wp:inline>
        </w:drawing>
      </w:r>
    </w:p>
    <w:p w14:paraId="25C388D6" w14:textId="77777777" w:rsidR="00066D11" w:rsidRDefault="00E55468">
      <w:pPr>
        <w:spacing w:before="240" w:after="240" w:line="240" w:lineRule="auto"/>
        <w:jc w:val="both"/>
        <w:rPr>
          <w:rFonts w:ascii="Arial" w:eastAsia="Times New Roman" w:hAnsi="Arial" w:cs="Arial"/>
          <w:i/>
          <w:iCs/>
          <w:color w:val="FF0000"/>
          <w:lang w:val="en-US" w:eastAsia="de-DE"/>
        </w:rPr>
      </w:pPr>
      <w:r>
        <w:rPr>
          <w:rFonts w:ascii="Arial" w:eastAsia="Times New Roman" w:hAnsi="Arial" w:cs="Arial"/>
          <w:b/>
          <w:bCs/>
          <w:i/>
          <w:iCs/>
          <w:color w:val="000000"/>
          <w:lang w:val="en-US" w:eastAsia="de-DE"/>
        </w:rPr>
        <w:t xml:space="preserve">Fig. 5: </w:t>
      </w:r>
      <w:r>
        <w:rPr>
          <w:rFonts w:ascii="Arial" w:eastAsia="Times New Roman" w:hAnsi="Arial" w:cs="Arial"/>
          <w:i/>
          <w:iCs/>
          <w:color w:val="000000"/>
          <w:lang w:val="en-US" w:eastAsia="de-DE"/>
        </w:rPr>
        <w:t xml:space="preserve">Cell size acts as a regulator of embryonic development and differentiation. a) In fish, fly, and frog embryos, zygotic genome activation (ZGA) and </w:t>
      </w:r>
      <w:proofErr w:type="spellStart"/>
      <w:r>
        <w:rPr>
          <w:rFonts w:ascii="Arial" w:eastAsia="Times New Roman" w:hAnsi="Arial" w:cs="Arial"/>
          <w:i/>
          <w:iCs/>
          <w:color w:val="000000"/>
          <w:lang w:val="en-US" w:eastAsia="de-DE"/>
        </w:rPr>
        <w:t>midblastula</w:t>
      </w:r>
      <w:proofErr w:type="spellEnd"/>
      <w:r>
        <w:rPr>
          <w:rFonts w:ascii="Arial" w:eastAsia="Times New Roman" w:hAnsi="Arial" w:cs="Arial"/>
          <w:i/>
          <w:iCs/>
          <w:color w:val="000000"/>
          <w:lang w:val="en-US" w:eastAsia="de-DE"/>
        </w:rPr>
        <w:t xml:space="preserve"> transition (MBT) depend on an increasing DNA-to-cytoplasm ratio. b) During the multiple cleavage </w:t>
      </w:r>
      <w:r>
        <w:rPr>
          <w:rFonts w:ascii="Arial" w:eastAsia="Times New Roman" w:hAnsi="Arial" w:cs="Arial"/>
          <w:i/>
          <w:iCs/>
          <w:color w:val="000000"/>
          <w:lang w:val="en-US" w:eastAsia="de-DE"/>
        </w:rPr>
        <w:t xml:space="preserve">divisions, </w:t>
      </w:r>
      <w:r>
        <w:rPr>
          <w:rFonts w:ascii="Arial" w:eastAsia="Times New Roman" w:hAnsi="Arial" w:cs="Arial"/>
          <w:i/>
          <w:iCs/>
          <w:color w:val="000000"/>
          <w:lang w:val="en-US" w:eastAsia="de-DE"/>
        </w:rPr>
        <w:lastRenderedPageBreak/>
        <w:t xml:space="preserve">repressors of ZGA and MBT are titrated against exponentially increasing DNA concentrations. Consequently, the spatial gradient of cell size in Xenopus embryos leads to a dependence of ZGA timing on cell position in the embryo. c) </w:t>
      </w:r>
      <w:r>
        <w:rPr>
          <w:rFonts w:ascii="Arial" w:hAnsi="Arial" w:cs="Arial"/>
          <w:i/>
          <w:iCs/>
          <w:color w:val="1D1C1D"/>
          <w:shd w:val="clear" w:color="auto" w:fill="F8F8F8"/>
          <w:lang w:val="en-US"/>
        </w:rPr>
        <w:t>Cell size is li</w:t>
      </w:r>
      <w:r>
        <w:rPr>
          <w:rFonts w:ascii="Arial" w:hAnsi="Arial" w:cs="Arial"/>
          <w:i/>
          <w:iCs/>
          <w:color w:val="1D1C1D"/>
          <w:shd w:val="clear" w:color="auto" w:fill="F8F8F8"/>
          <w:lang w:val="en-US"/>
        </w:rPr>
        <w:t xml:space="preserve">nked to cell fate specification in Volvox </w:t>
      </w:r>
      <w:proofErr w:type="spellStart"/>
      <w:r>
        <w:rPr>
          <w:rFonts w:ascii="Arial" w:eastAsia="Times New Roman" w:hAnsi="Arial" w:cs="Arial"/>
          <w:i/>
          <w:iCs/>
          <w:color w:val="000000" w:themeColor="text1"/>
          <w:lang w:val="en-US" w:eastAsia="de-DE"/>
        </w:rPr>
        <w:t>carteri</w:t>
      </w:r>
      <w:proofErr w:type="spellEnd"/>
      <w:r>
        <w:rPr>
          <w:rFonts w:ascii="Arial" w:hAnsi="Arial" w:cs="Arial"/>
          <w:i/>
          <w:iCs/>
          <w:color w:val="1D1C1D"/>
          <w:shd w:val="clear" w:color="auto" w:fill="F8F8F8"/>
          <w:lang w:val="en-US"/>
        </w:rPr>
        <w:t xml:space="preserve"> embryos. d) Asymmetric divisions in Caenorhabditis elegans embryos lead to a successive decrease in cell size and a change in the polarization of PAR proteins in the P lineage. When cell size decreases belo</w:t>
      </w:r>
      <w:r>
        <w:rPr>
          <w:rFonts w:ascii="Arial" w:hAnsi="Arial" w:cs="Arial"/>
          <w:i/>
          <w:iCs/>
          <w:color w:val="1D1C1D"/>
          <w:shd w:val="clear" w:color="auto" w:fill="F8F8F8"/>
          <w:lang w:val="en-US"/>
        </w:rPr>
        <w:t>w a certain threshold, PAR polarization is disrupted, which triggers symmetric divisions and germline fate specification.</w:t>
      </w:r>
    </w:p>
    <w:p w14:paraId="596551EE"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While correct regulation of stem cell size is important for differentiation, cell size can also act as a regulatory input for the unde</w:t>
      </w:r>
      <w:r>
        <w:rPr>
          <w:rFonts w:ascii="Arial" w:eastAsia="Times New Roman" w:hAnsi="Arial" w:cs="Arial"/>
          <w:color w:val="000000" w:themeColor="text1"/>
          <w:lang w:val="en-US" w:eastAsia="de-DE"/>
        </w:rPr>
        <w:t xml:space="preserve">rlying cell fate decisions. One intriguing example is </w:t>
      </w:r>
      <w:r>
        <w:rPr>
          <w:rFonts w:ascii="Arial" w:eastAsia="Times New Roman" w:hAnsi="Arial" w:cs="Arial"/>
          <w:i/>
          <w:iCs/>
          <w:color w:val="000000" w:themeColor="text1"/>
          <w:lang w:val="en-US" w:eastAsia="de-DE"/>
        </w:rPr>
        <w:t xml:space="preserve">Volvox </w:t>
      </w:r>
      <w:proofErr w:type="spellStart"/>
      <w:r>
        <w:rPr>
          <w:rFonts w:ascii="Arial" w:eastAsia="Times New Roman" w:hAnsi="Arial" w:cs="Arial"/>
          <w:i/>
          <w:iCs/>
          <w:color w:val="000000" w:themeColor="text1"/>
          <w:lang w:val="en-US" w:eastAsia="de-DE"/>
        </w:rPr>
        <w:t>carteri</w:t>
      </w:r>
      <w:proofErr w:type="spellEnd"/>
      <w:r>
        <w:rPr>
          <w:rFonts w:ascii="Arial" w:eastAsia="Times New Roman" w:hAnsi="Arial" w:cs="Arial"/>
          <w:color w:val="000000" w:themeColor="text1"/>
          <w:lang w:val="en-US" w:eastAsia="de-DE"/>
        </w:rPr>
        <w:t>, a green alga and probably one of the simplest multicellular species. It consists of just two cell types, the small somatic and the large reproductive cells (gonidia). During embryogenesi</w:t>
      </w:r>
      <w:r>
        <w:rPr>
          <w:rFonts w:ascii="Arial" w:eastAsia="Times New Roman" w:hAnsi="Arial" w:cs="Arial"/>
          <w:color w:val="000000" w:themeColor="text1"/>
          <w:lang w:val="en-US" w:eastAsia="de-DE"/>
        </w:rPr>
        <w:t xml:space="preserve">s, </w:t>
      </w:r>
      <w:r>
        <w:rPr>
          <w:rFonts w:ascii="Arial" w:eastAsia="Times New Roman" w:hAnsi="Arial" w:cs="Arial"/>
          <w:i/>
          <w:iCs/>
          <w:color w:val="000000" w:themeColor="text1"/>
          <w:lang w:val="en-US" w:eastAsia="de-DE"/>
        </w:rPr>
        <w:t xml:space="preserve">Volvox </w:t>
      </w:r>
      <w:proofErr w:type="spellStart"/>
      <w:r>
        <w:rPr>
          <w:rFonts w:ascii="Arial" w:eastAsia="Times New Roman" w:hAnsi="Arial" w:cs="Arial"/>
          <w:i/>
          <w:iCs/>
          <w:color w:val="000000" w:themeColor="text1"/>
          <w:lang w:val="en-US" w:eastAsia="de-DE"/>
        </w:rPr>
        <w:t>carteri</w:t>
      </w:r>
      <w:proofErr w:type="spellEnd"/>
      <w:r>
        <w:rPr>
          <w:rFonts w:ascii="Arial" w:eastAsia="Times New Roman" w:hAnsi="Arial" w:cs="Arial"/>
          <w:i/>
          <w:iCs/>
          <w:color w:val="000000" w:themeColor="text1"/>
          <w:lang w:val="en-US" w:eastAsia="de-DE"/>
        </w:rPr>
        <w:t xml:space="preserve"> </w:t>
      </w:r>
      <w:r>
        <w:rPr>
          <w:rFonts w:ascii="Arial" w:eastAsia="Times New Roman" w:hAnsi="Arial" w:cs="Arial"/>
          <w:color w:val="000000" w:themeColor="text1"/>
          <w:lang w:val="en-US" w:eastAsia="de-DE"/>
        </w:rPr>
        <w:t>undergoes asymmetric divisions, leading to cell size dependent differentiation</w:t>
      </w:r>
      <w:r>
        <w:rPr>
          <w:rFonts w:ascii="Arial" w:eastAsia="Times New Roman" w:hAnsi="Arial" w:cs="Arial"/>
          <w:lang w:val="en-US" w:eastAsia="de-DE"/>
        </w:rPr>
        <w:t xml:space="preserve"> (Fig. 5c</w:t>
      </w:r>
      <w:r>
        <w:rPr>
          <w:rFonts w:ascii="Arial" w:eastAsia="Times New Roman" w:hAnsi="Arial" w:cs="Arial"/>
          <w:color w:val="000000" w:themeColor="text1"/>
          <w:lang w:val="en-US" w:eastAsia="de-DE"/>
        </w:rPr>
        <w:t>). Cells bigger than a threshold size become gonidia, whereas the smaller cells differentiate into somatic cells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w:instrText>
      </w:r>
      <w:r>
        <w:rPr>
          <w:rFonts w:ascii="Arial" w:eastAsia="Times New Roman" w:hAnsi="Arial" w:cs="Arial"/>
          <w:color w:val="000000" w:themeColor="text1"/>
          <w:lang w:val="en-US" w:eastAsia="de-DE"/>
        </w:rPr>
        <w:instrText>id":"ITEM-1","itemData":{"DOI":"10.1083/JCB.123.1.191","ISSN":"0021-9525","PMID":"8408198","abstract":"In Volvox carteri development, visibly asymmetric cleavage divisions set apart large embryonic cells that will become asexual reproductive cells (gonidia</w:instrText>
      </w:r>
      <w:r>
        <w:rPr>
          <w:rFonts w:ascii="Arial" w:eastAsia="Times New Roman" w:hAnsi="Arial" w:cs="Arial"/>
          <w:color w:val="000000" w:themeColor="text1"/>
          <w:lang w:val="en-US" w:eastAsia="de-DE"/>
        </w:rPr>
        <w:instrText>) from smaller cells that will produce terminally differentiated somatic cells. Three mechanisms have been proposed to explain how asymmetric division leads to cell specification in Volvox: (a) by a direct effect of cell size (or a property derived from it</w:instrText>
      </w:r>
      <w:r>
        <w:rPr>
          <w:rFonts w:ascii="Arial" w:eastAsia="Times New Roman" w:hAnsi="Arial" w:cs="Arial"/>
          <w:color w:val="000000" w:themeColor="text1"/>
          <w:lang w:val="en-US" w:eastAsia="de-DE"/>
        </w:rPr>
        <w:instrText>) on cell specification, (b) by segregation of a cytoplasmic factor resembling germ plasm into large cells, and (c) by a combined effect of differences in cytoplasmic quality and cytoplasmic quantity. In this study a variety of V. carteri embryos with gene</w:instrText>
      </w:r>
      <w:r>
        <w:rPr>
          <w:rFonts w:ascii="Arial" w:eastAsia="Times New Roman" w:hAnsi="Arial" w:cs="Arial"/>
          <w:color w:val="000000" w:themeColor="text1"/>
          <w:lang w:val="en-US" w:eastAsia="de-DE"/>
        </w:rPr>
        <w:instrText>tically and experimentally altered patterns of development were examined in an attempt to distinguish among these hypotheses. No evidence was found for regionally specialized cytoplasm that is essential for gonidial specification. In all cases studied, cel</w:instrText>
      </w:r>
      <w:r>
        <w:rPr>
          <w:rFonts w:ascii="Arial" w:eastAsia="Times New Roman" w:hAnsi="Arial" w:cs="Arial"/>
          <w:color w:val="000000" w:themeColor="text1"/>
          <w:lang w:val="en-US" w:eastAsia="de-DE"/>
        </w:rPr>
        <w:instrText>ls with a diameter &gt; ~8 μm at the end of cleavage-no matter where or how these cells had been produced in the embryo-developed as gonidia. Instructive observations in this regard were obtained by three different experimental interventions. (a) When heat sh</w:instrText>
      </w:r>
      <w:r>
        <w:rPr>
          <w:rFonts w:ascii="Arial" w:eastAsia="Times New Roman" w:hAnsi="Arial" w:cs="Arial"/>
          <w:color w:val="000000" w:themeColor="text1"/>
          <w:lang w:val="en-US" w:eastAsia="de-DE"/>
        </w:rPr>
        <w:instrText xml:space="preserve">ock was used to interrupt cleavage prematurely, so that presumptive somatic cells were left much larger than they normally would be at the end of cleavage, most cells differentiated as gonidia. This result was obtained both with wild-type embryos that had </w:instrText>
      </w:r>
      <w:r>
        <w:rPr>
          <w:rFonts w:ascii="Arial" w:eastAsia="Times New Roman" w:hAnsi="Arial" w:cs="Arial"/>
          <w:color w:val="000000" w:themeColor="text1"/>
          <w:lang w:val="en-US" w:eastAsia="de-DE"/>
        </w:rPr>
        <w:instrText>already divided asymmetrically (and should have segregated any cytoplasmic determinants involved in cell specification) and with embryos of a mutant that normally produces only somatic cells. (b) When individual wild-type blastomeres were isolated at the 1</w:instrText>
      </w:r>
      <w:r>
        <w:rPr>
          <w:rFonts w:ascii="Arial" w:eastAsia="Times New Roman" w:hAnsi="Arial" w:cs="Arial"/>
          <w:color w:val="000000" w:themeColor="text1"/>
          <w:lang w:val="en-US" w:eastAsia="de-DE"/>
        </w:rPr>
        <w:instrText>6-cell stage, both the anterior blastomeres that normally produce two gonidia each and the posterior blastomeres that normally produce no gonidia underwent modified cleavage patterns and each produced an average of one large cell that developed as a gonidi</w:instrText>
      </w:r>
      <w:r>
        <w:rPr>
          <w:rFonts w:ascii="Arial" w:eastAsia="Times New Roman" w:hAnsi="Arial" w:cs="Arial"/>
          <w:color w:val="000000" w:themeColor="text1"/>
          <w:lang w:val="en-US" w:eastAsia="de-DE"/>
        </w:rPr>
        <w:instrText>um. (c) When large cells were created microsurgically in a region of the embryo that normally makes only somatic cells, these large cells became gonidia. These data argue strongly for a central role of cell size in germ/soma specification in Volvox carteri</w:instrText>
      </w:r>
      <w:r>
        <w:rPr>
          <w:rFonts w:ascii="Arial" w:eastAsia="Times New Roman" w:hAnsi="Arial" w:cs="Arial"/>
          <w:color w:val="000000" w:themeColor="text1"/>
          <w:lang w:val="en-US" w:eastAsia="de-DE"/>
        </w:rPr>
        <w:instrText>, but leave open the question of how differences in cell size are actually transduced into differences in gene expression.","author":[{"dropping-particle":"","family":"Kirk","given":"M. M.","non-dropping-particle":"","parse-names":false,"suffix":""},{"drop</w:instrText>
      </w:r>
      <w:r>
        <w:rPr>
          <w:rFonts w:ascii="Arial" w:eastAsia="Times New Roman" w:hAnsi="Arial" w:cs="Arial"/>
          <w:color w:val="000000" w:themeColor="text1"/>
          <w:lang w:val="en-US" w:eastAsia="de-DE"/>
        </w:rPr>
        <w:instrText>ping-particle":"","family":"Ransick","given":"A.","non-dropping-particle":"","parse-names":false,"suffix":""},{"dropping-particle":"","family":"McRae","given":"S. E.","non-dropping-particle":"","parse-names":false,"suffix":""},{"dropping-particle":"","fami</w:instrText>
      </w:r>
      <w:r>
        <w:rPr>
          <w:rFonts w:ascii="Arial" w:eastAsia="Times New Roman" w:hAnsi="Arial" w:cs="Arial"/>
          <w:color w:val="000000" w:themeColor="text1"/>
          <w:lang w:val="en-US" w:eastAsia="de-DE"/>
        </w:rPr>
        <w:instrText>ly":"Kirk","given":"D. L.","non-dropping-particle":"","parse-names":false,"suffix":""}],"container-title":"The Journal of cell biology","id":"ITEM-1","issue":"1","issued":{"date-parts":[["1993"]]},"page":"191-208","publisher":"J Cell Biol","title":"The rel</w:instrText>
      </w:r>
      <w:r>
        <w:rPr>
          <w:rFonts w:ascii="Arial" w:eastAsia="Times New Roman" w:hAnsi="Arial" w:cs="Arial"/>
          <w:color w:val="000000" w:themeColor="text1"/>
          <w:lang w:val="en-US" w:eastAsia="de-DE"/>
        </w:rPr>
        <w:instrText>ationship between cell size and cell fate in Volvox carteri","type":"article-journal","volume":"123"},"uris":["http://www.mendeley.com/documents/?uuid=326e2875-b078-3eca-bf8c-f490ae2a90e1"]}],"mendeley":{"formattedCitation":"&lt;sup&gt;206&lt;/sup&gt;","plainTextForma</w:instrText>
      </w:r>
      <w:r>
        <w:rPr>
          <w:rFonts w:ascii="Arial" w:eastAsia="Times New Roman" w:hAnsi="Arial" w:cs="Arial"/>
          <w:color w:val="000000" w:themeColor="text1"/>
          <w:lang w:val="en-US" w:eastAsia="de-DE"/>
        </w:rPr>
        <w:instrText>ttedCitation":"206","previouslyFormattedCitation":"&lt;sup&gt;206&lt;/sup&gt;"},"properties":{"noteIndex":0},"schema":"https://github.com/citation-style-language/schema/raw/master/csl-citation.json"}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206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While the molecular mechanism of this size dependence still r</w:t>
      </w:r>
      <w:r>
        <w:rPr>
          <w:rFonts w:ascii="Arial" w:eastAsia="Times New Roman" w:hAnsi="Arial" w:cs="Arial"/>
          <w:color w:val="000000" w:themeColor="text1"/>
          <w:lang w:val="en-US" w:eastAsia="de-DE"/>
        </w:rPr>
        <w:t>emains elusive, size-dependent metabolome changes have been proposed to potentially activate cell type specific gene expression</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{"citationItems":[{"id":"ITEM-1","itemData":{"DOI":"10.1016/J.YDBIO.2016.07.014","ISSN":"0012-1606","PMID":"27</w:instrText>
      </w:r>
      <w:r>
        <w:rPr>
          <w:rFonts w:ascii="Arial" w:eastAsia="Times New Roman" w:hAnsi="Arial" w:cs="Arial"/>
          <w:color w:val="000000" w:themeColor="text1"/>
          <w:lang w:val="en-US" w:eastAsia="de-DE"/>
        </w:rPr>
        <w:instrText>451296","abstract":"Patterning of a multicellular body plan involves a coordinated set of developmental processes that includes cell division, morphogenesis, and cellular differentiation. These processes have been most intensively studied in animals and la</w:instrText>
      </w:r>
      <w:r>
        <w:rPr>
          <w:rFonts w:ascii="Arial" w:eastAsia="Times New Roman" w:hAnsi="Arial" w:cs="Arial"/>
          <w:color w:val="000000" w:themeColor="text1"/>
          <w:lang w:val="en-US" w:eastAsia="de-DE"/>
        </w:rPr>
        <w:instrText>nd plants; however, deep insight can also be gained by studying development in simpler multicellular organisms. The multicellular green alga Volvox carteri (Volvox) is an excellent model for the investigation of developmental mechanisms and their evolution</w:instrText>
      </w:r>
      <w:r>
        <w:rPr>
          <w:rFonts w:ascii="Arial" w:eastAsia="Times New Roman" w:hAnsi="Arial" w:cs="Arial"/>
          <w:color w:val="000000" w:themeColor="text1"/>
          <w:lang w:val="en-US" w:eastAsia="de-DE"/>
        </w:rPr>
        <w:instrText>ary origins. Volvox has a streamlined body plan that contains only a few thousand cells and two distinct cell types: reproductive germ cells and terminally differentiated somatic cells. Patterning of the Volvox body plan is achieved through a stereotyped d</w:instrText>
      </w:r>
      <w:r>
        <w:rPr>
          <w:rFonts w:ascii="Arial" w:eastAsia="Times New Roman" w:hAnsi="Arial" w:cs="Arial"/>
          <w:color w:val="000000" w:themeColor="text1"/>
          <w:lang w:val="en-US" w:eastAsia="de-DE"/>
        </w:rPr>
        <w:instrText>evelopmental program that includes embryonic cleavage with asymmetric cell division, morphogenesis, and cell-type differentiation. In this review we provide an overview of how these three developmental processes give rise to the adult form in Volvox and ho</w:instrText>
      </w:r>
      <w:r>
        <w:rPr>
          <w:rFonts w:ascii="Arial" w:eastAsia="Times New Roman" w:hAnsi="Arial" w:cs="Arial"/>
          <w:color w:val="000000" w:themeColor="text1"/>
          <w:lang w:val="en-US" w:eastAsia="de-DE"/>
        </w:rPr>
        <w:instrText>w developmental mutants have provided insights into the mechanisms behind these events. We highlight the accessibility and tractability of Volvox and its relatives that provide a unique opportunity for studying development.","author":[{"dropping-particle":</w:instrText>
      </w:r>
      <w:r>
        <w:rPr>
          <w:rFonts w:ascii="Arial" w:eastAsia="Times New Roman" w:hAnsi="Arial" w:cs="Arial"/>
          <w:color w:val="000000" w:themeColor="text1"/>
          <w:lang w:val="en-US" w:eastAsia="de-DE"/>
        </w:rPr>
        <w:instrText>"","family":"Matt","given":"Gavriel","non-dropping-particle":"","parse-names":false,"suffix":""},{"dropping-particle":"","family":"Umen","given":"James","non-dropping-particle":"","parse-names":false,"suffix":""}],"container-title":"Developmental Biology",</w:instrText>
      </w:r>
      <w:r>
        <w:rPr>
          <w:rFonts w:ascii="Arial" w:eastAsia="Times New Roman" w:hAnsi="Arial" w:cs="Arial"/>
          <w:color w:val="000000" w:themeColor="text1"/>
          <w:lang w:val="en-US" w:eastAsia="de-DE"/>
        </w:rPr>
        <w:instrText>"id":"ITEM-1","issue":"1","issued":{"date-parts":[["2016","11","1"]]},"page":"99-113","publisher":"Academic Press","title":"Volvox: A simple algal model for embryogenesis, morphogenesis and cellular differentiation","type":"article-journal","volume":"419"}</w:instrText>
      </w:r>
      <w:r>
        <w:rPr>
          <w:rFonts w:ascii="Arial" w:eastAsia="Times New Roman" w:hAnsi="Arial" w:cs="Arial"/>
          <w:color w:val="000000" w:themeColor="text1"/>
          <w:lang w:val="en-US" w:eastAsia="de-DE"/>
        </w:rPr>
        <w:instrText>,"uris":["http://www.mendeley.com/documents/?uuid=46c89e30-b41a-34a3-ba61-a08b748c8032"]}],"mendeley":{"formattedCitation":"&lt;sup&gt;207&lt;/sup&gt;","plainTextFormattedCitation":"207","previouslyFormattedCitation":"&lt;sup&gt;207&lt;/sup&gt;"},"properties":{"noteIndex":0},"sch</w:instrText>
      </w:r>
      <w:r>
        <w:rPr>
          <w:rFonts w:ascii="Arial" w:eastAsia="Times New Roman" w:hAnsi="Arial" w:cs="Arial"/>
          <w:color w:val="000000" w:themeColor="text1"/>
          <w:lang w:val="en-US" w:eastAsia="de-DE"/>
        </w:rPr>
        <w:instrText>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207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1F050FA6" w14:textId="77777777" w:rsidR="00066D11" w:rsidRDefault="00E55468">
      <w:pPr>
        <w:spacing w:before="240" w:after="240" w:line="240" w:lineRule="auto"/>
        <w:jc w:val="both"/>
        <w:rPr>
          <w:rFonts w:ascii="Arial" w:eastAsia="Times New Roman" w:hAnsi="Arial" w:cs="Arial"/>
          <w:color w:val="000000" w:themeColor="text1"/>
          <w:lang w:val="en-US" w:eastAsia="de-DE"/>
        </w:rPr>
      </w:pPr>
      <w:r>
        <w:rPr>
          <w:rFonts w:ascii="Arial" w:eastAsia="Times New Roman" w:hAnsi="Arial" w:cs="Arial"/>
          <w:color w:val="000000" w:themeColor="text1"/>
          <w:lang w:val="en-US" w:eastAsia="de-DE"/>
        </w:rPr>
        <w:t xml:space="preserve">Size dependency is also observed in the germ-soma differentiation in </w:t>
      </w:r>
      <w:r>
        <w:rPr>
          <w:rFonts w:ascii="Arial" w:eastAsia="Times New Roman" w:hAnsi="Arial" w:cs="Arial"/>
          <w:i/>
          <w:iCs/>
          <w:color w:val="000000" w:themeColor="text1"/>
          <w:lang w:val="en-US" w:eastAsia="de-DE"/>
        </w:rPr>
        <w:t>Caenorhabditis elegans</w:t>
      </w:r>
      <w:r>
        <w:rPr>
          <w:rFonts w:ascii="Arial" w:eastAsia="Times New Roman" w:hAnsi="Arial" w:cs="Arial"/>
          <w:i/>
          <w:iCs/>
          <w:color w:val="000000" w:themeColor="text1"/>
          <w:lang w:val="en-US" w:eastAsia="de-DE"/>
        </w:rPr>
        <w:fldChar w:fldCharType="begin" w:fldLock="1"/>
      </w:r>
      <w:r>
        <w:rPr>
          <w:rFonts w:ascii="Arial" w:eastAsia="Times New Roman" w:hAnsi="Arial" w:cs="Arial"/>
          <w:i/>
          <w:iCs/>
          <w:color w:val="000000" w:themeColor="text1"/>
          <w:lang w:val="en-US" w:eastAsia="de-DE"/>
        </w:rPr>
        <w:instrText xml:space="preserve">ADDIN CSL_CITATION </w:instrText>
      </w:r>
      <w:r>
        <w:rPr>
          <w:rFonts w:ascii="Arial" w:eastAsia="Times New Roman" w:hAnsi="Arial" w:cs="Arial"/>
          <w:i/>
          <w:iCs/>
          <w:color w:val="000000" w:themeColor="text1"/>
          <w:lang w:val="en-US" w:eastAsia="de-DE"/>
        </w:rPr>
        <w:instrText>{"citationItems":[{"id":"ITEM-1","itemData":{"DOI":"10.1038/s41567-019-0601-x","ISSN":"1745-2481","abstract":"Reaction–diffusion networks underlie pattern formation in a range of biological contexts, from morphogenesis of organisms to the polarization of i</w:instrText>
      </w:r>
      <w:r>
        <w:rPr>
          <w:rFonts w:ascii="Arial" w:eastAsia="Times New Roman" w:hAnsi="Arial" w:cs="Arial"/>
          <w:i/>
          <w:iCs/>
          <w:color w:val="000000" w:themeColor="text1"/>
          <w:lang w:val="en-US" w:eastAsia="de-DE"/>
        </w:rPr>
        <w:instrText xml:space="preserve">ndividual cells. One requirement for such molecular networks is that output patterns be scaled to system size. At the same time, kinetic properties of constituent molecules constrain the ability of networks to adapt to size changes. Here, we explore these </w:instrText>
      </w:r>
      <w:r>
        <w:rPr>
          <w:rFonts w:ascii="Arial" w:eastAsia="Times New Roman" w:hAnsi="Arial" w:cs="Arial"/>
          <w:i/>
          <w:iCs/>
          <w:color w:val="000000" w:themeColor="text1"/>
          <w:lang w:val="en-US" w:eastAsia="de-DE"/>
        </w:rPr>
        <w:instrText>constraints and the consequences thereof within the conserved PAR cell polarity network. Using the stem-cell-like germ lineage of the Caenorhabditis elegans embryo as a model, we find that the behaviour of PAR proteins fails to scale with cell size. Theore</w:instrText>
      </w:r>
      <w:r>
        <w:rPr>
          <w:rFonts w:ascii="Arial" w:eastAsia="Times New Roman" w:hAnsi="Arial" w:cs="Arial"/>
          <w:i/>
          <w:iCs/>
          <w:color w:val="000000" w:themeColor="text1"/>
          <w:lang w:val="en-US" w:eastAsia="de-DE"/>
        </w:rPr>
        <w:instrText>tical analysis demonstrates that this lack of scaling results in a size threshold below which polarity is destabilized, yielding an unpolarized system. In empirically constrained models, this threshold occurs near the size at which germ lineage cells norma</w:instrText>
      </w:r>
      <w:r>
        <w:rPr>
          <w:rFonts w:ascii="Arial" w:eastAsia="Times New Roman" w:hAnsi="Arial" w:cs="Arial"/>
          <w:i/>
          <w:iCs/>
          <w:color w:val="000000" w:themeColor="text1"/>
          <w:lang w:val="en-US" w:eastAsia="de-DE"/>
        </w:rPr>
        <w:instrText>lly switch between asymmetric and symmetric modes of division. Consistent with cell size limiting polarity and division asymmetry, genetic or physical reduction in germ lineage cell size is sufficient to trigger loss of polarity in normally polarizing cell</w:instrText>
      </w:r>
      <w:r>
        <w:rPr>
          <w:rFonts w:ascii="Arial" w:eastAsia="Times New Roman" w:hAnsi="Arial" w:cs="Arial"/>
          <w:i/>
          <w:iCs/>
          <w:color w:val="000000" w:themeColor="text1"/>
          <w:lang w:val="en-US" w:eastAsia="de-DE"/>
        </w:rPr>
        <w:instrText>s at predicted size thresholds. Physical limits of polarity networks may be one mechanism by which cells read out geometrical features to inform cell fate decisions. The proteins tasked with establishing polarity in a cell undergo reaction–diffusion dynami</w:instrText>
      </w:r>
      <w:r>
        <w:rPr>
          <w:rFonts w:ascii="Arial" w:eastAsia="Times New Roman" w:hAnsi="Arial" w:cs="Arial"/>
          <w:i/>
          <w:iCs/>
          <w:color w:val="000000" w:themeColor="text1"/>
          <w:lang w:val="en-US" w:eastAsia="de-DE"/>
        </w:rPr>
        <w:instrText>cs that are shown here to impose a cell-size threshold on polarization. The limit may facilitate switching between symmetric and asymmetric modes of division.","author":[{"dropping-particle":"","family":"Hubatsch","given":"Lars","non-dropping-particle":"",</w:instrText>
      </w:r>
      <w:r>
        <w:rPr>
          <w:rFonts w:ascii="Arial" w:eastAsia="Times New Roman" w:hAnsi="Arial" w:cs="Arial"/>
          <w:i/>
          <w:iCs/>
          <w:color w:val="000000" w:themeColor="text1"/>
          <w:lang w:val="en-US" w:eastAsia="de-DE"/>
        </w:rPr>
        <w:instrText>"parse-names":false,"suffix":""},{"dropping-particle":"","family":"Peglion","given":"Florent","non-dropping-particle":"","parse-names":false,"suffix":""},{"dropping-particle":"","family":"Reich","given":"Jacob D.","non-dropping-particle":"","parse-names":f</w:instrText>
      </w:r>
      <w:r>
        <w:rPr>
          <w:rFonts w:ascii="Arial" w:eastAsia="Times New Roman" w:hAnsi="Arial" w:cs="Arial"/>
          <w:i/>
          <w:iCs/>
          <w:color w:val="000000" w:themeColor="text1"/>
          <w:lang w:val="en-US" w:eastAsia="de-DE"/>
        </w:rPr>
        <w:instrText>alse,"suffix":""},{"dropping-particle":"","family":"Rodrigues","given":"Nelio T.L.","non-dropping-particle":"","parse-names":false,"suffix":""},{"dropping-particle":"","family":"Hirani","given":"Nisha","non-dropping-particle":"","parse-names":false,"suffix</w:instrText>
      </w:r>
      <w:r>
        <w:rPr>
          <w:rFonts w:ascii="Arial" w:eastAsia="Times New Roman" w:hAnsi="Arial" w:cs="Arial"/>
          <w:i/>
          <w:iCs/>
          <w:color w:val="000000" w:themeColor="text1"/>
          <w:lang w:val="en-US" w:eastAsia="de-DE"/>
        </w:rPr>
        <w:instrText>":""},{"dropping-particle":"","family":"Illukkumbura","given":"Rukshala","non-dropping-particle":"","parse-names":false,"suffix":""},{"dropping-particle":"","family":"Goehring","given":"Nathan W.","non-dropping-particle":"","parse-names":false,"suffix":""}</w:instrText>
      </w:r>
      <w:r>
        <w:rPr>
          <w:rFonts w:ascii="Arial" w:eastAsia="Times New Roman" w:hAnsi="Arial" w:cs="Arial"/>
          <w:i/>
          <w:iCs/>
          <w:color w:val="000000" w:themeColor="text1"/>
          <w:lang w:val="en-US" w:eastAsia="de-DE"/>
        </w:rPr>
        <w:instrText>],"container-title":"Nature Physics 2019 15:10","id":"ITEM-1","issue":"10","issued":{"date-parts":[["2019","8","12"]]},"page":"1078-1085","publisher":"Nature Publishing Group","title":"A cell-size threshold limits cell polarity and asymmetric division pote</w:instrText>
      </w:r>
      <w:r>
        <w:rPr>
          <w:rFonts w:ascii="Arial" w:eastAsia="Times New Roman" w:hAnsi="Arial" w:cs="Arial"/>
          <w:i/>
          <w:iCs/>
          <w:color w:val="000000" w:themeColor="text1"/>
          <w:lang w:val="en-US" w:eastAsia="de-DE"/>
        </w:rPr>
        <w:instrText>ntial","type":"article-journal","volume":"15"},"uris":["http://www.mendeley.com/documents/?uuid=cdeb8f99-3027-3ab3-a821-809a71cb7e30"]}],"mendeley":{"formattedCitation":"&lt;sup&gt;208&lt;/sup&gt;","plainTextFormattedCitation":"208","previouslyFormattedCitation":"&lt;sup</w:instrText>
      </w:r>
      <w:r>
        <w:rPr>
          <w:rFonts w:ascii="Arial" w:eastAsia="Times New Roman" w:hAnsi="Arial" w:cs="Arial"/>
          <w:i/>
          <w:iCs/>
          <w:color w:val="000000" w:themeColor="text1"/>
          <w:lang w:val="en-US" w:eastAsia="de-DE"/>
        </w:rPr>
        <w:instrText>&gt;208&lt;/sup&gt;"},"properties":{"noteIndex":0},"schema":"https://github.com/citation-style-language/schema/raw/master/csl-citation.json"}</w:instrText>
      </w:r>
      <w:r>
        <w:rPr>
          <w:rFonts w:ascii="Arial" w:eastAsia="Times New Roman" w:hAnsi="Arial" w:cs="Arial"/>
          <w:i/>
          <w:iCs/>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208</w:t>
      </w:r>
      <w:r>
        <w:rPr>
          <w:rFonts w:ascii="Arial" w:eastAsia="Times New Roman" w:hAnsi="Arial" w:cs="Arial"/>
          <w:i/>
          <w:iCs/>
          <w:color w:val="000000" w:themeColor="text1"/>
          <w:lang w:val="en-US" w:eastAsia="de-DE"/>
        </w:rPr>
        <w:fldChar w:fldCharType="end"/>
      </w:r>
      <w:r>
        <w:rPr>
          <w:rFonts w:ascii="Arial" w:eastAsia="Times New Roman" w:hAnsi="Arial" w:cs="Arial"/>
          <w:color w:val="000000" w:themeColor="text1"/>
          <w:lang w:val="en-US" w:eastAsia="de-DE"/>
        </w:rPr>
        <w:t>, where experimentally decreasing cell size disrupts polarization of PAR proteins and the number of asymmetric divisio</w:t>
      </w:r>
      <w:r>
        <w:rPr>
          <w:rFonts w:ascii="Arial" w:eastAsia="Times New Roman" w:hAnsi="Arial" w:cs="Arial"/>
          <w:color w:val="000000" w:themeColor="text1"/>
          <w:lang w:val="en-US" w:eastAsia="de-DE"/>
        </w:rPr>
        <w:t>ns, altering the germ cell fate program (Fig. 5d). Similarly, during</w:t>
      </w:r>
      <w:r>
        <w:rPr>
          <w:rFonts w:ascii="Arial" w:eastAsia="Times New Roman" w:hAnsi="Arial" w:cs="Arial"/>
          <w:i/>
          <w:iCs/>
          <w:color w:val="000000" w:themeColor="text1"/>
          <w:lang w:val="en-US" w:eastAsia="de-DE"/>
        </w:rPr>
        <w:t xml:space="preserve"> Arabidopsis thaliana</w:t>
      </w:r>
      <w:r>
        <w:rPr>
          <w:rFonts w:ascii="Arial" w:eastAsia="Times New Roman" w:hAnsi="Arial" w:cs="Arial"/>
          <w:color w:val="000000" w:themeColor="text1"/>
          <w:lang w:val="en-US" w:eastAsia="de-DE"/>
        </w:rPr>
        <w:t xml:space="preserve"> leaf growth, stem cells of the stomatal lineage (</w:t>
      </w:r>
      <w:proofErr w:type="spellStart"/>
      <w:r>
        <w:rPr>
          <w:rFonts w:ascii="Arial" w:eastAsia="Times New Roman" w:hAnsi="Arial" w:cs="Arial"/>
          <w:color w:val="000000" w:themeColor="text1"/>
          <w:lang w:val="en-US" w:eastAsia="de-DE"/>
        </w:rPr>
        <w:t>meristemoids</w:t>
      </w:r>
      <w:proofErr w:type="spellEnd"/>
      <w:r>
        <w:rPr>
          <w:rFonts w:ascii="Arial" w:eastAsia="Times New Roman" w:hAnsi="Arial" w:cs="Arial"/>
          <w:color w:val="000000" w:themeColor="text1"/>
          <w:lang w:val="en-US" w:eastAsia="de-DE"/>
        </w:rPr>
        <w:t>) undergo one to five self-renewing asymmetric cell divisions before terminally differentiating into stom</w:t>
      </w:r>
      <w:r>
        <w:rPr>
          <w:rFonts w:ascii="Arial" w:eastAsia="Times New Roman" w:hAnsi="Arial" w:cs="Arial"/>
          <w:color w:val="000000" w:themeColor="text1"/>
          <w:lang w:val="en-US" w:eastAsia="de-DE"/>
        </w:rPr>
        <w:t xml:space="preserve">atal cells. With each self-renewing asymmetric division, </w:t>
      </w:r>
      <w:proofErr w:type="spellStart"/>
      <w:r>
        <w:rPr>
          <w:rFonts w:ascii="Arial" w:eastAsia="Times New Roman" w:hAnsi="Arial" w:cs="Arial"/>
          <w:color w:val="000000" w:themeColor="text1"/>
          <w:lang w:val="en-US" w:eastAsia="de-DE"/>
        </w:rPr>
        <w:t>meristemoid</w:t>
      </w:r>
      <w:proofErr w:type="spellEnd"/>
      <w:r>
        <w:rPr>
          <w:rFonts w:ascii="Arial" w:eastAsia="Times New Roman" w:hAnsi="Arial" w:cs="Arial"/>
          <w:color w:val="000000" w:themeColor="text1"/>
          <w:lang w:val="en-US" w:eastAsia="de-DE"/>
        </w:rPr>
        <w:t xml:space="preserve"> cell size decreases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{"citationItems":[{"id":"ITEM-1","itemData":{"DOI":"10.1126/SCIENCE.1202185","ISSN":"00368075","PMID":"21903812","abstract":"The mechanisms that gene</w:instrText>
      </w:r>
      <w:r>
        <w:rPr>
          <w:rFonts w:ascii="Arial" w:eastAsia="Times New Roman" w:hAnsi="Arial" w:cs="Arial"/>
          <w:color w:val="000000" w:themeColor="text1"/>
          <w:lang w:val="en-US" w:eastAsia="de-DE"/>
        </w:rPr>
        <w:instrText>rate dynamic spatial patterns within proliferating tissues are poorly understood, largely because of difficulties in unravelling interactions between cell specification, polarity, asymmetric division, rearrangements, and growth. We address this problem for</w:instrText>
      </w:r>
      <w:r>
        <w:rPr>
          <w:rFonts w:ascii="Arial" w:eastAsia="Times New Roman" w:hAnsi="Arial" w:cs="Arial"/>
          <w:color w:val="000000" w:themeColor="text1"/>
          <w:lang w:val="en-US" w:eastAsia="de-DE"/>
        </w:rPr>
        <w:instrText xml:space="preserve"> stomatal spacing in plants, which offer the simplifying advantage that cells do not rearrange. By tracking lineages and gene activities over extended periods, we show that limited stem cell behavior of stomatal precursors depends on maintenance of the SPE</w:instrText>
      </w:r>
      <w:r>
        <w:rPr>
          <w:rFonts w:ascii="Arial" w:eastAsia="Times New Roman" w:hAnsi="Arial" w:cs="Arial"/>
          <w:color w:val="000000" w:themeColor="text1"/>
          <w:lang w:val="en-US" w:eastAsia="de-DE"/>
        </w:rPr>
        <w:instrText>ECHLESS (SPCH) transcription factor in single daughter cells. Modeling shows how this property can lead to observed stereotypical stomata lineages through a postmitotic polarity-switching mechanism. The model predicts the location of a polarity determinant</w:instrText>
      </w:r>
      <w:r>
        <w:rPr>
          <w:rFonts w:ascii="Arial" w:eastAsia="Times New Roman" w:hAnsi="Arial" w:cs="Arial"/>
          <w:color w:val="000000" w:themeColor="text1"/>
          <w:lang w:val="en-US" w:eastAsia="de-DE"/>
        </w:rPr>
        <w:instrText xml:space="preserve"> BASL over multiple divisions, which we validate experimentally. Our results highlight the dynamic two-way interactions between stem cells and their neighborhood during developmental patterning.","author":[{"dropping-particle":"","family":"Robinson","given</w:instrText>
      </w:r>
      <w:r>
        <w:rPr>
          <w:rFonts w:ascii="Arial" w:eastAsia="Times New Roman" w:hAnsi="Arial" w:cs="Arial"/>
          <w:color w:val="000000" w:themeColor="text1"/>
          <w:lang w:val="en-US" w:eastAsia="de-DE"/>
        </w:rPr>
        <w:instrText>":"Sarah","non-dropping-particle":"","parse-names":false,"suffix":""},{"dropping-particle":"","family":"Reuille","given":"Pierre Barbier","non-dropping-particle":"De","parse-names":false,"suffix":""},{"dropping-particle":"","family":"Chan","given":"Jordi",</w:instrText>
      </w:r>
      <w:r>
        <w:rPr>
          <w:rFonts w:ascii="Arial" w:eastAsia="Times New Roman" w:hAnsi="Arial" w:cs="Arial"/>
          <w:color w:val="000000" w:themeColor="text1"/>
          <w:lang w:val="en-US" w:eastAsia="de-DE"/>
        </w:rPr>
        <w:instrText>"non-dropping-particle":"","parse-names":false,"suffix":""},{"dropping-particle":"","family":"Bergmann","given":"Dominique","non-dropping-particle":"","parse-names":false,"suffix":""},{"dropping-particle":"","family":"Prusinkiewicz","given":"Przemyslaw","n</w:instrText>
      </w:r>
      <w:r>
        <w:rPr>
          <w:rFonts w:ascii="Arial" w:eastAsia="Times New Roman" w:hAnsi="Arial" w:cs="Arial"/>
          <w:color w:val="000000" w:themeColor="text1"/>
          <w:lang w:val="en-US" w:eastAsia="de-DE"/>
        </w:rPr>
        <w:instrText>on-dropping-particle":"","parse-names":false,"suffix":""},{"dropping-particle":"","family":"Coen","given":"Enrico","non-dropping-particle":"","parse-names":false,"suffix":""}],"container-title":"Science (New York, N.y.)","id":"ITEM-1","issue":"6048","issue</w:instrText>
      </w:r>
      <w:r>
        <w:rPr>
          <w:rFonts w:ascii="Arial" w:eastAsia="Times New Roman" w:hAnsi="Arial" w:cs="Arial"/>
          <w:color w:val="000000" w:themeColor="text1"/>
          <w:lang w:val="en-US" w:eastAsia="de-DE"/>
        </w:rPr>
        <w:instrText>d":{"date-parts":[["2011","9","9"]]},"page":"1436","publisher":"NIH Public Access","title":"Generation of Spatial Patterns through Cell Polarity Switching","type":"article-journal","volume":"333"},"uris":["http://www.mendeley.com/documents/?uuid=1aef961c-0</w:instrText>
      </w:r>
      <w:r>
        <w:rPr>
          <w:rFonts w:ascii="Arial" w:eastAsia="Times New Roman" w:hAnsi="Arial" w:cs="Arial"/>
          <w:color w:val="000000" w:themeColor="text1"/>
          <w:lang w:val="en-US" w:eastAsia="de-DE"/>
        </w:rPr>
        <w:instrText>9da-39a2-b204-86462edd4acd"]}],"mendeley":{"formattedCitation":"&lt;sup&gt;209&lt;/sup&gt;","plainTextFormattedCitation":"209","previouslyFormattedCitation":"&lt;sup&gt;209&lt;/sup&gt;"},"properties":{"noteIndex":0},"schema":"https://github.com/citation-style-language/schema/raw/</w:instrText>
      </w:r>
      <w:r>
        <w:rPr>
          <w:rFonts w:ascii="Arial" w:eastAsia="Times New Roman" w:hAnsi="Arial" w:cs="Arial"/>
          <w:color w:val="000000" w:themeColor="text1"/>
          <w:lang w:val="en-US" w:eastAsia="de-DE"/>
        </w:rPr>
        <w:instrText>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209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and the differentiation into stomatal cells is triggered when a critical cell size threshold is crossed</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{"citationItems":[{"id":"ITEM-1","itemData":{"DOI":"10.1126/SCIADV.ADF3497/SUPPL_FILE/SCIADV.ADF3497</w:instrText>
      </w:r>
      <w:r>
        <w:rPr>
          <w:rFonts w:ascii="Arial" w:eastAsia="Times New Roman" w:hAnsi="Arial" w:cs="Arial"/>
          <w:color w:val="000000" w:themeColor="text1"/>
          <w:lang w:val="en-US" w:eastAsia="de-DE"/>
        </w:rPr>
        <w:instrText>_SM.PDF","ISSN":"23752548","PMID":"37729402","abstract":"How flexible developmental programs integrate information from internal and external factors to modulate stem cell behavior is a fundamental question in developmental biology. Cells of the Arabidopsi</w:instrText>
      </w:r>
      <w:r>
        <w:rPr>
          <w:rFonts w:ascii="Arial" w:eastAsia="Times New Roman" w:hAnsi="Arial" w:cs="Arial"/>
          <w:color w:val="000000" w:themeColor="text1"/>
          <w:lang w:val="en-US" w:eastAsia="de-DE"/>
        </w:rPr>
        <w:instrText>s stomatal lineage modify the balance of stem cell proliferation and differentiation to adjust the size and cell type composition of mature leaves. Here, we report that meristemoids, one type of stomatal lineage stem cell, trigger the transition from asymm</w:instrText>
      </w:r>
      <w:r>
        <w:rPr>
          <w:rFonts w:ascii="Arial" w:eastAsia="Times New Roman" w:hAnsi="Arial" w:cs="Arial"/>
          <w:color w:val="000000" w:themeColor="text1"/>
          <w:lang w:val="en-US" w:eastAsia="de-DE"/>
        </w:rPr>
        <w:instrText>etric self-renewing divisions to commitment and terminal differentiation by crossing a critical cell size threshold. Through computational simulation, we demonstrate that this cell size–mediated transition allows robust, yet flexible termination of stem ce</w:instrText>
      </w:r>
      <w:r>
        <w:rPr>
          <w:rFonts w:ascii="Arial" w:eastAsia="Times New Roman" w:hAnsi="Arial" w:cs="Arial"/>
          <w:color w:val="000000" w:themeColor="text1"/>
          <w:lang w:val="en-US" w:eastAsia="de-DE"/>
        </w:rPr>
        <w:instrText>ll proliferation, and we observe adjustments in the number of divisions before the differentiation threshold under several genetic manipulations. We experimentally evaluate several mechanisms for cell size sensing, and our data suggest that this stomatal l</w:instrText>
      </w:r>
      <w:r>
        <w:rPr>
          <w:rFonts w:ascii="Arial" w:eastAsia="Times New Roman" w:hAnsi="Arial" w:cs="Arial"/>
          <w:color w:val="000000" w:themeColor="text1"/>
          <w:lang w:val="en-US" w:eastAsia="de-DE"/>
        </w:rPr>
        <w:instrText>ineage transition is dependent on a nuclear factor that is sensitive to DNA content.","author":[{"dropping-particle":"","family":"Gong","given":"Yan","non-dropping-particle":"","parse-names":false,"suffix":""},{"dropping-particle":"","family":"Dale","given</w:instrText>
      </w:r>
      <w:r>
        <w:rPr>
          <w:rFonts w:ascii="Arial" w:eastAsia="Times New Roman" w:hAnsi="Arial" w:cs="Arial"/>
          <w:color w:val="000000" w:themeColor="text1"/>
          <w:lang w:val="en-US" w:eastAsia="de-DE"/>
        </w:rPr>
        <w:instrText>":"Renee","non-dropping-particle":"","parse-names":false,"suffix":""},{"dropping-particle":"","family":"Fung","given":"Hannah F.","non-dropping-particle":"","parse-names":false,"suffix":""},{"dropping-particle":"","family":"Amador","given":"Gabriel O.","no</w:instrText>
      </w:r>
      <w:r>
        <w:rPr>
          <w:rFonts w:ascii="Arial" w:eastAsia="Times New Roman" w:hAnsi="Arial" w:cs="Arial"/>
          <w:color w:val="000000" w:themeColor="text1"/>
          <w:lang w:val="en-US" w:eastAsia="de-DE"/>
        </w:rPr>
        <w:instrText>n-dropping-particle":"","parse-names":false,"suffix":""},{"dropping-particle":"","family":"Smit","given":"Margot E.","non-dropping-particle":"","parse-names":false,"suffix":""},{"dropping-particle":"","family":"Bergmann","given":"Dominique C.","non-droppin</w:instrText>
      </w:r>
      <w:r>
        <w:rPr>
          <w:rFonts w:ascii="Arial" w:eastAsia="Times New Roman" w:hAnsi="Arial" w:cs="Arial"/>
          <w:color w:val="000000" w:themeColor="text1"/>
          <w:lang w:val="en-US" w:eastAsia="de-DE"/>
        </w:rPr>
        <w:instrText>g-particle":"","parse-names":false,"suffix":""}],"container-title":"Science Advances","id":"ITEM-1","issue":"38","issued":{"date-parts":[["2023","9","20"]]},"publisher":"American Association for the Advancement of Science","title":"A cell size threshold tr</w:instrText>
      </w:r>
      <w:r>
        <w:rPr>
          <w:rFonts w:ascii="Arial" w:eastAsia="Times New Roman" w:hAnsi="Arial" w:cs="Arial"/>
          <w:color w:val="000000" w:themeColor="text1"/>
          <w:lang w:val="en-US" w:eastAsia="de-DE"/>
        </w:rPr>
        <w:instrText>iggers commitment to stomatal fate in Arabidopsis","type":"article-journal","volume":"9"},"uris":["http://www.mendeley.com/documents/?uuid=27710779-1ce5-3bfb-a139-6c912a87ef24"]}],"mendeley":{"formattedCitation":"&lt;sup&gt;210&lt;/sup&gt;","plainTextFormattedCitation</w:instrText>
      </w:r>
      <w:r>
        <w:rPr>
          <w:rFonts w:ascii="Arial" w:eastAsia="Times New Roman" w:hAnsi="Arial" w:cs="Arial"/>
          <w:color w:val="000000" w:themeColor="text1"/>
          <w:lang w:val="en-US" w:eastAsia="de-DE"/>
        </w:rPr>
        <w:instrText>":"210","previouslyFormattedCitation":"&lt;sup&gt;210&lt;/sup&gt;"},"properties":{"noteIndex":0},"schema":"https://github.com/citation-style-language/schema/raw/master/csl-citation.json"}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210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Additionally, cell size dependent regulation has been speculated to occur</w:t>
      </w:r>
      <w:r>
        <w:rPr>
          <w:rFonts w:ascii="Arial" w:eastAsia="Times New Roman" w:hAnsi="Arial" w:cs="Arial"/>
          <w:color w:val="000000" w:themeColor="text1"/>
          <w:lang w:val="en-US" w:eastAsia="de-DE"/>
        </w:rPr>
        <w:t xml:space="preserve"> during neuroblast differentiation in </w:t>
      </w:r>
      <w:r>
        <w:rPr>
          <w:rFonts w:ascii="Arial" w:eastAsia="Times New Roman" w:hAnsi="Arial" w:cs="Arial"/>
          <w:i/>
          <w:iCs/>
          <w:color w:val="000000" w:themeColor="text1"/>
          <w:lang w:val="en-US" w:eastAsia="de-DE"/>
        </w:rPr>
        <w:t>Caenorhabditis elegans</w:t>
      </w:r>
      <w:r>
        <w:rPr>
          <w:rFonts w:ascii="Arial" w:eastAsia="Times New Roman" w:hAnsi="Arial" w:cs="Arial"/>
          <w:i/>
          <w:iCs/>
          <w:color w:val="000000" w:themeColor="text1"/>
          <w:lang w:val="en-US" w:eastAsia="de-DE"/>
        </w:rPr>
        <w:fldChar w:fldCharType="begin" w:fldLock="1"/>
      </w:r>
      <w:r>
        <w:rPr>
          <w:rFonts w:ascii="Arial" w:eastAsia="Times New Roman" w:hAnsi="Arial" w:cs="Arial"/>
          <w:i/>
          <w:iCs/>
          <w:color w:val="000000" w:themeColor="text1"/>
          <w:lang w:val="en-US" w:eastAsia="de-DE"/>
        </w:rPr>
        <w:instrText>ADDIN CSL_CITATION {"citationItems":[{"id":"ITEM-1","itemData":{"DOI":"10.1242/DEV.02447","ISSN":"0950-1991","PMID":"16774992","abstract":"In the nematode Caenorhabditis elegans, neurons are gener</w:instrText>
      </w:r>
      <w:r>
        <w:rPr>
          <w:rFonts w:ascii="Arial" w:eastAsia="Times New Roman" w:hAnsi="Arial" w:cs="Arial"/>
          <w:i/>
          <w:iCs/>
          <w:color w:val="000000" w:themeColor="text1"/>
          <w:lang w:val="en-US" w:eastAsia="de-DE"/>
        </w:rPr>
        <w:instrText xml:space="preserve">ated from asymmetric divisions in which a mother cell divides to produce daughters that differ in fate. Here, we demonstrate that the gene pig-1 regulates the asymmetric divisions of neuroblasts that divide to produce an apoptotic cell and either a neural </w:instrText>
      </w:r>
      <w:r>
        <w:rPr>
          <w:rFonts w:ascii="Arial" w:eastAsia="Times New Roman" w:hAnsi="Arial" w:cs="Arial"/>
          <w:i/>
          <w:iCs/>
          <w:color w:val="000000" w:themeColor="text1"/>
          <w:lang w:val="en-US" w:eastAsia="de-DE"/>
        </w:rPr>
        <w:instrText xml:space="preserve">precursor or a neuron. In pig-1 mutants, these neuroblasts divide to produce daughters that are more equal in size, and their apoptotic daughters are transformed into their sisters, leading to the production of extra neurons. PIG-1 is orthologous to MELK, </w:instrText>
      </w:r>
      <w:r>
        <w:rPr>
          <w:rFonts w:ascii="Arial" w:eastAsia="Times New Roman" w:hAnsi="Arial" w:cs="Arial"/>
          <w:i/>
          <w:iCs/>
          <w:color w:val="000000" w:themeColor="text1"/>
          <w:lang w:val="en-US" w:eastAsia="de-DE"/>
        </w:rPr>
        <w:instrText>a conserved member of the polarity-regulating PAR-1/ Kin1/SAD-1 family of serine/threonine kinases. Although MELK has been implicated in regulating the cell cycle, our data suggest that PIG-1, like other PAR-1 family members, regulates cell polarity.","aut</w:instrText>
      </w:r>
      <w:r>
        <w:rPr>
          <w:rFonts w:ascii="Arial" w:eastAsia="Times New Roman" w:hAnsi="Arial" w:cs="Arial"/>
          <w:i/>
          <w:iCs/>
          <w:color w:val="000000" w:themeColor="text1"/>
          <w:lang w:val="en-US" w:eastAsia="de-DE"/>
        </w:rPr>
        <w:instrText>hor":[{"dropping-particle":"","family":"Cordes","given":"Shaun","non-dropping-particle":"","parse-names":false,"suffix":""},{"dropping-particle":"","family":"Frank","given":"C. Andrew","non-dropping-particle":"","parse-names":false,"suffix":""},{"dropping-</w:instrText>
      </w:r>
      <w:r>
        <w:rPr>
          <w:rFonts w:ascii="Arial" w:eastAsia="Times New Roman" w:hAnsi="Arial" w:cs="Arial"/>
          <w:i/>
          <w:iCs/>
          <w:color w:val="000000" w:themeColor="text1"/>
          <w:lang w:val="en-US" w:eastAsia="de-DE"/>
        </w:rPr>
        <w:instrText>particle":"","family":"Garriga","given":"Gian","non-dropping-particle":"","parse-names":false,"suffix":""}],"container-title":"Development","id":"ITEM-1","issue":"14","issued":{"date-parts":[["2006","7","15"]]},"page":"2747-2756","publisher":"The Company o</w:instrText>
      </w:r>
      <w:r>
        <w:rPr>
          <w:rFonts w:ascii="Arial" w:eastAsia="Times New Roman" w:hAnsi="Arial" w:cs="Arial"/>
          <w:i/>
          <w:iCs/>
          <w:color w:val="000000" w:themeColor="text1"/>
          <w:lang w:val="en-US" w:eastAsia="de-DE"/>
        </w:rPr>
        <w:instrText>f Biologists","title":"The C. elegans MELK ortholog PIG-1 regulates cell size asymmetry and daughter cell fate in asymmetric neuroblast divisions","type":"article-journal","volume":"133"},"uris":["http://www.mendeley.com/documents/?uuid=47914403-db00-327e-</w:instrText>
      </w:r>
      <w:r>
        <w:rPr>
          <w:rFonts w:ascii="Arial" w:eastAsia="Times New Roman" w:hAnsi="Arial" w:cs="Arial"/>
          <w:i/>
          <w:iCs/>
          <w:color w:val="000000" w:themeColor="text1"/>
          <w:lang w:val="en-US" w:eastAsia="de-DE"/>
        </w:rPr>
        <w:instrText>86a4-e5fa623e042a"]}],"mendeley":{"formattedCitation":"&lt;sup&gt;211&lt;/sup&gt;","plainTextFormattedCitation":"211","previouslyFormattedCitation":"&lt;sup&gt;211&lt;/sup&gt;"},"properties":{"noteIndex":0},"schema":"https://github.com/citation-style-language/schema/raw/master/cs</w:instrText>
      </w:r>
      <w:r>
        <w:rPr>
          <w:rFonts w:ascii="Arial" w:eastAsia="Times New Roman" w:hAnsi="Arial" w:cs="Arial"/>
          <w:i/>
          <w:iCs/>
          <w:color w:val="000000" w:themeColor="text1"/>
          <w:lang w:val="en-US" w:eastAsia="de-DE"/>
        </w:rPr>
        <w:instrText>l-citation.json"}</w:instrText>
      </w:r>
      <w:r>
        <w:rPr>
          <w:rFonts w:ascii="Arial" w:eastAsia="Times New Roman" w:hAnsi="Arial" w:cs="Arial"/>
          <w:i/>
          <w:iCs/>
          <w:color w:val="000000" w:themeColor="text1"/>
          <w:lang w:val="en-US" w:eastAsia="de-DE"/>
        </w:rPr>
        <w:fldChar w:fldCharType="separate"/>
      </w:r>
      <w:r>
        <w:rPr>
          <w:rFonts w:ascii="Arial" w:eastAsia="Times New Roman" w:hAnsi="Arial" w:cs="Arial"/>
          <w:iCs/>
          <w:noProof/>
          <w:color w:val="000000" w:themeColor="text1"/>
          <w:vertAlign w:val="superscript"/>
          <w:lang w:val="en-US" w:eastAsia="de-DE"/>
        </w:rPr>
        <w:t>211</w:t>
      </w:r>
      <w:r>
        <w:rPr>
          <w:rFonts w:ascii="Arial" w:eastAsia="Times New Roman" w:hAnsi="Arial" w:cs="Arial"/>
          <w:i/>
          <w:iCs/>
          <w:color w:val="000000" w:themeColor="text1"/>
          <w:lang w:val="en-US" w:eastAsia="de-DE"/>
        </w:rPr>
        <w:fldChar w:fldCharType="end"/>
      </w:r>
      <w:r>
        <w:rPr>
          <w:rFonts w:ascii="Arial" w:eastAsia="Times New Roman" w:hAnsi="Arial" w:cs="Arial"/>
          <w:color w:val="000000" w:themeColor="text1"/>
          <w:lang w:val="en-US" w:eastAsia="de-DE"/>
        </w:rPr>
        <w:t xml:space="preserve"> and </w:t>
      </w:r>
      <w:r>
        <w:rPr>
          <w:rFonts w:ascii="Arial" w:eastAsia="Times New Roman" w:hAnsi="Arial" w:cs="Arial"/>
          <w:i/>
          <w:iCs/>
          <w:color w:val="000000" w:themeColor="text1"/>
          <w:lang w:val="en-US" w:eastAsia="de-DE"/>
        </w:rPr>
        <w:t>Drosophila melangaster</w:t>
      </w:r>
      <w:r>
        <w:rPr>
          <w:rFonts w:ascii="Arial" w:eastAsia="Times New Roman" w:hAnsi="Arial" w:cs="Arial"/>
          <w:i/>
          <w:iCs/>
          <w:color w:val="000000" w:themeColor="text1"/>
          <w:lang w:val="en-US" w:eastAsia="de-DE"/>
        </w:rPr>
        <w:fldChar w:fldCharType="begin" w:fldLock="1"/>
      </w:r>
      <w:r>
        <w:rPr>
          <w:rFonts w:ascii="Arial" w:eastAsia="Times New Roman" w:hAnsi="Arial" w:cs="Arial"/>
          <w:i/>
          <w:iCs/>
          <w:color w:val="000000" w:themeColor="text1"/>
          <w:lang w:val="en-US" w:eastAsia="de-DE"/>
        </w:rPr>
        <w:instrText>ADDIN CSL_CITATION {"citationItems":[{"id":"ITEM-1","itemData":{"DOI":"10.1016/j.cell.2014.06.024","abstract":"Stem cells are highly abundant during early development but become a rare population in most ad</w:instrText>
      </w:r>
      <w:r>
        <w:rPr>
          <w:rFonts w:ascii="Arial" w:eastAsia="Times New Roman" w:hAnsi="Arial" w:cs="Arial"/>
          <w:i/>
          <w:iCs/>
          <w:color w:val="000000" w:themeColor="text1"/>
          <w:lang w:val="en-US" w:eastAsia="de-DE"/>
        </w:rPr>
        <w:instrText>ult organs. The molecular mechanisms causing stem cells to exit proliferation at a specific time are not well understood. Here, we show that changes in energy metabolism induced by the steroid hormone ecdysone and the Mediator initiate an irreversible casc</w:instrText>
      </w:r>
      <w:r>
        <w:rPr>
          <w:rFonts w:ascii="Arial" w:eastAsia="Times New Roman" w:hAnsi="Arial" w:cs="Arial"/>
          <w:i/>
          <w:iCs/>
          <w:color w:val="000000" w:themeColor="text1"/>
          <w:lang w:val="en-US" w:eastAsia="de-DE"/>
        </w:rPr>
        <w:instrText>ade of events leading to cell-cycle exit in Drosophila neural stem cells. We show that the timely induction of oxidative phosphorylation and the mitochondrial respiratory chain are required in neuroblasts to uncouple the cell cycle from cell growth. This r</w:instrText>
      </w:r>
      <w:r>
        <w:rPr>
          <w:rFonts w:ascii="Arial" w:eastAsia="Times New Roman" w:hAnsi="Arial" w:cs="Arial"/>
          <w:i/>
          <w:iCs/>
          <w:color w:val="000000" w:themeColor="text1"/>
          <w:lang w:val="en-US" w:eastAsia="de-DE"/>
        </w:rPr>
        <w:instrText>esults in a progressive reduction in neuroblast cell size and ultimately in terminal differentiation. Brain tumor mutant neuroblasts fail to undergo this shrinkage process and continue to proliferate until adulthood. Our findings show that cell size contro</w:instrText>
      </w:r>
      <w:r>
        <w:rPr>
          <w:rFonts w:ascii="Arial" w:eastAsia="Times New Roman" w:hAnsi="Arial" w:cs="Arial"/>
          <w:i/>
          <w:iCs/>
          <w:color w:val="000000" w:themeColor="text1"/>
          <w:lang w:val="en-US" w:eastAsia="de-DE"/>
        </w:rPr>
        <w:instrText>l can be modified by systemic hormonal signaling and reveal a unique connection between metabolism and proliferation in stem cells.","author":[{"dropping-particle":"","family":"Homem","given":"Catarina C.F.","non-dropping-particle":"","parse-names":false,"</w:instrText>
      </w:r>
      <w:r>
        <w:rPr>
          <w:rFonts w:ascii="Arial" w:eastAsia="Times New Roman" w:hAnsi="Arial" w:cs="Arial"/>
          <w:i/>
          <w:iCs/>
          <w:color w:val="000000" w:themeColor="text1"/>
          <w:lang w:val="en-US" w:eastAsia="de-DE"/>
        </w:rPr>
        <w:instrText>suffix":""},{"dropping-particle":"","family":"Steinmann","given":"Victoria","non-dropping-particle":"","parse-names":false,"suffix":""},{"dropping-particle":"","family":"Burkard","given":"Thomas R.","non-dropping-particle":"","parse-names":false,"suffix":"</w:instrText>
      </w:r>
      <w:r>
        <w:rPr>
          <w:rFonts w:ascii="Arial" w:eastAsia="Times New Roman" w:hAnsi="Arial" w:cs="Arial"/>
          <w:i/>
          <w:iCs/>
          <w:color w:val="000000" w:themeColor="text1"/>
          <w:lang w:val="en-US" w:eastAsia="de-DE"/>
        </w:rPr>
        <w:instrText>"},{"dropping-particle":"","family":"Jais","given":"Alexander","non-dropping-particle":"","parse-names":false,"suffix":""},{"dropping-particle":"","family":"Esterbauer","given":"Harald","non-dropping-particle":"","parse-names":false,"suffix":""},{"dropping</w:instrText>
      </w:r>
      <w:r>
        <w:rPr>
          <w:rFonts w:ascii="Arial" w:eastAsia="Times New Roman" w:hAnsi="Arial" w:cs="Arial"/>
          <w:i/>
          <w:iCs/>
          <w:color w:val="000000" w:themeColor="text1"/>
          <w:lang w:val="en-US" w:eastAsia="de-DE"/>
        </w:rPr>
        <w:instrText>-particle":"","family":"Knoblich","given":"Juergen A.","non-dropping-particle":"","parse-names":false,"suffix":""}],"container-title":"Cell","id":"ITEM-1","issue":"4","issued":{"date-parts":[["2014","8"]]},"page":"874-888","title":"Ecdysone and Mediator Ch</w:instrText>
      </w:r>
      <w:r>
        <w:rPr>
          <w:rFonts w:ascii="Arial" w:eastAsia="Times New Roman" w:hAnsi="Arial" w:cs="Arial"/>
          <w:i/>
          <w:iCs/>
          <w:color w:val="000000" w:themeColor="text1"/>
          <w:lang w:val="en-US" w:eastAsia="de-DE"/>
        </w:rPr>
        <w:instrText>ange Energy Metabolism to Terminate Proliferation in Drosophila Neural Stem Cells","type":"article-journal","volume":"158"},"uris":["http://www.mendeley.com/documents/?uuid=e1fb125d-2325-34d3-a251-230659ba7614"]}],"mendeley":{"formattedCitation":"&lt;sup&gt;212&lt;</w:instrText>
      </w:r>
      <w:r>
        <w:rPr>
          <w:rFonts w:ascii="Arial" w:eastAsia="Times New Roman" w:hAnsi="Arial" w:cs="Arial"/>
          <w:i/>
          <w:iCs/>
          <w:color w:val="000000" w:themeColor="text1"/>
          <w:lang w:val="en-US" w:eastAsia="de-DE"/>
        </w:rPr>
        <w:instrText>/sup&gt;","plainTextFormattedCitation":"212","previouslyFormattedCitation":"&lt;sup&gt;212&lt;/sup&gt;"},"properties":{"noteIndex":0},"schema":"https://github.com/citation-style-language/schema/raw/master/csl-citation.json"}</w:instrText>
      </w:r>
      <w:r>
        <w:rPr>
          <w:rFonts w:ascii="Arial" w:eastAsia="Times New Roman" w:hAnsi="Arial" w:cs="Arial"/>
          <w:i/>
          <w:iCs/>
          <w:color w:val="000000" w:themeColor="text1"/>
          <w:lang w:val="en-US" w:eastAsia="de-DE"/>
        </w:rPr>
        <w:fldChar w:fldCharType="separate"/>
      </w:r>
      <w:r>
        <w:rPr>
          <w:rFonts w:ascii="Arial" w:eastAsia="Times New Roman" w:hAnsi="Arial" w:cs="Arial"/>
          <w:iCs/>
          <w:noProof/>
          <w:color w:val="000000" w:themeColor="text1"/>
          <w:vertAlign w:val="superscript"/>
          <w:lang w:val="en-US" w:eastAsia="de-DE"/>
        </w:rPr>
        <w:t>212</w:t>
      </w:r>
      <w:r>
        <w:rPr>
          <w:rFonts w:ascii="Arial" w:eastAsia="Times New Roman" w:hAnsi="Arial" w:cs="Arial"/>
          <w:i/>
          <w:iCs/>
          <w:color w:val="000000" w:themeColor="text1"/>
          <w:lang w:val="en-US" w:eastAsia="de-DE"/>
        </w:rPr>
        <w:fldChar w:fldCharType="end"/>
      </w:r>
      <w:r>
        <w:rPr>
          <w:rFonts w:ascii="Arial" w:eastAsia="Times New Roman" w:hAnsi="Arial" w:cs="Arial"/>
          <w:color w:val="000000" w:themeColor="text1"/>
          <w:lang w:val="en-US" w:eastAsia="de-DE"/>
        </w:rPr>
        <w:t xml:space="preserve">, where similar to </w:t>
      </w:r>
      <w:r>
        <w:rPr>
          <w:rFonts w:ascii="Arial" w:eastAsia="Times New Roman" w:hAnsi="Arial" w:cs="Arial"/>
          <w:i/>
          <w:iCs/>
          <w:color w:val="000000" w:themeColor="text1"/>
          <w:lang w:val="en-US" w:eastAsia="de-DE"/>
        </w:rPr>
        <w:t>Caenorhabditis elegans</w:t>
      </w:r>
      <w:r>
        <w:rPr>
          <w:rFonts w:ascii="Arial" w:eastAsia="Times New Roman" w:hAnsi="Arial" w:cs="Arial"/>
          <w:i/>
          <w:iCs/>
          <w:color w:val="000000" w:themeColor="text1"/>
          <w:lang w:val="en-US" w:eastAsia="de-DE"/>
        </w:rPr>
        <w:t xml:space="preserve"> </w:t>
      </w:r>
      <w:r>
        <w:rPr>
          <w:rFonts w:ascii="Arial" w:eastAsia="Times New Roman" w:hAnsi="Arial" w:cs="Arial"/>
          <w:color w:val="000000" w:themeColor="text1"/>
          <w:lang w:val="en-US" w:eastAsia="de-DE"/>
        </w:rPr>
        <w:t>blastomeres, the neuronal stem cells undergo a fixed number of asymmetric divisions before differentiation.</w:t>
      </w:r>
    </w:p>
    <w:p w14:paraId="20361445"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Moreover, in some plants, the zygote undergoes an asymmetric division, creating two differently sized cells, where the smaller cell becomes the emb</w:t>
      </w:r>
      <w:r>
        <w:rPr>
          <w:rFonts w:ascii="Arial" w:eastAsia="Times New Roman" w:hAnsi="Arial" w:cs="Arial"/>
          <w:color w:val="000000" w:themeColor="text1"/>
          <w:lang w:val="en-US" w:eastAsia="de-DE"/>
        </w:rPr>
        <w:t>ryo and the larger cell the suspensor, which forms the supporting tissue for the developing embryo</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{"citationItems":[{"id":"ITEM-1","itemData":{"DOI":"10.1016/J.PBI.2019.10.002","ISSN":"1879-0356","PMID":"31727540","abstract":"In the last</w:instrText>
      </w:r>
      <w:r>
        <w:rPr>
          <w:rFonts w:ascii="Arial" w:eastAsia="Times New Roman" w:hAnsi="Arial" w:cs="Arial"/>
          <w:color w:val="000000" w:themeColor="text1"/>
          <w:lang w:val="en-US" w:eastAsia="de-DE"/>
        </w:rPr>
        <w:instrText xml:space="preserve"> two decades, work on auxin signaling has helped to understand many aspects of the fundamental process underlying the specification of tissue types in the plant embryo. However, the immediate steps after fertilization including the polarization of the zygo</w:instrText>
      </w:r>
      <w:r>
        <w:rPr>
          <w:rFonts w:ascii="Arial" w:eastAsia="Times New Roman" w:hAnsi="Arial" w:cs="Arial"/>
          <w:color w:val="000000" w:themeColor="text1"/>
          <w:lang w:val="en-US" w:eastAsia="de-DE"/>
        </w:rPr>
        <w:instrText>te and the initial body axis formation remained poorly understood. Valuable insight into these enigmatic processes has been gained by studying fertilization in grasses. Recent technical advances in transcriptomics of developing embryos with high spatial an</w:instrText>
      </w:r>
      <w:r>
        <w:rPr>
          <w:rFonts w:ascii="Arial" w:eastAsia="Times New Roman" w:hAnsi="Arial" w:cs="Arial"/>
          <w:color w:val="000000" w:themeColor="text1"/>
          <w:lang w:val="en-US" w:eastAsia="de-DE"/>
        </w:rPr>
        <w:instrText>d temporal resolution give an emerging picture of the rapid changes of the zygotic developmental program. Together with the use of live imaging of novel fluorescent marker lines, these data are now the basis of unraveling the very first steps of the embryo</w:instrText>
      </w:r>
      <w:r>
        <w:rPr>
          <w:rFonts w:ascii="Arial" w:eastAsia="Times New Roman" w:hAnsi="Arial" w:cs="Arial"/>
          <w:color w:val="000000" w:themeColor="text1"/>
          <w:lang w:val="en-US" w:eastAsia="de-DE"/>
        </w:rPr>
        <w:instrText>nic patterning process.","author":[{"dropping-particle":"","family":"Wang","given":"Kai","non-dropping-particle":"","parse-names":false,"suffix":""},{"dropping-particle":"","family":"Chen","given":"Houming","non-dropping-particle":"","parse-names":false,"s</w:instrText>
      </w:r>
      <w:r>
        <w:rPr>
          <w:rFonts w:ascii="Arial" w:eastAsia="Times New Roman" w:hAnsi="Arial" w:cs="Arial"/>
          <w:color w:val="000000" w:themeColor="text1"/>
          <w:lang w:val="en-US" w:eastAsia="de-DE"/>
        </w:rPr>
        <w:instrText>uffix":""},{"dropping-particle":"","family":"Miao","given":"Yingjing","non-dropping-particle":"","parse-names":false,"suffix":""},{"dropping-particle":"","family":"Bayer","given":"Martin","non-dropping-particle":"","parse-names":false,"suffix":""}],"contai</w:instrText>
      </w:r>
      <w:r>
        <w:rPr>
          <w:rFonts w:ascii="Arial" w:eastAsia="Times New Roman" w:hAnsi="Arial" w:cs="Arial"/>
          <w:color w:val="000000" w:themeColor="text1"/>
          <w:lang w:val="en-US" w:eastAsia="de-DE"/>
        </w:rPr>
        <w:instrText>ner-title":"Current opinion in plant biology","id":"ITEM-1","issued":{"date-parts":[["2020","2","1"]]},"page":"128-133","publisher":"Curr Opin Plant Biol","title":"Square one: zygote polarity and early embryogenesis in flowering plants","type":"article-jou</w:instrText>
      </w:r>
      <w:r>
        <w:rPr>
          <w:rFonts w:ascii="Arial" w:eastAsia="Times New Roman" w:hAnsi="Arial" w:cs="Arial"/>
          <w:color w:val="000000" w:themeColor="text1"/>
          <w:lang w:val="en-US" w:eastAsia="de-DE"/>
        </w:rPr>
        <w:instrText>rnal","volume":"53"},"uris":["http://www.mendeley.com/documents/?uuid=725201fc-45c4-3b2f-ad0e-01a262cd4c10"]}],"mendeley":{"formattedCitation":"&lt;sup&gt;213&lt;/sup&gt;","plainTextFormattedCitation":"213","previouslyFormattedCitation":"&lt;sup&gt;213&lt;/sup&gt;"},"properties":</w:instrText>
      </w:r>
      <w:r>
        <w:rPr>
          <w:rFonts w:ascii="Arial" w:eastAsia="Times New Roman" w:hAnsi="Arial" w:cs="Arial"/>
          <w:color w:val="000000" w:themeColor="text1"/>
          <w:lang w:val="en-US" w:eastAsia="de-DE"/>
        </w:rPr>
        <w:instrText>{"noteIndex":0},"schema":"https://github.com/citation-style-language/schema/raw/master/csl-citation.json"}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213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t>
      </w:r>
    </w:p>
    <w:p w14:paraId="55B4610C"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A more detailed overview on how cell size impacts development and differentiation can be found in two excellent recent reviews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w:instrText>
      </w:r>
      <w:r>
        <w:rPr>
          <w:rFonts w:ascii="Arial" w:eastAsia="Times New Roman" w:hAnsi="Arial" w:cs="Arial"/>
          <w:color w:val="000000"/>
          <w:lang w:val="en-US" w:eastAsia="de-DE"/>
        </w:rPr>
        <w:instrText>CSL_CITATION {"citationItems":[{"id":"ITEM-1","itemData":{"DOI":"10.1016/J.CEB.2020.08.004","ISSN":"18790410","PMID":"33152556","abstract":"Early embryo development is characterized by alteration of cellular dimensions and fating of blastomeres. An emergin</w:instrText>
      </w:r>
      <w:r>
        <w:rPr>
          <w:rFonts w:ascii="Arial" w:eastAsia="Times New Roman" w:hAnsi="Arial" w:cs="Arial"/>
          <w:color w:val="000000"/>
          <w:lang w:val="en-US" w:eastAsia="de-DE"/>
        </w:rPr>
        <w:instrText>g concept is that cell size and shape drive cellular differentiation during early embryogenesis in a variety of model organisms. In this review, we summarize recent advances that elucidate the contribution of the physical dimensions of a cell to major embr</w:instrText>
      </w:r>
      <w:r>
        <w:rPr>
          <w:rFonts w:ascii="Arial" w:eastAsia="Times New Roman" w:hAnsi="Arial" w:cs="Arial"/>
          <w:color w:val="000000"/>
          <w:lang w:val="en-US" w:eastAsia="de-DE"/>
        </w:rPr>
        <w:instrText>yonic transitions and cell fate specification in vivo. We also highlight techniques and newly evolving methods for manipulating the sizes and shapes of cells and whole embryos in situ and ex vivo. Finally, we provide an outlook for addressing fundamental q</w:instrText>
      </w:r>
      <w:r>
        <w:rPr>
          <w:rFonts w:ascii="Arial" w:eastAsia="Times New Roman" w:hAnsi="Arial" w:cs="Arial"/>
          <w:color w:val="000000"/>
          <w:lang w:val="en-US" w:eastAsia="de-DE"/>
        </w:rPr>
        <w:instrText>uestions in the field and more broadly uncovering how changes to cell size control decision making in a variety of biological contexts.","author":[{"dropping-particle":"","family":"Chen","given":"Hui","non-dropping-particle":"","parse-names":false,"suffix"</w:instrText>
      </w:r>
      <w:r>
        <w:rPr>
          <w:rFonts w:ascii="Arial" w:eastAsia="Times New Roman" w:hAnsi="Arial" w:cs="Arial"/>
          <w:color w:val="000000"/>
          <w:lang w:val="en-US" w:eastAsia="de-DE"/>
        </w:rPr>
        <w:instrText>:""},{"dropping-particle":"","family":"Qian","given":"Wenchao","non-dropping-particle":"","parse-names":false,"suffix":""},{"dropping-particle":"","family":"Good","given":"Matthew C.","non-dropping-particle":"","parse-names":false,"suffix":""}],"container-</w:instrText>
      </w:r>
      <w:r>
        <w:rPr>
          <w:rFonts w:ascii="Arial" w:eastAsia="Times New Roman" w:hAnsi="Arial" w:cs="Arial"/>
          <w:color w:val="000000"/>
          <w:lang w:val="en-US" w:eastAsia="de-DE"/>
        </w:rPr>
        <w:instrText>title":"Current opinion in cell biology","id":"ITEM-1","issued":{"date-parts":[["2020","12","1"]]},"page":"109","publisher":"NIH Public Access","title":"Integrating Cellular Dimensions with Cell Differentiation During Early Development","type":"article-jou</w:instrText>
      </w:r>
      <w:r>
        <w:rPr>
          <w:rFonts w:ascii="Arial" w:eastAsia="Times New Roman" w:hAnsi="Arial" w:cs="Arial"/>
          <w:color w:val="000000"/>
          <w:lang w:val="en-US" w:eastAsia="de-DE"/>
        </w:rPr>
        <w:instrText>rnal","volume":"67"},"uris":["http://www.mendeley.com/documents/?uuid=a590c08e-ad63-3341-913b-c3dec7399e4c"]},{"id":"ITEM-2","itemData":{"DOI":"10.1016/J.EJCB.2023.151312","ISSN":"1618-1298","PMID":"36989838","abstract":"Cell size has profound effects on b</w:instrText>
      </w:r>
      <w:r>
        <w:rPr>
          <w:rFonts w:ascii="Arial" w:eastAsia="Times New Roman" w:hAnsi="Arial" w:cs="Arial"/>
          <w:color w:val="000000"/>
          <w:lang w:val="en-US" w:eastAsia="de-DE"/>
        </w:rPr>
        <w:instrText xml:space="preserve">iological function, influencing a wide range of processes, including biosynthetic capacity, metabolism, and nutrient uptake. As a result, size is typically maintained within a narrow, population-specific range through size control mechanisms, which are an </w:instrText>
      </w:r>
      <w:r>
        <w:rPr>
          <w:rFonts w:ascii="Arial" w:eastAsia="Times New Roman" w:hAnsi="Arial" w:cs="Arial"/>
          <w:color w:val="000000"/>
          <w:lang w:val="en-US" w:eastAsia="de-DE"/>
        </w:rPr>
        <w:instrText>active area of study. While the physiological consequences of cell size are relatively well-characterized, less is known about its developmental consequences, and specifically its effects on developmental transitions. In this review, we compare systems whe</w:instrText>
      </w:r>
      <w:r>
        <w:rPr>
          <w:rFonts w:ascii="Arial" w:eastAsia="Times New Roman" w:hAnsi="Arial" w:cs="Arial"/>
          <w:color w:val="000000"/>
          <w:lang w:val="en-US" w:eastAsia="de-DE"/>
        </w:rPr>
        <w:instrText>re cell size is linked to developmental transitions, paying particular attention to examples from plants. We conclude by proposing that size can offer a simple readout of complex inputs, enabling flexible decisions during plant development.","author":[{"dr</w:instrText>
      </w:r>
      <w:r>
        <w:rPr>
          <w:rFonts w:ascii="Arial" w:eastAsia="Times New Roman" w:hAnsi="Arial" w:cs="Arial"/>
          <w:color w:val="000000"/>
          <w:lang w:val="en-US" w:eastAsia="de-DE"/>
        </w:rPr>
        <w:instrText>opping-particle":"","family":"Fung","given":"Hannah F.","non-dropping-particle":"","parse-names":false,"suffix":""},{"dropping-particle":"","family":"Bergmann","given":"Dominique C.","non-dropping-particle":"","parse-names":false,"suffix":""}],"container-t</w:instrText>
      </w:r>
      <w:r>
        <w:rPr>
          <w:rFonts w:ascii="Arial" w:eastAsia="Times New Roman" w:hAnsi="Arial" w:cs="Arial"/>
          <w:color w:val="000000"/>
          <w:lang w:val="en-US" w:eastAsia="de-DE"/>
        </w:rPr>
        <w:instrText>itle":"European journal of cell biology","id":"ITEM-2","issue":"2","issued":{"date-parts":[["2023","6","1"]]},"publisher":"Eur J Cell Biol","title":"Function follows form: How cell size is harnessed for developmental decisions","type":"article-journal","vo</w:instrText>
      </w:r>
      <w:r>
        <w:rPr>
          <w:rFonts w:ascii="Arial" w:eastAsia="Times New Roman" w:hAnsi="Arial" w:cs="Arial"/>
          <w:color w:val="000000"/>
          <w:lang w:val="en-US" w:eastAsia="de-DE"/>
        </w:rPr>
        <w:instrText>lume":"102"},"uris":["http://www.mendeley.com/documents/?uuid=93e20ad3-151f-3d68-b85d-3b5929f63685"]}],"mendeley":{"formattedCitation":"&lt;sup&gt;214,215&lt;/sup&gt;","plainTextFormattedCitation":"214,215","previouslyFormattedCitation":"&lt;sup&gt;214,215&lt;/sup&gt;"},"properti</w:instrText>
      </w:r>
      <w:r>
        <w:rPr>
          <w:rFonts w:ascii="Arial" w:eastAsia="Times New Roman" w:hAnsi="Arial" w:cs="Arial"/>
          <w:color w:val="000000"/>
          <w:lang w:val="en-US" w:eastAsia="de-DE"/>
        </w:rPr>
        <w:instrText>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214,215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While the examples highlighted here suggest that cell size is fundamentally linked to developmental processes in multicellular species</w:t>
      </w:r>
      <w:r>
        <w:rPr>
          <w:rFonts w:ascii="Arial" w:eastAsia="Times New Roman" w:hAnsi="Arial" w:cs="Arial"/>
          <w:color w:val="000000"/>
          <w:lang w:val="en-US" w:eastAsia="de-DE"/>
        </w:rPr>
        <w:t>, future studies are needed to reveal its role in humans.</w:t>
      </w:r>
    </w:p>
    <w:p w14:paraId="03FBFC3A"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u w:val="single"/>
          <w:lang w:val="en-US" w:eastAsia="de-DE"/>
        </w:rPr>
        <w:t>6 Cell size adaptation to the environment</w:t>
      </w:r>
    </w:p>
    <w:p w14:paraId="75080200"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6.1 Cell size adaptation to nutrients</w:t>
      </w:r>
    </w:p>
    <w:p w14:paraId="4F41BE66"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In unicellular organisms, nutrient availability is well known to be a major determinant of cell size. Both budding yea</w:t>
      </w:r>
      <w:r>
        <w:rPr>
          <w:rFonts w:ascii="Arial" w:eastAsia="Times New Roman" w:hAnsi="Arial" w:cs="Arial"/>
          <w:color w:val="000000"/>
          <w:lang w:val="en-US" w:eastAsia="de-DE"/>
        </w:rPr>
        <w:t>st and fission yeast cells get smaller in poor growth media and bigger in rich growth media</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{"citationItems":[{"id":"ITEM-1","itemData":{"DOI":"10.1016/0014-4827(77)90154-9","ISBN":"0014-4827 (Print)\\r0014-4827 (Linking)","ISSN":"0014482</w:instrText>
      </w:r>
      <w:r>
        <w:rPr>
          <w:rFonts w:ascii="Arial" w:eastAsia="Times New Roman" w:hAnsi="Arial" w:cs="Arial"/>
          <w:color w:val="000000"/>
          <w:lang w:val="en-US" w:eastAsia="de-DE"/>
        </w:rPr>
        <w:instrText xml:space="preserve">7","PMID":"320023","abstract":"Aspects covered in this review of the cleaning of food machinery and equipment include: the washing process (rinsing, alkaline/acid washing, disinfecting); and major cleaning methods (CIP cleaning in place, open-access). The </w:instrText>
      </w:r>
      <w:r>
        <w:rPr>
          <w:rFonts w:ascii="Arial" w:eastAsia="Times New Roman" w:hAnsi="Arial" w:cs="Arial"/>
          <w:color w:val="000000"/>
          <w:lang w:val="en-US" w:eastAsia="de-DE"/>
        </w:rPr>
        <w:instrText>requirements to be met by cleaning agents and disinfectants used in the food industry are discussed. Some specific examples are quoted, showing the kinetics of removal of sugar and protein deposits from a tank by spraying; flow diagrams of the methods cove</w:instrText>
      </w:r>
      <w:r>
        <w:rPr>
          <w:rFonts w:ascii="Arial" w:eastAsia="Times New Roman" w:hAnsi="Arial" w:cs="Arial"/>
          <w:color w:val="000000"/>
          <w:lang w:val="en-US" w:eastAsia="de-DE"/>
        </w:rPr>
        <w:instrText>red are presented. See FSTA (1994) 26 6C71 for part III.","author":[{"dropping-particle":"","family":"Johnston","given":"G C","non-dropping-particle":"","parse-names":false,"suffix":""},{"dropping-particle":"","family":"Pringle","given":"J R","non-dropping</w:instrText>
      </w:r>
      <w:r>
        <w:rPr>
          <w:rFonts w:ascii="Arial" w:eastAsia="Times New Roman" w:hAnsi="Arial" w:cs="Arial"/>
          <w:color w:val="000000"/>
          <w:lang w:val="en-US" w:eastAsia="de-DE"/>
        </w:rPr>
        <w:instrText>-particle":"","parse-names":false,"suffix":""},{"dropping-particle":"","family":"Hartwell","given":"L H","non-dropping-particle":"","parse-names":false,"suffix":""}],"container-title":"Experimental cell research","id":"ITEM-1","issue":"1","issued":{"date-p</w:instrText>
      </w:r>
      <w:r>
        <w:rPr>
          <w:rFonts w:ascii="Arial" w:eastAsia="Times New Roman" w:hAnsi="Arial" w:cs="Arial"/>
          <w:color w:val="000000"/>
          <w:lang w:val="en-US" w:eastAsia="de-DE"/>
        </w:rPr>
        <w:instrText>arts":[["1977"]]},"page":"79-98","title":"Coordination of growth with cell division in the yeast Saccharomyces cerevisiae.","type":"article-journal","volume":"105"},"uris":["http://www.mendeley.com/documents/?uuid=af73349a-6d4c-49cc-b6f1-0a83a8c9faeb"]},{"</w:instrText>
      </w:r>
      <w:r>
        <w:rPr>
          <w:rFonts w:ascii="Arial" w:eastAsia="Times New Roman" w:hAnsi="Arial" w:cs="Arial"/>
          <w:color w:val="000000"/>
          <w:lang w:val="en-US" w:eastAsia="de-DE"/>
        </w:rPr>
        <w:instrText>id":"ITEM-2","itemData":{"DOI":"10.1016/0014-4827(77)90359-7","author":[{"dropping-particle":"","family":"Fantes","given":"P","non-dropping-particle":"","parse-names":false,"suffix":""},{"dropping-particle":"","family":"Nurse","given":"P","non-dropping-par</w:instrText>
      </w:r>
      <w:r>
        <w:rPr>
          <w:rFonts w:ascii="Arial" w:eastAsia="Times New Roman" w:hAnsi="Arial" w:cs="Arial"/>
          <w:color w:val="000000"/>
          <w:lang w:val="en-US" w:eastAsia="de-DE"/>
        </w:rPr>
        <w:instrText>ticle":"","parse-names":false,"suffix":""}],"container-title":"Exp Cell Res","id":"ITEM-2","issued":{"date-parts":[["1977"]]},"title":"Control of cell size at division in fission yeast by a growth-modulated size control over nuclear division","type":"artic</w:instrText>
      </w:r>
      <w:r>
        <w:rPr>
          <w:rFonts w:ascii="Arial" w:eastAsia="Times New Roman" w:hAnsi="Arial" w:cs="Arial"/>
          <w:color w:val="000000"/>
          <w:lang w:val="en-US" w:eastAsia="de-DE"/>
        </w:rPr>
        <w:instrText>le-journal","volume":"107"},"uris":["http://www.mendeley.com/documents/?uuid=81df9842-e13b-4d8a-9534-a9b1c487a16a"]},{"id":"ITEM-3","itemData":{"DOI":"10.1016/j.celrep.2019.09.030","ISSN":"22111247","abstract":"Proliferating cells need to evaluate the envi</w:instrText>
      </w:r>
      <w:r>
        <w:rPr>
          <w:rFonts w:ascii="Arial" w:eastAsia="Times New Roman" w:hAnsi="Arial" w:cs="Arial"/>
          <w:color w:val="000000"/>
          <w:lang w:val="en-US" w:eastAsia="de-DE"/>
        </w:rPr>
        <w:instrText>ronment to determine the optimal timing for cell cycle entry. However, how this is achieved is not well understood. Here, we show that, in budding yeast, the G1 inhibitor Whi5 is a key environmental indicator and plays a crucial role in coordinating cell g</w:instrText>
      </w:r>
      <w:r>
        <w:rPr>
          <w:rFonts w:ascii="Arial" w:eastAsia="Times New Roman" w:hAnsi="Arial" w:cs="Arial"/>
          <w:color w:val="000000"/>
          <w:lang w:val="en-US" w:eastAsia="de-DE"/>
        </w:rPr>
        <w:instrText>rowth and division. We found that, under a variety of nutrient and stress conditions, Whi5 amount in G1 is proportional to the cell's doubling time in the environment, which in turn influences the timing for the next cell cycle entry. In addition, the coor</w:instrText>
      </w:r>
      <w:r>
        <w:rPr>
          <w:rFonts w:ascii="Arial" w:eastAsia="Times New Roman" w:hAnsi="Arial" w:cs="Arial"/>
          <w:color w:val="000000"/>
          <w:lang w:val="en-US" w:eastAsia="de-DE"/>
        </w:rPr>
        <w:instrText xml:space="preserve">dination between division and environment is further fine-tuned in G1 by environmentally dependent growth rate, G1 cyclin-Cdk1 contribution, and Whi5 threshold at the start. Our results show that the cell stores the past environmental information in Whi5, </w:instrText>
      </w:r>
      <w:r>
        <w:rPr>
          <w:rFonts w:ascii="Arial" w:eastAsia="Times New Roman" w:hAnsi="Arial" w:cs="Arial"/>
          <w:color w:val="000000"/>
          <w:lang w:val="en-US" w:eastAsia="de-DE"/>
        </w:rPr>
        <w:instrText>which works together with other mechanisms sensing the current environmental condition to achieve an adaptive cellular decision making process.","author":[{"dropping-particle":"","family":"Qu","given":"Yimiao","non-dropping-particle":"","parse-names":false</w:instrText>
      </w:r>
      <w:r>
        <w:rPr>
          <w:rFonts w:ascii="Arial" w:eastAsia="Times New Roman" w:hAnsi="Arial" w:cs="Arial"/>
          <w:color w:val="000000"/>
          <w:lang w:val="en-US" w:eastAsia="de-DE"/>
        </w:rPr>
        <w:instrText>,"suffix":""},{"dropping-particle":"","family":"Jiang","given":"Jun","non-dropping-particle":"","parse-names":false,"suffix":""},{"dropping-particle":"","family":"Liu","given":"Xiang","non-dropping-particle":"","parse-names":false,"suffix":""},{"dropping-p</w:instrText>
      </w:r>
      <w:r>
        <w:rPr>
          <w:rFonts w:ascii="Arial" w:eastAsia="Times New Roman" w:hAnsi="Arial" w:cs="Arial"/>
          <w:color w:val="000000"/>
          <w:lang w:val="en-US" w:eastAsia="de-DE"/>
        </w:rPr>
        <w:instrText>article":"","family":"Wei","given":"Ping","non-dropping-particle":"","parse-names":false,"suffix":""},{"dropping-particle":"","family":"Yang","given":"Xiaojing","non-dropping-particle":"","parse-names":false,"suffix":""},{"dropping-particle":"","family":"T</w:instrText>
      </w:r>
      <w:r>
        <w:rPr>
          <w:rFonts w:ascii="Arial" w:eastAsia="Times New Roman" w:hAnsi="Arial" w:cs="Arial"/>
          <w:color w:val="000000"/>
          <w:lang w:val="en-US" w:eastAsia="de-DE"/>
        </w:rPr>
        <w:instrText>ang","given":"Chao","non-dropping-particle":"","parse-names":false,"suffix":""}],"container-title":"Cell Reports","id":"ITEM-3","issue":"4","issued":{"date-parts":[["2019"]]},"page":"987-994.e5","title":"Cell Cycle Inhibitor Whi5 Records Environmental Info</w:instrText>
      </w:r>
      <w:r>
        <w:rPr>
          <w:rFonts w:ascii="Arial" w:eastAsia="Times New Roman" w:hAnsi="Arial" w:cs="Arial"/>
          <w:color w:val="000000"/>
          <w:lang w:val="en-US" w:eastAsia="de-DE"/>
        </w:rPr>
        <w:instrText>rmation to Coordinate Growth and Division in Yeast","type":"article-journal","volume":"29"},"uris":["http://www.mendeley.com/documents/?uuid=181f9a6e-1b36-4d60-89fb-0697c9a7bfe2"]},{"id":"ITEM-4","itemData":{"DOI":"10.1038/ncomms2015","ISSN":"2041-1723","a</w:instrText>
      </w:r>
      <w:r>
        <w:rPr>
          <w:rFonts w:ascii="Arial" w:eastAsia="Times New Roman" w:hAnsi="Arial" w:cs="Arial"/>
          <w:color w:val="000000"/>
          <w:lang w:val="en-US" w:eastAsia="de-DE"/>
        </w:rPr>
        <w:instrText>uthor":[{"dropping-particle":"","family":"Ferrezuelo","given":"Francisco","non-dropping-particle":"","parse-names":false,"suffix":""},{"dropping-particle":"","family":"Colomina","given":"Neus","non-dropping-particle":"","parse-names":false,"suffix":""},{"d</w:instrText>
      </w:r>
      <w:r>
        <w:rPr>
          <w:rFonts w:ascii="Arial" w:eastAsia="Times New Roman" w:hAnsi="Arial" w:cs="Arial"/>
          <w:color w:val="000000"/>
          <w:lang w:val="en-US" w:eastAsia="de-DE"/>
        </w:rPr>
        <w:instrText>ropping-particle":"","family":"Palmisano","given":"Alida","non-dropping-particle":"","parse-names":false,"suffix":""},{"dropping-particle":"","family":"Garí","given":"Eloi","non-dropping-particle":"","parse-names":false,"suffix":""},{"dropping-particle":""</w:instrText>
      </w:r>
      <w:r>
        <w:rPr>
          <w:rFonts w:ascii="Arial" w:eastAsia="Times New Roman" w:hAnsi="Arial" w:cs="Arial"/>
          <w:color w:val="000000"/>
          <w:lang w:val="en-US" w:eastAsia="de-DE"/>
        </w:rPr>
        <w:instrText>,"family":"Gallego","given":"Carme","non-dropping-particle":"","parse-names":false,"suffix":""},{"dropping-particle":"","family":"Csikász-Nagy","given":"Attila","non-dropping-particle":"","parse-names":false,"suffix":""},{"dropping-particle":"","family":"A</w:instrText>
      </w:r>
      <w:r>
        <w:rPr>
          <w:rFonts w:ascii="Arial" w:eastAsia="Times New Roman" w:hAnsi="Arial" w:cs="Arial"/>
          <w:color w:val="000000"/>
          <w:lang w:val="en-US" w:eastAsia="de-DE"/>
        </w:rPr>
        <w:instrText>ldea","given":"Martí","non-dropping-particle":"","parse-names":false,"suffix":""}],"container-title":"Nature Communications","id":"ITEM-4","issued":{"date-parts":[["2012","8","21"]]},"page":"1012","publisher":"Nature Research","title":"The critical size is</w:instrText>
      </w:r>
      <w:r>
        <w:rPr>
          <w:rFonts w:ascii="Arial" w:eastAsia="Times New Roman" w:hAnsi="Arial" w:cs="Arial"/>
          <w:color w:val="000000"/>
          <w:lang w:val="en-US" w:eastAsia="de-DE"/>
        </w:rPr>
        <w:instrText xml:space="preserve"> set at a single-cell level by growth rate to attain homeostasis and adaptation","type":"article-journal","volume":"3"},"uris":["http://www.mendeley.com/documents/?uuid=10027e37-4a7c-3301-9a36-1c204ae964a8"]}],"mendeley":{"formattedCitation":"&lt;sup&gt;52,216–2</w:instrText>
      </w:r>
      <w:r>
        <w:rPr>
          <w:rFonts w:ascii="Arial" w:eastAsia="Times New Roman" w:hAnsi="Arial" w:cs="Arial"/>
          <w:color w:val="000000"/>
          <w:lang w:val="en-US" w:eastAsia="de-DE"/>
        </w:rPr>
        <w:instrText>18&lt;/sup&gt;","plainTextFormattedCitation":"52,216–218","previouslyFormattedCitation":"&lt;sup&gt;52,216–218&lt;/sup&gt;"},"properties":{"noteIndex":0},"schema":"https://github.com/citation-style-language/schema/raw/master/csl-citation.json"}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52,216–218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For multicellul</w:t>
      </w:r>
      <w:r>
        <w:rPr>
          <w:rFonts w:ascii="Arial" w:eastAsia="Times New Roman" w:hAnsi="Arial" w:cs="Arial"/>
          <w:color w:val="000000"/>
          <w:lang w:val="en-US" w:eastAsia="de-DE"/>
        </w:rPr>
        <w:t>ar organisms, cell size needs to be regulated in a tissue- and cell-type specific manner. Therefore, cell growth regulation in multicellular organisms is coordinated with nutrient availability as well as growth and proliferation signaling in the form of ex</w:t>
      </w:r>
      <w:r>
        <w:rPr>
          <w:rFonts w:ascii="Arial" w:eastAsia="Times New Roman" w:hAnsi="Arial" w:cs="Arial"/>
          <w:color w:val="000000"/>
          <w:lang w:val="en-US" w:eastAsia="de-DE"/>
        </w:rPr>
        <w:t>tracellular growth and mitogenic factors, respectively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{"citationItems":[{"id":"ITEM-1","itemData":{"DOI":"10.1016/S0092-8674(00)80563-2","ISSN":"00928674","PMID":"9988218","abstract":"(Fankhauser, 1952). Thus, the central question of siz</w:instrText>
      </w:r>
      <w:r>
        <w:rPr>
          <w:rFonts w:ascii="Arial" w:eastAsia="Times New Roman" w:hAnsi="Arial" w:cs="Arial"/>
          <w:color w:val="000000"/>
          <w:lang w:val="en-US" w:eastAsia="de-DE"/>
        </w:rPr>
        <w:instrText>e Ian Conlon* and Martin Raff control is how total cell mass is determined. Developmental Neurobiology Programme Both local and systemic controls determine organ Medical Research Council Laboratory for Molecular size, but their relative importance can vary</w:instrText>
      </w:r>
      <w:r>
        <w:rPr>
          <w:rFonts w:ascii="Arial" w:eastAsia="Times New Roman" w:hAnsi="Arial" w:cs="Arial"/>
          <w:color w:val="000000"/>
          <w:lang w:val="en-US" w:eastAsia="de-DE"/>
        </w:rPr>
        <w:instrText xml:space="preserve"> greatly. If Cell Biology multiple fetal thymus glands are transplanted into a de-University College London veloping mouse, each grows to its normal adult size, London WC1E 6BT suggesting that their growth is mainly controlled by fac-United Kingdom tors wi</w:instrText>
      </w:r>
      <w:r>
        <w:rPr>
          <w:rFonts w:ascii="Arial" w:eastAsia="Times New Roman" w:hAnsi="Arial" w:cs="Arial"/>
          <w:color w:val="000000"/>
          <w:lang w:val="en-US" w:eastAsia="de-DE"/>
        </w:rPr>
        <w:instrText>thin the thymus (Metcalf, 1963). If the same experiment is performed with fetal spleens, the total mass of the transplanted spleens attains the mass of one normal \"The most obvious differences between different ani-adult spleen, suggesting that their grow</w:instrText>
      </w:r>
      <w:r>
        <w:rPr>
          <w:rFonts w:ascii="Arial" w:eastAsia="Times New Roman" w:hAnsi="Arial" w:cs="Arial"/>
          <w:color w:val="000000"/>
          <w:lang w:val="en-US" w:eastAsia="de-DE"/>
        </w:rPr>
        <w:instrText>th is mainly con-mals are differences in size, but for some reason the trolled by factors outside the spleen (Metcalf, 1964). zoologists have paid singularly little attention to them.\" Similar transplantation experiments, as well as tissue-J. B. S. Haldan</w:instrText>
      </w:r>
      <w:r>
        <w:rPr>
          <w:rFonts w:ascii="Arial" w:eastAsia="Times New Roman" w:hAnsi="Arial" w:cs="Arial"/>
          <w:color w:val="000000"/>
          <w:lang w:val="en-US" w:eastAsia="de-DE"/>
        </w:rPr>
        <w:instrText xml:space="preserve">e, On Being the Right Size, 1927 culture experiments, indicate that most animal organs grow to a characteristic size under autonomous controls (Goss, 1978; Bryant and Simpson, 1984). Systemic fac-Some proclaim that the major principles of development tors </w:instrText>
      </w:r>
      <w:r>
        <w:rPr>
          <w:rFonts w:ascii="Arial" w:eastAsia="Times New Roman" w:hAnsi="Arial" w:cs="Arial"/>
          <w:color w:val="000000"/>
          <w:lang w:val="en-US" w:eastAsia="de-DE"/>
        </w:rPr>
        <w:instrText>such as hormones, however, influence final organ are now understood (Wolpert, 1996). Yet one of the most size. Growth hormone (GH), for instance, which the pitu-fundamental aspects of development remains as myste-itary gland secretes under the control of t</w:instrText>
      </w:r>
      <w:r>
        <w:rPr>
          <w:rFonts w:ascii="Arial" w:eastAsia="Times New Roman" w:hAnsi="Arial" w:cs="Arial"/>
          <w:color w:val="000000"/>
          <w:lang w:val="en-US" w:eastAsia="de-DE"/>
        </w:rPr>
        <w:instrText>he hypothala-rious as ever-how the size of an animal or plant is mus, plays a major part in stimulating postnatal mamma-determined. How is it, for example, that we grow to be lian growth: children deficient in GH become dwarfs, larger than mice and our arm</w:instrText>
      </w:r>
      <w:r>
        <w:rPr>
          <w:rFonts w:ascii="Arial" w:eastAsia="Times New Roman" w:hAnsi="Arial" w:cs="Arial"/>
          <w:color w:val="000000"/>
          <w:lang w:val="en-US" w:eastAsia="de-DE"/>
        </w:rPr>
        <w:instrText>s grow to be the same whereas those with excessive GH become giants. GH length? Although it is clear that genes play the predomi-stimulates growth largely by inducing the liver and other nant part in determining size, it is largely unknown how organs to pr</w:instrText>
      </w:r>
      <w:r>
        <w:rPr>
          <w:rFonts w:ascii="Arial" w:eastAsia="Times New Roman" w:hAnsi="Arial" w:cs="Arial"/>
          <w:color w:val="000000"/>
          <w:lang w:val="en-US" w:eastAsia="de-DE"/>
        </w:rPr>
        <w:instrText>oduce insulin-like growth factor 1 (IGF1) they do so. Considering the importance of size control, (Heyner and Garside, 1994, and see below). it is remarkable that so little attention has been paid Although genes largely determine the size of an animal to i</w:instrText>
      </w:r>
      <w:r>
        <w:rPr>
          <w:rFonts w:ascii="Arial" w:eastAsia="Times New Roman" w:hAnsi="Arial" w:cs="Arial"/>
          <w:color w:val="000000"/>
          <w:lang w:val="en-US" w:eastAsia="de-DE"/>
        </w:rPr>
        <w:instrText>t. or organ, environmental factors such as nutrition or The size of an animal, organ, or appendage depends functional load also play a part. D…","author":[{"dropping-particle":"","family":"Conlon","given":"Ian","non-dropping-particle":"","parse-names":fals</w:instrText>
      </w:r>
      <w:r>
        <w:rPr>
          <w:rFonts w:ascii="Arial" w:eastAsia="Times New Roman" w:hAnsi="Arial" w:cs="Arial"/>
          <w:color w:val="000000"/>
          <w:lang w:val="en-US" w:eastAsia="de-DE"/>
        </w:rPr>
        <w:instrText>e,"suffix":""},{"dropping-particle":"","family":"Raff","given":"Martin","non-dropping-particle":"","parse-names":false,"suffix":""}],"container-title":"Cell","id":"ITEM-1","issue":"2","issued":{"date-parts":[["1999","1","22"]]},"page":"235-244","publisher"</w:instrText>
      </w:r>
      <w:r>
        <w:rPr>
          <w:rFonts w:ascii="Arial" w:eastAsia="Times New Roman" w:hAnsi="Arial" w:cs="Arial"/>
          <w:color w:val="000000"/>
          <w:lang w:val="en-US" w:eastAsia="de-DE"/>
        </w:rPr>
        <w:instrText>:"Elsevier B.V.","title":"Size control in animal development","type":"article-journal","volume":"96"},"uris":["http://www.mendeley.com/documents/?uuid=4d11c3e6-713f-37c8-bcba-58aa511f4440"]},{"id":"ITEM-2","itemData":{"DOI":"10.1016/j.cell.2013.08.053","IS</w:instrText>
      </w:r>
      <w:r>
        <w:rPr>
          <w:rFonts w:ascii="Arial" w:eastAsia="Times New Roman" w:hAnsi="Arial" w:cs="Arial"/>
          <w:color w:val="000000"/>
          <w:lang w:val="en-US" w:eastAsia="de-DE"/>
        </w:rPr>
        <w:instrText>BN":"1097-4172 (Electronic)\\r0092-8674 (Linking)","ISSN":"1097-4172","PMID":"24034244","abstract":"An adult animal consists of cells of vastly different size and activity, but the regulation of cell size remains poorly understood. Recent studies uncoverin</w:instrText>
      </w:r>
      <w:r>
        <w:rPr>
          <w:rFonts w:ascii="Arial" w:eastAsia="Times New Roman" w:hAnsi="Arial" w:cs="Arial"/>
          <w:color w:val="000000"/>
          <w:lang w:val="en-US" w:eastAsia="de-DE"/>
        </w:rPr>
        <w:instrText xml:space="preserve">g some of the signaling pathways important for size/growth control, together with the identification of diseases resulting from aberrations in these pathways, have renewed interest in this field. This Review will discuss our current understanding of how a </w:instrText>
      </w:r>
      <w:r>
        <w:rPr>
          <w:rFonts w:ascii="Arial" w:eastAsia="Times New Roman" w:hAnsi="Arial" w:cs="Arial"/>
          <w:color w:val="000000"/>
          <w:lang w:val="en-US" w:eastAsia="de-DE"/>
        </w:rPr>
        <w:instrText>cell sets its size, how it can adapt its size to a changing environment, and how these processes are relevant to human disease.","author":[{"dropping-particle":"","family":"Lloyd","given":"Alison C","non-dropping-particle":"","parse-names":false,"suffix":"</w:instrText>
      </w:r>
      <w:r>
        <w:rPr>
          <w:rFonts w:ascii="Arial" w:eastAsia="Times New Roman" w:hAnsi="Arial" w:cs="Arial"/>
          <w:color w:val="000000"/>
          <w:lang w:val="en-US" w:eastAsia="de-DE"/>
        </w:rPr>
        <w:instrText>"}],"container-title":"Cell","id":"ITEM-2","issue":"6","issued":{"date-parts":[["2013"]]},"page":"1194-205","title":"The regulation of cell size.","type":"article-journal","volume":"154"},"uris":["http://www.mendeley.com/documents/?uuid=7448e0fc-e550-45fd-</w:instrText>
      </w:r>
      <w:r>
        <w:rPr>
          <w:rFonts w:ascii="Arial" w:eastAsia="Times New Roman" w:hAnsi="Arial" w:cs="Arial"/>
          <w:color w:val="000000"/>
          <w:lang w:val="en-US" w:eastAsia="de-DE"/>
        </w:rPr>
        <w:instrText>8963-bd0b7ff1b03d"]}],"mendeley":{"formattedCitation":"&lt;sup&gt;179,219&lt;/sup&gt;","plainTextFormattedCitation":"179,219","previouslyFormattedCitation":"&lt;sup&gt;179,219&lt;/sup&gt;"},"properties":{"noteIndex":0},"schema":"https://github.com/citation-style-language/schema/r</w:instrText>
      </w:r>
      <w:r>
        <w:rPr>
          <w:rFonts w:ascii="Arial" w:eastAsia="Times New Roman" w:hAnsi="Arial" w:cs="Arial"/>
          <w:color w:val="000000"/>
          <w:lang w:val="en-US" w:eastAsia="de-DE"/>
        </w:rPr>
        <w:instrText>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179,219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Thus, the effect of nutrients on multicellular organisms may vary from tissue to tissue. The target organism size of the adult animal is set genetically but is sensitive to extracellular factors such as nutrient and</w:t>
      </w:r>
      <w:r>
        <w:rPr>
          <w:rFonts w:ascii="Arial" w:eastAsia="Times New Roman" w:hAnsi="Arial" w:cs="Arial"/>
          <w:color w:val="000000"/>
          <w:lang w:val="en-US" w:eastAsia="de-DE"/>
        </w:rPr>
        <w:t xml:space="preserve"> growth factor availability during development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{"citationItems":[{"id":"ITEM-1","itemData":{"DOI":"10.1016/j.cell.2013.08.053","ISBN":"1097-4172 (Electronic)\\r0092-8674 (Linking)","ISSN":"1097-4172","PMID":"24034244","abstract":"An adult</w:instrText>
      </w:r>
      <w:r>
        <w:rPr>
          <w:rFonts w:ascii="Arial" w:eastAsia="Times New Roman" w:hAnsi="Arial" w:cs="Arial"/>
          <w:color w:val="000000"/>
          <w:lang w:val="en-US" w:eastAsia="de-DE"/>
        </w:rPr>
        <w:instrText xml:space="preserve"> animal consists of cells of vastly different size and activity, but the regulation of cell size remains poorly understood. Recent studies uncovering some of the signaling pathways important for size/growth control, together with the identification of dise</w:instrText>
      </w:r>
      <w:r>
        <w:rPr>
          <w:rFonts w:ascii="Arial" w:eastAsia="Times New Roman" w:hAnsi="Arial" w:cs="Arial"/>
          <w:color w:val="000000"/>
          <w:lang w:val="en-US" w:eastAsia="de-DE"/>
        </w:rPr>
        <w:instrText>ases resulting from aberrations in these pathways, have renewed interest in this field. This Review will discuss our current understanding of how a cell sets its size, how it can adapt its size to a changing environment, and how these processes are relevan</w:instrText>
      </w:r>
      <w:r>
        <w:rPr>
          <w:rFonts w:ascii="Arial" w:eastAsia="Times New Roman" w:hAnsi="Arial" w:cs="Arial"/>
          <w:color w:val="000000"/>
          <w:lang w:val="en-US" w:eastAsia="de-DE"/>
        </w:rPr>
        <w:instrText>t to human disease.","author":[{"dropping-particle":"","family":"Lloyd","given":"Alison C","non-dropping-particle":"","parse-names":false,"suffix":""}],"container-title":"Cell","id":"ITEM-1","issue":"6","issued":{"date-parts":[["2013"]]},"page":"1194-205",</w:instrText>
      </w:r>
      <w:r>
        <w:rPr>
          <w:rFonts w:ascii="Arial" w:eastAsia="Times New Roman" w:hAnsi="Arial" w:cs="Arial"/>
          <w:color w:val="000000"/>
          <w:lang w:val="en-US" w:eastAsia="de-DE"/>
        </w:rPr>
        <w:instrText>"title":"The regulation of cell size.","type":"article-journal","volume":"154"},"uris":["http://www.mendeley.com/documents/?uuid=7448e0fc-e550-45fd-8963-bd0b7ff1b03d"]}],"mendeley":{"formattedCitation":"&lt;sup&gt;179&lt;/sup&gt;","plainTextFormattedCitation":"179","p</w:instrText>
      </w:r>
      <w:r>
        <w:rPr>
          <w:rFonts w:ascii="Arial" w:eastAsia="Times New Roman" w:hAnsi="Arial" w:cs="Arial"/>
          <w:color w:val="000000"/>
          <w:lang w:val="en-US" w:eastAsia="de-DE"/>
        </w:rPr>
        <w:instrText>reviouslyFormattedCitation":"&lt;sup&gt;179&lt;/sup&gt;"},"properties":{"noteIndex":0},"schema":"https://github.com/citation-style-language/schema/raw/master/csl-citation.json"}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179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For example, nutrient deprivation or growth-factor excess during development can le</w:t>
      </w:r>
      <w:r>
        <w:rPr>
          <w:rFonts w:ascii="Arial" w:eastAsia="Times New Roman" w:hAnsi="Arial" w:cs="Arial"/>
          <w:color w:val="000000"/>
          <w:lang w:val="en-US" w:eastAsia="de-DE"/>
        </w:rPr>
        <w:t>ad to size phenotypes in the adult, both at the organismal and cellular level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{"citationItems":[{"id":"ITEM-1","itemData":{"DOI":"10.1016/S0092-8674(00)80563-2","ISSN":"00928674","PMID":"9988218","abstract":"(Fankhauser, 1952). Thus, the </w:instrText>
      </w:r>
      <w:r>
        <w:rPr>
          <w:rFonts w:ascii="Arial" w:eastAsia="Times New Roman" w:hAnsi="Arial" w:cs="Arial"/>
          <w:color w:val="000000"/>
          <w:lang w:val="en-US" w:eastAsia="de-DE"/>
        </w:rPr>
        <w:instrText>central question of size Ian Conlon* and Martin Raff control is how total cell mass is determined. Developmental Neurobiology Programme Both local and systemic controls determine organ Medical Research Council Laboratory for Molecular size, but their relat</w:instrText>
      </w:r>
      <w:r>
        <w:rPr>
          <w:rFonts w:ascii="Arial" w:eastAsia="Times New Roman" w:hAnsi="Arial" w:cs="Arial"/>
          <w:color w:val="000000"/>
          <w:lang w:val="en-US" w:eastAsia="de-DE"/>
        </w:rPr>
        <w:instrText>ive importance can vary greatly. If Cell Biology multiple fetal thymus glands are transplanted into a de-University College London veloping mouse, each grows to its normal adult size, London WC1E 6BT suggesting that their growth is mainly controlled by fac</w:instrText>
      </w:r>
      <w:r>
        <w:rPr>
          <w:rFonts w:ascii="Arial" w:eastAsia="Times New Roman" w:hAnsi="Arial" w:cs="Arial"/>
          <w:color w:val="000000"/>
          <w:lang w:val="en-US" w:eastAsia="de-DE"/>
        </w:rPr>
        <w:instrText>-United Kingdom tors within the thymus (Metcalf, 1963). If the same experiment is performed with fetal spleens, the total mass of the transplanted spleens attains the mass of one normal \"The most obvious differences between different ani-adult spleen, sug</w:instrText>
      </w:r>
      <w:r>
        <w:rPr>
          <w:rFonts w:ascii="Arial" w:eastAsia="Times New Roman" w:hAnsi="Arial" w:cs="Arial"/>
          <w:color w:val="000000"/>
          <w:lang w:val="en-US" w:eastAsia="de-DE"/>
        </w:rPr>
        <w:instrText>gesting that their growth is mainly con-mals are differences in size, but for some reason the trolled by factors outside the spleen (Metcalf, 1964). zoologists have paid singularly little attention to them.\" Similar transplantation experiments, as well as</w:instrText>
      </w:r>
      <w:r>
        <w:rPr>
          <w:rFonts w:ascii="Arial" w:eastAsia="Times New Roman" w:hAnsi="Arial" w:cs="Arial"/>
          <w:color w:val="000000"/>
          <w:lang w:val="en-US" w:eastAsia="de-DE"/>
        </w:rPr>
        <w:instrText xml:space="preserve"> tissue-J. B. S. Haldane, On Being the Right Size, 1927 culture experiments, indicate that most animal organs grow to a characteristic size under autonomous controls (Goss, 1978; Bryant and Simpson, 1984). Systemic fac-Some proclaim that the major principl</w:instrText>
      </w:r>
      <w:r>
        <w:rPr>
          <w:rFonts w:ascii="Arial" w:eastAsia="Times New Roman" w:hAnsi="Arial" w:cs="Arial"/>
          <w:color w:val="000000"/>
          <w:lang w:val="en-US" w:eastAsia="de-DE"/>
        </w:rPr>
        <w:instrText>es of development tors such as hormones, however, influence final organ are now understood (Wolpert, 1996). Yet one of the most size. Growth hormone (GH), for instance, which the pitu-fundamental aspects of development remains as myste-itary gland secretes</w:instrText>
      </w:r>
      <w:r>
        <w:rPr>
          <w:rFonts w:ascii="Arial" w:eastAsia="Times New Roman" w:hAnsi="Arial" w:cs="Arial"/>
          <w:color w:val="000000"/>
          <w:lang w:val="en-US" w:eastAsia="de-DE"/>
        </w:rPr>
        <w:instrText xml:space="preserve"> under the control of the hypothala-rious as ever-how the size of an animal or plant is mus, plays a major part in stimulating postnatal mamma-determined. How is it, for example, that we grow to be lian growth: children deficient in GH become dwarfs, large</w:instrText>
      </w:r>
      <w:r>
        <w:rPr>
          <w:rFonts w:ascii="Arial" w:eastAsia="Times New Roman" w:hAnsi="Arial" w:cs="Arial"/>
          <w:color w:val="000000"/>
          <w:lang w:val="en-US" w:eastAsia="de-DE"/>
        </w:rPr>
        <w:instrText>r than mice and our arms grow to be the same whereas those with excessive GH become giants. GH length? Although it is clear that genes play the predomi-stimulates growth largely by inducing the liver and other nant part in determining size, it is largely u</w:instrText>
      </w:r>
      <w:r>
        <w:rPr>
          <w:rFonts w:ascii="Arial" w:eastAsia="Times New Roman" w:hAnsi="Arial" w:cs="Arial"/>
          <w:color w:val="000000"/>
          <w:lang w:val="en-US" w:eastAsia="de-DE"/>
        </w:rPr>
        <w:instrText>nknown how organs to produce insulin-like growth factor 1 (IGF1) they do so. Considering the importance of size control, (Heyner and Garside, 1994, and see below). it is remarkable that so little attention has been paid Although genes largely determine the</w:instrText>
      </w:r>
      <w:r>
        <w:rPr>
          <w:rFonts w:ascii="Arial" w:eastAsia="Times New Roman" w:hAnsi="Arial" w:cs="Arial"/>
          <w:color w:val="000000"/>
          <w:lang w:val="en-US" w:eastAsia="de-DE"/>
        </w:rPr>
        <w:instrText xml:space="preserve"> size of an animal to it. or organ, environmental factors such as nutrition or The size of an animal, organ, or appendage depends functional load also play a part. D…","author":[{"dropping-particle":"","family":"Conlon","given":"Ian","non-dropping-particle</w:instrText>
      </w:r>
      <w:r>
        <w:rPr>
          <w:rFonts w:ascii="Arial" w:eastAsia="Times New Roman" w:hAnsi="Arial" w:cs="Arial"/>
          <w:color w:val="000000"/>
          <w:lang w:val="en-US" w:eastAsia="de-DE"/>
        </w:rPr>
        <w:instrText>":"","parse-names":false,"suffix":""},{"dropping-particle":"","family":"Raff","given":"Martin","non-dropping-particle":"","parse-names":false,"suffix":""}],"container-title":"Cell","id":"ITEM-1","issue":"2","issued":{"date-parts":[["1999","1","22"]]},"page</w:instrText>
      </w:r>
      <w:r>
        <w:rPr>
          <w:rFonts w:ascii="Arial" w:eastAsia="Times New Roman" w:hAnsi="Arial" w:cs="Arial"/>
          <w:color w:val="000000"/>
          <w:lang w:val="en-US" w:eastAsia="de-DE"/>
        </w:rPr>
        <w:instrText>":"235-244","publisher":"Elsevier B.V.","title":"Size control in animal development","type":"article-journal","volume":"96"},"uris":["http://www.mendeley.com/documents/?uuid=4d11c3e6-713f-37c8-bcba-58aa511f4440"]}],"mendeley":{"formattedCitation":"&lt;sup&gt;219</w:instrText>
      </w:r>
      <w:r>
        <w:rPr>
          <w:rFonts w:ascii="Arial" w:eastAsia="Times New Roman" w:hAnsi="Arial" w:cs="Arial"/>
          <w:color w:val="000000"/>
          <w:lang w:val="en-US" w:eastAsia="de-DE"/>
        </w:rPr>
        <w:instrText>&lt;/sup&gt;","plainTextFormattedCitation":"219","previouslyFormattedCitation":"&lt;sup&gt;219&lt;/sup&gt;"},"properties":{"noteIndex":0},"schema":"https://github.com/citation-style-language/schema/raw/master/csl-citation.json"}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219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as observed in flies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w:instrText>
      </w:r>
      <w:r>
        <w:rPr>
          <w:rFonts w:ascii="Arial" w:eastAsia="Times New Roman" w:hAnsi="Arial" w:cs="Arial"/>
          <w:color w:val="000000"/>
          <w:lang w:val="en-US" w:eastAsia="de-DE"/>
        </w:rPr>
        <w:instrText xml:space="preserve"> {"citationItems":[{"id":"ITEM-1","itemData":{"DOI":"10.1038/nrg1989","ISSN":"1471-0064","PMID":"17139322","abstract":"Both genetic and physiological studies are contributing to our understanding of insect body size, a trait that affects fitness in many wa</w:instrText>
      </w:r>
      <w:r>
        <w:rPr>
          <w:rFonts w:ascii="Arial" w:eastAsia="Times New Roman" w:hAnsi="Arial" w:cs="Arial"/>
          <w:color w:val="000000"/>
          <w:lang w:val="en-US" w:eastAsia="de-DE"/>
        </w:rPr>
        <w:instrText>ys and is therefore subject to intense selection. Many of the genes that determine body size in insects have similar roles in mammals. Body size affects important fitness variables such as mate selection, predation and tolerance to heat, cold and starvatio</w:instrText>
      </w:r>
      <w:r>
        <w:rPr>
          <w:rFonts w:ascii="Arial" w:eastAsia="Times New Roman" w:hAnsi="Arial" w:cs="Arial"/>
          <w:color w:val="000000"/>
          <w:lang w:val="en-US" w:eastAsia="de-DE"/>
        </w:rPr>
        <w:instrText>n. It is therefore subject to intense evolutionary selection. Recent genetic and physiological studies in insects are providing predictions as to which gene systems are likely to be targeted in selecting for changes in body size. These studies highlight ge</w:instrText>
      </w:r>
      <w:r>
        <w:rPr>
          <w:rFonts w:ascii="Arial" w:eastAsia="Times New Roman" w:hAnsi="Arial" w:cs="Arial"/>
          <w:color w:val="000000"/>
          <w:lang w:val="en-US" w:eastAsia="de-DE"/>
        </w:rPr>
        <w:instrText>nes and pathways that also control size in mammals: insects use insulin-like growth factor (IGF) and Target of rapamycin (TOR) kinase signalling to coordinate nutrition with cell growth, and steroid and neuropeptide hormones to terminate feeding after a ge</w:instrText>
      </w:r>
      <w:r>
        <w:rPr>
          <w:rFonts w:ascii="Arial" w:eastAsia="Times New Roman" w:hAnsi="Arial" w:cs="Arial"/>
          <w:color w:val="000000"/>
          <w:lang w:val="en-US" w:eastAsia="de-DE"/>
        </w:rPr>
        <w:instrText>netically encoded target weight is achieved. However, we still understand little about how size is actually sensed, or how organ-intrinsic size controls interface with whole-body physiology.","author":[{"dropping-particle":"","family":"Edgar","given":"Bruc</w:instrText>
      </w:r>
      <w:r>
        <w:rPr>
          <w:rFonts w:ascii="Arial" w:eastAsia="Times New Roman" w:hAnsi="Arial" w:cs="Arial"/>
          <w:color w:val="000000"/>
          <w:lang w:val="en-US" w:eastAsia="de-DE"/>
        </w:rPr>
        <w:instrText xml:space="preserve">e A.","non-dropping-particle":"","parse-names":false,"suffix":""}],"container-title":"Nature Reviews Genetics 2006 7:12","id":"ITEM-1","issue":"12","issued":{"date-parts":[["2006","12"]]},"page":"907-916","publisher":"Nature Publishing Group","title":"How </w:instrText>
      </w:r>
      <w:r>
        <w:rPr>
          <w:rFonts w:ascii="Arial" w:eastAsia="Times New Roman" w:hAnsi="Arial" w:cs="Arial"/>
          <w:color w:val="000000"/>
          <w:lang w:val="en-US" w:eastAsia="de-DE"/>
        </w:rPr>
        <w:instrText>flies get their size: genetics meets physiology","type":"article-journal","volume":"7"},"uris":["http://www.mendeley.com/documents/?uuid=4cc17857-3050-367b-b9a5-5228a2e0a6d0"]},{"id":"ITEM-2","itemData":{"DOI":"10.1016/j.cell.2013.08.053","ISBN":"1097-4172</w:instrText>
      </w:r>
      <w:r>
        <w:rPr>
          <w:rFonts w:ascii="Arial" w:eastAsia="Times New Roman" w:hAnsi="Arial" w:cs="Arial"/>
          <w:color w:val="000000"/>
          <w:lang w:val="en-US" w:eastAsia="de-DE"/>
        </w:rPr>
        <w:instrText xml:space="preserve"> (Electronic)\\r0092-8674 (Linking)","ISSN":"1097-4172","PMID":"24034244","abstract":"An adult animal consists of cells of vastly different size and activity, but the regulation of cell size remains poorly understood. Recent studies uncovering some of the </w:instrText>
      </w:r>
      <w:r>
        <w:rPr>
          <w:rFonts w:ascii="Arial" w:eastAsia="Times New Roman" w:hAnsi="Arial" w:cs="Arial"/>
          <w:color w:val="000000"/>
          <w:lang w:val="en-US" w:eastAsia="de-DE"/>
        </w:rPr>
        <w:instrText xml:space="preserve">signaling pathways important for size/growth control, together with the identification of diseases resulting from aberrations in these pathways, have renewed interest in this field. This Review will discuss our current understanding of how a cell sets its </w:instrText>
      </w:r>
      <w:r>
        <w:rPr>
          <w:rFonts w:ascii="Arial" w:eastAsia="Times New Roman" w:hAnsi="Arial" w:cs="Arial"/>
          <w:color w:val="000000"/>
          <w:lang w:val="en-US" w:eastAsia="de-DE"/>
        </w:rPr>
        <w:instrText>size, how it can adapt its size to a changing environment, and how these processes are relevant to human disease.","author":[{"dropping-particle":"","family":"Lloyd","given":"Alison C","non-dropping-particle":"","parse-names":false,"suffix":""}],"container</w:instrText>
      </w:r>
      <w:r>
        <w:rPr>
          <w:rFonts w:ascii="Arial" w:eastAsia="Times New Roman" w:hAnsi="Arial" w:cs="Arial"/>
          <w:color w:val="000000"/>
          <w:lang w:val="en-US" w:eastAsia="de-DE"/>
        </w:rPr>
        <w:instrText>-title":"Cell","id":"ITEM-2","issue":"6","issued":{"date-parts":[["2013"]]},"page":"1194-205","title":"The regulation of cell size.","type":"article-journal","volume":"154"},"uris":["http://www.mendeley.com/documents/?uuid=7448e0fc-e550-45fd-8963-bd0b7ff1b</w:instrText>
      </w:r>
      <w:r>
        <w:rPr>
          <w:rFonts w:ascii="Arial" w:eastAsia="Times New Roman" w:hAnsi="Arial" w:cs="Arial"/>
          <w:color w:val="000000"/>
          <w:lang w:val="en-US" w:eastAsia="de-DE"/>
        </w:rPr>
        <w:instrText>03d"]}],"mendeley":{"formattedCitation":"&lt;sup&gt;179,220&lt;/sup&gt;","plainTextFormattedCitation":"179,220","previouslyFormattedCitation":"&lt;sup&gt;179,220&lt;/sup&gt;"},"properties":{"noteIndex":0},"schema":"https://github.com/citation-style-language/schema/raw/master/csl-</w:instrText>
      </w:r>
      <w:r>
        <w:rPr>
          <w:rFonts w:ascii="Arial" w:eastAsia="Times New Roman" w:hAnsi="Arial" w:cs="Arial"/>
          <w:color w:val="000000"/>
          <w:lang w:val="en-US" w:eastAsia="de-DE"/>
        </w:rPr>
        <w:instrText>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179,220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The average height of contemporary European and Central Asian humans has been increasing for the last century, and two strong </w:t>
      </w:r>
      <w:r>
        <w:rPr>
          <w:rFonts w:ascii="Arial" w:eastAsia="Times New Roman" w:hAnsi="Arial" w:cs="Arial"/>
          <w:color w:val="000000"/>
          <w:lang w:val="en-US" w:eastAsia="de-DE"/>
        </w:rPr>
        <w:lastRenderedPageBreak/>
        <w:t>determinants of this increase were found to be nutrition and genetics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w:instrText>
      </w:r>
      <w:r>
        <w:rPr>
          <w:rFonts w:ascii="Arial" w:eastAsia="Times New Roman" w:hAnsi="Arial" w:cs="Arial"/>
          <w:color w:val="000000"/>
          <w:lang w:val="en-US" w:eastAsia="de-DE"/>
        </w:rPr>
        <w:instrText>":[{"id":"ITEM-1","itemData":{"DOI":"10.1016/J.EHB.2014.07.002","ISSN":"1570-677X","PMID":"25190282","abstract":"The aim of this study was to identify the most important variables determining current differences in physical stature in Europe and some of it</w:instrText>
      </w:r>
      <w:r>
        <w:rPr>
          <w:rFonts w:ascii="Arial" w:eastAsia="Times New Roman" w:hAnsi="Arial" w:cs="Arial"/>
          <w:color w:val="000000"/>
          <w:lang w:val="en-US" w:eastAsia="de-DE"/>
        </w:rPr>
        <w:instrText xml:space="preserve">s overseas offshoots such as Australia, New Zealand and USA. We collected data on the height of young men from 45 countries and compared them with long-term averages of food consumption from the FAOSTAT database, various development indicators compiled by </w:instrText>
      </w:r>
      <w:r>
        <w:rPr>
          <w:rFonts w:ascii="Arial" w:eastAsia="Times New Roman" w:hAnsi="Arial" w:cs="Arial"/>
          <w:color w:val="000000"/>
          <w:lang w:val="en-US" w:eastAsia="de-DE"/>
        </w:rPr>
        <w:instrText>the World Bank and the CIA World Factbook, and frequencies of several genetic markers. Our analysis demonstrates that the most important factor explaining current differences in stature among nations of European origin is the level of nutrition, especially</w:instrText>
      </w:r>
      <w:r>
        <w:rPr>
          <w:rFonts w:ascii="Arial" w:eastAsia="Times New Roman" w:hAnsi="Arial" w:cs="Arial"/>
          <w:color w:val="000000"/>
          <w:lang w:val="en-US" w:eastAsia="de-DE"/>
        </w:rPr>
        <w:instrText xml:space="preserve"> the ratio between the intake of high-quality proteins from milk products, pork meat and fish, and low-quality proteins from wheat. Possible genetic factors such as the distribution of Y haplogroup I-M170, combined frequencies of Y haplogroups I-M170 and R</w:instrText>
      </w:r>
      <w:r>
        <w:rPr>
          <w:rFonts w:ascii="Arial" w:eastAsia="Times New Roman" w:hAnsi="Arial" w:cs="Arial"/>
          <w:color w:val="000000"/>
          <w:lang w:val="en-US" w:eastAsia="de-DE"/>
        </w:rPr>
        <w:instrText>1b-U106, or the phenotypic distribution of lactose tolerance emerge as comparably important, but the available data are more limited. Moderately significant positive correlations were also found with GDP per capita, health expenditure and partly with the l</w:instrText>
      </w:r>
      <w:r>
        <w:rPr>
          <w:rFonts w:ascii="Arial" w:eastAsia="Times New Roman" w:hAnsi="Arial" w:cs="Arial"/>
          <w:color w:val="000000"/>
          <w:lang w:val="en-US" w:eastAsia="de-DE"/>
        </w:rPr>
        <w:instrText>evel of urbanization that influences male stature in Western Europe. In contrast, male height correlated inversely with children's mortality and social inequality (Gini index). These results could inspire social and nutritional guidelines that would lead t</w:instrText>
      </w:r>
      <w:r>
        <w:rPr>
          <w:rFonts w:ascii="Arial" w:eastAsia="Times New Roman" w:hAnsi="Arial" w:cs="Arial"/>
          <w:color w:val="000000"/>
          <w:lang w:val="en-US" w:eastAsia="de-DE"/>
        </w:rPr>
        <w:instrText>o the optimization of physical growth in children and maximization of the genetic potential, both at the individual and national level.","author":[{"dropping-particle":"","family":"Grasgruber","given":"P.","non-dropping-particle":"","parse-names":false,"su</w:instrText>
      </w:r>
      <w:r>
        <w:rPr>
          <w:rFonts w:ascii="Arial" w:eastAsia="Times New Roman" w:hAnsi="Arial" w:cs="Arial"/>
          <w:color w:val="000000"/>
          <w:lang w:val="en-US" w:eastAsia="de-DE"/>
        </w:rPr>
        <w:instrText>ffix":""},{"dropping-particle":"","family":"Cacek","given":"J.","non-dropping-particle":"","parse-names":false,"suffix":""},{"dropping-particle":"","family":"Kalina","given":"T.","non-dropping-particle":"","parse-names":false,"suffix":""},{"dropping-partic</w:instrText>
      </w:r>
      <w:r>
        <w:rPr>
          <w:rFonts w:ascii="Arial" w:eastAsia="Times New Roman" w:hAnsi="Arial" w:cs="Arial"/>
          <w:color w:val="000000"/>
          <w:lang w:val="en-US" w:eastAsia="de-DE"/>
        </w:rPr>
        <w:instrText>le":"","family":"Sebera","given":"M.","non-dropping-particle":"","parse-names":false,"suffix":""}],"container-title":"Economics &amp; Human Biology","id":"ITEM-1","issued":{"date-parts":[["2014","12","1"]]},"page":"81-100","publisher":"North-Holland","title":"</w:instrText>
      </w:r>
      <w:r>
        <w:rPr>
          <w:rFonts w:ascii="Arial" w:eastAsia="Times New Roman" w:hAnsi="Arial" w:cs="Arial"/>
          <w:color w:val="000000"/>
          <w:lang w:val="en-US" w:eastAsia="de-DE"/>
        </w:rPr>
        <w:instrText>The role of nutrition and genetics as key determinants of the positive height trend","type":"article-journal","volume":"15"},"uris":["http://www.mendeley.com/documents/?uuid=d352006f-166d-3a10-bbc0-814adc77fcbb"]},{"id":"ITEM-2","itemData":{"DOI":"10.7554/</w:instrText>
      </w:r>
      <w:r>
        <w:rPr>
          <w:rFonts w:ascii="Arial" w:eastAsia="Times New Roman" w:hAnsi="Arial" w:cs="Arial"/>
          <w:color w:val="000000"/>
          <w:lang w:val="en-US" w:eastAsia="de-DE"/>
        </w:rPr>
        <w:instrText>ELIFE.13410","ISSN":"2050084X","PMID":"27458798","abstract":"Being taller is associated with enhanced longevity, and higher education and earnings. We reanalysed 1472 population-based studies, with measurement of height on more than 18.6 million participan</w:instrText>
      </w:r>
      <w:r>
        <w:rPr>
          <w:rFonts w:ascii="Arial" w:eastAsia="Times New Roman" w:hAnsi="Arial" w:cs="Arial"/>
          <w:color w:val="000000"/>
          <w:lang w:val="en-US" w:eastAsia="de-DE"/>
        </w:rPr>
        <w:instrText>ts to estimate mean height for people born between 1896 and 1996 in 200 countries. The largest gain in adult height over the past century has occurred in South Korean women and Iranian men, who became 20.2 cm (95% credible interval 17.5–22.7) and 16.5 cm (</w:instrText>
      </w:r>
      <w:r>
        <w:rPr>
          <w:rFonts w:ascii="Arial" w:eastAsia="Times New Roman" w:hAnsi="Arial" w:cs="Arial"/>
          <w:color w:val="000000"/>
          <w:lang w:val="en-US" w:eastAsia="de-DE"/>
        </w:rPr>
        <w:instrText>13.3– 19.7) taller, respectively. In contrast, there was little change in adult height in some sub-Saharan African countries and in South Asia over the century of analysis. The tallest people over these 100 years are men born in the Netherlands in the last</w:instrText>
      </w:r>
      <w:r>
        <w:rPr>
          <w:rFonts w:ascii="Arial" w:eastAsia="Times New Roman" w:hAnsi="Arial" w:cs="Arial"/>
          <w:color w:val="000000"/>
          <w:lang w:val="en-US" w:eastAsia="de-DE"/>
        </w:rPr>
        <w:instrText xml:space="preserve"> quarter of 20th century, whose average heights surpassed 182.5 cm, and the shortest were women born in Guatemala in 1896 (140.3 cm; 135.8– 144.8). The height differential between the tallest and shortest populations was 19-20 cm a century ago, and has rem</w:instrText>
      </w:r>
      <w:r>
        <w:rPr>
          <w:rFonts w:ascii="Arial" w:eastAsia="Times New Roman" w:hAnsi="Arial" w:cs="Arial"/>
          <w:color w:val="000000"/>
          <w:lang w:val="en-US" w:eastAsia="de-DE"/>
        </w:rPr>
        <w:instrText>ained the same for women and increased for men a century later despite substantial changes in the ranking of countries.","author":[{"dropping-particle":"","family":"Bentham","given":"James","non-dropping-particle":"","parse-names":false,"suffix":""},{"drop</w:instrText>
      </w:r>
      <w:r>
        <w:rPr>
          <w:rFonts w:ascii="Arial" w:eastAsia="Times New Roman" w:hAnsi="Arial" w:cs="Arial"/>
          <w:color w:val="000000"/>
          <w:lang w:val="en-US" w:eastAsia="de-DE"/>
        </w:rPr>
        <w:instrText>ping-particle":"","family":"Cesare","given":"Mariachiara","non-dropping-particle":"Di","parse-names":false,"suffix":""},{"dropping-particle":"","family":"Stevens","given":"Gretchen A.","non-dropping-particle":"","parse-names":false,"suffix":""},{"dropping-</w:instrText>
      </w:r>
      <w:r>
        <w:rPr>
          <w:rFonts w:ascii="Arial" w:eastAsia="Times New Roman" w:hAnsi="Arial" w:cs="Arial"/>
          <w:color w:val="000000"/>
          <w:lang w:val="en-US" w:eastAsia="de-DE"/>
        </w:rPr>
        <w:instrText>particle":"","family":"Zhou","given":"Bin","non-dropping-particle":"","parse-names":false,"suffix":""},{"dropping-particle":"","family":"Bixby","given":"Honor","non-dropping-particle":"","parse-names":false,"suffix":""},{"dropping-particle":"","family":"Co</w:instrText>
      </w:r>
      <w:r>
        <w:rPr>
          <w:rFonts w:ascii="Arial" w:eastAsia="Times New Roman" w:hAnsi="Arial" w:cs="Arial"/>
          <w:color w:val="000000"/>
          <w:lang w:val="en-US" w:eastAsia="de-DE"/>
        </w:rPr>
        <w:instrText>wan","given":"Melanie","non-dropping-particle":"","parse-names":false,"suffix":""},{"dropping-particle":"","family":"Fortunato","given":"Léa","non-dropping-particle":"","parse-names":false,"suffix":""},{"dropping-particle":"","family":"Bennett","given":"Ja</w:instrText>
      </w:r>
      <w:r>
        <w:rPr>
          <w:rFonts w:ascii="Arial" w:eastAsia="Times New Roman" w:hAnsi="Arial" w:cs="Arial"/>
          <w:color w:val="000000"/>
          <w:lang w:val="en-US" w:eastAsia="de-DE"/>
        </w:rPr>
        <w:instrText>mes E.","non-dropping-particle":"","parse-names":false,"suffix":""},{"dropping-particle":"","family":"Danaei","given":"Goodarz","non-dropping-particle":"","parse-names":false,"suffix":""},{"dropping-particle":"","family":"Hajifathalian","given":"Kaveh","no</w:instrText>
      </w:r>
      <w:r>
        <w:rPr>
          <w:rFonts w:ascii="Arial" w:eastAsia="Times New Roman" w:hAnsi="Arial" w:cs="Arial"/>
          <w:color w:val="000000"/>
          <w:lang w:val="en-US" w:eastAsia="de-DE"/>
        </w:rPr>
        <w:instrText>n-dropping-particle":"","parse-names":false,"suffix":""},{"dropping-particle":"","family":"Lu","given":"Yuan","non-dropping-particle":"","parse-names":false,"suffix":""},{"dropping-particle":"","family":"Riley","given":"Leanne M.","non-dropping-particle":"</w:instrText>
      </w:r>
      <w:r>
        <w:rPr>
          <w:rFonts w:ascii="Arial" w:eastAsia="Times New Roman" w:hAnsi="Arial" w:cs="Arial"/>
          <w:color w:val="000000"/>
          <w:lang w:val="en-US" w:eastAsia="de-DE"/>
        </w:rPr>
        <w:instrText>","parse-names":false,"suffix":""},{"dropping-particle":"","family":"Laxmaiah","given":"Avula","non-dropping-particle":"","parse-names":false,"suffix":""},{"dropping-particle":"","family":"Kontis","given":"Vasilis","non-dropping-particle":"","parse-names":</w:instrText>
      </w:r>
      <w:r>
        <w:rPr>
          <w:rFonts w:ascii="Arial" w:eastAsia="Times New Roman" w:hAnsi="Arial" w:cs="Arial"/>
          <w:color w:val="000000"/>
          <w:lang w:val="en-US" w:eastAsia="de-DE"/>
        </w:rPr>
        <w:instrText>false,"suffix":""},{"dropping-particle":"","family":"Paciorek","given":"Christopher J.","non-dropping-particle":"","parse-names":false,"suffix":""},{"dropping-particle":"","family":"Riboli","given":"Elio","non-dropping-particle":"","parse-names":false,"suf</w:instrText>
      </w:r>
      <w:r>
        <w:rPr>
          <w:rFonts w:ascii="Arial" w:eastAsia="Times New Roman" w:hAnsi="Arial" w:cs="Arial"/>
          <w:color w:val="000000"/>
          <w:lang w:val="en-US" w:eastAsia="de-DE"/>
        </w:rPr>
        <w:instrText>fix":""},{"dropping-particle":"","family":"Ezzati","given":"Majid","non-dropping-particle":"","parse-names":false,"suffix":""},{"dropping-particle":"","family":"Abdeen","given":"Ziad A.","non-dropping-particle":"","parse-names":false,"suffix":""},{"droppin</w:instrText>
      </w:r>
      <w:r>
        <w:rPr>
          <w:rFonts w:ascii="Arial" w:eastAsia="Times New Roman" w:hAnsi="Arial" w:cs="Arial"/>
          <w:color w:val="000000"/>
          <w:lang w:val="en-US" w:eastAsia="de-DE"/>
        </w:rPr>
        <w:instrText>g-particle":"","family":"Hamid","given":"Zargar Abdul","non-dropping-particle":"","parse-names":false,"suffix":""},{"dropping-particle":"","family":"Abu-Rmeileh","given":"Niveen M.","non-dropping-particle":"","parse-names":false,"suffix":""},{"dropping-par</w:instrText>
      </w:r>
      <w:r>
        <w:rPr>
          <w:rFonts w:ascii="Arial" w:eastAsia="Times New Roman" w:hAnsi="Arial" w:cs="Arial"/>
          <w:color w:val="000000"/>
          <w:lang w:val="en-US" w:eastAsia="de-DE"/>
        </w:rPr>
        <w:instrText>ticle":"","family":"Acosta-Cazares","given":"Benjamin","non-dropping-particle":"","parse-names":false,"suffix":""},{"dropping-particle":"","family":"Adams","given":"Robert","non-dropping-particle":"","parse-names":false,"suffix":""},{"dropping-particle":""</w:instrText>
      </w:r>
      <w:r>
        <w:rPr>
          <w:rFonts w:ascii="Arial" w:eastAsia="Times New Roman" w:hAnsi="Arial" w:cs="Arial"/>
          <w:color w:val="000000"/>
          <w:lang w:val="en-US" w:eastAsia="de-DE"/>
        </w:rPr>
        <w:instrText>,"family":"Aekplakorn","given":"Wichai","non-dropping-particle":"","parse-names":false,"suffix":""},{"dropping-particle":"","family":"Aguilar-Salinas","given":"Carlos A.","non-dropping-particle":"","parse-names":false,"suffix":""},{"dropping-particle":"","</w:instrText>
      </w:r>
      <w:r>
        <w:rPr>
          <w:rFonts w:ascii="Arial" w:eastAsia="Times New Roman" w:hAnsi="Arial" w:cs="Arial"/>
          <w:color w:val="000000"/>
          <w:lang w:val="en-US" w:eastAsia="de-DE"/>
        </w:rPr>
        <w:instrText>family":"Agyemang","given":"Charles","non-dropping-particle":"","parse-names":false,"suffix":""},{"dropping-particle":"","family":"Ahmadvand","given":"Alireza","non-dropping-particle":"","parse-names":false,"suffix":""},{"dropping-particle":"","family":"Ah</w:instrText>
      </w:r>
      <w:r>
        <w:rPr>
          <w:rFonts w:ascii="Arial" w:eastAsia="Times New Roman" w:hAnsi="Arial" w:cs="Arial"/>
          <w:color w:val="000000"/>
          <w:lang w:val="en-US" w:eastAsia="de-DE"/>
        </w:rPr>
        <w:instrText>rens","given":"Wolfgang","non-dropping-particle":"","parse-names":false,"suffix":""},{"dropping-particle":"","family":"Alhazzaa","given":"Hazzaa M.","non-dropping-particle":"","parse-names":false,"suffix":""},{"dropping-particle":"","family":"Al-Othman","g</w:instrText>
      </w:r>
      <w:r>
        <w:rPr>
          <w:rFonts w:ascii="Arial" w:eastAsia="Times New Roman" w:hAnsi="Arial" w:cs="Arial"/>
          <w:color w:val="000000"/>
          <w:lang w:val="en-US" w:eastAsia="de-DE"/>
        </w:rPr>
        <w:instrText>iven":"Amani Rashed","non-dropping-particle":"","parse-names":false,"suffix":""},{"dropping-particle":"Al","family":"Raddadi","given":"Rajaa","non-dropping-particle":"","parse-names":false,"suffix":""},{"dropping-particle":"","family":"Ali","given":"Mohame</w:instrText>
      </w:r>
      <w:r>
        <w:rPr>
          <w:rFonts w:ascii="Arial" w:eastAsia="Times New Roman" w:hAnsi="Arial" w:cs="Arial"/>
          <w:color w:val="000000"/>
          <w:lang w:val="en-US" w:eastAsia="de-DE"/>
        </w:rPr>
        <w:instrText>d M.","non-dropping-particle":"","parse-names":false,"suffix":""},{"dropping-particle":"","family":"Alkerwi","given":"Ala’A","non-dropping-particle":"","parse-names":false,"suffix":""},{"dropping-particle":"","family":"Alvarez-Pedrerol","given":"Mar","non-</w:instrText>
      </w:r>
      <w:r>
        <w:rPr>
          <w:rFonts w:ascii="Arial" w:eastAsia="Times New Roman" w:hAnsi="Arial" w:cs="Arial"/>
          <w:color w:val="000000"/>
          <w:lang w:val="en-US" w:eastAsia="de-DE"/>
        </w:rPr>
        <w:instrText>dropping-particle":"","parse-names":false,"suffix":""},{"dropping-particle":"","family":"Aly","given":"Eman","non-dropping-particle":"","parse-names":false,"suffix":""},{"dropping-particle":"","family":"Amouyel","given":"Philippe","non-dropping-particle":"</w:instrText>
      </w:r>
      <w:r>
        <w:rPr>
          <w:rFonts w:ascii="Arial" w:eastAsia="Times New Roman" w:hAnsi="Arial" w:cs="Arial"/>
          <w:color w:val="000000"/>
          <w:lang w:val="en-US" w:eastAsia="de-DE"/>
        </w:rPr>
        <w:instrText>","parse-names":false,"suffix":""},{"dropping-particle":"","family":"Amuzu","given":"Antoinette","non-dropping-particle":"","parse-names":false,"suffix":""},{"dropping-particle":"","family":"Andersen","given":"Lars Bo","non-dropping-particle":"","parse-nam</w:instrText>
      </w:r>
      <w:r>
        <w:rPr>
          <w:rFonts w:ascii="Arial" w:eastAsia="Times New Roman" w:hAnsi="Arial" w:cs="Arial"/>
          <w:color w:val="000000"/>
          <w:lang w:val="en-US" w:eastAsia="de-DE"/>
        </w:rPr>
        <w:instrText>es":false,"suffix":""},{"dropping-particle":"","family":"Anderssen","given":"Sigmund A.","non-dropping-particle":"","parse-names":false,"suffix":""},{"dropping-particle":"","family":"Anjana","given":"Ranjit Mohan","non-dropping-particle":"","parse-names":f</w:instrText>
      </w:r>
      <w:r>
        <w:rPr>
          <w:rFonts w:ascii="Arial" w:eastAsia="Times New Roman" w:hAnsi="Arial" w:cs="Arial"/>
          <w:color w:val="000000"/>
          <w:lang w:val="en-US" w:eastAsia="de-DE"/>
        </w:rPr>
        <w:instrText>alse,"suffix":""},{"dropping-particle":"","family":"Aounallah-Skhiri","given":"Hajer","non-dropping-particle":"","parse-names":false,"suffix":""},{"dropping-particle":"","family":"Ariansen","given":"Inger","non-dropping-particle":"","parse-names":false,"su</w:instrText>
      </w:r>
      <w:r>
        <w:rPr>
          <w:rFonts w:ascii="Arial" w:eastAsia="Times New Roman" w:hAnsi="Arial" w:cs="Arial"/>
          <w:color w:val="000000"/>
          <w:lang w:val="en-US" w:eastAsia="de-DE"/>
        </w:rPr>
        <w:instrText>ffix":""},{"dropping-particle":"","family":"Aris","given":"Tahir","non-dropping-particle":"","parse-names":false,"suffix":""},{"dropping-particle":"","family":"Arlappa","given":"Nimmathota","non-dropping-particle":"","parse-names":false,"suffix":""},{"drop</w:instrText>
      </w:r>
      <w:r>
        <w:rPr>
          <w:rFonts w:ascii="Arial" w:eastAsia="Times New Roman" w:hAnsi="Arial" w:cs="Arial"/>
          <w:color w:val="000000"/>
          <w:lang w:val="en-US" w:eastAsia="de-DE"/>
        </w:rPr>
        <w:instrText>ping-particle":"","family":"Arveiler","given":"Dominique","non-dropping-particle":"","parse-names":false,"suffix":""},{"dropping-particle":"","family":"Assah","given":"Felix K.","non-dropping-particle":"","parse-names":false,"suffix":""},{"dropping-particl</w:instrText>
      </w:r>
      <w:r>
        <w:rPr>
          <w:rFonts w:ascii="Arial" w:eastAsia="Times New Roman" w:hAnsi="Arial" w:cs="Arial"/>
          <w:color w:val="000000"/>
          <w:lang w:val="en-US" w:eastAsia="de-DE"/>
        </w:rPr>
        <w:instrText>e":"","family":"Avdicová","given":"Mária","non-dropping-particle":"","parse-names":false,"suffix":""},{"dropping-particle":"","family":"Azizi","given":"Fereidoun","non-dropping-particle":"","parse-names":false,"suffix":""},{"dropping-particle":"V.","family</w:instrText>
      </w:r>
      <w:r>
        <w:rPr>
          <w:rFonts w:ascii="Arial" w:eastAsia="Times New Roman" w:hAnsi="Arial" w:cs="Arial"/>
          <w:color w:val="000000"/>
          <w:lang w:val="en-US" w:eastAsia="de-DE"/>
        </w:rPr>
        <w:instrText>":"Babu","given":"Bontha","non-dropping-particle":"","parse-names":false,"suffix":""},{"dropping-particle":"","family":"Bahijri","given":"Suhad","non-dropping-particle":"","parse-names":false,"suffix":""},{"dropping-particle":"","family":"Balakrishna","giv</w:instrText>
      </w:r>
      <w:r>
        <w:rPr>
          <w:rFonts w:ascii="Arial" w:eastAsia="Times New Roman" w:hAnsi="Arial" w:cs="Arial"/>
          <w:color w:val="000000"/>
          <w:lang w:val="en-US" w:eastAsia="de-DE"/>
        </w:rPr>
        <w:instrText>en":"Nagalla","non-dropping-particle":"","parse-names":false,"suffix":""},{"dropping-particle":"","family":"Bandosz","given":"Piotr","non-dropping-particle":"","parse-names":false,"suffix":""},{"dropping-particle":"","family":"Banegas","given":"José R.","n</w:instrText>
      </w:r>
      <w:r>
        <w:rPr>
          <w:rFonts w:ascii="Arial" w:eastAsia="Times New Roman" w:hAnsi="Arial" w:cs="Arial"/>
          <w:color w:val="000000"/>
          <w:lang w:val="en-US" w:eastAsia="de-DE"/>
        </w:rPr>
        <w:instrText>on-dropping-particle":"","parse-names":false,"suffix":""},{"dropping-particle":"","family":"Barbagallo","given":"Carlo M.","non-dropping-particle":"","parse-names":false,"suffix":""},{"dropping-particle":"","family":"Barceló","given":"Alberto","non-droppin</w:instrText>
      </w:r>
      <w:r>
        <w:rPr>
          <w:rFonts w:ascii="Arial" w:eastAsia="Times New Roman" w:hAnsi="Arial" w:cs="Arial"/>
          <w:color w:val="000000"/>
          <w:lang w:val="en-US" w:eastAsia="de-DE"/>
        </w:rPr>
        <w:instrText>g-particle":"","parse-names":false,"suffix":""},{"dropping-particle":"","family":"Barkat","given":"Amina","non-dropping-particle":"","parse-names":false,"suffix":""},{"dropping-particle":"V.","family":"Barros","given":"Mauro","non-dropping-particle":"","pa</w:instrText>
      </w:r>
      <w:r>
        <w:rPr>
          <w:rFonts w:ascii="Arial" w:eastAsia="Times New Roman" w:hAnsi="Arial" w:cs="Arial"/>
          <w:color w:val="000000"/>
          <w:lang w:val="en-US" w:eastAsia="de-DE"/>
        </w:rPr>
        <w:instrText>rse-names":false,"suffix":""},{"dropping-particle":"","family":"Bata","given":"Iqbal","non-dropping-particle":"","parse-names":false,"suffix":""},{"dropping-particle":"","family":"Batieha","given":"Anwar M.","non-dropping-particle":"","parse-names":false,"</w:instrText>
      </w:r>
      <w:r>
        <w:rPr>
          <w:rFonts w:ascii="Arial" w:eastAsia="Times New Roman" w:hAnsi="Arial" w:cs="Arial"/>
          <w:color w:val="000000"/>
          <w:lang w:val="en-US" w:eastAsia="de-DE"/>
        </w:rPr>
        <w:instrText>suffix":""},{"dropping-particle":"","family":"Batista","given":"Rosangela L.","non-dropping-particle":"","parse-names":false,"suffix":""},{"dropping-particle":"","family":"Baur","given":"Louise A.","non-dropping-particle":"","parse-names":false,"suffix":""</w:instrText>
      </w:r>
      <w:r>
        <w:rPr>
          <w:rFonts w:ascii="Arial" w:eastAsia="Times New Roman" w:hAnsi="Arial" w:cs="Arial"/>
          <w:color w:val="000000"/>
          <w:lang w:val="en-US" w:eastAsia="de-DE"/>
        </w:rPr>
        <w:instrText>},{"dropping-particle":"","family":"Beaglehole","given":"Robert","non-dropping-particle":"","parse-names":false,"suffix":""},{"dropping-particle":"Ben","family":"Romdhane","given":"Habiba","non-dropping-particle":"","parse-names":false,"suffix":""},{"dropp</w:instrText>
      </w:r>
      <w:r>
        <w:rPr>
          <w:rFonts w:ascii="Arial" w:eastAsia="Times New Roman" w:hAnsi="Arial" w:cs="Arial"/>
          <w:color w:val="000000"/>
          <w:lang w:val="en-US" w:eastAsia="de-DE"/>
        </w:rPr>
        <w:instrText>ing-particle":"","family":"Benet","given":"Mikhail","non-dropping-particle":"","parse-names":false,"suffix":""},{"dropping-particle":"","family":"Bernabe-Ortiz","given":"Antonio","non-dropping-particle":"","parse-names":false,"suffix":""},{"dropping-partic</w:instrText>
      </w:r>
      <w:r>
        <w:rPr>
          <w:rFonts w:ascii="Arial" w:eastAsia="Times New Roman" w:hAnsi="Arial" w:cs="Arial"/>
          <w:color w:val="000000"/>
          <w:lang w:val="en-US" w:eastAsia="de-DE"/>
        </w:rPr>
        <w:instrText>le":"","family":"Bernotiene","given":"Gailute","non-dropping-particle":"","parse-names":false,"suffix":""},{"dropping-particle":"","family":"Bettiol","given":"Heloisa","non-dropping-particle":"","parse-names":false,"suffix":""},{"dropping-particle":"","fam</w:instrText>
      </w:r>
      <w:r>
        <w:rPr>
          <w:rFonts w:ascii="Arial" w:eastAsia="Times New Roman" w:hAnsi="Arial" w:cs="Arial"/>
          <w:color w:val="000000"/>
          <w:lang w:val="en-US" w:eastAsia="de-DE"/>
        </w:rPr>
        <w:instrText>ily":"Bhagyalaxmi","given":"Aroor","non-dropping-particle":"","parse-names":false,"suffix":""},{"dropping-particle":"","family":"Bharadwaj","given":"Sumit","non-dropping-particle":"","parse-names":false,"suffix":""},{"dropping-particle":"","family":"Bharga</w:instrText>
      </w:r>
      <w:r>
        <w:rPr>
          <w:rFonts w:ascii="Arial" w:eastAsia="Times New Roman" w:hAnsi="Arial" w:cs="Arial"/>
          <w:color w:val="000000"/>
          <w:lang w:val="en-US" w:eastAsia="de-DE"/>
        </w:rPr>
        <w:instrText>va","given":"Santosh K.","non-dropping-particle":"","parse-names":false,"suffix":""},{"dropping-particle":"","family":"Bhatti","given":"Zaid","non-dropping-particle":"","parse-names":false,"suffix":""},{"dropping-particle":"","family":"Bhutta","given":"Zul</w:instrText>
      </w:r>
      <w:r>
        <w:rPr>
          <w:rFonts w:ascii="Arial" w:eastAsia="Times New Roman" w:hAnsi="Arial" w:cs="Arial"/>
          <w:color w:val="000000"/>
          <w:lang w:val="en-US" w:eastAsia="de-DE"/>
        </w:rPr>
        <w:instrText>fiqar A.","non-dropping-particle":"","parse-names":false,"suffix":""},{"dropping-particle":"","family":"Bi","given":"Hongsheng","non-dropping-particle":"","parse-names":false,"suffix":""},{"dropping-particle":"","family":"Bi","given":"Yufang","non-dropping</w:instrText>
      </w:r>
      <w:r>
        <w:rPr>
          <w:rFonts w:ascii="Arial" w:eastAsia="Times New Roman" w:hAnsi="Arial" w:cs="Arial"/>
          <w:color w:val="000000"/>
          <w:lang w:val="en-US" w:eastAsia="de-DE"/>
        </w:rPr>
        <w:instrText>-particle":"","parse-names":false,"suffix":""},{"dropping-particle":"","family":"Bjerregaard","given":"Peter","non-dropping-particle":"","parse-names":false,"suffix":""},{"dropping-particle":"","family":"Bjertness","given":"Espen","non-dropping-particle":"</w:instrText>
      </w:r>
      <w:r>
        <w:rPr>
          <w:rFonts w:ascii="Arial" w:eastAsia="Times New Roman" w:hAnsi="Arial" w:cs="Arial"/>
          <w:color w:val="000000"/>
          <w:lang w:val="en-US" w:eastAsia="de-DE"/>
        </w:rPr>
        <w:instrText>","parse-names":false,"suffix":""},{"dropping-particle":"","family":"Bjertness","given":"Marius B.","non-dropping-particle":"","parse-names":false,"suffix":""},{"dropping-particle":"","family":"Björkelund","given":"Cecilia","non-dropping-particle":"","pars</w:instrText>
      </w:r>
      <w:r>
        <w:rPr>
          <w:rFonts w:ascii="Arial" w:eastAsia="Times New Roman" w:hAnsi="Arial" w:cs="Arial"/>
          <w:color w:val="000000"/>
          <w:lang w:val="en-US" w:eastAsia="de-DE"/>
        </w:rPr>
        <w:instrText>e-names":false,"suffix":""},{"dropping-particle":"","family":"Blokstra","given":"Anneke","non-dropping-particle":"","parse-names":false,"suffix":""},{"dropping-particle":"","family":"Bo","given":"Simona","non-dropping-particle":"","parse-names":false,"suff</w:instrText>
      </w:r>
      <w:r>
        <w:rPr>
          <w:rFonts w:ascii="Arial" w:eastAsia="Times New Roman" w:hAnsi="Arial" w:cs="Arial"/>
          <w:color w:val="000000"/>
          <w:lang w:val="en-US" w:eastAsia="de-DE"/>
        </w:rPr>
        <w:instrText>ix":""},{"dropping-particle":"","family":"Bobak","given":"Martin","non-dropping-particle":"","parse-names":false,"suffix":""},{"dropping-particle":"","family":"Boddy","given":"Lynne M.","non-dropping-particle":"","parse-names":false,"suffix":""},{"dropping</w:instrText>
      </w:r>
      <w:r>
        <w:rPr>
          <w:rFonts w:ascii="Arial" w:eastAsia="Times New Roman" w:hAnsi="Arial" w:cs="Arial"/>
          <w:color w:val="000000"/>
          <w:lang w:val="en-US" w:eastAsia="de-DE"/>
        </w:rPr>
        <w:instrText>-particle":"","family":"Boehm","given":"Bernhard O.","non-dropping-particle":"","parse-names":false,"suffix":""},{"dropping-particle":"","family":"Boeing","given":"Heiner","non-dropping-particle":"","parse-names":false,"suffix":""},{"dropping-particle":"",</w:instrText>
      </w:r>
      <w:r>
        <w:rPr>
          <w:rFonts w:ascii="Arial" w:eastAsia="Times New Roman" w:hAnsi="Arial" w:cs="Arial"/>
          <w:color w:val="000000"/>
          <w:lang w:val="en-US" w:eastAsia="de-DE"/>
        </w:rPr>
        <w:instrText>"family":"Boissonnet","given":"Carlos P.","non-dropping-particle":"","parse-names":false,"suffix":""},{"dropping-particle":"","family":"Bongard","given":"Vanina","non-dropping-particle":"","parse-names":false,"suffix":""},{"dropping-particle":"","family":"</w:instrText>
      </w:r>
      <w:r>
        <w:rPr>
          <w:rFonts w:ascii="Arial" w:eastAsia="Times New Roman" w:hAnsi="Arial" w:cs="Arial"/>
          <w:color w:val="000000"/>
          <w:lang w:val="en-US" w:eastAsia="de-DE"/>
        </w:rPr>
        <w:instrText>Bovet","given":"Pascal","non-dropping-particle":"","parse-names":false,"suffix":""},{"dropping-particle":"","family":"Braeckman","given":"Lutgart","non-dropping-particle":"","parse-names":false,"suffix":""},{"dropping-particle":"","family":"Bragt","given":</w:instrText>
      </w:r>
      <w:r>
        <w:rPr>
          <w:rFonts w:ascii="Arial" w:eastAsia="Times New Roman" w:hAnsi="Arial" w:cs="Arial"/>
          <w:color w:val="000000"/>
          <w:lang w:val="en-US" w:eastAsia="de-DE"/>
        </w:rPr>
        <w:instrText>"Marjolijn C.E.","non-dropping-particle":"","parse-names":false,"suffix":""},{"dropping-particle":"","family":"Brajkovich","given":"Imperia","non-dropping-particle":"","parse-names":false,"suffix":""},{"dropping-particle":"","family":"Branca","given":"Fran</w:instrText>
      </w:r>
      <w:r>
        <w:rPr>
          <w:rFonts w:ascii="Arial" w:eastAsia="Times New Roman" w:hAnsi="Arial" w:cs="Arial"/>
          <w:color w:val="000000"/>
          <w:lang w:val="en-US" w:eastAsia="de-DE"/>
        </w:rPr>
        <w:instrText>cesco","non-dropping-particle":"","parse-names":false,"suffix":""},{"dropping-particle":"","family":"Breckenkamp","given":"Juergen","non-dropping-particle":"","parse-names":false,"suffix":""},{"dropping-particle":"","family":"Brenner","given":"Hermann","no</w:instrText>
      </w:r>
      <w:r>
        <w:rPr>
          <w:rFonts w:ascii="Arial" w:eastAsia="Times New Roman" w:hAnsi="Arial" w:cs="Arial"/>
          <w:color w:val="000000"/>
          <w:lang w:val="en-US" w:eastAsia="de-DE"/>
        </w:rPr>
        <w:instrText>n-dropping-particle":"","parse-names":false,"suffix":""},{"dropping-particle":"","family":"Brewster","given":"Lizzy M.","non-dropping-particle":"","parse-names":false,"suffix":""},{"dropping-particle":"","family":"Brian","given":"Garry R.","non-dropping-pa</w:instrText>
      </w:r>
      <w:r>
        <w:rPr>
          <w:rFonts w:ascii="Arial" w:eastAsia="Times New Roman" w:hAnsi="Arial" w:cs="Arial"/>
          <w:color w:val="000000"/>
          <w:lang w:val="en-US" w:eastAsia="de-DE"/>
        </w:rPr>
        <w:instrText>rticle":"","parse-names":false,"suffix":""},{"dropping-particle":"","family":"Bruno","given":"Graziella","non-dropping-particle":"","parse-names":false,"suffix":""},{"dropping-particle":"","family":"Bueno-De-mesquita","given":"H. B.","non-dropping-particle</w:instrText>
      </w:r>
      <w:r>
        <w:rPr>
          <w:rFonts w:ascii="Arial" w:eastAsia="Times New Roman" w:hAnsi="Arial" w:cs="Arial"/>
          <w:color w:val="000000"/>
          <w:lang w:val="en-US" w:eastAsia="de-DE"/>
        </w:rPr>
        <w:instrText>":"","parse-names":false,"suffix":""},{"dropping-particle":"","family":"Bugge","given":"Anna","non-dropping-particle":"","parse-names":false,"suffix":""},{"dropping-particle":"","family":"Burns","given":"Con","non-dropping-particle":"","parse-names":false,</w:instrText>
      </w:r>
      <w:r>
        <w:rPr>
          <w:rFonts w:ascii="Arial" w:eastAsia="Times New Roman" w:hAnsi="Arial" w:cs="Arial"/>
          <w:color w:val="000000"/>
          <w:lang w:val="en-US" w:eastAsia="de-DE"/>
        </w:rPr>
        <w:instrText>"suffix":""},{"dropping-particle":"","family":"León","given":"Antonio Cabrera","non-dropping-particle":"de","parse-names":false,"suffix":""},{"dropping-particle":"","family":"Cacciottolo","given":"Joseph","non-dropping-particle":"","parse-names":false,"suf</w:instrText>
      </w:r>
      <w:r>
        <w:rPr>
          <w:rFonts w:ascii="Arial" w:eastAsia="Times New Roman" w:hAnsi="Arial" w:cs="Arial"/>
          <w:color w:val="000000"/>
          <w:lang w:val="en-US" w:eastAsia="de-DE"/>
        </w:rPr>
        <w:instrText>fix":""},{"dropping-particle":"","family":"Cama","given":"Tilema","non-dropping-particle":"","parse-names":false,"suffix":""},{"dropping-particle":"","family":"Cameron","given":"Christine","non-dropping-particle":"","parse-names":false,"suffix":""},{"dropp</w:instrText>
      </w:r>
      <w:r>
        <w:rPr>
          <w:rFonts w:ascii="Arial" w:eastAsia="Times New Roman" w:hAnsi="Arial" w:cs="Arial"/>
          <w:color w:val="000000"/>
          <w:lang w:val="en-US" w:eastAsia="de-DE"/>
        </w:rPr>
        <w:instrText>ing-particle":"","family":"Camolas","given":"José","non-dropping-particle":"","parse-names":false,"suffix":""},{"dropping-particle":"","family":"Can","given":"Günay","non-dropping-particle":"","parse-names":false,"suffix":""},{"dropping-particle":"","famil</w:instrText>
      </w:r>
      <w:r>
        <w:rPr>
          <w:rFonts w:ascii="Arial" w:eastAsia="Times New Roman" w:hAnsi="Arial" w:cs="Arial"/>
          <w:color w:val="000000"/>
          <w:lang w:val="en-US" w:eastAsia="de-DE"/>
        </w:rPr>
        <w:instrText>y":"Cândido","given":"Ana Paula C.","non-dropping-particle":"","parse-names":false,"suffix":""},{"dropping-particle":"","family":"Capuano","given":"Vincenzo","non-dropping-particle":"","parse-names":false,"suffix":""},{"dropping-particle":"","family":"Card</w:instrText>
      </w:r>
      <w:r>
        <w:rPr>
          <w:rFonts w:ascii="Arial" w:eastAsia="Times New Roman" w:hAnsi="Arial" w:cs="Arial"/>
          <w:color w:val="000000"/>
          <w:lang w:val="en-US" w:eastAsia="de-DE"/>
        </w:rPr>
        <w:instrText>oso","given":"Viviane C.","non-dropping-particle":"","parse-names":false,"suffix":""},{"dropping-particle":"","family":"Carlsson","given":"Axel C.","non-dropping-particle":"","parse-names":false,"suffix":""},{"dropping-particle":"","family":"Carvalho","giv</w:instrText>
      </w:r>
      <w:r>
        <w:rPr>
          <w:rFonts w:ascii="Arial" w:eastAsia="Times New Roman" w:hAnsi="Arial" w:cs="Arial"/>
          <w:color w:val="000000"/>
          <w:lang w:val="en-US" w:eastAsia="de-DE"/>
        </w:rPr>
        <w:instrText>en":"Maria J.","non-dropping-particle":"","parse-names":false,"suffix":""},{"dropping-particle":"","family":"Casanueva","given":"Felipe F.","non-dropping-particle":"","parse-names":false,"suffix":""},{"dropping-particle":"","family":"Casas","given":"Juan P</w:instrText>
      </w:r>
      <w:r>
        <w:rPr>
          <w:rFonts w:ascii="Arial" w:eastAsia="Times New Roman" w:hAnsi="Arial" w:cs="Arial"/>
          <w:color w:val="000000"/>
          <w:lang w:val="en-US" w:eastAsia="de-DE"/>
        </w:rPr>
        <w:instrText>ablo","non-dropping-particle":"","parse-names":false,"suffix":""},{"dropping-particle":"","family":"Caserta","given":"Carmelo A.","non-dropping-particle":"","parse-names":false,"suffix":""},{"dropping-particle":"","family":"Chamukuttan","given":"Snehalatha</w:instrText>
      </w:r>
      <w:r>
        <w:rPr>
          <w:rFonts w:ascii="Arial" w:eastAsia="Times New Roman" w:hAnsi="Arial" w:cs="Arial"/>
          <w:color w:val="000000"/>
          <w:lang w:val="en-US" w:eastAsia="de-DE"/>
        </w:rPr>
        <w:instrText>","non-dropping-particle":"","parse-names":false,"suffix":""},{"dropping-particle":"","family":"Chan","given":"Angelique W.","non-dropping-particle":"","parse-names":false,"suffix":""},{"dropping-particle":"","family":"Chan","given":"Queenie","non-dropping</w:instrText>
      </w:r>
      <w:r>
        <w:rPr>
          <w:rFonts w:ascii="Arial" w:eastAsia="Times New Roman" w:hAnsi="Arial" w:cs="Arial"/>
          <w:color w:val="000000"/>
          <w:lang w:val="en-US" w:eastAsia="de-DE"/>
        </w:rPr>
        <w:instrText>-particle":"","parse-names":false,"suffix":""},{"dropping-particle":"","family":"Chaturvedi","given":"Himanshu K.","non-dropping-particle":"","parse-names":false,"suffix":""},{"dropping-particle":"","family":"Chaturvedi","given":"Nishi","non-dropping-parti</w:instrText>
      </w:r>
      <w:r>
        <w:rPr>
          <w:rFonts w:ascii="Arial" w:eastAsia="Times New Roman" w:hAnsi="Arial" w:cs="Arial"/>
          <w:color w:val="000000"/>
          <w:lang w:val="en-US" w:eastAsia="de-DE"/>
        </w:rPr>
        <w:instrText>cle":"","parse-names":false,"suffix":""},{"dropping-particle":"","family":"Chen","given":"Chien Jen","non-dropping-particle":"","parse-names":false,"suffix":""},{"dropping-particle":"","family":"Chen","given":"Fangfang","non-dropping-particle":"","parse-na</w:instrText>
      </w:r>
      <w:r>
        <w:rPr>
          <w:rFonts w:ascii="Arial" w:eastAsia="Times New Roman" w:hAnsi="Arial" w:cs="Arial"/>
          <w:color w:val="000000"/>
          <w:lang w:val="en-US" w:eastAsia="de-DE"/>
        </w:rPr>
        <w:instrText>mes":false,"suffix":""},{"dropping-particle":"","family":"Chen","given":"Huashuai","non-dropping-particle":"","parse-names":false,"suffix":""},{"dropping-particle":"","family":"Chen","given":"Shuohua","non-dropping-particle":"","parse-names":false,"suffix"</w:instrText>
      </w:r>
      <w:r>
        <w:rPr>
          <w:rFonts w:ascii="Arial" w:eastAsia="Times New Roman" w:hAnsi="Arial" w:cs="Arial"/>
          <w:color w:val="000000"/>
          <w:lang w:val="en-US" w:eastAsia="de-DE"/>
        </w:rPr>
        <w:instrText>:""},{"dropping-particle":"","family":"Chen","given":"Zhengming","non-dropping-particle":"","parse-names":false,"suffix":""},{"dropping-particle":"","family":"Cheng","given":"Ching Yu","non-dropping-particle":"","parse-names":false,"suffix":""},{"dropping-</w:instrText>
      </w:r>
      <w:r>
        <w:rPr>
          <w:rFonts w:ascii="Arial" w:eastAsia="Times New Roman" w:hAnsi="Arial" w:cs="Arial"/>
          <w:color w:val="000000"/>
          <w:lang w:val="en-US" w:eastAsia="de-DE"/>
        </w:rPr>
        <w:instrText>particle":"","family":"Chetrit","given":"Angela","non-dropping-particle":"","parse-names":false,"suffix":""},{"dropping-particle":"","family":"Chiolero","given":"Arnaud","non-dropping-particle":"","parse-names":false,"suffix":""},{"dropping-particle":"","f</w:instrText>
      </w:r>
      <w:r>
        <w:rPr>
          <w:rFonts w:ascii="Arial" w:eastAsia="Times New Roman" w:hAnsi="Arial" w:cs="Arial"/>
          <w:color w:val="000000"/>
          <w:lang w:val="en-US" w:eastAsia="de-DE"/>
        </w:rPr>
        <w:instrText>amily":"Chiou","given":"Shu Ti","non-dropping-particle":"","parse-names":false,"suffix":""},{"dropping-particle":"","family":"Chirita-Emandi","given":"Adela","non-dropping-particle":"","parse-names":false,"suffix":""},{"dropping-particle":"","family":"Cho"</w:instrText>
      </w:r>
      <w:r>
        <w:rPr>
          <w:rFonts w:ascii="Arial" w:eastAsia="Times New Roman" w:hAnsi="Arial" w:cs="Arial"/>
          <w:color w:val="000000"/>
          <w:lang w:val="en-US" w:eastAsia="de-DE"/>
        </w:rPr>
        <w:instrText>,"given":"Belong","non-dropping-particle":"","parse-names":false,"suffix":""},{"dropping-particle":"","family":"Cho","given":"Yumi","non-dropping-particle":"","parse-names":false,"suffix":""},{"dropping-particle":"","family":"Christensen","given":"Kaare","</w:instrText>
      </w:r>
      <w:r>
        <w:rPr>
          <w:rFonts w:ascii="Arial" w:eastAsia="Times New Roman" w:hAnsi="Arial" w:cs="Arial"/>
          <w:color w:val="000000"/>
          <w:lang w:val="en-US" w:eastAsia="de-DE"/>
        </w:rPr>
        <w:instrText>non-dropping-particle":"","parse-names":false,"suffix":""},{"dropping-particle":"","family":"Chudek","given":"Jerzy","non-dropping-particle":"","parse-names":false,"suffix":""},{"dropping-particle":"","family":"Cifkova","given":"Renata","non-dropping-parti</w:instrText>
      </w:r>
      <w:r>
        <w:rPr>
          <w:rFonts w:ascii="Arial" w:eastAsia="Times New Roman" w:hAnsi="Arial" w:cs="Arial"/>
          <w:color w:val="000000"/>
          <w:lang w:val="en-US" w:eastAsia="de-DE"/>
        </w:rPr>
        <w:instrText>cle":"","parse-names":false,"suffix":""},{"dropping-particle":"","family":"Claessens","given":"Frank","non-dropping-particle":"","parse-names":false,"suffix":""},{"dropping-particle":"","family":"Clays","given":"Els","non-dropping-particle":"","parse-names</w:instrText>
      </w:r>
      <w:r>
        <w:rPr>
          <w:rFonts w:ascii="Arial" w:eastAsia="Times New Roman" w:hAnsi="Arial" w:cs="Arial"/>
          <w:color w:val="000000"/>
          <w:lang w:val="en-US" w:eastAsia="de-DE"/>
        </w:rPr>
        <w:instrText>":false,"suffix":""},{"dropping-particle":"","family":"Concin","given":"Hans","non-dropping-particle":"","parse-names":false,"suffix":""},{"dropping-particle":"","family":"Cooper","given":"Cyrus","non-dropping-particle":"","parse-names":false,"suffix":""},</w:instrText>
      </w:r>
      <w:r>
        <w:rPr>
          <w:rFonts w:ascii="Arial" w:eastAsia="Times New Roman" w:hAnsi="Arial" w:cs="Arial"/>
          <w:color w:val="000000"/>
          <w:lang w:val="en-US" w:eastAsia="de-DE"/>
        </w:rPr>
        <w:instrText>{"dropping-particle":"","family":"Cooper","given":"Rachel","non-dropping-particle":"","parse-names":false,"suffix":""},{"dropping-particle":"","family":"Coppinger","given":"Tara C.","non-dropping-particle":"","parse-names":false,"suffix":""},{"dropping-par</w:instrText>
      </w:r>
      <w:r>
        <w:rPr>
          <w:rFonts w:ascii="Arial" w:eastAsia="Times New Roman" w:hAnsi="Arial" w:cs="Arial"/>
          <w:color w:val="000000"/>
          <w:lang w:val="en-US" w:eastAsia="de-DE"/>
        </w:rPr>
        <w:instrText>ticle":"","family":"Costanzo","given":"Simona","non-dropping-particle":"","parse-names":false,"suffix":""},{"dropping-particle":"","family":"Cottel","given":"Dominique","non-dropping-particle":"","parse-names":false,"suffix":""},{"dropping-particle":"","fa</w:instrText>
      </w:r>
      <w:r>
        <w:rPr>
          <w:rFonts w:ascii="Arial" w:eastAsia="Times New Roman" w:hAnsi="Arial" w:cs="Arial"/>
          <w:color w:val="000000"/>
          <w:lang w:val="en-US" w:eastAsia="de-DE"/>
        </w:rPr>
        <w:instrText>mily":"Cowell","given":"Chris","non-dropping-particle":"","parse-names":false,"suffix":""},{"dropping-particle":"","family":"Craig","given":"Cora L.","non-dropping-particle":"","parse-names":false,"suffix":""},{"dropping-particle":"","family":"Crujeiras","</w:instrText>
      </w:r>
      <w:r>
        <w:rPr>
          <w:rFonts w:ascii="Arial" w:eastAsia="Times New Roman" w:hAnsi="Arial" w:cs="Arial"/>
          <w:color w:val="000000"/>
          <w:lang w:val="en-US" w:eastAsia="de-DE"/>
        </w:rPr>
        <w:instrText>given":"Ana B.","non-dropping-particle":"","parse-names":false,"suffix":""},{"dropping-particle":"","family":"D’Arrigo","given":"Graziella","non-dropping-particle":"","parse-names":false,"suffix":""},{"dropping-particle":"","family":"D’Orsi","given":"Eleon</w:instrText>
      </w:r>
      <w:r>
        <w:rPr>
          <w:rFonts w:ascii="Arial" w:eastAsia="Times New Roman" w:hAnsi="Arial" w:cs="Arial"/>
          <w:color w:val="000000"/>
          <w:lang w:val="en-US" w:eastAsia="de-DE"/>
        </w:rPr>
        <w:instrText>ora","non-dropping-particle":"","parse-names":false,"suffix":""},{"dropping-particle":"","family":"Dallongeville","given":"Jean","non-dropping-particle":"","parse-names":false,"suffix":""},{"dropping-particle":"","family":"Damasceno","given":"Albertino","n</w:instrText>
      </w:r>
      <w:r>
        <w:rPr>
          <w:rFonts w:ascii="Arial" w:eastAsia="Times New Roman" w:hAnsi="Arial" w:cs="Arial"/>
          <w:color w:val="000000"/>
          <w:lang w:val="en-US" w:eastAsia="de-DE"/>
        </w:rPr>
        <w:instrText>on-dropping-particle":"","parse-names":false,"suffix":""},{"dropping-particle":"","family":"Damsgaard","given":"Camilla T.","non-dropping-particle":"","parse-names":false,"suffix":""},{"dropping-particle":"","family":"Dankner","given":"Rachel","non-droppin</w:instrText>
      </w:r>
      <w:r>
        <w:rPr>
          <w:rFonts w:ascii="Arial" w:eastAsia="Times New Roman" w:hAnsi="Arial" w:cs="Arial"/>
          <w:color w:val="000000"/>
          <w:lang w:val="en-US" w:eastAsia="de-DE"/>
        </w:rPr>
        <w:instrText>g-particle":"","parse-names":false,"suffix":""},{"dropping-particle":"","family":"Dauchet","given":"Luc","non-dropping-particle":"","parse-names":false,"suffix":""},{"dropping-particle":"","family":"Backer","given":"Guy","non-dropping-particle":"De","parse</w:instrText>
      </w:r>
      <w:r>
        <w:rPr>
          <w:rFonts w:ascii="Arial" w:eastAsia="Times New Roman" w:hAnsi="Arial" w:cs="Arial"/>
          <w:color w:val="000000"/>
          <w:lang w:val="en-US" w:eastAsia="de-DE"/>
        </w:rPr>
        <w:instrText>-names":false,"suffix":""},{"dropping-particle":"","family":"Bacquer","given":"Dirk","non-dropping-particle":"De","parse-names":false,"suffix":""},{"dropping-particle":"","family":"Gaetano","given":"Giovanni","non-dropping-particle":"de","parse-names":fals</w:instrText>
      </w:r>
      <w:r>
        <w:rPr>
          <w:rFonts w:ascii="Arial" w:eastAsia="Times New Roman" w:hAnsi="Arial" w:cs="Arial"/>
          <w:color w:val="000000"/>
          <w:lang w:val="en-US" w:eastAsia="de-DE"/>
        </w:rPr>
        <w:instrText>e,"suffix":""},{"dropping-particle":"","family":"Henauw","given":"Stefaan","non-dropping-particle":"De","parse-names":false,"suffix":""},{"dropping-particle":"","family":"Smedt","given":"Delphine","non-dropping-particle":"De","parse-names":false,"suffix":"</w:instrText>
      </w:r>
      <w:r>
        <w:rPr>
          <w:rFonts w:ascii="Arial" w:eastAsia="Times New Roman" w:hAnsi="Arial" w:cs="Arial"/>
          <w:color w:val="000000"/>
          <w:lang w:val="en-US" w:eastAsia="de-DE"/>
        </w:rPr>
        <w:instrText>"},{"dropping-particle":"","family":"Deepa","given":"Mohan","non-dropping-particle":"","parse-names":false,"suffix":""},{"dropping-particle":"","family":"Deev","given":"Alexander D.","non-dropping-particle":"","parse-names":false,"suffix":""},{"dropping-pa</w:instrText>
      </w:r>
      <w:r>
        <w:rPr>
          <w:rFonts w:ascii="Arial" w:eastAsia="Times New Roman" w:hAnsi="Arial" w:cs="Arial"/>
          <w:color w:val="000000"/>
          <w:lang w:val="en-US" w:eastAsia="de-DE"/>
        </w:rPr>
        <w:instrText>rticle":"","family":"Dehghan","given":"Abbas","non-dropping-particle":"","parse-names":false,"suffix":""},{"dropping-particle":"","family":"Delisle","given":"Hélène","non-dropping-particle":"","parse-names":false,"suffix":""},{"dropping-particle":"","famil</w:instrText>
      </w:r>
      <w:r>
        <w:rPr>
          <w:rFonts w:ascii="Arial" w:eastAsia="Times New Roman" w:hAnsi="Arial" w:cs="Arial"/>
          <w:color w:val="000000"/>
          <w:lang w:val="en-US" w:eastAsia="de-DE"/>
        </w:rPr>
        <w:instrText>y":"Delpeuch","given":"Francis","non-dropping-particle":"","parse-names":false,"suffix":""},{"dropping-particle":"","family":"Deschamps","given":"Valérie","non-dropping-particle":"","parse-names":false,"suffix":""},{"dropping-particle":"","family":"Dhana",</w:instrText>
      </w:r>
      <w:r>
        <w:rPr>
          <w:rFonts w:ascii="Arial" w:eastAsia="Times New Roman" w:hAnsi="Arial" w:cs="Arial"/>
          <w:color w:val="000000"/>
          <w:lang w:val="en-US" w:eastAsia="de-DE"/>
        </w:rPr>
        <w:instrText>"given":"Klodian","non-dropping-particle":"","parse-names":false,"suffix":""},{"dropping-particle":"","family":"Castelnuovo","given":"Augusto F.","non-dropping-particle":"Di","parse-names":false,"suffix":""},{"dropping-particle":"","family":"Dias-Da-costa"</w:instrText>
      </w:r>
      <w:r>
        <w:rPr>
          <w:rFonts w:ascii="Arial" w:eastAsia="Times New Roman" w:hAnsi="Arial" w:cs="Arial"/>
          <w:color w:val="000000"/>
          <w:lang w:val="en-US" w:eastAsia="de-DE"/>
        </w:rPr>
        <w:instrText>,"given":"Juvenal Soares","non-dropping-particle":"","parse-names":false,"suffix":""},{"dropping-particle":"","family":"Diaz","given":"Alejandro","non-dropping-particle":"","parse-names":false,"suffix":""},{"dropping-particle":"","family":"Djalalinia","giv</w:instrText>
      </w:r>
      <w:r>
        <w:rPr>
          <w:rFonts w:ascii="Arial" w:eastAsia="Times New Roman" w:hAnsi="Arial" w:cs="Arial"/>
          <w:color w:val="000000"/>
          <w:lang w:val="en-US" w:eastAsia="de-DE"/>
        </w:rPr>
        <w:instrText>en":"Shirin","non-dropping-particle":"","parse-names":false,"suffix":""},{"dropping-particle":"","family":"Do","given":"Ha T.P.","non-dropping-particle":"","parse-names":false,"suffix":""},{"dropping-particle":"","family":"Dobson","given":"Annette J.","non</w:instrText>
      </w:r>
      <w:r>
        <w:rPr>
          <w:rFonts w:ascii="Arial" w:eastAsia="Times New Roman" w:hAnsi="Arial" w:cs="Arial"/>
          <w:color w:val="000000"/>
          <w:lang w:val="en-US" w:eastAsia="de-DE"/>
        </w:rPr>
        <w:instrText>-dropping-particle":"","parse-names":false,"suffix":""},{"dropping-particle":"","family":"Donfrancesco","given":"Chiara","non-dropping-particle":"","parse-names":false,"suffix":""},{"dropping-particle":"","family":"Donoso","given":"Silvana P.","non-droppin</w:instrText>
      </w:r>
      <w:r>
        <w:rPr>
          <w:rFonts w:ascii="Arial" w:eastAsia="Times New Roman" w:hAnsi="Arial" w:cs="Arial"/>
          <w:color w:val="000000"/>
          <w:lang w:val="en-US" w:eastAsia="de-DE"/>
        </w:rPr>
        <w:instrText>g-particle":"","parse-names":false,"suffix":""},{"dropping-particle":"","family":"Döring","given":"Angela","non-dropping-particle":"","parse-names":false,"suffix":""},{"dropping-particle":"","family":"Doua","given":"Kouamelan","non-dropping-particle":"","p</w:instrText>
      </w:r>
      <w:r>
        <w:rPr>
          <w:rFonts w:ascii="Arial" w:eastAsia="Times New Roman" w:hAnsi="Arial" w:cs="Arial"/>
          <w:color w:val="000000"/>
          <w:lang w:val="en-US" w:eastAsia="de-DE"/>
        </w:rPr>
        <w:instrText>arse-names":false,"suffix":""},{"dropping-particle":"","family":"Drygas","given":"Wojciech","non-dropping-particle":"","parse-names":false,"suffix":""},{"dropping-particle":"","family":"Dzerve","given":"Vilnis","non-dropping-particle":"","parse-names":fals</w:instrText>
      </w:r>
      <w:r>
        <w:rPr>
          <w:rFonts w:ascii="Arial" w:eastAsia="Times New Roman" w:hAnsi="Arial" w:cs="Arial"/>
          <w:color w:val="000000"/>
          <w:lang w:val="en-US" w:eastAsia="de-DE"/>
        </w:rPr>
        <w:instrText>e,"suffix":""},{"dropping-particle":"","family":"Egbagbe","given":"Eruke E.","non-dropping-particle":"","parse-names":false,"suffix":""},{"dropping-particle":"","family":"Eggertsen","given":"Robert","non-dropping-particle":"","parse-names":false,"suffix":"</w:instrText>
      </w:r>
      <w:r>
        <w:rPr>
          <w:rFonts w:ascii="Arial" w:eastAsia="Times New Roman" w:hAnsi="Arial" w:cs="Arial"/>
          <w:color w:val="000000"/>
          <w:lang w:val="en-US" w:eastAsia="de-DE"/>
        </w:rPr>
        <w:instrText>"},{"dropping-particle":"","family":"Ekelund","given":"Ulf","non-dropping-particle":"","parse-names":false,"suffix":""},{"dropping-particle":"","family":"Ati","given":"Jalila","non-dropping-particle":"El","parse-names":false,"suffix":""},{"dropping-particl</w:instrText>
      </w:r>
      <w:r>
        <w:rPr>
          <w:rFonts w:ascii="Arial" w:eastAsia="Times New Roman" w:hAnsi="Arial" w:cs="Arial"/>
          <w:color w:val="000000"/>
          <w:lang w:val="en-US" w:eastAsia="de-DE"/>
        </w:rPr>
        <w:instrText>e":"","family":"Elliott","given":"Paul","non-dropping-particle":"","parse-names":false,"suffix":""},{"dropping-particle":"","family":"Engle-Stone","given":"Reina","non-dropping-particle":"","parse-names":false,"suffix":""},{"dropping-particle":"","family":</w:instrText>
      </w:r>
      <w:r>
        <w:rPr>
          <w:rFonts w:ascii="Arial" w:eastAsia="Times New Roman" w:hAnsi="Arial" w:cs="Arial"/>
          <w:color w:val="000000"/>
          <w:lang w:val="en-US" w:eastAsia="de-DE"/>
        </w:rPr>
        <w:instrText>"Erasmus","given":"Rajiv T.","non-dropping-particle":"","parse-names":false,"suffix":""},{"dropping-particle":"","family":"Erem","given":"Cihangir","non-dropping-particle":"","parse-names":false,"suffix":""},{"dropping-particle":"","family":"Eriksen","give</w:instrText>
      </w:r>
      <w:r>
        <w:rPr>
          <w:rFonts w:ascii="Arial" w:eastAsia="Times New Roman" w:hAnsi="Arial" w:cs="Arial"/>
          <w:color w:val="000000"/>
          <w:lang w:val="en-US" w:eastAsia="de-DE"/>
        </w:rPr>
        <w:instrText>n":"Louise","non-dropping-particle":"","parse-names":false,"suffix":""},{"dropping-particle":"","family":"Escobedo-De la Peña","given":"Jorge","non-dropping-particle":"","parse-names":false,"suffix":""},{"dropping-particle":"","family":"Evans","given":"Alu</w:instrText>
      </w:r>
      <w:r>
        <w:rPr>
          <w:rFonts w:ascii="Arial" w:eastAsia="Times New Roman" w:hAnsi="Arial" w:cs="Arial"/>
          <w:color w:val="000000"/>
          <w:lang w:val="en-US" w:eastAsia="de-DE"/>
        </w:rPr>
        <w:instrText>n","non-dropping-particle":"","parse-names":false,"suffix":""},{"dropping-particle":"","family":"Faeh","given":"David","non-dropping-particle":"","parse-names":false,"suffix":""},{"dropping-particle":"","family":"Fall","given":"Caroline H.","non-dropping-p</w:instrText>
      </w:r>
      <w:r>
        <w:rPr>
          <w:rFonts w:ascii="Arial" w:eastAsia="Times New Roman" w:hAnsi="Arial" w:cs="Arial"/>
          <w:color w:val="000000"/>
          <w:lang w:val="en-US" w:eastAsia="de-DE"/>
        </w:rPr>
        <w:instrText>article":"","parse-names":false,"suffix":""},{"dropping-particle":"","family":"Farzadfar","given":"Farshad","non-dropping-particle":"","parse-names":false,"suffix":""},{"dropping-particle":"","family":"Felix-Redondo","given":"Francisco J.","non-dropping-pa</w:instrText>
      </w:r>
      <w:r>
        <w:rPr>
          <w:rFonts w:ascii="Arial" w:eastAsia="Times New Roman" w:hAnsi="Arial" w:cs="Arial"/>
          <w:color w:val="000000"/>
          <w:lang w:val="en-US" w:eastAsia="de-DE"/>
        </w:rPr>
        <w:instrText>rticle":"","parse-names":false,"suffix":""},{"dropping-particle":"","family":"Ferguson","given":"Trevor S.","non-dropping-particle":"","parse-names":false,"suffix":""},{"dropping-particle":"","family":"Fernández-Bergés","given":"Daniel","non-dropping-parti</w:instrText>
      </w:r>
      <w:r>
        <w:rPr>
          <w:rFonts w:ascii="Arial" w:eastAsia="Times New Roman" w:hAnsi="Arial" w:cs="Arial"/>
          <w:color w:val="000000"/>
          <w:lang w:val="en-US" w:eastAsia="de-DE"/>
        </w:rPr>
        <w:instrText>cle":"","parse-names":false,"suffix":""},{"dropping-particle":"","family":"Ferrante","given":"Daniel","non-dropping-particle":"","parse-names":false,"suffix":""},{"dropping-particle":"","family":"Ferrari","given":"Marika","non-dropping-particle":"","parse-</w:instrText>
      </w:r>
      <w:r>
        <w:rPr>
          <w:rFonts w:ascii="Arial" w:eastAsia="Times New Roman" w:hAnsi="Arial" w:cs="Arial"/>
          <w:color w:val="000000"/>
          <w:lang w:val="en-US" w:eastAsia="de-DE"/>
        </w:rPr>
        <w:instrText>names":false,"suffix":""},{"dropping-particle":"","family":"Ferreccio","given":"Catterina","non-dropping-particle":"","parse-names":false,"suffix":""},{"dropping-particle":"","family":"Ferrieres","given":"Jean","non-dropping-particle":"","parse-names":fals</w:instrText>
      </w:r>
      <w:r>
        <w:rPr>
          <w:rFonts w:ascii="Arial" w:eastAsia="Times New Roman" w:hAnsi="Arial" w:cs="Arial"/>
          <w:color w:val="000000"/>
          <w:lang w:val="en-US" w:eastAsia="de-DE"/>
        </w:rPr>
        <w:instrText>e,"suffix":""},{"dropping-particle":"","family":"Finn","given":"Joseph D.","non-dropping-particle":"","parse-names":false,"suffix":""},{"dropping-particle":"","family":"Fischer","given":"Krista","non-dropping-particle":"","parse-names":false,"suffix":""},{</w:instrText>
      </w:r>
      <w:r>
        <w:rPr>
          <w:rFonts w:ascii="Arial" w:eastAsia="Times New Roman" w:hAnsi="Arial" w:cs="Arial"/>
          <w:color w:val="000000"/>
          <w:lang w:val="en-US" w:eastAsia="de-DE"/>
        </w:rPr>
        <w:instrText>"dropping-particle":"","family":"Flores","given":"Eric Monterubio","non-dropping-particle":"","parse-names":false,"suffix":""},{"dropping-particle":"","family":"Föger","given":"Bernhard","non-dropping-particle":"","parse-names":false,"suffix":""},{"droppin</w:instrText>
      </w:r>
      <w:r>
        <w:rPr>
          <w:rFonts w:ascii="Arial" w:eastAsia="Times New Roman" w:hAnsi="Arial" w:cs="Arial"/>
          <w:color w:val="000000"/>
          <w:lang w:val="en-US" w:eastAsia="de-DE"/>
        </w:rPr>
        <w:instrText>g-particle":"","family":"Foo","given":"Leng Huat","non-dropping-particle":"","parse-names":false,"suffix":""},{"dropping-particle":"","family":"Forslund","given":"Ann Sofie","non-dropping-particle":"","parse-names":false,"suffix":""},{"dropping-particle":"</w:instrText>
      </w:r>
      <w:r>
        <w:rPr>
          <w:rFonts w:ascii="Arial" w:eastAsia="Times New Roman" w:hAnsi="Arial" w:cs="Arial"/>
          <w:color w:val="000000"/>
          <w:lang w:val="en-US" w:eastAsia="de-DE"/>
        </w:rPr>
        <w:instrText>","family":"Forsner","given":"Maria","non-dropping-particle":"","parse-names":false,"suffix":""},{"dropping-particle":"","family":"Fortmann","given":"Stephen P.","non-dropping-particle":"","parse-names":false,"suffix":""},{"dropping-particle":"","family":"</w:instrText>
      </w:r>
      <w:r>
        <w:rPr>
          <w:rFonts w:ascii="Arial" w:eastAsia="Times New Roman" w:hAnsi="Arial" w:cs="Arial"/>
          <w:color w:val="000000"/>
          <w:lang w:val="en-US" w:eastAsia="de-DE"/>
        </w:rPr>
        <w:instrText>Fouad","given":"Heba M.","non-dropping-particle":"","parse-names":false,"suffix":""},{"dropping-particle":"","family":"Francis","given":"Damian K.","non-dropping-particle":"","parse-names":false,"suffix":""},{"dropping-particle":"","family":"Franco","given</w:instrText>
      </w:r>
      <w:r>
        <w:rPr>
          <w:rFonts w:ascii="Arial" w:eastAsia="Times New Roman" w:hAnsi="Arial" w:cs="Arial"/>
          <w:color w:val="000000"/>
          <w:lang w:val="en-US" w:eastAsia="de-DE"/>
        </w:rPr>
        <w:instrText>":"Maria Do Carmo","non-dropping-particle":"","parse-names":false,"suffix":""},{"dropping-particle":"","family":"Franco","given":"Oscar H.","non-dropping-particle":"","parse-names":false,"suffix":""},{"dropping-particle":"","family":"Frontera","given":"Gui</w:instrText>
      </w:r>
      <w:r>
        <w:rPr>
          <w:rFonts w:ascii="Arial" w:eastAsia="Times New Roman" w:hAnsi="Arial" w:cs="Arial"/>
          <w:color w:val="000000"/>
          <w:lang w:val="en-US" w:eastAsia="de-DE"/>
        </w:rPr>
        <w:instrText>llermo","non-dropping-particle":"","parse-names":false,"suffix":""},{"dropping-particle":"","family":"Fuchs","given":"Flavio D.","non-dropping-particle":"","parse-names":false,"suffix":""},{"dropping-particle":"","family":"Fuchs","given":"Sandra C.","non-d</w:instrText>
      </w:r>
      <w:r>
        <w:rPr>
          <w:rFonts w:ascii="Arial" w:eastAsia="Times New Roman" w:hAnsi="Arial" w:cs="Arial"/>
          <w:color w:val="000000"/>
          <w:lang w:val="en-US" w:eastAsia="de-DE"/>
        </w:rPr>
        <w:instrText>ropping-particle":"","parse-names":false,"suffix":""},{"dropping-particle":"","family":"Fujita","given":"Yuki","non-dropping-particle":"","parse-names":false,"suffix":""},{"dropping-particle":"","family":"Furusawa","given":"Takuro","non-dropping-particle":</w:instrText>
      </w:r>
      <w:r>
        <w:rPr>
          <w:rFonts w:ascii="Arial" w:eastAsia="Times New Roman" w:hAnsi="Arial" w:cs="Arial"/>
          <w:color w:val="000000"/>
          <w:lang w:val="en-US" w:eastAsia="de-DE"/>
        </w:rPr>
        <w:instrText>"","parse-names":false,"suffix":""},{"dropping-particle":"","family":"Gaciong","given":"Zbigniew","non-dropping-particle":"","parse-names":false,"suffix":""},{"dropping-particle":"","family":"Gafencu","given":"Mihai","non-dropping-particle":"","parse-names</w:instrText>
      </w:r>
      <w:r>
        <w:rPr>
          <w:rFonts w:ascii="Arial" w:eastAsia="Times New Roman" w:hAnsi="Arial" w:cs="Arial"/>
          <w:color w:val="000000"/>
          <w:lang w:val="en-US" w:eastAsia="de-DE"/>
        </w:rPr>
        <w:instrText>":false,"suffix":""},{"dropping-particle":"","family":"Gareta","given":"Dickman","non-dropping-particle":"","parse-names":false,"suffix":""},{"dropping-particle":"","family":"Garnett","given":"Sarah P.","non-dropping-particle":"","parse-names":false,"suffi</w:instrText>
      </w:r>
      <w:r>
        <w:rPr>
          <w:rFonts w:ascii="Arial" w:eastAsia="Times New Roman" w:hAnsi="Arial" w:cs="Arial"/>
          <w:color w:val="000000"/>
          <w:lang w:val="en-US" w:eastAsia="de-DE"/>
        </w:rPr>
        <w:instrText>x":""},{"dropping-particle":"","family":"Gaspoz","given":"Jean Michel","non-dropping-particle":"","parse-names":false,"suffix":""},{"dropping-particle":"","family":"Gasull","given":"Magda","non-dropping-particle":"","parse-names":false,"suffix":""},{"dropp</w:instrText>
      </w:r>
      <w:r>
        <w:rPr>
          <w:rFonts w:ascii="Arial" w:eastAsia="Times New Roman" w:hAnsi="Arial" w:cs="Arial"/>
          <w:color w:val="000000"/>
          <w:lang w:val="en-US" w:eastAsia="de-DE"/>
        </w:rPr>
        <w:instrText>ing-particle":"","family":"Gates","given":"Louise","non-dropping-particle":"","parse-names":false,"suffix":""},{"dropping-particle":"","family":"Geleijnse","given":"Johanna M.","non-dropping-particle":"","parse-names":false,"suffix":""},{"dropping-particle</w:instrText>
      </w:r>
      <w:r>
        <w:rPr>
          <w:rFonts w:ascii="Arial" w:eastAsia="Times New Roman" w:hAnsi="Arial" w:cs="Arial"/>
          <w:color w:val="000000"/>
          <w:lang w:val="en-US" w:eastAsia="de-DE"/>
        </w:rPr>
        <w:instrText>":"","family":"Ghasemian","given":"Anoosheh","non-dropping-particle":"","parse-names":false,"suffix":""},{"dropping-particle":"","family":"Giampaoli","given":"Simona","non-dropping-particle":"","parse-names":false,"suffix":""},{"dropping-particle":"","fami</w:instrText>
      </w:r>
      <w:r>
        <w:rPr>
          <w:rFonts w:ascii="Arial" w:eastAsia="Times New Roman" w:hAnsi="Arial" w:cs="Arial"/>
          <w:color w:val="000000"/>
          <w:lang w:val="en-US" w:eastAsia="de-DE"/>
        </w:rPr>
        <w:instrText>ly":"Gianfagna","given":"Francesco","non-dropping-particle":"","parse-names":false,"suffix":""},{"dropping-particle":"","family":"Giovannelli","given":"Jonathan","non-dropping-particle":"","parse-names":false,"suffix":""},{"dropping-particle":"","family":"</w:instrText>
      </w:r>
      <w:r>
        <w:rPr>
          <w:rFonts w:ascii="Arial" w:eastAsia="Times New Roman" w:hAnsi="Arial" w:cs="Arial"/>
          <w:color w:val="000000"/>
          <w:lang w:val="en-US" w:eastAsia="de-DE"/>
        </w:rPr>
        <w:instrText>Giwercman","given":"Aleksander","non-dropping-particle":"","parse-names":false,"suffix":""},{"dropping-particle":"","family":"Goldsmith","given":"Rebecca A.","non-dropping-particle":"","parse-names":false,"suffix":""},{"dropping-particle":"","family":"Gonç</w:instrText>
      </w:r>
      <w:r>
        <w:rPr>
          <w:rFonts w:ascii="Arial" w:eastAsia="Times New Roman" w:hAnsi="Arial" w:cs="Arial"/>
          <w:color w:val="000000"/>
          <w:lang w:val="en-US" w:eastAsia="de-DE"/>
        </w:rPr>
        <w:instrText>alves","given":"Helen","non-dropping-particle":"","parse-names":false,"suffix":""},{"dropping-particle":"","family":"Gross","given":"Marcela Gonzalez","non-dropping-particle":"","parse-names":false,"suffix":""},{"dropping-particle":"","family":"Rivas","giv</w:instrText>
      </w:r>
      <w:r>
        <w:rPr>
          <w:rFonts w:ascii="Arial" w:eastAsia="Times New Roman" w:hAnsi="Arial" w:cs="Arial"/>
          <w:color w:val="000000"/>
          <w:lang w:val="en-US" w:eastAsia="de-DE"/>
        </w:rPr>
        <w:instrText>en":"Juan P.González","non-dropping-particle":"","parse-names":false,"suffix":""},{"dropping-particle":"","family":"Gorbea","given":"Mariano Bonet","non-dropping-particle":"","parse-names":false,"suffix":""},{"dropping-particle":"","family":"Gottrand","giv</w:instrText>
      </w:r>
      <w:r>
        <w:rPr>
          <w:rFonts w:ascii="Arial" w:eastAsia="Times New Roman" w:hAnsi="Arial" w:cs="Arial"/>
          <w:color w:val="000000"/>
          <w:lang w:val="en-US" w:eastAsia="de-DE"/>
        </w:rPr>
        <w:instrText>en":"Frederic","non-dropping-particle":"","parse-names":false,"suffix":""},{"dropping-particle":"","family":"Graff-Iversen","given":"Sidsel","non-dropping-particle":"","parse-names":false,"suffix":""},{"dropping-particle":"","family":"Grafnetter","given":"</w:instrText>
      </w:r>
      <w:r>
        <w:rPr>
          <w:rFonts w:ascii="Arial" w:eastAsia="Times New Roman" w:hAnsi="Arial" w:cs="Arial"/>
          <w:color w:val="000000"/>
          <w:lang w:val="en-US" w:eastAsia="de-DE"/>
        </w:rPr>
        <w:instrText>Dušan","non-dropping-particle":"","parse-names":false,"suffix":""},{"dropping-particle":"","family":"Grajda","given":"Aneta","non-dropping-particle":"","parse-names":false,"suffix":""},{"dropping-particle":"","family":"Grammatikopoulou","given":"Maria G.",</w:instrText>
      </w:r>
      <w:r>
        <w:rPr>
          <w:rFonts w:ascii="Arial" w:eastAsia="Times New Roman" w:hAnsi="Arial" w:cs="Arial"/>
          <w:color w:val="000000"/>
          <w:lang w:val="en-US" w:eastAsia="de-DE"/>
        </w:rPr>
        <w:instrText>"non-dropping-particle":"","parse-names":false,"suffix":""},{"dropping-particle":"","family":"Gregor","given":"Ronald D.","non-dropping-particle":"","parse-names":false,"suffix":""},{"dropping-particle":"","family":"Grodzicki","given":"Tomasz","non-droppin</w:instrText>
      </w:r>
      <w:r>
        <w:rPr>
          <w:rFonts w:ascii="Arial" w:eastAsia="Times New Roman" w:hAnsi="Arial" w:cs="Arial"/>
          <w:color w:val="000000"/>
          <w:lang w:val="en-US" w:eastAsia="de-DE"/>
        </w:rPr>
        <w:instrText>g-particle":"","parse-names":false,"suffix":""},{"dropping-particle":"","family":"Grøntved","given":"Anders","non-dropping-particle":"","parse-names":false,"suffix":""},{"dropping-particle":"","family":"Gruden","given":"Grabriella","non-dropping-particle":</w:instrText>
      </w:r>
      <w:r>
        <w:rPr>
          <w:rFonts w:ascii="Arial" w:eastAsia="Times New Roman" w:hAnsi="Arial" w:cs="Arial"/>
          <w:color w:val="000000"/>
          <w:lang w:val="en-US" w:eastAsia="de-DE"/>
        </w:rPr>
        <w:instrText>"","parse-names":false,"suffix":""},{"dropping-particle":"","family":"Grujic","given":"Vera","non-dropping-particle":"","parse-names":false,"suffix":""},{"dropping-particle":"","family":"Gu","given":"Dongfeng","non-dropping-particle":"","parse-names":false</w:instrText>
      </w:r>
      <w:r>
        <w:rPr>
          <w:rFonts w:ascii="Arial" w:eastAsia="Times New Roman" w:hAnsi="Arial" w:cs="Arial"/>
          <w:color w:val="000000"/>
          <w:lang w:val="en-US" w:eastAsia="de-DE"/>
        </w:rPr>
        <w:instrText>,"suffix":""},{"dropping-particle":"","family":"Gualdi-Russo","given":"Emanuela","non-dropping-particle":"","parse-names":false,"suffix":""},{"dropping-particle":"","family":"Guan","given":"Ong Peng","non-dropping-particle":"","parse-names":false,"suffix":</w:instrText>
      </w:r>
      <w:r>
        <w:rPr>
          <w:rFonts w:ascii="Arial" w:eastAsia="Times New Roman" w:hAnsi="Arial" w:cs="Arial"/>
          <w:color w:val="000000"/>
          <w:lang w:val="en-US" w:eastAsia="de-DE"/>
        </w:rPr>
        <w:instrText>""},{"dropping-particle":"","family":"Gudnason","given":"Vilmundur","non-dropping-particle":"","parse-names":false,"suffix":""},{"dropping-particle":"","family":"Guerrero","given":"Ramiro","non-dropping-particle":"","parse-names":false,"suffix":""},{"dropp</w:instrText>
      </w:r>
      <w:r>
        <w:rPr>
          <w:rFonts w:ascii="Arial" w:eastAsia="Times New Roman" w:hAnsi="Arial" w:cs="Arial"/>
          <w:color w:val="000000"/>
          <w:lang w:val="en-US" w:eastAsia="de-DE"/>
        </w:rPr>
        <w:instrText>ing-particle":"","family":"Guessous","given":"Idris","non-dropping-particle":"","parse-names":false,"suffix":""},{"dropping-particle":"","family":"Guimaraes","given":"Andre L.","non-dropping-particle":"","parse-names":false,"suffix":""},{"dropping-particle</w:instrText>
      </w:r>
      <w:r>
        <w:rPr>
          <w:rFonts w:ascii="Arial" w:eastAsia="Times New Roman" w:hAnsi="Arial" w:cs="Arial"/>
          <w:color w:val="000000"/>
          <w:lang w:val="en-US" w:eastAsia="de-DE"/>
        </w:rPr>
        <w:instrText>":"","family":"Gulliford","given":"Martin C.","non-dropping-particle":"","parse-names":false,"suffix":""},{"dropping-particle":"","family":"Gunnlaugsdottir","given":"Johanna","non-dropping-particle":"","parse-names":false,"suffix":""},{"dropping-particle":</w:instrText>
      </w:r>
      <w:r>
        <w:rPr>
          <w:rFonts w:ascii="Arial" w:eastAsia="Times New Roman" w:hAnsi="Arial" w:cs="Arial"/>
          <w:color w:val="000000"/>
          <w:lang w:val="en-US" w:eastAsia="de-DE"/>
        </w:rPr>
        <w:instrText>"","family":"Gunter","given":"Marc","non-dropping-particle":"","parse-names":false,"suffix":""},{"dropping-particle":"","family":"Guo","given":"Xiuhua","non-dropping-particle":"","parse-names":false,"suffix":""},{"dropping-particle":"","family":"Guo","give</w:instrText>
      </w:r>
      <w:r>
        <w:rPr>
          <w:rFonts w:ascii="Arial" w:eastAsia="Times New Roman" w:hAnsi="Arial" w:cs="Arial"/>
          <w:color w:val="000000"/>
          <w:lang w:val="en-US" w:eastAsia="de-DE"/>
        </w:rPr>
        <w:instrText>n":"Yin","non-dropping-particle":"","parse-names":false,"suffix":""},{"dropping-particle":"","family":"Gupta","given":"Prakash C.","non-dropping-particle":"","parse-names":false,"suffix":""},{"dropping-particle":"","family":"Gureje","given":"Oye","non-drop</w:instrText>
      </w:r>
      <w:r>
        <w:rPr>
          <w:rFonts w:ascii="Arial" w:eastAsia="Times New Roman" w:hAnsi="Arial" w:cs="Arial"/>
          <w:color w:val="000000"/>
          <w:lang w:val="en-US" w:eastAsia="de-DE"/>
        </w:rPr>
        <w:instrText>ping-particle":"","parse-names":false,"suffix":""},{"dropping-particle":"","family":"Gurzkowska","given":"Beata","non-dropping-particle":"","parse-names":false,"suffix":""},{"dropping-particle":"","family":"Gutierrez","given":"Laura","non-dropping-particle</w:instrText>
      </w:r>
      <w:r>
        <w:rPr>
          <w:rFonts w:ascii="Arial" w:eastAsia="Times New Roman" w:hAnsi="Arial" w:cs="Arial"/>
          <w:color w:val="000000"/>
          <w:lang w:val="en-US" w:eastAsia="de-DE"/>
        </w:rPr>
        <w:instrText>":"","parse-names":false,"suffix":""},{"dropping-particle":"","family":"Gutzwiller","given":"Felix","non-dropping-particle":"","parse-names":false,"suffix":""},{"dropping-particle":"","family":"Halkjær","given":"Jytte","non-dropping-particle":"","parse-nam</w:instrText>
      </w:r>
      <w:r>
        <w:rPr>
          <w:rFonts w:ascii="Arial" w:eastAsia="Times New Roman" w:hAnsi="Arial" w:cs="Arial"/>
          <w:color w:val="000000"/>
          <w:lang w:val="en-US" w:eastAsia="de-DE"/>
        </w:rPr>
        <w:instrText>es":false,"suffix":""},{"dropping-particle":"","family":"Hambleton","given":"Ian R.","non-dropping-particle":"","parse-names":false,"suffix":""},{"dropping-particle":"","family":"Hardy","given":"Rebecca","non-dropping-particle":"","parse-names":false,"suff</w:instrText>
      </w:r>
      <w:r>
        <w:rPr>
          <w:rFonts w:ascii="Arial" w:eastAsia="Times New Roman" w:hAnsi="Arial" w:cs="Arial"/>
          <w:color w:val="000000"/>
          <w:lang w:val="en-US" w:eastAsia="de-DE"/>
        </w:rPr>
        <w:instrText>ix":""},{"dropping-particle":"","family":"Kumar","given":"Rachakulla Hari","non-dropping-particle":"","parse-names":false,"suffix":""},{"dropping-particle":"","family":"Hata","given":"Jun","non-dropping-particle":"","parse-names":false,"suffix":""},{"dropp</w:instrText>
      </w:r>
      <w:r>
        <w:rPr>
          <w:rFonts w:ascii="Arial" w:eastAsia="Times New Roman" w:hAnsi="Arial" w:cs="Arial"/>
          <w:color w:val="000000"/>
          <w:lang w:val="en-US" w:eastAsia="de-DE"/>
        </w:rPr>
        <w:instrText>ing-particle":"","family":"Hayes","given":"Alison J.","non-dropping-particle":"","parse-names":false,"suffix":""},{"dropping-particle":"","family":"He","given":"Jiang","non-dropping-particle":"","parse-names":false,"suffix":""},{"dropping-particle":"","fam</w:instrText>
      </w:r>
      <w:r>
        <w:rPr>
          <w:rFonts w:ascii="Arial" w:eastAsia="Times New Roman" w:hAnsi="Arial" w:cs="Arial"/>
          <w:color w:val="000000"/>
          <w:lang w:val="en-US" w:eastAsia="de-DE"/>
        </w:rPr>
        <w:instrText>ily":"Hendriks","given":"Marleen Elisabeth","non-dropping-particle":"","parse-names":false,"suffix":""},{"dropping-particle":"","family":"Cadena","given":"Leticia Hernandez","non-dropping-particle":"","parse-names":false,"suffix":""},{"dropping-particle":"</w:instrText>
      </w:r>
      <w:r>
        <w:rPr>
          <w:rFonts w:ascii="Arial" w:eastAsia="Times New Roman" w:hAnsi="Arial" w:cs="Arial"/>
          <w:color w:val="000000"/>
          <w:lang w:val="en-US" w:eastAsia="de-DE"/>
        </w:rPr>
        <w:instrText>","family":"Herrala","given":"Sauli","non-dropping-particle":"","parse-names":false,"suffix":""},{"dropping-particle":"","family":"Heshmat","given":"Ramin","non-dropping-particle":"","parse-names":false,"suffix":""},{"dropping-particle":"","family":"Hihtan</w:instrText>
      </w:r>
      <w:r>
        <w:rPr>
          <w:rFonts w:ascii="Arial" w:eastAsia="Times New Roman" w:hAnsi="Arial" w:cs="Arial"/>
          <w:color w:val="000000"/>
          <w:lang w:val="en-US" w:eastAsia="de-DE"/>
        </w:rPr>
        <w:instrText>iemi","given":"Ilpo Tapani","non-dropping-particle":"","parse-names":false,"suffix":""},{"dropping-particle":"","family":"Ho","given":"Sai Yin","non-dropping-particle":"","parse-names":false,"suffix":""},{"dropping-particle":"","family":"Ho","given":"Suzan</w:instrText>
      </w:r>
      <w:r>
        <w:rPr>
          <w:rFonts w:ascii="Arial" w:eastAsia="Times New Roman" w:hAnsi="Arial" w:cs="Arial"/>
          <w:color w:val="000000"/>
          <w:lang w:val="en-US" w:eastAsia="de-DE"/>
        </w:rPr>
        <w:instrText>ne C.","non-dropping-particle":"","parse-names":false,"suffix":""},{"dropping-particle":"","family":"Hobbs","given":"Michael","non-dropping-particle":"","parse-names":false,"suffix":""},{"dropping-particle":"","family":"Hofman","given":"Albert","non-droppi</w:instrText>
      </w:r>
      <w:r>
        <w:rPr>
          <w:rFonts w:ascii="Arial" w:eastAsia="Times New Roman" w:hAnsi="Arial" w:cs="Arial"/>
          <w:color w:val="000000"/>
          <w:lang w:val="en-US" w:eastAsia="de-DE"/>
        </w:rPr>
        <w:instrText>ng-particle":"","parse-names":false,"suffix":""},{"dropping-particle":"","family":"Hormiga","given":"Claudia M.","non-dropping-particle":"","parse-names":false,"suffix":""},{"dropping-particle":"","family":"Horta","given":"Bernardo L.","non-dropping-partic</w:instrText>
      </w:r>
      <w:r>
        <w:rPr>
          <w:rFonts w:ascii="Arial" w:eastAsia="Times New Roman" w:hAnsi="Arial" w:cs="Arial"/>
          <w:color w:val="000000"/>
          <w:lang w:val="en-US" w:eastAsia="de-DE"/>
        </w:rPr>
        <w:instrText>le":"","parse-names":false,"suffix":""},{"dropping-particle":"","family":"Houti","given":"Leila","non-dropping-particle":"","parse-names":false,"suffix":""},{"dropping-particle":"","family":"Howitt","given":"Christina","non-dropping-particle":"","parse-nam</w:instrText>
      </w:r>
      <w:r>
        <w:rPr>
          <w:rFonts w:ascii="Arial" w:eastAsia="Times New Roman" w:hAnsi="Arial" w:cs="Arial"/>
          <w:color w:val="000000"/>
          <w:lang w:val="en-US" w:eastAsia="de-DE"/>
        </w:rPr>
        <w:instrText>es":false,"suffix":""},{"dropping-particle":"","family":"Htay","given":"Thein Thein","non-dropping-particle":"","parse-names":false,"suffix":""},{"dropping-particle":"","family":"Htet","given":"Aung Soe","non-dropping-particle":"","parse-names":false,"suff</w:instrText>
      </w:r>
      <w:r>
        <w:rPr>
          <w:rFonts w:ascii="Arial" w:eastAsia="Times New Roman" w:hAnsi="Arial" w:cs="Arial"/>
          <w:color w:val="000000"/>
          <w:lang w:val="en-US" w:eastAsia="de-DE"/>
        </w:rPr>
        <w:instrText>ix":""},{"dropping-particle":"","family":"Htike","given":"Maung Maung Than","non-dropping-particle":"","parse-names":false,"suffix":""},{"dropping-particle":"","family":"Hu","given":"Yonghua","non-dropping-particle":"","parse-names":false,"suffix":""},{"dr</w:instrText>
      </w:r>
      <w:r>
        <w:rPr>
          <w:rFonts w:ascii="Arial" w:eastAsia="Times New Roman" w:hAnsi="Arial" w:cs="Arial"/>
          <w:color w:val="000000"/>
          <w:lang w:val="en-US" w:eastAsia="de-DE"/>
        </w:rPr>
        <w:instrText>opping-particle":"","family":"Husseini","given":"Abdullatif","non-dropping-particle":"","parse-names":false,"suffix":""},{"dropping-particle":"","family":"Huu","given":"Chinh Nguyen","non-dropping-particle":"","parse-names":false,"suffix":""},{"dropping-pa</w:instrText>
      </w:r>
      <w:r>
        <w:rPr>
          <w:rFonts w:ascii="Arial" w:eastAsia="Times New Roman" w:hAnsi="Arial" w:cs="Arial"/>
          <w:color w:val="000000"/>
          <w:lang w:val="en-US" w:eastAsia="de-DE"/>
        </w:rPr>
        <w:instrText>rticle":"","family":"Huybrechts","given":"Inge","non-dropping-particle":"","parse-names":false,"suffix":""},{"dropping-particle":"","family":"Hwalla","given":"Nahla","non-dropping-particle":"","parse-names":false,"suffix":""},{"dropping-particle":"","famil</w:instrText>
      </w:r>
      <w:r>
        <w:rPr>
          <w:rFonts w:ascii="Arial" w:eastAsia="Times New Roman" w:hAnsi="Arial" w:cs="Arial"/>
          <w:color w:val="000000"/>
          <w:lang w:val="en-US" w:eastAsia="de-DE"/>
        </w:rPr>
        <w:instrText>y":"Iacoviello","given":"Licia","non-dropping-particle":"","parse-names":false,"suffix":""},{"dropping-particle":"","family":"Iannone","given":"Anna G.","non-dropping-particle":"","parse-names":false,"suffix":""},{"dropping-particle":"","family":"Ibrahim",</w:instrText>
      </w:r>
      <w:r>
        <w:rPr>
          <w:rFonts w:ascii="Arial" w:eastAsia="Times New Roman" w:hAnsi="Arial" w:cs="Arial"/>
          <w:color w:val="000000"/>
          <w:lang w:val="en-US" w:eastAsia="de-DE"/>
        </w:rPr>
        <w:instrText>"given":"Mohsen M.","non-dropping-particle":"","parse-names":false,"suffix":""},{"dropping-particle":"","family":"Ikeda","given":"Nayu","non-dropping-particle":"","parse-names":false,"suffix":""},{"dropping-particle":"","family":"Ikram","given":"M. Arfan",</w:instrText>
      </w:r>
      <w:r>
        <w:rPr>
          <w:rFonts w:ascii="Arial" w:eastAsia="Times New Roman" w:hAnsi="Arial" w:cs="Arial"/>
          <w:color w:val="000000"/>
          <w:lang w:val="en-US" w:eastAsia="de-DE"/>
        </w:rPr>
        <w:instrText>"non-dropping-particle":"","parse-names":false,"suffix":""},{"dropping-particle":"","family":"Irazola","given":"Vilma E.","non-dropping-particle":"","parse-names":false,"suffix":""},{"dropping-particle":"","family":"Islam","given":"Muhammad","non-dropping-</w:instrText>
      </w:r>
      <w:r>
        <w:rPr>
          <w:rFonts w:ascii="Arial" w:eastAsia="Times New Roman" w:hAnsi="Arial" w:cs="Arial"/>
          <w:color w:val="000000"/>
          <w:lang w:val="en-US" w:eastAsia="de-DE"/>
        </w:rPr>
        <w:instrText>particle":"","parse-names":false,"suffix":""},{"dropping-particle":"","family":"Ivkovic","given":"Vanja","non-dropping-particle":"","parse-names":false,"suffix":""},{"dropping-particle":"","family":"Iwasaki","given":"Masanori","non-dropping-particle":"","p</w:instrText>
      </w:r>
      <w:r>
        <w:rPr>
          <w:rFonts w:ascii="Arial" w:eastAsia="Times New Roman" w:hAnsi="Arial" w:cs="Arial"/>
          <w:color w:val="000000"/>
          <w:lang w:val="en-US" w:eastAsia="de-DE"/>
        </w:rPr>
        <w:instrText>arse-names":false,"suffix":""},{"dropping-particle":"","family":"Jackson","given":"Rod T.","non-dropping-particle":"","parse-names":false,"suffix":""},{"dropping-particle":"","family":"Jacobs","given":"Jeremy M.","non-dropping-particle":"","parse-names":fa</w:instrText>
      </w:r>
      <w:r>
        <w:rPr>
          <w:rFonts w:ascii="Arial" w:eastAsia="Times New Roman" w:hAnsi="Arial" w:cs="Arial"/>
          <w:color w:val="000000"/>
          <w:lang w:val="en-US" w:eastAsia="de-DE"/>
        </w:rPr>
        <w:instrText>lse,"suffix":""},{"dropping-particle":"","family":"Jafar","given":"Tazeen","non-dropping-particle":"","parse-names":false,"suffix":""},{"dropping-particle":"","family":"Jamil","given":"Kazi M.","non-dropping-particle":"","parse-names":false,"suffix":""},{"</w:instrText>
      </w:r>
      <w:r>
        <w:rPr>
          <w:rFonts w:ascii="Arial" w:eastAsia="Times New Roman" w:hAnsi="Arial" w:cs="Arial"/>
          <w:color w:val="000000"/>
          <w:lang w:val="en-US" w:eastAsia="de-DE"/>
        </w:rPr>
        <w:instrText>dropping-particle":"","family":"Jamrozik","given":"Konrad","non-dropping-particle":"","parse-names":false,"suffix":""},{"dropping-particle":"","family":"Janszky","given":"Imre","non-dropping-particle":"","parse-names":false,"suffix":""},{"dropping-particle</w:instrText>
      </w:r>
      <w:r>
        <w:rPr>
          <w:rFonts w:ascii="Arial" w:eastAsia="Times New Roman" w:hAnsi="Arial" w:cs="Arial"/>
          <w:color w:val="000000"/>
          <w:lang w:val="en-US" w:eastAsia="de-DE"/>
        </w:rPr>
        <w:instrText>":"","family":"Jasienska","given":"Grazyna","non-dropping-particle":"","parse-names":false,"suffix":""},{"dropping-particle":"","family":"Jelakovic","given":"Bojan","non-dropping-particle":"","parse-names":false,"suffix":""},{"dropping-particle":"","family</w:instrText>
      </w:r>
      <w:r>
        <w:rPr>
          <w:rFonts w:ascii="Arial" w:eastAsia="Times New Roman" w:hAnsi="Arial" w:cs="Arial"/>
          <w:color w:val="000000"/>
          <w:lang w:val="en-US" w:eastAsia="de-DE"/>
        </w:rPr>
        <w:instrText>":"Jiang","given":"Chao Qiang","non-dropping-particle":"","parse-names":false,"suffix":""},{"dropping-particle":"","family":"Joffres","given":"Michel","non-dropping-particle":"","parse-names":false,"suffix":""},{"dropping-particle":"","family":"Johansson",</w:instrText>
      </w:r>
      <w:r>
        <w:rPr>
          <w:rFonts w:ascii="Arial" w:eastAsia="Times New Roman" w:hAnsi="Arial" w:cs="Arial"/>
          <w:color w:val="000000"/>
          <w:lang w:val="en-US" w:eastAsia="de-DE"/>
        </w:rPr>
        <w:instrText>"given":"Mattias","non-dropping-particle":"","parse-names":false,"suffix":""},{"dropping-particle":"","family":"Jonas","given":"Jost B.","non-dropping-particle":"","parse-names":false,"suffix":""},{"dropping-particle":"","family":"Jørgensen","given":"Torbe</w:instrText>
      </w:r>
      <w:r>
        <w:rPr>
          <w:rFonts w:ascii="Arial" w:eastAsia="Times New Roman" w:hAnsi="Arial" w:cs="Arial"/>
          <w:color w:val="000000"/>
          <w:lang w:val="en-US" w:eastAsia="de-DE"/>
        </w:rPr>
        <w:instrText>n","non-dropping-particle":"","parse-names":false,"suffix":""},{"dropping-particle":"","family":"Joshi","given":"Pradeep","non-dropping-particle":"","parse-names":false,"suffix":""},{"dropping-particle":"","family":"Juolevi","given":"Anne","non-dropping-pa</w:instrText>
      </w:r>
      <w:r>
        <w:rPr>
          <w:rFonts w:ascii="Arial" w:eastAsia="Times New Roman" w:hAnsi="Arial" w:cs="Arial"/>
          <w:color w:val="000000"/>
          <w:lang w:val="en-US" w:eastAsia="de-DE"/>
        </w:rPr>
        <w:instrText>rticle":"","parse-names":false,"suffix":""},{"dropping-particle":"","family":"Jurak","given":"Gregor","non-dropping-particle":"","parse-names":false,"suffix":""},{"dropping-particle":"","family":"Jureša","given":"Vesna","non-dropping-particle":"","parse-na</w:instrText>
      </w:r>
      <w:r>
        <w:rPr>
          <w:rFonts w:ascii="Arial" w:eastAsia="Times New Roman" w:hAnsi="Arial" w:cs="Arial"/>
          <w:color w:val="000000"/>
          <w:lang w:val="en-US" w:eastAsia="de-DE"/>
        </w:rPr>
        <w:instrText>mes":false,"suffix":""},{"dropping-particle":"","family":"Kaaks","given":"Rudolf","non-dropping-particle":"","parse-names":false,"suffix":""},{"dropping-particle":"","family":"Kafatos","given":"Anthony","non-dropping-particle":"","parse-names":false,"suffi</w:instrText>
      </w:r>
      <w:r>
        <w:rPr>
          <w:rFonts w:ascii="Arial" w:eastAsia="Times New Roman" w:hAnsi="Arial" w:cs="Arial"/>
          <w:color w:val="000000"/>
          <w:lang w:val="en-US" w:eastAsia="de-DE"/>
        </w:rPr>
        <w:instrText>x":""},{"dropping-particle":"","family":"Kalter-Leibovici","given":"Ofra","non-dropping-particle":"","parse-names":false,"suffix":""},{"dropping-particle":"","family":"Kapantais","given":"Efthymios","non-dropping-particle":"","parse-names":false,"suffix":"</w:instrText>
      </w:r>
      <w:r>
        <w:rPr>
          <w:rFonts w:ascii="Arial" w:eastAsia="Times New Roman" w:hAnsi="Arial" w:cs="Arial"/>
          <w:color w:val="000000"/>
          <w:lang w:val="en-US" w:eastAsia="de-DE"/>
        </w:rPr>
        <w:instrText>"},{"dropping-particle":"","family":"Kasaeian","given":"Amir","non-dropping-particle":"","parse-names":false,"suffix":""},{"dropping-particle":"","family":"Katz","given":"Joanne","non-dropping-particle":"","parse-names":false,"suffix":""},{"dropping-partic</w:instrText>
      </w:r>
      <w:r>
        <w:rPr>
          <w:rFonts w:ascii="Arial" w:eastAsia="Times New Roman" w:hAnsi="Arial" w:cs="Arial"/>
          <w:color w:val="000000"/>
          <w:lang w:val="en-US" w:eastAsia="de-DE"/>
        </w:rPr>
        <w:instrText>le":"","family":"Kaur","given":"Prabhdeep","non-dropping-particle":"","parse-names":false,"suffix":""},{"dropping-particle":"","family":"Kavousi","given":"Maryam","non-dropping-particle":"","parse-names":false,"suffix":""},{"dropping-particle":"","family":</w:instrText>
      </w:r>
      <w:r>
        <w:rPr>
          <w:rFonts w:ascii="Arial" w:eastAsia="Times New Roman" w:hAnsi="Arial" w:cs="Arial"/>
          <w:color w:val="000000"/>
          <w:lang w:val="en-US" w:eastAsia="de-DE"/>
        </w:rPr>
        <w:instrText>"Keil","given":"Ulrich","non-dropping-particle":"","parse-names":false,"suffix":""},{"dropping-particle":"","family":"Boker","given":"Lital Keinan","non-dropping-particle":"","parse-names":false,"suffix":""},{"dropping-particle":"","family":"Keinänen-Kiuka</w:instrText>
      </w:r>
      <w:r>
        <w:rPr>
          <w:rFonts w:ascii="Arial" w:eastAsia="Times New Roman" w:hAnsi="Arial" w:cs="Arial"/>
          <w:color w:val="000000"/>
          <w:lang w:val="en-US" w:eastAsia="de-DE"/>
        </w:rPr>
        <w:instrText>anniemi","given":"Sirkka","non-dropping-particle":"","parse-names":false,"suffix":""},{"dropping-particle":"","family":"Kelishadi","given":"Roya","non-dropping-particle":"","parse-names":false,"suffix":""},{"dropping-particle":"","family":"Kemper","given":</w:instrText>
      </w:r>
      <w:r>
        <w:rPr>
          <w:rFonts w:ascii="Arial" w:eastAsia="Times New Roman" w:hAnsi="Arial" w:cs="Arial"/>
          <w:color w:val="000000"/>
          <w:lang w:val="en-US" w:eastAsia="de-DE"/>
        </w:rPr>
        <w:instrText>"Han C.G.","non-dropping-particle":"","parse-names":false,"suffix":""},{"dropping-particle":"","family":"Kengne","given":"Andre P.","non-dropping-particle":"","parse-names":false,"suffix":""},{"dropping-particle":"","family":"Kersting","given":"Mathilde","</w:instrText>
      </w:r>
      <w:r>
        <w:rPr>
          <w:rFonts w:ascii="Arial" w:eastAsia="Times New Roman" w:hAnsi="Arial" w:cs="Arial"/>
          <w:color w:val="000000"/>
          <w:lang w:val="en-US" w:eastAsia="de-DE"/>
        </w:rPr>
        <w:instrText>non-dropping-particle":"","parse-names":false,"suffix":""},{"dropping-particle":"","family":"Key","given":"Timothy","non-dropping-particle":"","parse-names":false,"suffix":""},{"dropping-particle":"","family":"Khader","given":"Yousef Saleh","non-dropping-p</w:instrText>
      </w:r>
      <w:r>
        <w:rPr>
          <w:rFonts w:ascii="Arial" w:eastAsia="Times New Roman" w:hAnsi="Arial" w:cs="Arial"/>
          <w:color w:val="000000"/>
          <w:lang w:val="en-US" w:eastAsia="de-DE"/>
        </w:rPr>
        <w:instrText>article":"","parse-names":false,"suffix":""},{"dropping-particle":"","family":"Khalili","given":"Davood","non-dropping-particle":"","parse-names":false,"suffix":""},{"dropping-particle":"","family":"Khang","given":"Young Ho","non-dropping-particle":"","par</w:instrText>
      </w:r>
      <w:r>
        <w:rPr>
          <w:rFonts w:ascii="Arial" w:eastAsia="Times New Roman" w:hAnsi="Arial" w:cs="Arial"/>
          <w:color w:val="000000"/>
          <w:lang w:val="en-US" w:eastAsia="de-DE"/>
        </w:rPr>
        <w:instrText>se-names":false,"suffix":""},{"dropping-particle":"","family":"Khaw","given":"Kay Tee H.","non-dropping-particle":"","parse-names":false,"suffix":""},{"dropping-particle":"","family":"Khouw","given":"Ilse M.S.L.","non-dropping-particle":"","parse-names":fa</w:instrText>
      </w:r>
      <w:r>
        <w:rPr>
          <w:rFonts w:ascii="Arial" w:eastAsia="Times New Roman" w:hAnsi="Arial" w:cs="Arial"/>
          <w:color w:val="000000"/>
          <w:lang w:val="en-US" w:eastAsia="de-DE"/>
        </w:rPr>
        <w:instrText>lse,"suffix":""},{"dropping-particle":"","family":"Kiechl","given":"Stefan","non-dropping-particle":"","parse-names":false,"suffix":""},{"dropping-particle":"","family":"Killewo","given":"Japhet","non-dropping-particle":"","parse-names":false,"suffix":""},</w:instrText>
      </w:r>
      <w:r>
        <w:rPr>
          <w:rFonts w:ascii="Arial" w:eastAsia="Times New Roman" w:hAnsi="Arial" w:cs="Arial"/>
          <w:color w:val="000000"/>
          <w:lang w:val="en-US" w:eastAsia="de-DE"/>
        </w:rPr>
        <w:instrText>{"dropping-particle":"","family":"Kim","given":"Jeongseon","non-dropping-particle":"","parse-names":false,"suffix":""},{"dropping-particle":"","family":"Klimont","given":"Jeannette","non-dropping-particle":"","parse-names":false,"suffix":""},{"dropping-par</w:instrText>
      </w:r>
      <w:r>
        <w:rPr>
          <w:rFonts w:ascii="Arial" w:eastAsia="Times New Roman" w:hAnsi="Arial" w:cs="Arial"/>
          <w:color w:val="000000"/>
          <w:lang w:val="en-US" w:eastAsia="de-DE"/>
        </w:rPr>
        <w:instrText>ticle":"","family":"Klumbiene","given":"Jurate","non-dropping-particle":"","parse-names":false,"suffix":""},{"dropping-particle":"","family":"Koirala","given":"Bhawesh","non-dropping-particle":"","parse-names":false,"suffix":""},{"dropping-particle":"","fa</w:instrText>
      </w:r>
      <w:r>
        <w:rPr>
          <w:rFonts w:ascii="Arial" w:eastAsia="Times New Roman" w:hAnsi="Arial" w:cs="Arial"/>
          <w:color w:val="000000"/>
          <w:lang w:val="en-US" w:eastAsia="de-DE"/>
        </w:rPr>
        <w:instrText>mily":"Kolle","given":"Elin","non-dropping-particle":"","parse-names":false,"suffix":""},{"dropping-particle":"","family":"Kolsteren","given":"Patrick","non-dropping-particle":"","parse-names":false,"suffix":""},{"dropping-particle":"","family":"Korrovits"</w:instrText>
      </w:r>
      <w:r>
        <w:rPr>
          <w:rFonts w:ascii="Arial" w:eastAsia="Times New Roman" w:hAnsi="Arial" w:cs="Arial"/>
          <w:color w:val="000000"/>
          <w:lang w:val="en-US" w:eastAsia="de-DE"/>
        </w:rPr>
        <w:instrText>,"given":"Paul","non-dropping-particle":"","parse-names":false,"suffix":""},{"dropping-particle":"","family":"Koskinen","given":"Seppo","non-dropping-particle":"","parse-names":false,"suffix":""},{"dropping-particle":"","family":"Kouda","given":"Katsuyasu"</w:instrText>
      </w:r>
      <w:r>
        <w:rPr>
          <w:rFonts w:ascii="Arial" w:eastAsia="Times New Roman" w:hAnsi="Arial" w:cs="Arial"/>
          <w:color w:val="000000"/>
          <w:lang w:val="en-US" w:eastAsia="de-DE"/>
        </w:rPr>
        <w:instrText>,"non-dropping-particle":"","parse-names":false,"suffix":""},{"dropping-particle":"","family":"Koziel","given":"Slawomir","non-dropping-particle":"","parse-names":false,"suffix":""},{"dropping-particle":"","family":"Kratzer","given":"Wolfgang","non-droppin</w:instrText>
      </w:r>
      <w:r>
        <w:rPr>
          <w:rFonts w:ascii="Arial" w:eastAsia="Times New Roman" w:hAnsi="Arial" w:cs="Arial"/>
          <w:color w:val="000000"/>
          <w:lang w:val="en-US" w:eastAsia="de-DE"/>
        </w:rPr>
        <w:instrText>g-particle":"","parse-names":false,"suffix":""},{"dropping-particle":"","family":"Krokstad","given":"Steinar","non-dropping-particle":"","parse-names":false,"suffix":""},{"dropping-particle":"","family":"Kromhout","given":"Daan","non-dropping-particle":"",</w:instrText>
      </w:r>
      <w:r>
        <w:rPr>
          <w:rFonts w:ascii="Arial" w:eastAsia="Times New Roman" w:hAnsi="Arial" w:cs="Arial"/>
          <w:color w:val="000000"/>
          <w:lang w:val="en-US" w:eastAsia="de-DE"/>
        </w:rPr>
        <w:instrText>"parse-names":false,"suffix":""},{"dropping-particle":"","family":"Kruger","given":"Herculina S.","non-dropping-particle":"","parse-names":false,"suffix":""},{"dropping-particle":"","family":"Kubinova","given":"Ruzena","non-dropping-particle":"","parse-nam</w:instrText>
      </w:r>
      <w:r>
        <w:rPr>
          <w:rFonts w:ascii="Arial" w:eastAsia="Times New Roman" w:hAnsi="Arial" w:cs="Arial"/>
          <w:color w:val="000000"/>
          <w:lang w:val="en-US" w:eastAsia="de-DE"/>
        </w:rPr>
        <w:instrText>es":false,"suffix":""},{"dropping-particle":"","family":"Kujala","given":"Urho M.","non-dropping-particle":"","parse-names":false,"suffix":""},{"dropping-particle":"","family":"Kula","given":"Krzysztof","non-dropping-particle":"","parse-names":false,"suffi</w:instrText>
      </w:r>
      <w:r>
        <w:rPr>
          <w:rFonts w:ascii="Arial" w:eastAsia="Times New Roman" w:hAnsi="Arial" w:cs="Arial"/>
          <w:color w:val="000000"/>
          <w:lang w:val="en-US" w:eastAsia="de-DE"/>
        </w:rPr>
        <w:instrText>x":""},{"dropping-particle":"","family":"Kulaga","given":"Zbigniew","non-dropping-particle":"","parse-names":false,"suffix":""},{"dropping-particle":"","family":"Kumar","given":"R. Krishna","non-dropping-particle":"","parse-names":false,"suffix":""},{"drop</w:instrText>
      </w:r>
      <w:r>
        <w:rPr>
          <w:rFonts w:ascii="Arial" w:eastAsia="Times New Roman" w:hAnsi="Arial" w:cs="Arial"/>
          <w:color w:val="000000"/>
          <w:lang w:val="en-US" w:eastAsia="de-DE"/>
        </w:rPr>
        <w:instrText>ping-particle":"","family":"Kurjata","given":"Pawel","non-dropping-particle":"","parse-names":false,"suffix":""},{"dropping-particle":"","family":"Kusuma","given":"Yadlapalli S.","non-dropping-particle":"","parse-names":false,"suffix":""},{"dropping-partic</w:instrText>
      </w:r>
      <w:r>
        <w:rPr>
          <w:rFonts w:ascii="Arial" w:eastAsia="Times New Roman" w:hAnsi="Arial" w:cs="Arial"/>
          <w:color w:val="000000"/>
          <w:lang w:val="en-US" w:eastAsia="de-DE"/>
        </w:rPr>
        <w:instrText>le":"","family":"Kuulasmaa","given":"Kari","non-dropping-particle":"","parse-names":false,"suffix":""},{"dropping-particle":"","family":"Kyobutungi","given":"Catherine","non-dropping-particle":"","parse-names":false,"suffix":""},{"dropping-particle":"","fa</w:instrText>
      </w:r>
      <w:r>
        <w:rPr>
          <w:rFonts w:ascii="Arial" w:eastAsia="Times New Roman" w:hAnsi="Arial" w:cs="Arial"/>
          <w:color w:val="000000"/>
          <w:lang w:val="en-US" w:eastAsia="de-DE"/>
        </w:rPr>
        <w:instrText>mily":"Laamiri","given":"Fatima Zahra","non-dropping-particle":"","parse-names":false,"suffix":""},{"dropping-particle":"","family":"Laatikainen","given":"Tiina","non-dropping-particle":"","parse-names":false,"suffix":""},{"dropping-particle":"","family":"</w:instrText>
      </w:r>
      <w:r>
        <w:rPr>
          <w:rFonts w:ascii="Arial" w:eastAsia="Times New Roman" w:hAnsi="Arial" w:cs="Arial"/>
          <w:color w:val="000000"/>
          <w:lang w:val="en-US" w:eastAsia="de-DE"/>
        </w:rPr>
        <w:instrText>Lachat","given":"Carl","non-dropping-particle":"","parse-names":false,"suffix":""},{"dropping-particle":"","family":"Laid","given":"Youcef","non-dropping-particle":"","parse-names":false,"suffix":""},{"dropping-particle":"","family":"Lam","given":"Tai Hing</w:instrText>
      </w:r>
      <w:r>
        <w:rPr>
          <w:rFonts w:ascii="Arial" w:eastAsia="Times New Roman" w:hAnsi="Arial" w:cs="Arial"/>
          <w:color w:val="000000"/>
          <w:lang w:val="en-US" w:eastAsia="de-DE"/>
        </w:rPr>
        <w:instrText>","non-dropping-particle":"","parse-names":false,"suffix":""},{"dropping-particle":"","family":"Landrove","given":"Orlando","non-dropping-particle":"","parse-names":false,"suffix":""},{"dropping-particle":"","family":"Lanska","given":"Vera","non-dropping-p</w:instrText>
      </w:r>
      <w:r>
        <w:rPr>
          <w:rFonts w:ascii="Arial" w:eastAsia="Times New Roman" w:hAnsi="Arial" w:cs="Arial"/>
          <w:color w:val="000000"/>
          <w:lang w:val="en-US" w:eastAsia="de-DE"/>
        </w:rPr>
        <w:instrText>article":"","parse-names":false,"suffix":""},{"dropping-particle":"","family":"Lappas","given":"Georg","non-dropping-particle":"","parse-names":false,"suffix":""},{"dropping-particle":"","family":"Larijani","given":"Bagher","non-dropping-particle":"","pars</w:instrText>
      </w:r>
      <w:r>
        <w:rPr>
          <w:rFonts w:ascii="Arial" w:eastAsia="Times New Roman" w:hAnsi="Arial" w:cs="Arial"/>
          <w:color w:val="000000"/>
          <w:lang w:val="en-US" w:eastAsia="de-DE"/>
        </w:rPr>
        <w:instrText>e-names":false,"suffix":""},{"dropping-particle":"","family":"Laugsand","given":"Lars E.","non-dropping-particle":"","parse-names":false,"suffix":""},{"dropping-particle":"","family":"Bao","given":"Khanh Le Nguyen","non-dropping-particle":"","parse-names":</w:instrText>
      </w:r>
      <w:r>
        <w:rPr>
          <w:rFonts w:ascii="Arial" w:eastAsia="Times New Roman" w:hAnsi="Arial" w:cs="Arial"/>
          <w:color w:val="000000"/>
          <w:lang w:val="en-US" w:eastAsia="de-DE"/>
        </w:rPr>
        <w:instrText>false,"suffix":""},{"dropping-particle":"","family":"Le","given":"Tuyen D.","non-dropping-particle":"","parse-names":false,"suffix":""},{"dropping-particle":"","family":"Leclercq","given":"Catherine","non-dropping-particle":"","parse-names":false,"suffix":</w:instrText>
      </w:r>
      <w:r>
        <w:rPr>
          <w:rFonts w:ascii="Arial" w:eastAsia="Times New Roman" w:hAnsi="Arial" w:cs="Arial"/>
          <w:color w:val="000000"/>
          <w:lang w:val="en-US" w:eastAsia="de-DE"/>
        </w:rPr>
        <w:instrText>""},{"dropping-particle":"","family":"Lee","given":"Jeannette","non-dropping-particle":"","parse-names":false,"suffix":""},{"dropping-particle":"","family":"Lee","given":"Jeonghee","non-dropping-particle":"","parse-names":false,"suffix":""},{"dropping-part</w:instrText>
      </w:r>
      <w:r>
        <w:rPr>
          <w:rFonts w:ascii="Arial" w:eastAsia="Times New Roman" w:hAnsi="Arial" w:cs="Arial"/>
          <w:color w:val="000000"/>
          <w:lang w:val="en-US" w:eastAsia="de-DE"/>
        </w:rPr>
        <w:instrText>icle":"","family":"Lehtimäki","given":"Terho","non-dropping-particle":"","parse-names":false,"suffix":""},{"dropping-particle":"","family":"Lekhraj","given":"Rampal","non-dropping-particle":"","parse-names":false,"suffix":""},{"dropping-particle":"","famil</w:instrText>
      </w:r>
      <w:r>
        <w:rPr>
          <w:rFonts w:ascii="Arial" w:eastAsia="Times New Roman" w:hAnsi="Arial" w:cs="Arial"/>
          <w:color w:val="000000"/>
          <w:lang w:val="en-US" w:eastAsia="de-DE"/>
        </w:rPr>
        <w:instrText>y":"León-Muñoz","given":"Luz M.","non-dropping-particle":"","parse-names":false,"suffix":""},{"dropping-particle":"","family":"Li","given":"Yanping","non-dropping-particle":"","parse-names":false,"suffix":""},{"dropping-particle":"","family":"Lilly","given</w:instrText>
      </w:r>
      <w:r>
        <w:rPr>
          <w:rFonts w:ascii="Arial" w:eastAsia="Times New Roman" w:hAnsi="Arial" w:cs="Arial"/>
          <w:color w:val="000000"/>
          <w:lang w:val="en-US" w:eastAsia="de-DE"/>
        </w:rPr>
        <w:instrText>":"Christa L.","non-dropping-particle":"","parse-names":false,"suffix":""},{"dropping-particle":"","family":"Lim","given":"Wei Yen","non-dropping-particle":"","parse-names":false,"suffix":""},{"dropping-particle":"","family":"Lima-Costa","given":"M. Fernan</w:instrText>
      </w:r>
      <w:r>
        <w:rPr>
          <w:rFonts w:ascii="Arial" w:eastAsia="Times New Roman" w:hAnsi="Arial" w:cs="Arial"/>
          <w:color w:val="000000"/>
          <w:lang w:val="en-US" w:eastAsia="de-DE"/>
        </w:rPr>
        <w:instrText>da","non-dropping-particle":"","parse-names":false,"suffix":""},{"dropping-particle":"","family":"Lin","given":"Hsien Ho","non-dropping-particle":"","parse-names":false,"suffix":""},{"dropping-particle":"","family":"Lin","given":"Xu","non-dropping-particle</w:instrText>
      </w:r>
      <w:r>
        <w:rPr>
          <w:rFonts w:ascii="Arial" w:eastAsia="Times New Roman" w:hAnsi="Arial" w:cs="Arial"/>
          <w:color w:val="000000"/>
          <w:lang w:val="en-US" w:eastAsia="de-DE"/>
        </w:rPr>
        <w:instrText>":"","parse-names":false,"suffix":""},{"dropping-particle":"","family":"Linneberg","given":"Allan","non-dropping-particle":"","parse-names":false,"suffix":""},{"dropping-particle":"","family":"Lissner","given":"Lauren","non-dropping-particle":"","parse-nam</w:instrText>
      </w:r>
      <w:r>
        <w:rPr>
          <w:rFonts w:ascii="Arial" w:eastAsia="Times New Roman" w:hAnsi="Arial" w:cs="Arial"/>
          <w:color w:val="000000"/>
          <w:lang w:val="en-US" w:eastAsia="de-DE"/>
        </w:rPr>
        <w:instrText>es":false,"suffix":""},{"dropping-particle":"","family":"Litwin","given":"Mieczyslaw","non-dropping-particle":"","parse-names":false,"suffix":""},{"dropping-particle":"","family":"Liu","given":"Jing","non-dropping-particle":"","parse-names":false,"suffix":</w:instrText>
      </w:r>
      <w:r>
        <w:rPr>
          <w:rFonts w:ascii="Arial" w:eastAsia="Times New Roman" w:hAnsi="Arial" w:cs="Arial"/>
          <w:color w:val="000000"/>
          <w:lang w:val="en-US" w:eastAsia="de-DE"/>
        </w:rPr>
        <w:instrText>""},{"dropping-particle":"","family":"Lorbeer","given":"Roberto","non-dropping-particle":"","parse-names":false,"suffix":""},{"dropping-particle":"","family":"Lotufo","given":"Paulo A.","non-dropping-particle":"","parse-names":false,"suffix":""},{"dropping</w:instrText>
      </w:r>
      <w:r>
        <w:rPr>
          <w:rFonts w:ascii="Arial" w:eastAsia="Times New Roman" w:hAnsi="Arial" w:cs="Arial"/>
          <w:color w:val="000000"/>
          <w:lang w:val="en-US" w:eastAsia="de-DE"/>
        </w:rPr>
        <w:instrText>-particle":"","family":"Lozano","given":"José Eugenio","non-dropping-particle":"","parse-names":false,"suffix":""},{"dropping-particle":"","family":"Luksiene","given":"Dalia","non-dropping-particle":"","parse-names":false,"suffix":""},{"dropping-particle":</w:instrText>
      </w:r>
      <w:r>
        <w:rPr>
          <w:rFonts w:ascii="Arial" w:eastAsia="Times New Roman" w:hAnsi="Arial" w:cs="Arial"/>
          <w:color w:val="000000"/>
          <w:lang w:val="en-US" w:eastAsia="de-DE"/>
        </w:rPr>
        <w:instrText>"","family":"Lundqvist","given":"Annamari","non-dropping-particle":"","parse-names":false,"suffix":""},{"dropping-particle":"","family":"Lunet","given":"Nuno","non-dropping-particle":"","parse-names":false,"suffix":""},{"dropping-particle":"","family":"Lyt</w:instrText>
      </w:r>
      <w:r>
        <w:rPr>
          <w:rFonts w:ascii="Arial" w:eastAsia="Times New Roman" w:hAnsi="Arial" w:cs="Arial"/>
          <w:color w:val="000000"/>
          <w:lang w:val="en-US" w:eastAsia="de-DE"/>
        </w:rPr>
        <w:instrText>sy","given":"Per","non-dropping-particle":"","parse-names":false,"suffix":""},{"dropping-particle":"","family":"Ma","given":"Guansheng","non-dropping-particle":"","parse-names":false,"suffix":""},{"dropping-particle":"","family":"Ma","given":"Jun","non-dro</w:instrText>
      </w:r>
      <w:r>
        <w:rPr>
          <w:rFonts w:ascii="Arial" w:eastAsia="Times New Roman" w:hAnsi="Arial" w:cs="Arial"/>
          <w:color w:val="000000"/>
          <w:lang w:val="en-US" w:eastAsia="de-DE"/>
        </w:rPr>
        <w:instrText>pping-particle":"","parse-names":false,"suffix":""},{"dropping-particle":"","family":"Machado-Coelho","given":"George L.L.","non-dropping-particle":"","parse-names":false,"suffix":""},{"dropping-particle":"","family":"Machi","given":"Suka","non-dropping-pa</w:instrText>
      </w:r>
      <w:r>
        <w:rPr>
          <w:rFonts w:ascii="Arial" w:eastAsia="Times New Roman" w:hAnsi="Arial" w:cs="Arial"/>
          <w:color w:val="000000"/>
          <w:lang w:val="en-US" w:eastAsia="de-DE"/>
        </w:rPr>
        <w:instrText>rticle":"","parse-names":false,"suffix":""},{"dropping-particle":"","family":"Maggi","given":"Stefania","non-dropping-particle":"","parse-names":false,"suffix":""},{"dropping-particle":"","family":"Magliano","given":"Dianna J.","non-dropping-particle":"","</w:instrText>
      </w:r>
      <w:r>
        <w:rPr>
          <w:rFonts w:ascii="Arial" w:eastAsia="Times New Roman" w:hAnsi="Arial" w:cs="Arial"/>
          <w:color w:val="000000"/>
          <w:lang w:val="en-US" w:eastAsia="de-DE"/>
        </w:rPr>
        <w:instrText>parse-names":false,"suffix":""},{"dropping-particle":"","family":"Maire","given":"Bernard","non-dropping-particle":"","parse-names":false,"suffix":""},{"dropping-particle":"","family":"Makdisse","given":"Marcia","non-dropping-particle":"","parse-names":fal</w:instrText>
      </w:r>
      <w:r>
        <w:rPr>
          <w:rFonts w:ascii="Arial" w:eastAsia="Times New Roman" w:hAnsi="Arial" w:cs="Arial"/>
          <w:color w:val="000000"/>
          <w:lang w:val="en-US" w:eastAsia="de-DE"/>
        </w:rPr>
        <w:instrText>se,"suffix":""},{"dropping-particle":"","family":"Malekzadeh","given":"Reza","non-dropping-particle":"","parse-names":false,"suffix":""},{"dropping-particle":"","family":"Malhotra","given":"Rahul","non-dropping-particle":"","parse-names":false,"suffix":""}</w:instrText>
      </w:r>
      <w:r>
        <w:rPr>
          <w:rFonts w:ascii="Arial" w:eastAsia="Times New Roman" w:hAnsi="Arial" w:cs="Arial"/>
          <w:color w:val="000000"/>
          <w:lang w:val="en-US" w:eastAsia="de-DE"/>
        </w:rPr>
        <w:instrText>,{"dropping-particle":"","family":"Rao","given":"Kodavanti Mallikharjuna","non-dropping-particle":"","parse-names":false,"suffix":""},{"dropping-particle":"","family":"Malyutina","given":"Sofia","non-dropping-particle":"","parse-names":false,"suffix":""},{</w:instrText>
      </w:r>
      <w:r>
        <w:rPr>
          <w:rFonts w:ascii="Arial" w:eastAsia="Times New Roman" w:hAnsi="Arial" w:cs="Arial"/>
          <w:color w:val="000000"/>
          <w:lang w:val="en-US" w:eastAsia="de-DE"/>
        </w:rPr>
        <w:instrText>"dropping-particle":"","family":"Manios","given":"Yannis","non-dropping-particle":"","parse-names":false,"suffix":""},{"dropping-particle":"","family":"Mann","given":"Jim I.","non-dropping-particle":"","parse-names":false,"suffix":""},{"dropping-particle":</w:instrText>
      </w:r>
      <w:r>
        <w:rPr>
          <w:rFonts w:ascii="Arial" w:eastAsia="Times New Roman" w:hAnsi="Arial" w:cs="Arial"/>
          <w:color w:val="000000"/>
          <w:lang w:val="en-US" w:eastAsia="de-DE"/>
        </w:rPr>
        <w:instrText>"","family":"Manzato","given":"Enzo","non-dropping-particle":"","parse-names":false,"suffix":""},{"dropping-particle":"","family":"Margozzini","given":"Paula","non-dropping-particle":"","parse-names":false,"suffix":""},{"dropping-particle":"","family":"Mar</w:instrText>
      </w:r>
      <w:r>
        <w:rPr>
          <w:rFonts w:ascii="Arial" w:eastAsia="Times New Roman" w:hAnsi="Arial" w:cs="Arial"/>
          <w:color w:val="000000"/>
          <w:lang w:val="en-US" w:eastAsia="de-DE"/>
        </w:rPr>
        <w:instrText>key","given":"Oonagh","non-dropping-particle":"","parse-names":false,"suffix":""},{"dropping-particle":"","family":"Marques-Vidal","given":"Pedro","non-dropping-particle":"","parse-names":false,"suffix":""},{"dropping-particle":"","family":"Marrugat","give</w:instrText>
      </w:r>
      <w:r>
        <w:rPr>
          <w:rFonts w:ascii="Arial" w:eastAsia="Times New Roman" w:hAnsi="Arial" w:cs="Arial"/>
          <w:color w:val="000000"/>
          <w:lang w:val="en-US" w:eastAsia="de-DE"/>
        </w:rPr>
        <w:instrText>n":"Jaume","non-dropping-particle":"","parse-names":false,"suffix":""},{"dropping-particle":"","family":"Martin-Prevel","given":"Yves","non-dropping-particle":"","parse-names":false,"suffix":""},{"dropping-particle":"","family":"Martorell","given":"Reynald</w:instrText>
      </w:r>
      <w:r>
        <w:rPr>
          <w:rFonts w:ascii="Arial" w:eastAsia="Times New Roman" w:hAnsi="Arial" w:cs="Arial"/>
          <w:color w:val="000000"/>
          <w:lang w:val="en-US" w:eastAsia="de-DE"/>
        </w:rPr>
        <w:instrText>o","non-dropping-particle":"","parse-names":false,"suffix":""},{"dropping-particle":"","family":"Masoodi","given":"Shariq R.","non-dropping-particle":"","parse-names":false,"suffix":""},{"dropping-particle":"","family":"Mathiesen","given":"Ellisiv B.","non</w:instrText>
      </w:r>
      <w:r>
        <w:rPr>
          <w:rFonts w:ascii="Arial" w:eastAsia="Times New Roman" w:hAnsi="Arial" w:cs="Arial"/>
          <w:color w:val="000000"/>
          <w:lang w:val="en-US" w:eastAsia="de-DE"/>
        </w:rPr>
        <w:instrText>-dropping-particle":"","parse-names":false,"suffix":""},{"dropping-particle":"","family":"Matsha","given":"Tandi E.","non-dropping-particle":"","parse-names":false,"suffix":""},{"dropping-particle":"","family":"Mazur","given":"Artur","non-dropping-particle</w:instrText>
      </w:r>
      <w:r>
        <w:rPr>
          <w:rFonts w:ascii="Arial" w:eastAsia="Times New Roman" w:hAnsi="Arial" w:cs="Arial"/>
          <w:color w:val="000000"/>
          <w:lang w:val="en-US" w:eastAsia="de-DE"/>
        </w:rPr>
        <w:instrText>":"","parse-names":false,"suffix":""},{"dropping-particle":"","family":"Mbanya","given":"Jean Claude N.","non-dropping-particle":"","parse-names":false,"suffix":""},{"dropping-particle":"","family":"McFarlane","given":"Shelly R.","non-dropping-particle":""</w:instrText>
      </w:r>
      <w:r>
        <w:rPr>
          <w:rFonts w:ascii="Arial" w:eastAsia="Times New Roman" w:hAnsi="Arial" w:cs="Arial"/>
          <w:color w:val="000000"/>
          <w:lang w:val="en-US" w:eastAsia="de-DE"/>
        </w:rPr>
        <w:instrText>,"parse-names":false,"suffix":""},{"dropping-particle":"","family":"McGarvey","given":"Stephen T.","non-dropping-particle":"","parse-names":false,"suffix":""},{"dropping-particle":"","family":"McKee","given":"Martin","non-dropping-particle":"","parse-names</w:instrText>
      </w:r>
      <w:r>
        <w:rPr>
          <w:rFonts w:ascii="Arial" w:eastAsia="Times New Roman" w:hAnsi="Arial" w:cs="Arial"/>
          <w:color w:val="000000"/>
          <w:lang w:val="en-US" w:eastAsia="de-DE"/>
        </w:rPr>
        <w:instrText>":false,"suffix":""},{"dropping-particle":"","family":"McLachlan","given":"Stela","non-dropping-particle":"","parse-names":false,"suffix":""},{"dropping-particle":"","family":"McLean","given":"Rachael M.","non-dropping-particle":"","parse-names":false,"suf</w:instrText>
      </w:r>
      <w:r>
        <w:rPr>
          <w:rFonts w:ascii="Arial" w:eastAsia="Times New Roman" w:hAnsi="Arial" w:cs="Arial"/>
          <w:color w:val="000000"/>
          <w:lang w:val="en-US" w:eastAsia="de-DE"/>
        </w:rPr>
        <w:instrText>fix":""},{"dropping-particle":"","family":"McNulty","given":"Breige A.","non-dropping-particle":"","parse-names":false,"suffix":""},{"dropping-particle":"","family":"Yusof","given":"Safiah Md","non-dropping-particle":"","parse-names":false,"suffix":""},{"d</w:instrText>
      </w:r>
      <w:r>
        <w:rPr>
          <w:rFonts w:ascii="Arial" w:eastAsia="Times New Roman" w:hAnsi="Arial" w:cs="Arial"/>
          <w:color w:val="000000"/>
          <w:lang w:val="en-US" w:eastAsia="de-DE"/>
        </w:rPr>
        <w:instrText>ropping-particle":"","family":"Mediene-Benchekor","given":"Sounnia","non-dropping-particle":"","parse-names":false,"suffix":""},{"dropping-particle":"","family":"Meirhaeghe","given":"Aline","non-dropping-particle":"","parse-names":false,"suffix":""},{"drop</w:instrText>
      </w:r>
      <w:r>
        <w:rPr>
          <w:rFonts w:ascii="Arial" w:eastAsia="Times New Roman" w:hAnsi="Arial" w:cs="Arial"/>
          <w:color w:val="000000"/>
          <w:lang w:val="en-US" w:eastAsia="de-DE"/>
        </w:rPr>
        <w:instrText>ping-particle":"","family":"Meisinger","given":"Christa","non-dropping-particle":"","parse-names":false,"suffix":""},{"dropping-particle":"","family":"Menezes","given":"Ana Maria B.","non-dropping-particle":"","parse-names":false,"suffix":""},{"dropping-pa</w:instrText>
      </w:r>
      <w:r>
        <w:rPr>
          <w:rFonts w:ascii="Arial" w:eastAsia="Times New Roman" w:hAnsi="Arial" w:cs="Arial"/>
          <w:color w:val="000000"/>
          <w:lang w:val="en-US" w:eastAsia="de-DE"/>
        </w:rPr>
        <w:instrText>rticle":"","family":"Mensink","given":"Gert B.M.","non-dropping-particle":"","parse-names":false,"suffix":""},{"dropping-particle":"","family":"Meshram","given":"Indrapal I.","non-dropping-particle":"","parse-names":false,"suffix":""},{"dropping-particle":</w:instrText>
      </w:r>
      <w:r>
        <w:rPr>
          <w:rFonts w:ascii="Arial" w:eastAsia="Times New Roman" w:hAnsi="Arial" w:cs="Arial"/>
          <w:color w:val="000000"/>
          <w:lang w:val="en-US" w:eastAsia="de-DE"/>
        </w:rPr>
        <w:instrText>"","family":"Metspalu","given":"Andres","non-dropping-particle":"","parse-names":false,"suffix":""},{"dropping-particle":"","family":"Mi","given":"Jie","non-dropping-particle":"","parse-names":false,"suffix":""},{"dropping-particle":"","family":"Michaelsen</w:instrText>
      </w:r>
      <w:r>
        <w:rPr>
          <w:rFonts w:ascii="Arial" w:eastAsia="Times New Roman" w:hAnsi="Arial" w:cs="Arial"/>
          <w:color w:val="000000"/>
          <w:lang w:val="en-US" w:eastAsia="de-DE"/>
        </w:rPr>
        <w:instrText>","given":"Kim F.","non-dropping-particle":"","parse-names":false,"suffix":""},{"dropping-particle":"","family":"Mikkel","given":"Kairit","non-dropping-particle":"","parse-names":false,"suffix":""},{"dropping-particle":"","family":"Miller","given":"Jody C.</w:instrText>
      </w:r>
      <w:r>
        <w:rPr>
          <w:rFonts w:ascii="Arial" w:eastAsia="Times New Roman" w:hAnsi="Arial" w:cs="Arial"/>
          <w:color w:val="000000"/>
          <w:lang w:val="en-US" w:eastAsia="de-DE"/>
        </w:rPr>
        <w:instrText>","non-dropping-particle":"","parse-names":false,"suffix":""},{"dropping-particle":"","family":"Miquel","given":"Juan Francisco","non-dropping-particle":"","parse-names":false,"suffix":""},{"dropping-particle":"","family":"Miranda","given":"J. Jaime","non-</w:instrText>
      </w:r>
      <w:r>
        <w:rPr>
          <w:rFonts w:ascii="Arial" w:eastAsia="Times New Roman" w:hAnsi="Arial" w:cs="Arial"/>
          <w:color w:val="000000"/>
          <w:lang w:val="en-US" w:eastAsia="de-DE"/>
        </w:rPr>
        <w:instrText>dropping-particle":"","parse-names":false,"suffix":""},{"dropping-particle":"","family":"Mišigoj-Durakovic","given":"Marjeta","non-dropping-particle":"","parse-names":false,"suffix":""},{"dropping-particle":"","family":"Mohamed","given":"Mostafa K.","non-d</w:instrText>
      </w:r>
      <w:r>
        <w:rPr>
          <w:rFonts w:ascii="Arial" w:eastAsia="Times New Roman" w:hAnsi="Arial" w:cs="Arial"/>
          <w:color w:val="000000"/>
          <w:lang w:val="en-US" w:eastAsia="de-DE"/>
        </w:rPr>
        <w:instrText>ropping-particle":"","parse-names":false,"suffix":""},{"dropping-particle":"","family":"Mohammad","given":"Kazem","non-dropping-particle":"","parse-names":false,"suffix":""},{"dropping-particle":"","family":"Mohammadifard","given":"Noushin","non-dropping-p</w:instrText>
      </w:r>
      <w:r>
        <w:rPr>
          <w:rFonts w:ascii="Arial" w:eastAsia="Times New Roman" w:hAnsi="Arial" w:cs="Arial"/>
          <w:color w:val="000000"/>
          <w:lang w:val="en-US" w:eastAsia="de-DE"/>
        </w:rPr>
        <w:instrText>article":"","parse-names":false,"suffix":""},{"dropping-particle":"","family":"Mohan","given":"Viswanathan","non-dropping-particle":"","parse-names":false,"suffix":""},{"dropping-particle":"","family":"Yusoff","given":"Muhammad Fadhli Mohd","non-dropping-p</w:instrText>
      </w:r>
      <w:r>
        <w:rPr>
          <w:rFonts w:ascii="Arial" w:eastAsia="Times New Roman" w:hAnsi="Arial" w:cs="Arial"/>
          <w:color w:val="000000"/>
          <w:lang w:val="en-US" w:eastAsia="de-DE"/>
        </w:rPr>
        <w:instrText>article":"","parse-names":false,"suffix":""},{"dropping-particle":"","family":"Molbo","given":"Drude","non-dropping-particle":"","parse-names":false,"suffix":""},{"dropping-particle":"","family":"Møller","given":"Niels C.","non-dropping-particle":"","parse</w:instrText>
      </w:r>
      <w:r>
        <w:rPr>
          <w:rFonts w:ascii="Arial" w:eastAsia="Times New Roman" w:hAnsi="Arial" w:cs="Arial"/>
          <w:color w:val="000000"/>
          <w:lang w:val="en-US" w:eastAsia="de-DE"/>
        </w:rPr>
        <w:instrText>-names":false,"suffix":""},{"dropping-particle":"","family":"Molnár","given":"Dénes","non-dropping-particle":"","parse-names":false,"suffix":""},{"dropping-particle":"","family":"Mondo","given":"Charles K.","non-dropping-particle":"","parse-names":false,"s</w:instrText>
      </w:r>
      <w:r>
        <w:rPr>
          <w:rFonts w:ascii="Arial" w:eastAsia="Times New Roman" w:hAnsi="Arial" w:cs="Arial"/>
          <w:color w:val="000000"/>
          <w:lang w:val="en-US" w:eastAsia="de-DE"/>
        </w:rPr>
        <w:instrText>uffix":""},{"dropping-particle":"","family":"Monterrubio","given":"Eric A.","non-dropping-particle":"","parse-names":false,"suffix":""},{"dropping-particle":"","family":"Monyeki","given":"Kotsedi Daniel K.","non-dropping-particle":"","parse-names":false,"s</w:instrText>
      </w:r>
      <w:r>
        <w:rPr>
          <w:rFonts w:ascii="Arial" w:eastAsia="Times New Roman" w:hAnsi="Arial" w:cs="Arial"/>
          <w:color w:val="000000"/>
          <w:lang w:val="en-US" w:eastAsia="de-DE"/>
        </w:rPr>
        <w:instrText>uffix":""},{"dropping-particle":"","family":"Moreira","given":"Leila B.","non-dropping-particle":"","parse-names":false,"suffix":""},{"dropping-particle":"","family":"Morejon","given":"Alain","non-dropping-particle":"","parse-names":false,"suffix":""},{"dr</w:instrText>
      </w:r>
      <w:r>
        <w:rPr>
          <w:rFonts w:ascii="Arial" w:eastAsia="Times New Roman" w:hAnsi="Arial" w:cs="Arial"/>
          <w:color w:val="000000"/>
          <w:lang w:val="en-US" w:eastAsia="de-DE"/>
        </w:rPr>
        <w:instrText>opping-particle":"","family":"Moreno","given":"Luis A.","non-dropping-particle":"","parse-names":false,"suffix":""},{"dropping-particle":"","family":"Morgan","given":"Karen","non-dropping-particle":"","parse-names":false,"suffix":""},{"dropping-particle":"</w:instrText>
      </w:r>
      <w:r>
        <w:rPr>
          <w:rFonts w:ascii="Arial" w:eastAsia="Times New Roman" w:hAnsi="Arial" w:cs="Arial"/>
          <w:color w:val="000000"/>
          <w:lang w:val="en-US" w:eastAsia="de-DE"/>
        </w:rPr>
        <w:instrText>","family":"Mortensen","given":"Erik Lykke","non-dropping-particle":"","parse-names":false,"suffix":""},{"dropping-particle":"","family":"Moschonis","given":"George","non-dropping-particle":"","parse-names":false,"suffix":""},{"dropping-particle":"","famil</w:instrText>
      </w:r>
      <w:r>
        <w:rPr>
          <w:rFonts w:ascii="Arial" w:eastAsia="Times New Roman" w:hAnsi="Arial" w:cs="Arial"/>
          <w:color w:val="000000"/>
          <w:lang w:val="en-US" w:eastAsia="de-DE"/>
        </w:rPr>
        <w:instrText>y":"Mossakowska","given":"Malgorzata","non-dropping-particle":"","parse-names":false,"suffix":""},{"dropping-particle":"","family":"Mostafa","given":"Aya","non-dropping-particle":"","parse-names":false,"suffix":""},{"dropping-particle":"","family":"Mota","</w:instrText>
      </w:r>
      <w:r>
        <w:rPr>
          <w:rFonts w:ascii="Arial" w:eastAsia="Times New Roman" w:hAnsi="Arial" w:cs="Arial"/>
          <w:color w:val="000000"/>
          <w:lang w:val="en-US" w:eastAsia="de-DE"/>
        </w:rPr>
        <w:instrText>given":"Jorge","non-dropping-particle":"","parse-names":false,"suffix":""},{"dropping-particle":"","family":"Motlagh","given":"Mohammad Esmaeel","non-dropping-particle":"","parse-names":false,"suffix":""},{"dropping-particle":"","family":"Motta","given":"J</w:instrText>
      </w:r>
      <w:r>
        <w:rPr>
          <w:rFonts w:ascii="Arial" w:eastAsia="Times New Roman" w:hAnsi="Arial" w:cs="Arial"/>
          <w:color w:val="000000"/>
          <w:lang w:val="en-US" w:eastAsia="de-DE"/>
        </w:rPr>
        <w:instrText>orge","non-dropping-particle":"","parse-names":false,"suffix":""},{"dropping-particle":"","family":"Mu","given":"Thet Thet","non-dropping-particle":"","parse-names":false,"suffix":""},{"dropping-particle":"","family":"Muiesan","given":"Maria Lorenza","non-</w:instrText>
      </w:r>
      <w:r>
        <w:rPr>
          <w:rFonts w:ascii="Arial" w:eastAsia="Times New Roman" w:hAnsi="Arial" w:cs="Arial"/>
          <w:color w:val="000000"/>
          <w:lang w:val="en-US" w:eastAsia="de-DE"/>
        </w:rPr>
        <w:instrText>dropping-particle":"","parse-names":false,"suffix":""},{"dropping-particle":"","family":"Müller-Nurasyid","given":"Martina","non-dropping-particle":"","parse-names":false,"suffix":""},{"dropping-particle":"","family":"Murphy","given":"Neil","non-dropping-p</w:instrText>
      </w:r>
      <w:r>
        <w:rPr>
          <w:rFonts w:ascii="Arial" w:eastAsia="Times New Roman" w:hAnsi="Arial" w:cs="Arial"/>
          <w:color w:val="000000"/>
          <w:lang w:val="en-US" w:eastAsia="de-DE"/>
        </w:rPr>
        <w:instrText>article":"","parse-names":false,"suffix":""},{"dropping-particle":"","family":"Mursu","given":"Jaakko","non-dropping-particle":"","parse-names":false,"suffix":""},{"dropping-particle":"","family":"Murtagh","given":"Elaine M.","non-dropping-particle":"","pa</w:instrText>
      </w:r>
      <w:r>
        <w:rPr>
          <w:rFonts w:ascii="Arial" w:eastAsia="Times New Roman" w:hAnsi="Arial" w:cs="Arial"/>
          <w:color w:val="000000"/>
          <w:lang w:val="en-US" w:eastAsia="de-DE"/>
        </w:rPr>
        <w:instrText>rse-names":false,"suffix":""},{"dropping-particle":"","family":"Musa","given":"Kamarul Imran","non-dropping-particle":"","parse-names":false,"suffix":""},{"dropping-particle":"","family":"Musil","given":"Vera","non-dropping-particle":"","parse-names":false</w:instrText>
      </w:r>
      <w:r>
        <w:rPr>
          <w:rFonts w:ascii="Arial" w:eastAsia="Times New Roman" w:hAnsi="Arial" w:cs="Arial"/>
          <w:color w:val="000000"/>
          <w:lang w:val="en-US" w:eastAsia="de-DE"/>
        </w:rPr>
        <w:instrText>,"suffix":""},{"dropping-particle":"","family":"Nagel","given":"Gabriele","non-dropping-particle":"","parse-names":false,"suffix":""},{"dropping-particle":"","family":"Nakamura","given":"Harunobu","non-dropping-particle":"","parse-names":false,"suffix":""}</w:instrText>
      </w:r>
      <w:r>
        <w:rPr>
          <w:rFonts w:ascii="Arial" w:eastAsia="Times New Roman" w:hAnsi="Arial" w:cs="Arial"/>
          <w:color w:val="000000"/>
          <w:lang w:val="en-US" w:eastAsia="de-DE"/>
        </w:rPr>
        <w:instrText>,{"dropping-particle":"","family":"Námešná","given":"Jana","non-dropping-particle":"","parse-names":false,"suffix":""},{"dropping-particle":"","family":"Nang","given":"Ei Ei K.","non-dropping-particle":"","parse-names":false,"suffix":""},{"dropping-particl</w:instrText>
      </w:r>
      <w:r>
        <w:rPr>
          <w:rFonts w:ascii="Arial" w:eastAsia="Times New Roman" w:hAnsi="Arial" w:cs="Arial"/>
          <w:color w:val="000000"/>
          <w:lang w:val="en-US" w:eastAsia="de-DE"/>
        </w:rPr>
        <w:instrText>e":"","family":"Nangia","given":"Vinay B.","non-dropping-particle":"","parse-names":false,"suffix":""},{"dropping-particle":"","family":"Nankap","given":"Martin","non-dropping-particle":"","parse-names":false,"suffix":""},{"dropping-particle":"","family":"</w:instrText>
      </w:r>
      <w:r>
        <w:rPr>
          <w:rFonts w:ascii="Arial" w:eastAsia="Times New Roman" w:hAnsi="Arial" w:cs="Arial"/>
          <w:color w:val="000000"/>
          <w:lang w:val="en-US" w:eastAsia="de-DE"/>
        </w:rPr>
        <w:instrText>Narake","given":"Sameer","non-dropping-particle":"","parse-names":false,"suffix":""},{"dropping-particle":"","family":"Navarrete-Muñoz","given":"Eva Maria","non-dropping-particle":"","parse-names":false,"suffix":""},{"dropping-particle":"","family":"Neal",</w:instrText>
      </w:r>
      <w:r>
        <w:rPr>
          <w:rFonts w:ascii="Arial" w:eastAsia="Times New Roman" w:hAnsi="Arial" w:cs="Arial"/>
          <w:color w:val="000000"/>
          <w:lang w:val="en-US" w:eastAsia="de-DE"/>
        </w:rPr>
        <w:instrText>"given":"William A.","non-dropping-particle":"","parse-names":false,"suffix":""},{"dropping-particle":"","family":"Nenko","given":"Ilona","non-dropping-particle":"","parse-names":false,"suffix":""},{"dropping-particle":"","family":"Neovius","given":"Martin</w:instrText>
      </w:r>
      <w:r>
        <w:rPr>
          <w:rFonts w:ascii="Arial" w:eastAsia="Times New Roman" w:hAnsi="Arial" w:cs="Arial"/>
          <w:color w:val="000000"/>
          <w:lang w:val="en-US" w:eastAsia="de-DE"/>
        </w:rPr>
        <w:instrText>","non-dropping-particle":"","parse-names":false,"suffix":""},{"dropping-particle":"","family":"Nervi","given":"Flavio","non-dropping-particle":"","parse-names":false,"suffix":""},{"dropping-particle":"","family":"Neuhauser","given":"Hannelore K.","non-dro</w:instrText>
      </w:r>
      <w:r>
        <w:rPr>
          <w:rFonts w:ascii="Arial" w:eastAsia="Times New Roman" w:hAnsi="Arial" w:cs="Arial"/>
          <w:color w:val="000000"/>
          <w:lang w:val="en-US" w:eastAsia="de-DE"/>
        </w:rPr>
        <w:instrText>pping-particle":"","parse-names":false,"suffix":""},{"dropping-particle":"","family":"Nguyen","given":"Nguyen D.","non-dropping-particle":"","parse-names":false,"suffix":""},{"dropping-particle":"","family":"Nguyen","given":"Quang Ngoc","non-dropping-parti</w:instrText>
      </w:r>
      <w:r>
        <w:rPr>
          <w:rFonts w:ascii="Arial" w:eastAsia="Times New Roman" w:hAnsi="Arial" w:cs="Arial"/>
          <w:color w:val="000000"/>
          <w:lang w:val="en-US" w:eastAsia="de-DE"/>
        </w:rPr>
        <w:instrText>cle":"","parse-names":false,"suffix":""},{"dropping-particle":"","family":"Nieto-Martínez","given":"Ramfis E.","non-dropping-particle":"","parse-names":false,"suffix":""},{"dropping-particle":"","family":"Ning","given":"Guang","non-dropping-particle":"","p</w:instrText>
      </w:r>
      <w:r>
        <w:rPr>
          <w:rFonts w:ascii="Arial" w:eastAsia="Times New Roman" w:hAnsi="Arial" w:cs="Arial"/>
          <w:color w:val="000000"/>
          <w:lang w:val="en-US" w:eastAsia="de-DE"/>
        </w:rPr>
        <w:instrText>arse-names":false,"suffix":""},{"dropping-particle":"","family":"Ninomiya","given":"Toshiharu","non-dropping-particle":"","parse-names":false,"suffix":""},{"dropping-particle":"","family":"Nishtar","given":"Sania","non-dropping-particle":"","parse-names":f</w:instrText>
      </w:r>
      <w:r>
        <w:rPr>
          <w:rFonts w:ascii="Arial" w:eastAsia="Times New Roman" w:hAnsi="Arial" w:cs="Arial"/>
          <w:color w:val="000000"/>
          <w:lang w:val="en-US" w:eastAsia="de-DE"/>
        </w:rPr>
        <w:instrText>alse,"suffix":""},{"dropping-particle":"","family":"Noale","given":"Marianna","non-dropping-particle":"","parse-names":false,"suffix":""},{"dropping-particle":"","family":"Norat","given":"Teresa","non-dropping-particle":"","parse-names":false,"suffix":""},</w:instrText>
      </w:r>
      <w:r>
        <w:rPr>
          <w:rFonts w:ascii="Arial" w:eastAsia="Times New Roman" w:hAnsi="Arial" w:cs="Arial"/>
          <w:color w:val="000000"/>
          <w:lang w:val="en-US" w:eastAsia="de-DE"/>
        </w:rPr>
        <w:instrText>{"dropping-particle":"","family":"Noto","given":"Davide","non-dropping-particle":"","parse-names":false,"suffix":""},{"dropping-particle":"Al","family":"Nsour","given":"Mohannad","non-dropping-particle":"","parse-names":false,"suffix":""},{"dropping-partic</w:instrText>
      </w:r>
      <w:r>
        <w:rPr>
          <w:rFonts w:ascii="Arial" w:eastAsia="Times New Roman" w:hAnsi="Arial" w:cs="Arial"/>
          <w:color w:val="000000"/>
          <w:lang w:val="en-US" w:eastAsia="de-DE"/>
        </w:rPr>
        <w:instrText>le":"","family":"O’Reilly","given":"Dermot","non-dropping-particle":"","parse-names":false,"suffix":""},{"dropping-particle":"","family":"Oh","given":"Kyungwon","non-dropping-particle":"","parse-names":false,"suffix":""},{"dropping-particle":"","family":"O</w:instrText>
      </w:r>
      <w:r>
        <w:rPr>
          <w:rFonts w:ascii="Arial" w:eastAsia="Times New Roman" w:hAnsi="Arial" w:cs="Arial"/>
          <w:color w:val="000000"/>
          <w:lang w:val="en-US" w:eastAsia="de-DE"/>
        </w:rPr>
        <w:instrText>layan","given":"Iman H.","non-dropping-particle":"","parse-names":false,"suffix":""},{"dropping-particle":"","family":"Olinto","given":"Maria Teresa Anselmo","non-dropping-particle":"","parse-names":false,"suffix":""},{"dropping-particle":"","family":"Olta</w:instrText>
      </w:r>
      <w:r>
        <w:rPr>
          <w:rFonts w:ascii="Arial" w:eastAsia="Times New Roman" w:hAnsi="Arial" w:cs="Arial"/>
          <w:color w:val="000000"/>
          <w:lang w:val="en-US" w:eastAsia="de-DE"/>
        </w:rPr>
        <w:instrText>rzewski","given":"Maciej","non-dropping-particle":"","parse-names":false,"suffix":""},{"dropping-particle":"","family":"Omar","given":"Mohd A.","non-dropping-particle":"","parse-names":false,"suffix":""},{"dropping-particle":"","family":"Onat","given":"Alt</w:instrText>
      </w:r>
      <w:r>
        <w:rPr>
          <w:rFonts w:ascii="Arial" w:eastAsia="Times New Roman" w:hAnsi="Arial" w:cs="Arial"/>
          <w:color w:val="000000"/>
          <w:lang w:val="en-US" w:eastAsia="de-DE"/>
        </w:rPr>
        <w:instrText>an","non-dropping-particle":"","parse-names":false,"suffix":""},{"dropping-particle":"","family":"Ordunez","given":"Pedro","non-dropping-particle":"","parse-names":false,"suffix":""},{"dropping-particle":"","family":"Ortiz","given":"Ana P.","non-dropping-p</w:instrText>
      </w:r>
      <w:r>
        <w:rPr>
          <w:rFonts w:ascii="Arial" w:eastAsia="Times New Roman" w:hAnsi="Arial" w:cs="Arial"/>
          <w:color w:val="000000"/>
          <w:lang w:val="en-US" w:eastAsia="de-DE"/>
        </w:rPr>
        <w:instrText>article":"","parse-names":false,"suffix":""},{"dropping-particle":"","family":"Osler","given":"Merete","non-dropping-particle":"","parse-names":false,"suffix":""},{"dropping-particle":"","family":"Osmond","given":"Clive","non-dropping-particle":"","parse-n</w:instrText>
      </w:r>
      <w:r>
        <w:rPr>
          <w:rFonts w:ascii="Arial" w:eastAsia="Times New Roman" w:hAnsi="Arial" w:cs="Arial"/>
          <w:color w:val="000000"/>
          <w:lang w:val="en-US" w:eastAsia="de-DE"/>
        </w:rPr>
        <w:instrText>ames":false,"suffix":""},{"dropping-particle":"","family":"Ostojic","given":"Sergej M.","non-dropping-particle":"","parse-names":false,"suffix":""},{"dropping-particle":"","family":"Otero","given":"Johanna A.","non-dropping-particle":"","parse-names":false</w:instrText>
      </w:r>
      <w:r>
        <w:rPr>
          <w:rFonts w:ascii="Arial" w:eastAsia="Times New Roman" w:hAnsi="Arial" w:cs="Arial"/>
          <w:color w:val="000000"/>
          <w:lang w:val="en-US" w:eastAsia="de-DE"/>
        </w:rPr>
        <w:instrText>,"suffix":""},{"dropping-particle":"","family":"Overvad","given":"Kim","non-dropping-particle":"","parse-names":false,"suffix":""},{"dropping-particle":"","family":"Owusu-Dabo","given":"Ellis","non-dropping-particle":"","parse-names":false,"suffix":""},{"d</w:instrText>
      </w:r>
      <w:r>
        <w:rPr>
          <w:rFonts w:ascii="Arial" w:eastAsia="Times New Roman" w:hAnsi="Arial" w:cs="Arial"/>
          <w:color w:val="000000"/>
          <w:lang w:val="en-US" w:eastAsia="de-DE"/>
        </w:rPr>
        <w:instrText>ropping-particle":"","family":"Paccaud","given":"Fred Michel","non-dropping-particle":"","parse-names":false,"suffix":""},{"dropping-particle":"","family":"Padez","given":"Cristina","non-dropping-particle":"","parse-names":false,"suffix":""},{"dropping-par</w:instrText>
      </w:r>
      <w:r>
        <w:rPr>
          <w:rFonts w:ascii="Arial" w:eastAsia="Times New Roman" w:hAnsi="Arial" w:cs="Arial"/>
          <w:color w:val="000000"/>
          <w:lang w:val="en-US" w:eastAsia="de-DE"/>
        </w:rPr>
        <w:instrText>ticle":"","family":"Pahomova","given":"Elena","non-dropping-particle":"","parse-names":false,"suffix":""},{"dropping-particle":"","family":"Pajak","given":"Andrzej","non-dropping-particle":"","parse-names":false,"suffix":""},{"dropping-particle":"","family</w:instrText>
      </w:r>
      <w:r>
        <w:rPr>
          <w:rFonts w:ascii="Arial" w:eastAsia="Times New Roman" w:hAnsi="Arial" w:cs="Arial"/>
          <w:color w:val="000000"/>
          <w:lang w:val="en-US" w:eastAsia="de-DE"/>
        </w:rPr>
        <w:instrText>":"Palli","given":"Domenico","non-dropping-particle":"","parse-names":false,"suffix":""},{"dropping-particle":"","family":"Palloni","given":"Alberto","non-dropping-particle":"","parse-names":false,"suffix":""},{"dropping-particle":"","family":"Palmieri","g</w:instrText>
      </w:r>
      <w:r>
        <w:rPr>
          <w:rFonts w:ascii="Arial" w:eastAsia="Times New Roman" w:hAnsi="Arial" w:cs="Arial"/>
          <w:color w:val="000000"/>
          <w:lang w:val="en-US" w:eastAsia="de-DE"/>
        </w:rPr>
        <w:instrText>iven":"Luigi","non-dropping-particle":"","parse-names":false,"suffix":""},{"dropping-particle":"","family":"Panda-Jonas","given":"Songhomitra","non-dropping-particle":"","parse-names":false,"suffix":""},{"dropping-particle":"","family":"Panza","given":"Fra</w:instrText>
      </w:r>
      <w:r>
        <w:rPr>
          <w:rFonts w:ascii="Arial" w:eastAsia="Times New Roman" w:hAnsi="Arial" w:cs="Arial"/>
          <w:color w:val="000000"/>
          <w:lang w:val="en-US" w:eastAsia="de-DE"/>
        </w:rPr>
        <w:instrText>ncesco","non-dropping-particle":"","parse-names":false,"suffix":""},{"dropping-particle":"","family":"Parnell","given":"Winsome R.","non-dropping-particle":"","parse-names":false,"suffix":""},{"dropping-particle":"","family":"Parsaeian","given":"Mahboubeh"</w:instrText>
      </w:r>
      <w:r>
        <w:rPr>
          <w:rFonts w:ascii="Arial" w:eastAsia="Times New Roman" w:hAnsi="Arial" w:cs="Arial"/>
          <w:color w:val="000000"/>
          <w:lang w:val="en-US" w:eastAsia="de-DE"/>
        </w:rPr>
        <w:instrText>,"non-dropping-particle":"","parse-names":false,"suffix":""},{"dropping-particle":"","family":"Pecin","given":"Ivan","non-dropping-particle":"","parse-names":false,"suffix":""},{"dropping-particle":"","family":"Pednekar","given":"Mangesh S.","non-dropping-</w:instrText>
      </w:r>
      <w:r>
        <w:rPr>
          <w:rFonts w:ascii="Arial" w:eastAsia="Times New Roman" w:hAnsi="Arial" w:cs="Arial"/>
          <w:color w:val="000000"/>
          <w:lang w:val="en-US" w:eastAsia="de-DE"/>
        </w:rPr>
        <w:instrText>particle":"","parse-names":false,"suffix":""},{"dropping-particle":"","family":"Peeters","given":"Petra H.","non-dropping-particle":"","parse-names":false,"suffix":""},{"dropping-particle":"","family":"Peixoto","given":"Sergio Viana","non-dropping-particle</w:instrText>
      </w:r>
      <w:r>
        <w:rPr>
          <w:rFonts w:ascii="Arial" w:eastAsia="Times New Roman" w:hAnsi="Arial" w:cs="Arial"/>
          <w:color w:val="000000"/>
          <w:lang w:val="en-US" w:eastAsia="de-DE"/>
        </w:rPr>
        <w:instrText>":"","parse-names":false,"suffix":""},{"dropping-particle":"","family":"Peltonen","given":"Markku","non-dropping-particle":"","parse-names":false,"suffix":""},{"dropping-particle":"","family":"Pereira","given":"Alexandre C.","non-dropping-particle":"","par</w:instrText>
      </w:r>
      <w:r>
        <w:rPr>
          <w:rFonts w:ascii="Arial" w:eastAsia="Times New Roman" w:hAnsi="Arial" w:cs="Arial"/>
          <w:color w:val="000000"/>
          <w:lang w:val="en-US" w:eastAsia="de-DE"/>
        </w:rPr>
        <w:instrText>se-names":false,"suffix":""},{"dropping-particle":"","family":"Pérez","given":"Cynthia M.","non-dropping-particle":"","parse-names":false,"suffix":""},{"dropping-particle":"","family":"Peters","given":"Annette","non-dropping-particle":"","parse-names":fals</w:instrText>
      </w:r>
      <w:r>
        <w:rPr>
          <w:rFonts w:ascii="Arial" w:eastAsia="Times New Roman" w:hAnsi="Arial" w:cs="Arial"/>
          <w:color w:val="000000"/>
          <w:lang w:val="en-US" w:eastAsia="de-DE"/>
        </w:rPr>
        <w:instrText>e,"suffix":""},{"dropping-particle":"","family":"Petkeviciene","given":"Janina","non-dropping-particle":"","parse-names":false,"suffix":""},{"dropping-particle":"","family":"Peykari","given":"Niloofar","non-dropping-particle":"","parse-names":false,"suffix</w:instrText>
      </w:r>
      <w:r>
        <w:rPr>
          <w:rFonts w:ascii="Arial" w:eastAsia="Times New Roman" w:hAnsi="Arial" w:cs="Arial"/>
          <w:color w:val="000000"/>
          <w:lang w:val="en-US" w:eastAsia="de-DE"/>
        </w:rPr>
        <w:instrText>":""},{"dropping-particle":"","family":"Pham","given":"Son Thai","non-dropping-particle":"","parse-names":false,"suffix":""},{"dropping-particle":"","family":"Pigeot","given":"Iris","non-dropping-particle":"","parse-names":false,"suffix":""},{"dropping-par</w:instrText>
      </w:r>
      <w:r>
        <w:rPr>
          <w:rFonts w:ascii="Arial" w:eastAsia="Times New Roman" w:hAnsi="Arial" w:cs="Arial"/>
          <w:color w:val="000000"/>
          <w:lang w:val="en-US" w:eastAsia="de-DE"/>
        </w:rPr>
        <w:instrText>ticle":"","family":"Pikhart","given":"Hynek","non-dropping-particle":"","parse-names":false,"suffix":""},{"dropping-particle":"","family":"Pilav","given":"Aida","non-dropping-particle":"","parse-names":false,"suffix":""},{"dropping-particle":"","family":"P</w:instrText>
      </w:r>
      <w:r>
        <w:rPr>
          <w:rFonts w:ascii="Arial" w:eastAsia="Times New Roman" w:hAnsi="Arial" w:cs="Arial"/>
          <w:color w:val="000000"/>
          <w:lang w:val="en-US" w:eastAsia="de-DE"/>
        </w:rPr>
        <w:instrText>ilotto","given":"Lorenza","non-dropping-particle":"","parse-names":false,"suffix":""},{"dropping-particle":"","family":"Pistelli","given":"Francesco","non-dropping-particle":"","parse-names":false,"suffix":""},{"dropping-particle":"","family":"Pitakaka","g</w:instrText>
      </w:r>
      <w:r>
        <w:rPr>
          <w:rFonts w:ascii="Arial" w:eastAsia="Times New Roman" w:hAnsi="Arial" w:cs="Arial"/>
          <w:color w:val="000000"/>
          <w:lang w:val="en-US" w:eastAsia="de-DE"/>
        </w:rPr>
        <w:instrText>iven":"Freda","non-dropping-particle":"","parse-names":false,"suffix":""},{"dropping-particle":"","family":"Piwonska","given":"Aleksandra","non-dropping-particle":"","parse-names":false,"suffix":""},{"dropping-particle":"","family":"Plans-Rubió","given":"P</w:instrText>
      </w:r>
      <w:r>
        <w:rPr>
          <w:rFonts w:ascii="Arial" w:eastAsia="Times New Roman" w:hAnsi="Arial" w:cs="Arial"/>
          <w:color w:val="000000"/>
          <w:lang w:val="en-US" w:eastAsia="de-DE"/>
        </w:rPr>
        <w:instrText>edro","non-dropping-particle":"","parse-names":false,"suffix":""},{"dropping-particle":"","family":"Poh","given":"Bee Koon","non-dropping-particle":"","parse-names":false,"suffix":""},{"dropping-particle":"","family":"Porta","given":"Miquel","non-dropping-</w:instrText>
      </w:r>
      <w:r>
        <w:rPr>
          <w:rFonts w:ascii="Arial" w:eastAsia="Times New Roman" w:hAnsi="Arial" w:cs="Arial"/>
          <w:color w:val="000000"/>
          <w:lang w:val="en-US" w:eastAsia="de-DE"/>
        </w:rPr>
        <w:instrText>particle":"","parse-names":false,"suffix":""},{"dropping-particle":"","family":"Portegies","given":"Marileen L.P.","non-dropping-particle":"","parse-names":false,"suffix":""},{"dropping-particle":"","family":"Poulimeneas","given":"Dimitrios","non-dropping-</w:instrText>
      </w:r>
      <w:r>
        <w:rPr>
          <w:rFonts w:ascii="Arial" w:eastAsia="Times New Roman" w:hAnsi="Arial" w:cs="Arial"/>
          <w:color w:val="000000"/>
          <w:lang w:val="en-US" w:eastAsia="de-DE"/>
        </w:rPr>
        <w:instrText>particle":"","parse-names":false,"suffix":""},{"dropping-particle":"","family":"Pradeepa","given":"Rajendra","non-dropping-particle":"","parse-names":false,"suffix":""},{"dropping-particle":"","family":"Prashant","given":"Mathur","non-dropping-particle":""</w:instrText>
      </w:r>
      <w:r>
        <w:rPr>
          <w:rFonts w:ascii="Arial" w:eastAsia="Times New Roman" w:hAnsi="Arial" w:cs="Arial"/>
          <w:color w:val="000000"/>
          <w:lang w:val="en-US" w:eastAsia="de-DE"/>
        </w:rPr>
        <w:instrText>,"parse-names":false,"suffix":""},{"dropping-particle":"","family":"Price","given":"Jacqueline F.","non-dropping-particle":"","parse-names":false,"suffix":""},{"dropping-particle":"","family":"Puiu","given":"Maria","non-dropping-particle":"","parse-names":</w:instrText>
      </w:r>
      <w:r>
        <w:rPr>
          <w:rFonts w:ascii="Arial" w:eastAsia="Times New Roman" w:hAnsi="Arial" w:cs="Arial"/>
          <w:color w:val="000000"/>
          <w:lang w:val="en-US" w:eastAsia="de-DE"/>
        </w:rPr>
        <w:instrText>false,"suffix":""},{"dropping-particle":"","family":"Punab","given":"Margus","non-dropping-particle":"","parse-names":false,"suffix":""},{"dropping-particle":"","family":"Qasrawi","given":"Radwan F.","non-dropping-particle":"","parse-names":false,"suffix":</w:instrText>
      </w:r>
      <w:r>
        <w:rPr>
          <w:rFonts w:ascii="Arial" w:eastAsia="Times New Roman" w:hAnsi="Arial" w:cs="Arial"/>
          <w:color w:val="000000"/>
          <w:lang w:val="en-US" w:eastAsia="de-DE"/>
        </w:rPr>
        <w:instrText>""},{"dropping-particle":"","family":"Qorbani","given":"Mostafa","non-dropping-particle":"","parse-names":false,"suffix":""},{"dropping-particle":"","family":"Bao","given":"Tran Quoc","non-dropping-particle":"","parse-names":false,"suffix":""},{"dropping-p</w:instrText>
      </w:r>
      <w:r>
        <w:rPr>
          <w:rFonts w:ascii="Arial" w:eastAsia="Times New Roman" w:hAnsi="Arial" w:cs="Arial"/>
          <w:color w:val="000000"/>
          <w:lang w:val="en-US" w:eastAsia="de-DE"/>
        </w:rPr>
        <w:instrText>article":"","family":"Radic","given":"Ivana","non-dropping-particle":"","parse-names":false,"suffix":""},{"dropping-particle":"","family":"Radisauskas","given":"Ricardas","non-dropping-particle":"","parse-names":false,"suffix":""},{"dropping-particle":"","</w:instrText>
      </w:r>
      <w:r>
        <w:rPr>
          <w:rFonts w:ascii="Arial" w:eastAsia="Times New Roman" w:hAnsi="Arial" w:cs="Arial"/>
          <w:color w:val="000000"/>
          <w:lang w:val="en-US" w:eastAsia="de-DE"/>
        </w:rPr>
        <w:instrText>family":"Rahman","given":"Mahmudur","non-dropping-particle":"","parse-names":false,"suffix":""},{"dropping-particle":"","family":"Raitakari","given":"Olli","non-dropping-particle":"","parse-names":false,"suffix":""},{"dropping-particle":"","family":"Raj","</w:instrText>
      </w:r>
      <w:r>
        <w:rPr>
          <w:rFonts w:ascii="Arial" w:eastAsia="Times New Roman" w:hAnsi="Arial" w:cs="Arial"/>
          <w:color w:val="000000"/>
          <w:lang w:val="en-US" w:eastAsia="de-DE"/>
        </w:rPr>
        <w:instrText>given":"Manu","non-dropping-particle":"","parse-names":false,"suffix":""},{"dropping-particle":"","family":"Rao","given":"Sudha Ramachandra","non-dropping-particle":"","parse-names":false,"suffix":""},{"dropping-particle":"","family":"Ramachandran","given"</w:instrText>
      </w:r>
      <w:r>
        <w:rPr>
          <w:rFonts w:ascii="Arial" w:eastAsia="Times New Roman" w:hAnsi="Arial" w:cs="Arial"/>
          <w:color w:val="000000"/>
          <w:lang w:val="en-US" w:eastAsia="de-DE"/>
        </w:rPr>
        <w:instrText>:"Ambady","non-dropping-particle":"","parse-names":false,"suffix":""},{"dropping-particle":"","family":"Ramke","given":"Jacqueline","non-dropping-particle":"","parse-names":false,"suffix":""},{"dropping-particle":"","family":"Ramos","given":"Rafel","non-dr</w:instrText>
      </w:r>
      <w:r>
        <w:rPr>
          <w:rFonts w:ascii="Arial" w:eastAsia="Times New Roman" w:hAnsi="Arial" w:cs="Arial"/>
          <w:color w:val="000000"/>
          <w:lang w:val="en-US" w:eastAsia="de-DE"/>
        </w:rPr>
        <w:instrText>opping-particle":"","parse-names":false,"suffix":""},{"dropping-particle":"","family":"Rampal","given":"Sanjay","non-dropping-particle":"","parse-names":false,"suffix":""},{"dropping-particle":"","family":"Rasmussen","given":"Finn","non-dropping-particle":</w:instrText>
      </w:r>
      <w:r>
        <w:rPr>
          <w:rFonts w:ascii="Arial" w:eastAsia="Times New Roman" w:hAnsi="Arial" w:cs="Arial"/>
          <w:color w:val="000000"/>
          <w:lang w:val="en-US" w:eastAsia="de-DE"/>
        </w:rPr>
        <w:instrText>"","parse-names":false,"suffix":""},{"dropping-particle":"","family":"Redon","given":"Josep","non-dropping-particle":"","parse-names":false,"suffix":""},{"dropping-particle":"","family":"Reganit","given":"Paul Ferdinand M.","non-dropping-particle":"","pars</w:instrText>
      </w:r>
      <w:r>
        <w:rPr>
          <w:rFonts w:ascii="Arial" w:eastAsia="Times New Roman" w:hAnsi="Arial" w:cs="Arial"/>
          <w:color w:val="000000"/>
          <w:lang w:val="en-US" w:eastAsia="de-DE"/>
        </w:rPr>
        <w:instrText>e-names":false,"suffix":""},{"dropping-particle":"","family":"Ribeiro","given":"Robespierre","non-dropping-particle":"","parse-names":false,"suffix":""},{"dropping-particle":"","family":"Rigo","given":"Fernando","non-dropping-particle":"","parse-names":fal</w:instrText>
      </w:r>
      <w:r>
        <w:rPr>
          <w:rFonts w:ascii="Arial" w:eastAsia="Times New Roman" w:hAnsi="Arial" w:cs="Arial"/>
          <w:color w:val="000000"/>
          <w:lang w:val="en-US" w:eastAsia="de-DE"/>
        </w:rPr>
        <w:instrText>se,"suffix":""},{"dropping-particle":"","family":"Wit","given":"Tobias F.Rinke","non-dropping-particle":"de","parse-names":false,"suffix":""},{"dropping-particle":"","family":"Ritti-Dias","given":"Raphael M.","non-dropping-particle":"","parse-names":false,</w:instrText>
      </w:r>
      <w:r>
        <w:rPr>
          <w:rFonts w:ascii="Arial" w:eastAsia="Times New Roman" w:hAnsi="Arial" w:cs="Arial"/>
          <w:color w:val="000000"/>
          <w:lang w:val="en-US" w:eastAsia="de-DE"/>
        </w:rPr>
        <w:instrText>"suffix":""},{"dropping-particle":"","family":"Rivera","given":"Juan A.","non-dropping-particle":"","parse-names":false,"suffix":""},{"dropping-particle":"","family":"Robinson","given":"Sian M.","non-dropping-particle":"","parse-names":false,"suffix":""},{</w:instrText>
      </w:r>
      <w:r>
        <w:rPr>
          <w:rFonts w:ascii="Arial" w:eastAsia="Times New Roman" w:hAnsi="Arial" w:cs="Arial"/>
          <w:color w:val="000000"/>
          <w:lang w:val="en-US" w:eastAsia="de-DE"/>
        </w:rPr>
        <w:instrText>"dropping-particle":"","family":"Robitaille","given":"Cynthia","non-dropping-particle":"","parse-names":false,"suffix":""},{"dropping-particle":"","family":"Rodríguez-Artalejo","given":"Fernando","non-dropping-particle":"","parse-names":false,"suffix":""},</w:instrText>
      </w:r>
      <w:r>
        <w:rPr>
          <w:rFonts w:ascii="Arial" w:eastAsia="Times New Roman" w:hAnsi="Arial" w:cs="Arial"/>
          <w:color w:val="000000"/>
          <w:lang w:val="en-US" w:eastAsia="de-DE"/>
        </w:rPr>
        <w:instrText>{"dropping-particle":"","family":"Rodriguez-Perez","given":"María Del Cristo","non-dropping-particle":"","parse-names":false,"suffix":""},{"dropping-particle":"","family":"Rodríguez-Villamizar","given":"Laura A.","non-dropping-particle":"","parse-names":fa</w:instrText>
      </w:r>
      <w:r>
        <w:rPr>
          <w:rFonts w:ascii="Arial" w:eastAsia="Times New Roman" w:hAnsi="Arial" w:cs="Arial"/>
          <w:color w:val="000000"/>
          <w:lang w:val="en-US" w:eastAsia="de-DE"/>
        </w:rPr>
        <w:instrText>lse,"suffix":""},{"dropping-particle":"","family":"Rojas-Martinez","given":"Rosalba","non-dropping-particle":"","parse-names":false,"suffix":""},{"dropping-particle":"","family":"Rojroongwasinkul","given":"Nipa","non-dropping-particle":"","parse-names":fal</w:instrText>
      </w:r>
      <w:r>
        <w:rPr>
          <w:rFonts w:ascii="Arial" w:eastAsia="Times New Roman" w:hAnsi="Arial" w:cs="Arial"/>
          <w:color w:val="000000"/>
          <w:lang w:val="en-US" w:eastAsia="de-DE"/>
        </w:rPr>
        <w:instrText>se,"suffix":""},{"dropping-particle":"","family":"Romaguera","given":"Dora","non-dropping-particle":"","parse-names":false,"suffix":""},{"dropping-particle":"","family":"Ronkainen","given":"Kimmo","non-dropping-particle":"","parse-names":false,"suffix":""}</w:instrText>
      </w:r>
      <w:r>
        <w:rPr>
          <w:rFonts w:ascii="Arial" w:eastAsia="Times New Roman" w:hAnsi="Arial" w:cs="Arial"/>
          <w:color w:val="000000"/>
          <w:lang w:val="en-US" w:eastAsia="de-DE"/>
        </w:rPr>
        <w:instrText>,{"dropping-particle":"","family":"Rosengren","given":"Annika","non-dropping-particle":"","parse-names":false,"suffix":""},{"dropping-particle":"","family":"Rouse","given":"Ian","non-dropping-particle":"","parse-names":false,"suffix":""},{"dropping-particl</w:instrText>
      </w:r>
      <w:r>
        <w:rPr>
          <w:rFonts w:ascii="Arial" w:eastAsia="Times New Roman" w:hAnsi="Arial" w:cs="Arial"/>
          <w:color w:val="000000"/>
          <w:lang w:val="en-US" w:eastAsia="de-DE"/>
        </w:rPr>
        <w:instrText>e":"","family":"Rubinstein","given":"Adolfo","non-dropping-particle":"","parse-names":false,"suffix":""},{"dropping-particle":"","family":"Rühli","given":"Frank J.","non-dropping-particle":"","parse-names":false,"suffix":""},{"dropping-particle":"","family</w:instrText>
      </w:r>
      <w:r>
        <w:rPr>
          <w:rFonts w:ascii="Arial" w:eastAsia="Times New Roman" w:hAnsi="Arial" w:cs="Arial"/>
          <w:color w:val="000000"/>
          <w:lang w:val="en-US" w:eastAsia="de-DE"/>
        </w:rPr>
        <w:instrText>":"Rui","given":"Ornelas","non-dropping-particle":"","parse-names":false,"suffix":""},{"dropping-particle":"","family":"Ruiz-Betancourt","given":"Blanca Sandra","non-dropping-particle":"","parse-names":false,"suffix":""},{"dropping-particle":"","family":"H</w:instrText>
      </w:r>
      <w:r>
        <w:rPr>
          <w:rFonts w:ascii="Arial" w:eastAsia="Times New Roman" w:hAnsi="Arial" w:cs="Arial"/>
          <w:color w:val="000000"/>
          <w:lang w:val="en-US" w:eastAsia="de-DE"/>
        </w:rPr>
        <w:instrText>orimoto","given":"Andrea R.V.Russo","non-dropping-particle":"","parse-names":false,"suffix":""},{"dropping-particle":"","family":"Rutkowski","given":"Marcin","non-dropping-particle":"","parse-names":false,"suffix":""},{"dropping-particle":"","family":"Saba</w:instrText>
      </w:r>
      <w:r>
        <w:rPr>
          <w:rFonts w:ascii="Arial" w:eastAsia="Times New Roman" w:hAnsi="Arial" w:cs="Arial"/>
          <w:color w:val="000000"/>
          <w:lang w:val="en-US" w:eastAsia="de-DE"/>
        </w:rPr>
        <w:instrText>nayagam","given":"Charumathi","non-dropping-particle":"","parse-names":false,"suffix":""},{"dropping-particle":"","family":"Sachdev","given":"Harshpal S.","non-dropping-particle":"","parse-names":false,"suffix":""},{"dropping-particle":"","family":"Saidi",</w:instrText>
      </w:r>
      <w:r>
        <w:rPr>
          <w:rFonts w:ascii="Arial" w:eastAsia="Times New Roman" w:hAnsi="Arial" w:cs="Arial"/>
          <w:color w:val="000000"/>
          <w:lang w:val="en-US" w:eastAsia="de-DE"/>
        </w:rPr>
        <w:instrText>"given":"Olfa","non-dropping-particle":"","parse-names":false,"suffix":""},{"dropping-particle":"","family":"Salanave","given":"Benoit","non-dropping-particle":"","parse-names":false,"suffix":""},{"dropping-particle":"","family":"Martinez","given":"Eduardo</w:instrText>
      </w:r>
      <w:r>
        <w:rPr>
          <w:rFonts w:ascii="Arial" w:eastAsia="Times New Roman" w:hAnsi="Arial" w:cs="Arial"/>
          <w:color w:val="000000"/>
          <w:lang w:val="en-US" w:eastAsia="de-DE"/>
        </w:rPr>
        <w:instrText xml:space="preserve"> Salazar","non-dropping-particle":"","parse-names":false,"suffix":""},{"dropping-particle":"","family":"Salomaa","given":"Veikko","non-dropping-particle":"","parse-names":false,"suffix":""},{"dropping-particle":"","family":"Salonen","given":"Jukka T.","non</w:instrText>
      </w:r>
      <w:r>
        <w:rPr>
          <w:rFonts w:ascii="Arial" w:eastAsia="Times New Roman" w:hAnsi="Arial" w:cs="Arial"/>
          <w:color w:val="000000"/>
          <w:lang w:val="en-US" w:eastAsia="de-DE"/>
        </w:rPr>
        <w:instrText>-dropping-particle":"","parse-names":false,"suffix":""},{"dropping-particle":"","family":"Salvetti","given":"Massimo","non-dropping-particle":"","parse-names":false,"suffix":""},{"dropping-particle":"","family":"Sánchez-Abanto","given":"Jose","non-dropping</w:instrText>
      </w:r>
      <w:r>
        <w:rPr>
          <w:rFonts w:ascii="Arial" w:eastAsia="Times New Roman" w:hAnsi="Arial" w:cs="Arial"/>
          <w:color w:val="000000"/>
          <w:lang w:val="en-US" w:eastAsia="de-DE"/>
        </w:rPr>
        <w:instrText>-particle":"","parse-names":false,"suffix":""},{"dropping-particle":"","family":"Sandjaja","given":"","non-dropping-particle":"","parse-names":false,"suffix":""},{"dropping-particle":"","family":"Sans","given":"Susana","non-dropping-particle":"","parse-nam</w:instrText>
      </w:r>
      <w:r>
        <w:rPr>
          <w:rFonts w:ascii="Arial" w:eastAsia="Times New Roman" w:hAnsi="Arial" w:cs="Arial"/>
          <w:color w:val="000000"/>
          <w:lang w:val="en-US" w:eastAsia="de-DE"/>
        </w:rPr>
        <w:instrText>es":false,"suffix":""},{"dropping-particle":"","family":"Santos","given":"Diana A.","non-dropping-particle":"","parse-names":false,"suffix":""},{"dropping-particle":"","family":"Santos","given":"Osvaldo","non-dropping-particle":"","parse-names":false,"suff</w:instrText>
      </w:r>
      <w:r>
        <w:rPr>
          <w:rFonts w:ascii="Arial" w:eastAsia="Times New Roman" w:hAnsi="Arial" w:cs="Arial"/>
          <w:color w:val="000000"/>
          <w:lang w:val="en-US" w:eastAsia="de-DE"/>
        </w:rPr>
        <w:instrText>ix":""},{"dropping-particle":"","family":"Santos","given":"Renata Nunes","non-dropping-particle":"Dos","parse-names":false,"suffix":""},{"dropping-particle":"","family":"Santos","given":"Rute","non-dropping-particle":"","parse-names":false,"suffix":""},{"d</w:instrText>
      </w:r>
      <w:r>
        <w:rPr>
          <w:rFonts w:ascii="Arial" w:eastAsia="Times New Roman" w:hAnsi="Arial" w:cs="Arial"/>
          <w:color w:val="000000"/>
          <w:lang w:val="en-US" w:eastAsia="de-DE"/>
        </w:rPr>
        <w:instrText>ropping-particle":"","family":"Saramies","given":"Jouko L.","non-dropping-particle":"","parse-names":false,"suffix":""},{"dropping-particle":"","family":"Sardinha","given":"Luis B.","non-dropping-particle":"","parse-names":false,"suffix":""},{"dropping-par</w:instrText>
      </w:r>
      <w:r>
        <w:rPr>
          <w:rFonts w:ascii="Arial" w:eastAsia="Times New Roman" w:hAnsi="Arial" w:cs="Arial"/>
          <w:color w:val="000000"/>
          <w:lang w:val="en-US" w:eastAsia="de-DE"/>
        </w:rPr>
        <w:instrText>ticle":"","family":"Sarrafzadegan","given":"Nizal","non-dropping-particle":"","parse-names":false,"suffix":""},{"dropping-particle":"","family":"Saum","given":"Kai Uwe","non-dropping-particle":"","parse-names":false,"suffix":""},{"dropping-particle":"","fa</w:instrText>
      </w:r>
      <w:r>
        <w:rPr>
          <w:rFonts w:ascii="Arial" w:eastAsia="Times New Roman" w:hAnsi="Arial" w:cs="Arial"/>
          <w:color w:val="000000"/>
          <w:lang w:val="en-US" w:eastAsia="de-DE"/>
        </w:rPr>
        <w:instrText>mily":"Savva","given":"Savvas C.","non-dropping-particle":"","parse-names":false,"suffix":""},{"dropping-particle":"","family":"Scazufca","given":"Marcia","non-dropping-particle":"","parse-names":false,"suffix":""},{"dropping-particle":"","family":"Rosario</w:instrText>
      </w:r>
      <w:r>
        <w:rPr>
          <w:rFonts w:ascii="Arial" w:eastAsia="Times New Roman" w:hAnsi="Arial" w:cs="Arial"/>
          <w:color w:val="000000"/>
          <w:lang w:val="en-US" w:eastAsia="de-DE"/>
        </w:rPr>
        <w:instrText>","given":"Angelika Schaffrath","non-dropping-particle":"","parse-names":false,"suffix":""},{"dropping-particle":"","family":"Schargrodsky","given":"Herman","non-dropping-particle":"","parse-names":false,"suffix":""},{"dropping-particle":"","family":"Schie</w:instrText>
      </w:r>
      <w:r>
        <w:rPr>
          <w:rFonts w:ascii="Arial" w:eastAsia="Times New Roman" w:hAnsi="Arial" w:cs="Arial"/>
          <w:color w:val="000000"/>
          <w:lang w:val="en-US" w:eastAsia="de-DE"/>
        </w:rPr>
        <w:instrText>nkiewitz","given":"Anja","non-dropping-particle":"","parse-names":false,"suffix":""},{"dropping-particle":"","family":"Schmidt","given":"Ida Maria","non-dropping-particle":"","parse-names":false,"suffix":""},{"dropping-particle":"","family":"Schneider","gi</w:instrText>
      </w:r>
      <w:r>
        <w:rPr>
          <w:rFonts w:ascii="Arial" w:eastAsia="Times New Roman" w:hAnsi="Arial" w:cs="Arial"/>
          <w:color w:val="000000"/>
          <w:lang w:val="en-US" w:eastAsia="de-DE"/>
        </w:rPr>
        <w:instrText>ven":"Ione J.","non-dropping-particle":"","parse-names":false,"suffix":""},{"dropping-particle":"","family":"Schultsz","given":"Constance","non-dropping-particle":"","parse-names":false,"suffix":""},{"dropping-particle":"","family":"Schutte","given":"Alett</w:instrText>
      </w:r>
      <w:r>
        <w:rPr>
          <w:rFonts w:ascii="Arial" w:eastAsia="Times New Roman" w:hAnsi="Arial" w:cs="Arial"/>
          <w:color w:val="000000"/>
          <w:lang w:val="en-US" w:eastAsia="de-DE"/>
        </w:rPr>
        <w:instrText>a E.","non-dropping-particle":"","parse-names":false,"suffix":""},{"dropping-particle":"","family":"Sein","given":"Aye Aye","non-dropping-particle":"","parse-names":false,"suffix":""},{"dropping-particle":"","family":"Sen","given":"Abhijit","non-dropping-p</w:instrText>
      </w:r>
      <w:r>
        <w:rPr>
          <w:rFonts w:ascii="Arial" w:eastAsia="Times New Roman" w:hAnsi="Arial" w:cs="Arial"/>
          <w:color w:val="000000"/>
          <w:lang w:val="en-US" w:eastAsia="de-DE"/>
        </w:rPr>
        <w:instrText>article":"","parse-names":false,"suffix":""},{"dropping-particle":"","family":"Senbanjo","given":"Idowu O.","non-dropping-particle":"","parse-names":false,"suffix":""},{"dropping-particle":"","family":"Sepanlou","given":"Sadaf G.","non-dropping-particle":"</w:instrText>
      </w:r>
      <w:r>
        <w:rPr>
          <w:rFonts w:ascii="Arial" w:eastAsia="Times New Roman" w:hAnsi="Arial" w:cs="Arial"/>
          <w:color w:val="000000"/>
          <w:lang w:val="en-US" w:eastAsia="de-DE"/>
        </w:rPr>
        <w:instrText>","parse-names":false,"suffix":""},{"dropping-particle":"","family":"Shalnova","given":"Svetlana A.","non-dropping-particle":"","parse-names":false,"suffix":""},{"dropping-particle":"","family":"Sharma","given":"Sanjib K.","non-dropping-particle":"","parse</w:instrText>
      </w:r>
      <w:r>
        <w:rPr>
          <w:rFonts w:ascii="Arial" w:eastAsia="Times New Roman" w:hAnsi="Arial" w:cs="Arial"/>
          <w:color w:val="000000"/>
          <w:lang w:val="en-US" w:eastAsia="de-DE"/>
        </w:rPr>
        <w:instrText>-names":false,"suffix":""},{"dropping-particle":"","family":"Shaw","given":"Jonathan E.","non-dropping-particle":"","parse-names":false,"suffix":""},{"dropping-particle":"","family":"Shibuya","given":"Kenji","non-dropping-particle":"","parse-names":false,"</w:instrText>
      </w:r>
      <w:r>
        <w:rPr>
          <w:rFonts w:ascii="Arial" w:eastAsia="Times New Roman" w:hAnsi="Arial" w:cs="Arial"/>
          <w:color w:val="000000"/>
          <w:lang w:val="en-US" w:eastAsia="de-DE"/>
        </w:rPr>
        <w:instrText>suffix":""},{"dropping-particle":"","family":"Shin","given":"Dong Wook","non-dropping-particle":"","parse-names":false,"suffix":""},{"dropping-particle":"","family":"Shin","given":"Youchan","non-dropping-particle":"","parse-names":false,"suffix":""},{"drop</w:instrText>
      </w:r>
      <w:r>
        <w:rPr>
          <w:rFonts w:ascii="Arial" w:eastAsia="Times New Roman" w:hAnsi="Arial" w:cs="Arial"/>
          <w:color w:val="000000"/>
          <w:lang w:val="en-US" w:eastAsia="de-DE"/>
        </w:rPr>
        <w:instrText>ping-particle":"","family":"Shiri","given":"Rahman","non-dropping-particle":"","parse-names":false,"suffix":""},{"dropping-particle":"","family":"Siantar","given":"Rosalynn","non-dropping-particle":"","parse-names":false,"suffix":""},{"dropping-particle":"</w:instrText>
      </w:r>
      <w:r>
        <w:rPr>
          <w:rFonts w:ascii="Arial" w:eastAsia="Times New Roman" w:hAnsi="Arial" w:cs="Arial"/>
          <w:color w:val="000000"/>
          <w:lang w:val="en-US" w:eastAsia="de-DE"/>
        </w:rPr>
        <w:instrText>","family":"Sibai","given":"Abla M.","non-dropping-particle":"","parse-names":false,"suffix":""},{"dropping-particle":"","family":"Silva","given":"Antonio M.","non-dropping-particle":"","parse-names":false,"suffix":""},{"dropping-particle":"","family":"Sil</w:instrText>
      </w:r>
      <w:r>
        <w:rPr>
          <w:rFonts w:ascii="Arial" w:eastAsia="Times New Roman" w:hAnsi="Arial" w:cs="Arial"/>
          <w:color w:val="000000"/>
          <w:lang w:val="en-US" w:eastAsia="de-DE"/>
        </w:rPr>
        <w:instrText>va","given":"Diego Augusto Santos","non-dropping-particle":"","parse-names":false,"suffix":""},{"dropping-particle":"","family":"Simon","given":"Mary","non-dropping-particle":"","parse-names":false,"suffix":""},{"dropping-particle":"","family":"Simons","gi</w:instrText>
      </w:r>
      <w:r>
        <w:rPr>
          <w:rFonts w:ascii="Arial" w:eastAsia="Times New Roman" w:hAnsi="Arial" w:cs="Arial"/>
          <w:color w:val="000000"/>
          <w:lang w:val="en-US" w:eastAsia="de-DE"/>
        </w:rPr>
        <w:instrText>ven":"Judith","non-dropping-particle":"","parse-names":false,"suffix":""},{"dropping-particle":"","family":"Simons","given":"Leon A.","non-dropping-particle":"","parse-names":false,"suffix":""},{"dropping-particle":"","family":"Sjostrom","given":"Michael",</w:instrText>
      </w:r>
      <w:r>
        <w:rPr>
          <w:rFonts w:ascii="Arial" w:eastAsia="Times New Roman" w:hAnsi="Arial" w:cs="Arial"/>
          <w:color w:val="000000"/>
          <w:lang w:val="en-US" w:eastAsia="de-DE"/>
        </w:rPr>
        <w:instrText>"non-dropping-particle":"","parse-names":false,"suffix":""},{"dropping-particle":"","family":"Slowikowska-Hilczer","given":"Jolanta","non-dropping-particle":"","parse-names":false,"suffix":""},{"dropping-particle":"","family":"Slusarczyk","given":"Przemysl</w:instrText>
      </w:r>
      <w:r>
        <w:rPr>
          <w:rFonts w:ascii="Arial" w:eastAsia="Times New Roman" w:hAnsi="Arial" w:cs="Arial"/>
          <w:color w:val="000000"/>
          <w:lang w:val="en-US" w:eastAsia="de-DE"/>
        </w:rPr>
        <w:instrText>aw","non-dropping-particle":"","parse-names":false,"suffix":""},{"dropping-particle":"","family":"Smeeth","given":"Liam","non-dropping-particle":"","parse-names":false,"suffix":""},{"dropping-particle":"","family":"Smith","given":"Margaret C.","non-droppin</w:instrText>
      </w:r>
      <w:r>
        <w:rPr>
          <w:rFonts w:ascii="Arial" w:eastAsia="Times New Roman" w:hAnsi="Arial" w:cs="Arial"/>
          <w:color w:val="000000"/>
          <w:lang w:val="en-US" w:eastAsia="de-DE"/>
        </w:rPr>
        <w:instrText>g-particle":"","parse-names":false,"suffix":""},{"dropping-particle":"","family":"Snijder","given":"Marieke B.","non-dropping-particle":"","parse-names":false,"suffix":""},{"dropping-particle":"","family":"So","given":"Hung Kwan","non-dropping-particle":""</w:instrText>
      </w:r>
      <w:r>
        <w:rPr>
          <w:rFonts w:ascii="Arial" w:eastAsia="Times New Roman" w:hAnsi="Arial" w:cs="Arial"/>
          <w:color w:val="000000"/>
          <w:lang w:val="en-US" w:eastAsia="de-DE"/>
        </w:rPr>
        <w:instrText>,"parse-names":false,"suffix":""},{"dropping-particle":"","family":"Sobngwi","given":"Eugène","non-dropping-particle":"","parse-names":false,"suffix":""},{"dropping-particle":"","family":"Söderberg","given":"Stefan","non-dropping-particle":"","parse-names"</w:instrText>
      </w:r>
      <w:r>
        <w:rPr>
          <w:rFonts w:ascii="Arial" w:eastAsia="Times New Roman" w:hAnsi="Arial" w:cs="Arial"/>
          <w:color w:val="000000"/>
          <w:lang w:val="en-US" w:eastAsia="de-DE"/>
        </w:rPr>
        <w:instrText>:false,"suffix":""},{"dropping-particle":"","family":"Soekatri","given":"Moesijanti Y.E.","non-dropping-particle":"","parse-names":false,"suffix":""},{"dropping-particle":"","family":"Solfrizzi","given":"Vincenzo","non-dropping-particle":"","parse-names":f</w:instrText>
      </w:r>
      <w:r>
        <w:rPr>
          <w:rFonts w:ascii="Arial" w:eastAsia="Times New Roman" w:hAnsi="Arial" w:cs="Arial"/>
          <w:color w:val="000000"/>
          <w:lang w:val="en-US" w:eastAsia="de-DE"/>
        </w:rPr>
        <w:instrText>alse,"suffix":""},{"dropping-particle":"","family":"Sonestedt","given":"Emily","non-dropping-particle":"","parse-names":false,"suffix":""},{"dropping-particle":"","family":"Song","given":"Yi","non-dropping-particle":"","parse-names":false,"suffix":""},{"dr</w:instrText>
      </w:r>
      <w:r>
        <w:rPr>
          <w:rFonts w:ascii="Arial" w:eastAsia="Times New Roman" w:hAnsi="Arial" w:cs="Arial"/>
          <w:color w:val="000000"/>
          <w:lang w:val="en-US" w:eastAsia="de-DE"/>
        </w:rPr>
        <w:instrText>opping-particle":"","family":"Sørensen","given":"Thorkild I.A.","non-dropping-particle":"","parse-names":false,"suffix":""},{"dropping-particle":"","family":"Soric","given":"Maroje","non-dropping-particle":"","parse-names":false,"suffix":""},{"dropping-par</w:instrText>
      </w:r>
      <w:r>
        <w:rPr>
          <w:rFonts w:ascii="Arial" w:eastAsia="Times New Roman" w:hAnsi="Arial" w:cs="Arial"/>
          <w:color w:val="000000"/>
          <w:lang w:val="en-US" w:eastAsia="de-DE"/>
        </w:rPr>
        <w:instrText>ticle":"","family":"Jérome","given":"Charles Sossa","non-dropping-particle":"","parse-names":false,"suffix":""},{"dropping-particle":"","family":"Soumare","given":"Aicha","non-dropping-particle":"","parse-names":false,"suffix":""},{"dropping-particle":"","</w:instrText>
      </w:r>
      <w:r>
        <w:rPr>
          <w:rFonts w:ascii="Arial" w:eastAsia="Times New Roman" w:hAnsi="Arial" w:cs="Arial"/>
          <w:color w:val="000000"/>
          <w:lang w:val="en-US" w:eastAsia="de-DE"/>
        </w:rPr>
        <w:instrText>family":"Staessen","given":"Jan A.","non-dropping-particle":"","parse-names":false,"suffix":""},{"dropping-particle":"","family":"Starc","given":"Gregor","non-dropping-particle":"","parse-names":false,"suffix":""},{"dropping-particle":"","family":"Stathopo</w:instrText>
      </w:r>
      <w:r>
        <w:rPr>
          <w:rFonts w:ascii="Arial" w:eastAsia="Times New Roman" w:hAnsi="Arial" w:cs="Arial"/>
          <w:color w:val="000000"/>
          <w:lang w:val="en-US" w:eastAsia="de-DE"/>
        </w:rPr>
        <w:instrText>ulou","given":"Maria G.","non-dropping-particle":"","parse-names":false,"suffix":""},{"dropping-particle":"","family":"Staub","given":"Kaspar","non-dropping-particle":"","parse-names":false,"suffix":""},{"dropping-particle":"","family":"Stavreski","given":</w:instrText>
      </w:r>
      <w:r>
        <w:rPr>
          <w:rFonts w:ascii="Arial" w:eastAsia="Times New Roman" w:hAnsi="Arial" w:cs="Arial"/>
          <w:color w:val="000000"/>
          <w:lang w:val="en-US" w:eastAsia="de-DE"/>
        </w:rPr>
        <w:instrText>"Bill","non-dropping-particle":"","parse-names":false,"suffix":""},{"dropping-particle":"","family":"Steene-Johannessen","given":"Jostein","non-dropping-particle":"","parse-names":false,"suffix":""},{"dropping-particle":"","family":"Stehle","given":"Peter"</w:instrText>
      </w:r>
      <w:r>
        <w:rPr>
          <w:rFonts w:ascii="Arial" w:eastAsia="Times New Roman" w:hAnsi="Arial" w:cs="Arial"/>
          <w:color w:val="000000"/>
          <w:lang w:val="en-US" w:eastAsia="de-DE"/>
        </w:rPr>
        <w:instrText>,"non-dropping-particle":"","parse-names":false,"suffix":""},{"dropping-particle":"","family":"Stein","given":"Aryeh D.","non-dropping-particle":"","parse-names":false,"suffix":""},{"dropping-particle":"","family":"Stergiou","given":"George S.","non-droppi</w:instrText>
      </w:r>
      <w:r>
        <w:rPr>
          <w:rFonts w:ascii="Arial" w:eastAsia="Times New Roman" w:hAnsi="Arial" w:cs="Arial"/>
          <w:color w:val="000000"/>
          <w:lang w:val="en-US" w:eastAsia="de-DE"/>
        </w:rPr>
        <w:instrText>ng-particle":"","parse-names":false,"suffix":""},{"dropping-particle":"","family":"Stessman","given":"Jochanan","non-dropping-particle":"","parse-names":false,"suffix":""},{"dropping-particle":"","family":"Stieber","given":"Jutta","non-dropping-particle":"</w:instrText>
      </w:r>
      <w:r>
        <w:rPr>
          <w:rFonts w:ascii="Arial" w:eastAsia="Times New Roman" w:hAnsi="Arial" w:cs="Arial"/>
          <w:color w:val="000000"/>
          <w:lang w:val="en-US" w:eastAsia="de-DE"/>
        </w:rPr>
        <w:instrText>","parse-names":false,"suffix":""},{"dropping-particle":"","family":"Stöckl","given":"Doris","non-dropping-particle":"","parse-names":false,"suffix":""},{"dropping-particle":"","family":"Stocks","given":"Tanja","non-dropping-particle":"","parse-names":fals</w:instrText>
      </w:r>
      <w:r>
        <w:rPr>
          <w:rFonts w:ascii="Arial" w:eastAsia="Times New Roman" w:hAnsi="Arial" w:cs="Arial"/>
          <w:color w:val="000000"/>
          <w:lang w:val="en-US" w:eastAsia="de-DE"/>
        </w:rPr>
        <w:instrText>e,"suffix":""},{"dropping-particle":"","family":"Stokwiszewski","given":"Jakub","non-dropping-particle":"","parse-names":false,"suffix":""},{"dropping-particle":"","family":"Stratton","given":"Gareth","non-dropping-particle":"","parse-names":false,"suffix"</w:instrText>
      </w:r>
      <w:r>
        <w:rPr>
          <w:rFonts w:ascii="Arial" w:eastAsia="Times New Roman" w:hAnsi="Arial" w:cs="Arial"/>
          <w:color w:val="000000"/>
          <w:lang w:val="en-US" w:eastAsia="de-DE"/>
        </w:rPr>
        <w:instrText>:""},{"dropping-particle":"","family":"Stronks","given":"Karien","non-dropping-particle":"","parse-names":false,"suffix":""},{"dropping-particle":"","family":"Strufaldi","given":"Maria Wany","non-dropping-particle":"","parse-names":false,"suffix":""},{"dro</w:instrText>
      </w:r>
      <w:r>
        <w:rPr>
          <w:rFonts w:ascii="Arial" w:eastAsia="Times New Roman" w:hAnsi="Arial" w:cs="Arial"/>
          <w:color w:val="000000"/>
          <w:lang w:val="en-US" w:eastAsia="de-DE"/>
        </w:rPr>
        <w:instrText>pping-particle":"","family":"Sun","given":"Chien An","non-dropping-particle":"","parse-names":false,"suffix":""},{"dropping-particle":"","family":"Sundström","given":"Johan","non-dropping-particle":"","parse-names":false,"suffix":""},{"dropping-particle":"</w:instrText>
      </w:r>
      <w:r>
        <w:rPr>
          <w:rFonts w:ascii="Arial" w:eastAsia="Times New Roman" w:hAnsi="Arial" w:cs="Arial"/>
          <w:color w:val="000000"/>
          <w:lang w:val="en-US" w:eastAsia="de-DE"/>
        </w:rPr>
        <w:instrText>","family":"Sung","given":"Yn Tz","non-dropping-particle":"","parse-names":false,"suffix":""},{"dropping-particle":"","family":"Sunyer","given":"Jordi","non-dropping-particle":"","parse-names":false,"suffix":""},{"dropping-particle":"","family":"Suriyawong</w:instrText>
      </w:r>
      <w:r>
        <w:rPr>
          <w:rFonts w:ascii="Arial" w:eastAsia="Times New Roman" w:hAnsi="Arial" w:cs="Arial"/>
          <w:color w:val="000000"/>
          <w:lang w:val="en-US" w:eastAsia="de-DE"/>
        </w:rPr>
        <w:instrText>paisal","given":"Paibul","non-dropping-particle":"","parse-names":false,"suffix":""},{"dropping-particle":"","family":"Swinburn","given":"Boyd A.","non-dropping-particle":"","parse-names":false,"suffix":""},{"dropping-particle":"","family":"Sy","given":"Ro</w:instrText>
      </w:r>
      <w:r>
        <w:rPr>
          <w:rFonts w:ascii="Arial" w:eastAsia="Times New Roman" w:hAnsi="Arial" w:cs="Arial"/>
          <w:color w:val="000000"/>
          <w:lang w:val="en-US" w:eastAsia="de-DE"/>
        </w:rPr>
        <w:instrText>dy G.","non-dropping-particle":"","parse-names":false,"suffix":""},{"dropping-particle":"","family":"Szponar","given":"Lucjan","non-dropping-particle":"","parse-names":false,"suffix":""},{"dropping-particle":"","family":"Tai","given":"E. Shyong","non-dropp</w:instrText>
      </w:r>
      <w:r>
        <w:rPr>
          <w:rFonts w:ascii="Arial" w:eastAsia="Times New Roman" w:hAnsi="Arial" w:cs="Arial"/>
          <w:color w:val="000000"/>
          <w:lang w:val="en-US" w:eastAsia="de-DE"/>
        </w:rPr>
        <w:instrText>ing-particle":"","parse-names":false,"suffix":""},{"dropping-particle":"","family":"Tammesoo","given":"Mari Liis","non-dropping-particle":"","parse-names":false,"suffix":""},{"dropping-particle":"","family":"Tamosiunas","given":"Abdonas","non-dropping-part</w:instrText>
      </w:r>
      <w:r>
        <w:rPr>
          <w:rFonts w:ascii="Arial" w:eastAsia="Times New Roman" w:hAnsi="Arial" w:cs="Arial"/>
          <w:color w:val="000000"/>
          <w:lang w:val="en-US" w:eastAsia="de-DE"/>
        </w:rPr>
        <w:instrText>icle":"","parse-names":false,"suffix":""},{"dropping-particle":"","family":"Tang","given":"Line","non-dropping-particle":"","parse-names":false,"suffix":""},{"dropping-particle":"","family":"Tang","given":"Xun","non-dropping-particle":"","parse-names":fals</w:instrText>
      </w:r>
      <w:r>
        <w:rPr>
          <w:rFonts w:ascii="Arial" w:eastAsia="Times New Roman" w:hAnsi="Arial" w:cs="Arial"/>
          <w:color w:val="000000"/>
          <w:lang w:val="en-US" w:eastAsia="de-DE"/>
        </w:rPr>
        <w:instrText>e,"suffix":""},{"dropping-particle":"","family":"Tanser","given":"Frank","non-dropping-particle":"","parse-names":false,"suffix":""},{"dropping-particle":"","family":"Tao","given":"Yong","non-dropping-particle":"","parse-names":false,"suffix":""},{"droppin</w:instrText>
      </w:r>
      <w:r>
        <w:rPr>
          <w:rFonts w:ascii="Arial" w:eastAsia="Times New Roman" w:hAnsi="Arial" w:cs="Arial"/>
          <w:color w:val="000000"/>
          <w:lang w:val="en-US" w:eastAsia="de-DE"/>
        </w:rPr>
        <w:instrText>g-particle":"","family":"Tarawneh","given":"Mohammed Rasoul","non-dropping-particle":"","parse-names":false,"suffix":""},{"dropping-particle":"","family":"Tarp","given":"Jakob","non-dropping-particle":"","parse-names":false,"suffix":""},{"dropping-particle</w:instrText>
      </w:r>
      <w:r>
        <w:rPr>
          <w:rFonts w:ascii="Arial" w:eastAsia="Times New Roman" w:hAnsi="Arial" w:cs="Arial"/>
          <w:color w:val="000000"/>
          <w:lang w:val="en-US" w:eastAsia="de-DE"/>
        </w:rPr>
        <w:instrText>":"","family":"Tarqui-Mamani","given":"Carolina B.","non-dropping-particle":"","parse-names":false,"suffix":""},{"dropping-particle":"","family":"Taylor","given":"Anne","non-dropping-particle":"","parse-names":false,"suffix":""},{"dropping-particle":"","fa</w:instrText>
      </w:r>
      <w:r>
        <w:rPr>
          <w:rFonts w:ascii="Arial" w:eastAsia="Times New Roman" w:hAnsi="Arial" w:cs="Arial"/>
          <w:color w:val="000000"/>
          <w:lang w:val="en-US" w:eastAsia="de-DE"/>
        </w:rPr>
        <w:instrText>mily":"Tchibindat","given":"Félicité","non-dropping-particle":"","parse-names":false,"suffix":""},{"dropping-particle":"","family":"Theobald","given":"Holger","non-dropping-particle":"","parse-names":false,"suffix":""},{"dropping-particle":"","family":"Thi</w:instrText>
      </w:r>
      <w:r>
        <w:rPr>
          <w:rFonts w:ascii="Arial" w:eastAsia="Times New Roman" w:hAnsi="Arial" w:cs="Arial"/>
          <w:color w:val="000000"/>
          <w:lang w:val="en-US" w:eastAsia="de-DE"/>
        </w:rPr>
        <w:instrText>js","given":"Lutgarde","non-dropping-particle":"","parse-names":false,"suffix":""},{"dropping-particle":"","family":"Thuesen","given":"Betina H.","non-dropping-particle":"","parse-names":false,"suffix":""},{"dropping-particle":"","family":"Tjonneland","giv</w:instrText>
      </w:r>
      <w:r>
        <w:rPr>
          <w:rFonts w:ascii="Arial" w:eastAsia="Times New Roman" w:hAnsi="Arial" w:cs="Arial"/>
          <w:color w:val="000000"/>
          <w:lang w:val="en-US" w:eastAsia="de-DE"/>
        </w:rPr>
        <w:instrText>en":"Anne","non-dropping-particle":"","parse-names":false,"suffix":""},{"dropping-particle":"","family":"Tolonen","given":"Hanna K.","non-dropping-particle":"","parse-names":false,"suffix":""},{"dropping-particle":"","family":"Tolstrup","given":"Janne S.",</w:instrText>
      </w:r>
      <w:r>
        <w:rPr>
          <w:rFonts w:ascii="Arial" w:eastAsia="Times New Roman" w:hAnsi="Arial" w:cs="Arial"/>
          <w:color w:val="000000"/>
          <w:lang w:val="en-US" w:eastAsia="de-DE"/>
        </w:rPr>
        <w:instrText>"non-dropping-particle":"","parse-names":false,"suffix":""},{"dropping-particle":"","family":"Topbas","given":"Murat","non-dropping-particle":"","parse-names":false,"suffix":""},{"dropping-particle":"","family":"Topór-Madry","given":"Roman","non-dropping-p</w:instrText>
      </w:r>
      <w:r>
        <w:rPr>
          <w:rFonts w:ascii="Arial" w:eastAsia="Times New Roman" w:hAnsi="Arial" w:cs="Arial"/>
          <w:color w:val="000000"/>
          <w:lang w:val="en-US" w:eastAsia="de-DE"/>
        </w:rPr>
        <w:instrText>article":"","parse-names":false,"suffix":""},{"dropping-particle":"","family":"Torrent","given":"Maties","non-dropping-particle":"","parse-names":false,"suffix":""},{"dropping-particle":"","family":"Toselli","given":"Stefania","non-dropping-particle":"","p</w:instrText>
      </w:r>
      <w:r>
        <w:rPr>
          <w:rFonts w:ascii="Arial" w:eastAsia="Times New Roman" w:hAnsi="Arial" w:cs="Arial"/>
          <w:color w:val="000000"/>
          <w:lang w:val="en-US" w:eastAsia="de-DE"/>
        </w:rPr>
        <w:instrText>arse-names":false,"suffix":""},{"dropping-particle":"","family":"Traissac","given":"Pierre","non-dropping-particle":"","parse-names":false,"suffix":""},{"dropping-particle":"","family":"Trichopoulou","given":"Antonia","non-dropping-particle":"","parse-name</w:instrText>
      </w:r>
      <w:r>
        <w:rPr>
          <w:rFonts w:ascii="Arial" w:eastAsia="Times New Roman" w:hAnsi="Arial" w:cs="Arial"/>
          <w:color w:val="000000"/>
          <w:lang w:val="en-US" w:eastAsia="de-DE"/>
        </w:rPr>
        <w:instrText>s":false,"suffix":""},{"dropping-particle":"","family":"Trichopoulos","given":"Dimitrios","non-dropping-particle":"","parse-names":false,"suffix":""},{"dropping-particle":"","family":"Trinh","given":"Oanh T.H.","non-dropping-particle":"","parse-names":fals</w:instrText>
      </w:r>
      <w:r>
        <w:rPr>
          <w:rFonts w:ascii="Arial" w:eastAsia="Times New Roman" w:hAnsi="Arial" w:cs="Arial"/>
          <w:color w:val="000000"/>
          <w:lang w:val="en-US" w:eastAsia="de-DE"/>
        </w:rPr>
        <w:instrText>e,"suffix":""},{"dropping-particle":"","family":"Trivedi","given":"Atul","non-dropping-particle":"","parse-names":false,"suffix":""},{"dropping-particle":"","family":"Tshepo","given":"Lechaba","non-dropping-particle":"","parse-names":false,"suffix":""},{"d</w:instrText>
      </w:r>
      <w:r>
        <w:rPr>
          <w:rFonts w:ascii="Arial" w:eastAsia="Times New Roman" w:hAnsi="Arial" w:cs="Arial"/>
          <w:color w:val="000000"/>
          <w:lang w:val="en-US" w:eastAsia="de-DE"/>
        </w:rPr>
        <w:instrText>ropping-particle":"","family":"Tulloch-Reid","given":"Marshall K.","non-dropping-particle":"","parse-names":false,"suffix":""},{"dropping-particle":"","family":"Tuomainen","given":"Tomi Pekka","non-dropping-particle":"","parse-names":false,"suffix":""},{"d</w:instrText>
      </w:r>
      <w:r>
        <w:rPr>
          <w:rFonts w:ascii="Arial" w:eastAsia="Times New Roman" w:hAnsi="Arial" w:cs="Arial"/>
          <w:color w:val="000000"/>
          <w:lang w:val="en-US" w:eastAsia="de-DE"/>
        </w:rPr>
        <w:instrText>ropping-particle":"","family":"Tuomilehto","given":"Jaakko","non-dropping-particle":"","parse-names":false,"suffix":""},{"dropping-particle":"","family":"Turley","given":"Maria L.","non-dropping-particle":"","parse-names":false,"suffix":""},{"dropping-part</w:instrText>
      </w:r>
      <w:r>
        <w:rPr>
          <w:rFonts w:ascii="Arial" w:eastAsia="Times New Roman" w:hAnsi="Arial" w:cs="Arial"/>
          <w:color w:val="000000"/>
          <w:lang w:val="en-US" w:eastAsia="de-DE"/>
        </w:rPr>
        <w:instrText>icle":"","family":"Tynelius","given":"Per","non-dropping-particle":"","parse-names":false,"suffix":""},{"dropping-particle":"","family":"Tzotzas","given":"Themistoklis","non-dropping-particle":"","parse-names":false,"suffix":""},{"dropping-particle":"","fa</w:instrText>
      </w:r>
      <w:r>
        <w:rPr>
          <w:rFonts w:ascii="Arial" w:eastAsia="Times New Roman" w:hAnsi="Arial" w:cs="Arial"/>
          <w:color w:val="000000"/>
          <w:lang w:val="en-US" w:eastAsia="de-DE"/>
        </w:rPr>
        <w:instrText>mily":"Tzourio","given":"Christophe","non-dropping-particle":"","parse-names":false,"suffix":""},{"dropping-particle":"","family":"Ueda","given":"Peter","non-dropping-particle":"","parse-names":false,"suffix":""},{"dropping-particle":"","family":"Ukoli","g</w:instrText>
      </w:r>
      <w:r>
        <w:rPr>
          <w:rFonts w:ascii="Arial" w:eastAsia="Times New Roman" w:hAnsi="Arial" w:cs="Arial"/>
          <w:color w:val="000000"/>
          <w:lang w:val="en-US" w:eastAsia="de-DE"/>
        </w:rPr>
        <w:instrText>iven":"Flora A.M.","non-dropping-particle":"","parse-names":false,"suffix":""},{"dropping-particle":"","family":"Ulmer","given":"Hanno","non-dropping-particle":"","parse-names":false,"suffix":""},{"dropping-particle":"","family":"Unal","given":"Belgin","no</w:instrText>
      </w:r>
      <w:r>
        <w:rPr>
          <w:rFonts w:ascii="Arial" w:eastAsia="Times New Roman" w:hAnsi="Arial" w:cs="Arial"/>
          <w:color w:val="000000"/>
          <w:lang w:val="en-US" w:eastAsia="de-DE"/>
        </w:rPr>
        <w:instrText>n-dropping-particle":"","parse-names":false,"suffix":""},{"dropping-particle":"","family":"Uusitalo","given":"Hannu M.T.","non-dropping-particle":"","parse-names":false,"suffix":""},{"dropping-particle":"","family":"Valdivia","given":"Gonzalo","non-droppin</w:instrText>
      </w:r>
      <w:r>
        <w:rPr>
          <w:rFonts w:ascii="Arial" w:eastAsia="Times New Roman" w:hAnsi="Arial" w:cs="Arial"/>
          <w:color w:val="000000"/>
          <w:lang w:val="en-US" w:eastAsia="de-DE"/>
        </w:rPr>
        <w:instrText>g-particle":"","parse-names":false,"suffix":""},{"dropping-particle":"","family":"Vale","given":"Susana","non-dropping-particle":"","parse-names":false,"suffix":""},{"dropping-particle":"","family":"Valvi","given":"Damaskini","non-dropping-particle":"","pa</w:instrText>
      </w:r>
      <w:r>
        <w:rPr>
          <w:rFonts w:ascii="Arial" w:eastAsia="Times New Roman" w:hAnsi="Arial" w:cs="Arial"/>
          <w:color w:val="000000"/>
          <w:lang w:val="en-US" w:eastAsia="de-DE"/>
        </w:rPr>
        <w:instrText>rse-names":false,"suffix":""},{"dropping-particle":"","family":"Schouw","given":"Yvonne T.","non-dropping-particle":"van der","parse-names":false,"suffix":""},{"dropping-particle":"","family":"Herck","given":"Koen","non-dropping-particle":"Van","parse-name</w:instrText>
      </w:r>
      <w:r>
        <w:rPr>
          <w:rFonts w:ascii="Arial" w:eastAsia="Times New Roman" w:hAnsi="Arial" w:cs="Arial"/>
          <w:color w:val="000000"/>
          <w:lang w:val="en-US" w:eastAsia="de-DE"/>
        </w:rPr>
        <w:instrText>s":false,"suffix":""},{"dropping-particle":"","family":"Minh","given":"Hoang","non-dropping-particle":"Van","parse-names":false,"suffix":""},{"dropping-particle":"","family":"Rossem","given":"Lenie","non-dropping-particle":"van","parse-names":false,"suffix</w:instrText>
      </w:r>
      <w:r>
        <w:rPr>
          <w:rFonts w:ascii="Arial" w:eastAsia="Times New Roman" w:hAnsi="Arial" w:cs="Arial"/>
          <w:color w:val="000000"/>
          <w:lang w:val="en-US" w:eastAsia="de-DE"/>
        </w:rPr>
        <w:instrText>":""},{"dropping-particle":"","family":"Valkengoed","given":"Irene G.M.","non-dropping-particle":"van","parse-names":false,"suffix":""},{"dropping-particle":"","family":"Vanderschueren","given":"Dirk","non-dropping-particle":"","parse-names":false,"suffix"</w:instrText>
      </w:r>
      <w:r>
        <w:rPr>
          <w:rFonts w:ascii="Arial" w:eastAsia="Times New Roman" w:hAnsi="Arial" w:cs="Arial"/>
          <w:color w:val="000000"/>
          <w:lang w:val="en-US" w:eastAsia="de-DE"/>
        </w:rPr>
        <w:instrText>:""},{"dropping-particle":"","family":"Vanuzzo","given":"Diego","non-dropping-particle":"","parse-names":false,"suffix":""},{"dropping-particle":"","family":"Vatten","given":"Lars","non-dropping-particle":"","parse-names":false,"suffix":""},{"dropping-part</w:instrText>
      </w:r>
      <w:r>
        <w:rPr>
          <w:rFonts w:ascii="Arial" w:eastAsia="Times New Roman" w:hAnsi="Arial" w:cs="Arial"/>
          <w:color w:val="000000"/>
          <w:lang w:val="en-US" w:eastAsia="de-DE"/>
        </w:rPr>
        <w:instrText>icle":"","family":"Vega","given":"Tomas","non-dropping-particle":"","parse-names":false,"suffix":""},{"dropping-particle":"","family":"Velasquez-Melendez","given":"Gustavo","non-dropping-particle":"","parse-names":false,"suffix":""},{"dropping-particle":""</w:instrText>
      </w:r>
      <w:r>
        <w:rPr>
          <w:rFonts w:ascii="Arial" w:eastAsia="Times New Roman" w:hAnsi="Arial" w:cs="Arial"/>
          <w:color w:val="000000"/>
          <w:lang w:val="en-US" w:eastAsia="de-DE"/>
        </w:rPr>
        <w:instrText>,"family":"Veronesi","given":"Giovanni","non-dropping-particle":"","parse-names":false,"suffix":""},{"dropping-particle":"","family":"Verschuren","given":"WM Monique","non-dropping-particle":"","parse-names":false,"suffix":""},{"dropping-particle":"","fami</w:instrText>
      </w:r>
      <w:r>
        <w:rPr>
          <w:rFonts w:ascii="Arial" w:eastAsia="Times New Roman" w:hAnsi="Arial" w:cs="Arial"/>
          <w:color w:val="000000"/>
          <w:lang w:val="en-US" w:eastAsia="de-DE"/>
        </w:rPr>
        <w:instrText>ly":"Verstraeten","given":"Roosmarijn","non-dropping-particle":"","parse-names":false,"suffix":""},{"dropping-particle":"","family":"Victora","given":"Cesar G.","non-dropping-particle":"","parse-names":false,"suffix":""},{"dropping-particle":"","family":"V</w:instrText>
      </w:r>
      <w:r>
        <w:rPr>
          <w:rFonts w:ascii="Arial" w:eastAsia="Times New Roman" w:hAnsi="Arial" w:cs="Arial"/>
          <w:color w:val="000000"/>
          <w:lang w:val="en-US" w:eastAsia="de-DE"/>
        </w:rPr>
        <w:instrText>iegi","given":"Giovanni","non-dropping-particle":"","parse-names":false,"suffix":""},{"dropping-particle":"","family":"Viet","given":"Lucie","non-dropping-particle":"","parse-names":false,"suffix":""},{"dropping-particle":"","family":"Viikari-Juntura","giv</w:instrText>
      </w:r>
      <w:r>
        <w:rPr>
          <w:rFonts w:ascii="Arial" w:eastAsia="Times New Roman" w:hAnsi="Arial" w:cs="Arial"/>
          <w:color w:val="000000"/>
          <w:lang w:val="en-US" w:eastAsia="de-DE"/>
        </w:rPr>
        <w:instrText>en":"Eira","non-dropping-particle":"","parse-names":false,"suffix":""},{"dropping-particle":"","family":"Vineis","given":"Paolo","non-dropping-particle":"","parse-names":false,"suffix":""},{"dropping-particle":"","family":"Vioque","given":"Jesus","non-drop</w:instrText>
      </w:r>
      <w:r>
        <w:rPr>
          <w:rFonts w:ascii="Arial" w:eastAsia="Times New Roman" w:hAnsi="Arial" w:cs="Arial"/>
          <w:color w:val="000000"/>
          <w:lang w:val="en-US" w:eastAsia="de-DE"/>
        </w:rPr>
        <w:instrText>ping-particle":"","parse-names":false,"suffix":""},{"dropping-particle":"","family":"Virtanen","given":"Jyrki K.","non-dropping-particle":"","parse-names":false,"suffix":""},{"dropping-particle":"","family":"Visvikis-Siest","given":"Sophie","non-dropping-p</w:instrText>
      </w:r>
      <w:r>
        <w:rPr>
          <w:rFonts w:ascii="Arial" w:eastAsia="Times New Roman" w:hAnsi="Arial" w:cs="Arial"/>
          <w:color w:val="000000"/>
          <w:lang w:val="en-US" w:eastAsia="de-DE"/>
        </w:rPr>
        <w:instrText>article":"","parse-names":false,"suffix":""},{"dropping-particle":"","family":"Viswanathan","given":"Bharathi","non-dropping-particle":"","parse-names":false,"suffix":""},{"dropping-particle":"","family":"Vollenweider","given":"Peter","non-dropping-particl</w:instrText>
      </w:r>
      <w:r>
        <w:rPr>
          <w:rFonts w:ascii="Arial" w:eastAsia="Times New Roman" w:hAnsi="Arial" w:cs="Arial"/>
          <w:color w:val="000000"/>
          <w:lang w:val="en-US" w:eastAsia="de-DE"/>
        </w:rPr>
        <w:instrText>e":"","parse-names":false,"suffix":""},{"dropping-particle":"","family":"Voutilainen","given":"Sari","non-dropping-particle":"","parse-names":false,"suffix":""},{"dropping-particle":"","family":"Vrdoljak","given":"Ana","non-dropping-particle":"","parse-nam</w:instrText>
      </w:r>
      <w:r>
        <w:rPr>
          <w:rFonts w:ascii="Arial" w:eastAsia="Times New Roman" w:hAnsi="Arial" w:cs="Arial"/>
          <w:color w:val="000000"/>
          <w:lang w:val="en-US" w:eastAsia="de-DE"/>
        </w:rPr>
        <w:instrText>es":false,"suffix":""},{"dropping-particle":"","family":"Vrijheid","given":"Martine","non-dropping-particle":"","parse-names":false,"suffix":""},{"dropping-particle":"","family":"Wade","given":"Alisha N.","non-dropping-particle":"","parse-names":false,"suf</w:instrText>
      </w:r>
      <w:r>
        <w:rPr>
          <w:rFonts w:ascii="Arial" w:eastAsia="Times New Roman" w:hAnsi="Arial" w:cs="Arial"/>
          <w:color w:val="000000"/>
          <w:lang w:val="en-US" w:eastAsia="de-DE"/>
        </w:rPr>
        <w:instrText>fix":""},{"dropping-particle":"","family":"Wagner","given":"Aline","non-dropping-particle":"","parse-names":false,"suffix":""},{"dropping-particle":"","family":"Walton","given":"Janette","non-dropping-particle":"","parse-names":false,"suffix":""},{"droppin</w:instrText>
      </w:r>
      <w:r>
        <w:rPr>
          <w:rFonts w:ascii="Arial" w:eastAsia="Times New Roman" w:hAnsi="Arial" w:cs="Arial"/>
          <w:color w:val="000000"/>
          <w:lang w:val="en-US" w:eastAsia="de-DE"/>
        </w:rPr>
        <w:instrText>g-particle":"","family":"Mohamud","given":"Wan Nazaimoon Wan","non-dropping-particle":"","parse-names":false,"suffix":""},{"dropping-particle":"","family":"Wang","given":"Ming Dong","non-dropping-particle":"","parse-names":false,"suffix":""},{"dropping-par</w:instrText>
      </w:r>
      <w:r>
        <w:rPr>
          <w:rFonts w:ascii="Arial" w:eastAsia="Times New Roman" w:hAnsi="Arial" w:cs="Arial"/>
          <w:color w:val="000000"/>
          <w:lang w:val="en-US" w:eastAsia="de-DE"/>
        </w:rPr>
        <w:instrText>ticle":"","family":"Wang","given":"Qian","non-dropping-particle":"","parse-names":false,"suffix":""},{"dropping-particle":"","family":"Wang","given":"Ya Xing","non-dropping-particle":"","parse-names":false,"suffix":""},{"dropping-particle":"","family":"Wan</w:instrText>
      </w:r>
      <w:r>
        <w:rPr>
          <w:rFonts w:ascii="Arial" w:eastAsia="Times New Roman" w:hAnsi="Arial" w:cs="Arial"/>
          <w:color w:val="000000"/>
          <w:lang w:val="en-US" w:eastAsia="de-DE"/>
        </w:rPr>
        <w:instrText>namethee","given":"S. Goya","non-dropping-particle":"","parse-names":false,"suffix":""},{"dropping-particle":"","family":"Wareham","given":"Nicholas","non-dropping-particle":"","parse-names":false,"suffix":""},{"dropping-particle":"","family":"Weerasekera"</w:instrText>
      </w:r>
      <w:r>
        <w:rPr>
          <w:rFonts w:ascii="Arial" w:eastAsia="Times New Roman" w:hAnsi="Arial" w:cs="Arial"/>
          <w:color w:val="000000"/>
          <w:lang w:val="en-US" w:eastAsia="de-DE"/>
        </w:rPr>
        <w:instrText>,"given":"Deepa","non-dropping-particle":"","parse-names":false,"suffix":""},{"dropping-particle":"","family":"Whincup","given":"Peter H.","non-dropping-particle":"","parse-names":false,"suffix":""},{"dropping-particle":"","family":"Widhalm","given":"Kurt"</w:instrText>
      </w:r>
      <w:r>
        <w:rPr>
          <w:rFonts w:ascii="Arial" w:eastAsia="Times New Roman" w:hAnsi="Arial" w:cs="Arial"/>
          <w:color w:val="000000"/>
          <w:lang w:val="en-US" w:eastAsia="de-DE"/>
        </w:rPr>
        <w:instrText>,"non-dropping-particle":"","parse-names":false,"suffix":""},{"dropping-particle":"","family":"Widyahening","given":"Indah S.","non-dropping-particle":"","parse-names":false,"suffix":""},{"dropping-particle":"","family":"Wiecek","given":"Andrzej","non-drop</w:instrText>
      </w:r>
      <w:r>
        <w:rPr>
          <w:rFonts w:ascii="Arial" w:eastAsia="Times New Roman" w:hAnsi="Arial" w:cs="Arial"/>
          <w:color w:val="000000"/>
          <w:lang w:val="en-US" w:eastAsia="de-DE"/>
        </w:rPr>
        <w:instrText>ping-particle":"","parse-names":false,"suffix":""},{"dropping-particle":"","family":"Wijga","given":"Alet H.","non-dropping-particle":"","parse-names":false,"suffix":""},{"dropping-particle":"","family":"Wilks","given":"Rainford J.","non-dropping-particle"</w:instrText>
      </w:r>
      <w:r>
        <w:rPr>
          <w:rFonts w:ascii="Arial" w:eastAsia="Times New Roman" w:hAnsi="Arial" w:cs="Arial"/>
          <w:color w:val="000000"/>
          <w:lang w:val="en-US" w:eastAsia="de-DE"/>
        </w:rPr>
        <w:instrText>:"","parse-names":false,"suffix":""},{"dropping-particle":"","family":"Willeit","given":"Johann","non-dropping-particle":"","parse-names":false,"suffix":""},{"dropping-particle":"","family":"Wilsgaard","given":"Tom","non-dropping-particle":"","parse-names"</w:instrText>
      </w:r>
      <w:r>
        <w:rPr>
          <w:rFonts w:ascii="Arial" w:eastAsia="Times New Roman" w:hAnsi="Arial" w:cs="Arial"/>
          <w:color w:val="000000"/>
          <w:lang w:val="en-US" w:eastAsia="de-DE"/>
        </w:rPr>
        <w:instrText>:false,"suffix":""},{"dropping-particle":"","family":"Wojtyniak","given":"Bogdan","non-dropping-particle":"","parse-names":false,"suffix":""},{"dropping-particle":"","family":"Wong","given":"Jyh Eiin","non-dropping-particle":"","parse-names":false,"suffix"</w:instrText>
      </w:r>
      <w:r>
        <w:rPr>
          <w:rFonts w:ascii="Arial" w:eastAsia="Times New Roman" w:hAnsi="Arial" w:cs="Arial"/>
          <w:color w:val="000000"/>
          <w:lang w:val="en-US" w:eastAsia="de-DE"/>
        </w:rPr>
        <w:instrText>:""},{"dropping-particle":"","family":"Wong","given":"Tien Yin","non-dropping-particle":"","parse-names":false,"suffix":""},{"dropping-particle":"","family":"Woo","given":"Jean","non-dropping-particle":"","parse-names":false,"suffix":""},{"dropping-particl</w:instrText>
      </w:r>
      <w:r>
        <w:rPr>
          <w:rFonts w:ascii="Arial" w:eastAsia="Times New Roman" w:hAnsi="Arial" w:cs="Arial"/>
          <w:color w:val="000000"/>
          <w:lang w:val="en-US" w:eastAsia="de-DE"/>
        </w:rPr>
        <w:instrText>e":"","family":"Woodward","given":"Mark","non-dropping-particle":"","parse-names":false,"suffix":""},{"dropping-particle":"","family":"Wu","given":"Frederick C.","non-dropping-particle":"","parse-names":false,"suffix":""},{"dropping-particle":"","family":"</w:instrText>
      </w:r>
      <w:r>
        <w:rPr>
          <w:rFonts w:ascii="Arial" w:eastAsia="Times New Roman" w:hAnsi="Arial" w:cs="Arial"/>
          <w:color w:val="000000"/>
          <w:lang w:val="en-US" w:eastAsia="de-DE"/>
        </w:rPr>
        <w:instrText>Wu","given":"Jianfeng","non-dropping-particle":"","parse-names":false,"suffix":""},{"dropping-particle":"","family":"Wu","given":"Shou Ling","non-dropping-particle":"","parse-names":false,"suffix":""},{"dropping-particle":"","family":"Xu","given":"Haiquan"</w:instrText>
      </w:r>
      <w:r>
        <w:rPr>
          <w:rFonts w:ascii="Arial" w:eastAsia="Times New Roman" w:hAnsi="Arial" w:cs="Arial"/>
          <w:color w:val="000000"/>
          <w:lang w:val="en-US" w:eastAsia="de-DE"/>
        </w:rPr>
        <w:instrText>,"non-dropping-particle":"","parse-names":false,"suffix":""},{"dropping-particle":"","family":"Xu","given":"Liang","non-dropping-particle":"","parse-names":false,"suffix":""},{"dropping-particle":"","family":"Yamborisut","given":"Uruwan","non-dropping-part</w:instrText>
      </w:r>
      <w:r>
        <w:rPr>
          <w:rFonts w:ascii="Arial" w:eastAsia="Times New Roman" w:hAnsi="Arial" w:cs="Arial"/>
          <w:color w:val="000000"/>
          <w:lang w:val="en-US" w:eastAsia="de-DE"/>
        </w:rPr>
        <w:instrText>icle":"","parse-names":false,"suffix":""},{"dropping-particle":"","family":"Yan","given":"Weili","non-dropping-particle":"","parse-names":false,"suffix":""},{"dropping-particle":"","family":"Yang","given":"Xiaoguang","non-dropping-particle":"","parse-names</w:instrText>
      </w:r>
      <w:r>
        <w:rPr>
          <w:rFonts w:ascii="Arial" w:eastAsia="Times New Roman" w:hAnsi="Arial" w:cs="Arial"/>
          <w:color w:val="000000"/>
          <w:lang w:val="en-US" w:eastAsia="de-DE"/>
        </w:rPr>
        <w:instrText>":false,"suffix":""},{"dropping-particle":"","family":"Yardim","given":"Nazan","non-dropping-particle":"","parse-names":false,"suffix":""},{"dropping-particle":"","family":"Ye","given":"Xingwang","non-dropping-particle":"","parse-names":false,"suffix":""},</w:instrText>
      </w:r>
      <w:r>
        <w:rPr>
          <w:rFonts w:ascii="Arial" w:eastAsia="Times New Roman" w:hAnsi="Arial" w:cs="Arial"/>
          <w:color w:val="000000"/>
          <w:lang w:val="en-US" w:eastAsia="de-DE"/>
        </w:rPr>
        <w:instrText>{"dropping-particle":"","family":"Yiallouros","given":"Panayiotis K.","non-dropping-particle":"","parse-names":false,"suffix":""},{"dropping-particle":"","family":"Yoshihara","given":"Akihiro","non-dropping-particle":"","parse-names":false,"suffix":""},{"d</w:instrText>
      </w:r>
      <w:r>
        <w:rPr>
          <w:rFonts w:ascii="Arial" w:eastAsia="Times New Roman" w:hAnsi="Arial" w:cs="Arial"/>
          <w:color w:val="000000"/>
          <w:lang w:val="en-US" w:eastAsia="de-DE"/>
        </w:rPr>
        <w:instrText>ropping-particle":"","family":"You","given":"Qi Sheng","non-dropping-particle":"","parse-names":false,"suffix":""},{"dropping-particle":"","family":"Younger-Coleman","given":"Novie O.","non-dropping-particle":"","parse-names":false,"suffix":""},{"dropping-</w:instrText>
      </w:r>
      <w:r>
        <w:rPr>
          <w:rFonts w:ascii="Arial" w:eastAsia="Times New Roman" w:hAnsi="Arial" w:cs="Arial"/>
          <w:color w:val="000000"/>
          <w:lang w:val="en-US" w:eastAsia="de-DE"/>
        </w:rPr>
        <w:instrText>particle":"","family":"Yusoff","given":"Ahmad F.","non-dropping-particle":"","parse-names":false,"suffix":""},{"dropping-particle":"","family":"Zainuddin","given":"Ahmad A.","non-dropping-particle":"","parse-names":false,"suffix":""},{"dropping-particle":"</w:instrText>
      </w:r>
      <w:r>
        <w:rPr>
          <w:rFonts w:ascii="Arial" w:eastAsia="Times New Roman" w:hAnsi="Arial" w:cs="Arial"/>
          <w:color w:val="000000"/>
          <w:lang w:val="en-US" w:eastAsia="de-DE"/>
        </w:rPr>
        <w:instrText>","family":"Zambon","given":"Sabina","non-dropping-particle":"","parse-names":false,"suffix":""},{"dropping-particle":"","family":"Zdrojewski","given":"Tomasz","non-dropping-particle":"","parse-names":false,"suffix":""},{"dropping-particle":"","family":"Ze</w:instrText>
      </w:r>
      <w:r>
        <w:rPr>
          <w:rFonts w:ascii="Arial" w:eastAsia="Times New Roman" w:hAnsi="Arial" w:cs="Arial"/>
          <w:color w:val="000000"/>
          <w:lang w:val="en-US" w:eastAsia="de-DE"/>
        </w:rPr>
        <w:instrText>ng","given":"Yi","non-dropping-particle":"","parse-names":false,"suffix":""},{"dropping-particle":"","family":"Zhao","given":"Dong","non-dropping-particle":"","parse-names":false,"suffix":""},{"dropping-particle":"","family":"Zhao","given":"Wenhua","non-dr</w:instrText>
      </w:r>
      <w:r>
        <w:rPr>
          <w:rFonts w:ascii="Arial" w:eastAsia="Times New Roman" w:hAnsi="Arial" w:cs="Arial"/>
          <w:color w:val="000000"/>
          <w:lang w:val="en-US" w:eastAsia="de-DE"/>
        </w:rPr>
        <w:instrText>opping-particle":"","parse-names":false,"suffix":""},{"dropping-particle":"","family":"Zheng","given":"Yingfeng","non-dropping-particle":"","parse-names":false,"suffix":""},{"dropping-particle":"","family":"Zhou","given":"Maigeng","non-dropping-particle":"</w:instrText>
      </w:r>
      <w:r>
        <w:rPr>
          <w:rFonts w:ascii="Arial" w:eastAsia="Times New Roman" w:hAnsi="Arial" w:cs="Arial"/>
          <w:color w:val="000000"/>
          <w:lang w:val="en-US" w:eastAsia="de-DE"/>
        </w:rPr>
        <w:instrText>","parse-names":false,"suffix":""},{"dropping-particle":"","family":"Zhu","given":"Dan","non-dropping-particle":"","parse-names":false,"suffix":""},{"dropping-particle":"","family":"Zimmermann","given":"Esther","non-dropping-particle":"","parse-names":fals</w:instrText>
      </w:r>
      <w:r>
        <w:rPr>
          <w:rFonts w:ascii="Arial" w:eastAsia="Times New Roman" w:hAnsi="Arial" w:cs="Arial"/>
          <w:color w:val="000000"/>
          <w:lang w:val="en-US" w:eastAsia="de-DE"/>
        </w:rPr>
        <w:instrText>e,"suffix":""},{"dropping-particle":"","family":"Cisneros","given":"Julio Zuñiga","non-dropping-particle":"","parse-names":false,"suffix":""}],"container-title":"eLife","id":"ITEM-2","issued":{"date-parts":[["2016"]]},"publisher":"eLife Sciences Publicatio</w:instrText>
      </w:r>
      <w:r>
        <w:rPr>
          <w:rFonts w:ascii="Arial" w:eastAsia="Times New Roman" w:hAnsi="Arial" w:cs="Arial"/>
          <w:color w:val="000000"/>
          <w:lang w:val="en-US" w:eastAsia="de-DE"/>
        </w:rPr>
        <w:instrText>ns Ltd","title":"A century of trends in adult human height","type":"article-journal","volume":"5"},"uris":["http://www.mendeley.com/documents/?uuid=f4845d89-8aa4-3bb5-85ae-efde1fec3d18"]}],"mendeley":{"formattedCitation":"&lt;sup&gt;221,222&lt;/sup&gt;","plainTextForm</w:instrText>
      </w:r>
      <w:r>
        <w:rPr>
          <w:rFonts w:ascii="Arial" w:eastAsia="Times New Roman" w:hAnsi="Arial" w:cs="Arial"/>
          <w:color w:val="000000"/>
          <w:lang w:val="en-US" w:eastAsia="de-DE"/>
        </w:rPr>
        <w:instrText>attedCitation":"221,222","previouslyFormattedCitation":"&lt;sup&gt;221,222&lt;/sup&gt;"},"properties":{"noteIndex":0},"schema":"https://github.com/citation-style-language/schema/raw/master/csl-citation.json"}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221,222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While nutrients largely affect human height duri</w:t>
      </w:r>
      <w:r>
        <w:rPr>
          <w:rFonts w:ascii="Arial" w:eastAsia="Times New Roman" w:hAnsi="Arial" w:cs="Arial"/>
          <w:color w:val="000000"/>
          <w:lang w:val="en-US" w:eastAsia="de-DE"/>
        </w:rPr>
        <w:t>ng childhood and adolescence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{"citationItems":[{"id":"ITEM-1","itemData":{"DOI":"10.1093/NUTRIT/NUV105","ISSN":"0029-6643","PMID":"26928678","abstract":"In this review, the potential causes and consequences of adult height, a measure of c</w:instrText>
      </w:r>
      <w:r>
        <w:rPr>
          <w:rFonts w:ascii="Arial" w:eastAsia="Times New Roman" w:hAnsi="Arial" w:cs="Arial"/>
          <w:color w:val="000000"/>
          <w:lang w:val="en-US" w:eastAsia="de-DE"/>
        </w:rPr>
        <w:instrText>umulative net nutrition, in modern populations are summarized. The mechanisms linking adult height and health are examined, with a focus on the role of potential confounders. Evidence across studies indicates that short adult height (reflecting growth reta</w:instrText>
      </w:r>
      <w:r>
        <w:rPr>
          <w:rFonts w:ascii="Arial" w:eastAsia="Times New Roman" w:hAnsi="Arial" w:cs="Arial"/>
          <w:color w:val="000000"/>
          <w:lang w:val="en-US" w:eastAsia="de-DE"/>
        </w:rPr>
        <w:instrText>rdation) in low- and middle-income countries is driven by environmental conditions, especially net nutrition during early years. Some of the associations of height with health and social outcomes potentially reflect the association between these environmen</w:instrText>
      </w:r>
      <w:r>
        <w:rPr>
          <w:rFonts w:ascii="Arial" w:eastAsia="Times New Roman" w:hAnsi="Arial" w:cs="Arial"/>
          <w:color w:val="000000"/>
          <w:lang w:val="en-US" w:eastAsia="de-DE"/>
        </w:rPr>
        <w:instrText>tal factors and such outcomes. These conditions are manifested in the substantial differences in adult height that exist between and within countries and over time. This review suggests that adult height is a useful marker of variation in cumulative net nu</w:instrText>
      </w:r>
      <w:r>
        <w:rPr>
          <w:rFonts w:ascii="Arial" w:eastAsia="Times New Roman" w:hAnsi="Arial" w:cs="Arial"/>
          <w:color w:val="000000"/>
          <w:lang w:val="en-US" w:eastAsia="de-DE"/>
        </w:rPr>
        <w:instrText>trition, biological deprivation, and standard of living between and within populations and should be routinely measured. Linkages between adult height and health, within and across generations, suggest that adult height may be a potential tool for monitori</w:instrText>
      </w:r>
      <w:r>
        <w:rPr>
          <w:rFonts w:ascii="Arial" w:eastAsia="Times New Roman" w:hAnsi="Arial" w:cs="Arial"/>
          <w:color w:val="000000"/>
          <w:lang w:val="en-US" w:eastAsia="de-DE"/>
        </w:rPr>
        <w:instrText>ng health conditions and that programs focused on offspring outcomes may consider maternal height as a potentially important influence.","author":[{"dropping-particle":"","family":"Perkins","given":"Jessica M.","non-dropping-particle":"","parse-names":fals</w:instrText>
      </w:r>
      <w:r>
        <w:rPr>
          <w:rFonts w:ascii="Arial" w:eastAsia="Times New Roman" w:hAnsi="Arial" w:cs="Arial"/>
          <w:color w:val="000000"/>
          <w:lang w:val="en-US" w:eastAsia="de-DE"/>
        </w:rPr>
        <w:instrText>e,"suffix":""},{"dropping-particle":"V.","family":"Subramanian","given":"S.","non-dropping-particle":"","parse-names":false,"suffix":""},{"dropping-particle":"","family":"Smith","given":"George Davey","non-dropping-particle":"","parse-names":false,"suffix"</w:instrText>
      </w:r>
      <w:r>
        <w:rPr>
          <w:rFonts w:ascii="Arial" w:eastAsia="Times New Roman" w:hAnsi="Arial" w:cs="Arial"/>
          <w:color w:val="000000"/>
          <w:lang w:val="en-US" w:eastAsia="de-DE"/>
        </w:rPr>
        <w:instrText>:""},{"dropping-particle":"","family":"Özaltin","given":"Emre","non-dropping-particle":"","parse-names":false,"suffix":""}],"container-title":"Nutrition Reviews","id":"ITEM-1","issue":"3","issued":{"date-parts":[["2016","3","1"]]},"page":"149-165","publish</w:instrText>
      </w:r>
      <w:r>
        <w:rPr>
          <w:rFonts w:ascii="Arial" w:eastAsia="Times New Roman" w:hAnsi="Arial" w:cs="Arial"/>
          <w:color w:val="000000"/>
          <w:lang w:val="en-US" w:eastAsia="de-DE"/>
        </w:rPr>
        <w:instrText>er":"Oxford Academic","title":"Adult height, nutrition, and population health","type":"article-journal","volume":"74"},"uris":["http://www.mendeley.com/documents/?uuid=8a25813f-bdc2-3238-b151-88d0cd9829bb"]}],"mendeley":{"formattedCitation":"&lt;sup&gt;223&lt;/sup&gt;</w:instrText>
      </w:r>
      <w:r>
        <w:rPr>
          <w:rFonts w:ascii="Arial" w:eastAsia="Times New Roman" w:hAnsi="Arial" w:cs="Arial"/>
          <w:color w:val="000000"/>
          <w:lang w:val="en-US" w:eastAsia="de-DE"/>
        </w:rPr>
        <w:instrText>","plainTextFormattedCitation":"223","previouslyFormattedCitation":"&lt;sup&gt;223&lt;/sup&gt;"},"properties":{"noteIndex":0},"schema":"https://github.com/citation-style-language/schema/raw/master/csl-citation.json"}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223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they can affect human weight at all life sta</w:t>
      </w:r>
      <w:r>
        <w:rPr>
          <w:rFonts w:ascii="Arial" w:eastAsia="Times New Roman" w:hAnsi="Arial" w:cs="Arial"/>
          <w:color w:val="000000"/>
          <w:lang w:val="en-US" w:eastAsia="de-DE"/>
        </w:rPr>
        <w:t>ges. For example, when the consumption of a high-caloric, energy-dense diet is combined with reduced energy expenditure, an increase in the size and number of adipocytes is observed, leading to an increase in fat tissue size and body weight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w:instrText>
      </w:r>
      <w:r>
        <w:rPr>
          <w:rFonts w:ascii="Arial" w:eastAsia="Times New Roman" w:hAnsi="Arial" w:cs="Arial"/>
          <w:color w:val="000000"/>
          <w:lang w:val="en-US" w:eastAsia="de-DE"/>
        </w:rPr>
        <w:instrText>ON {"citationItems":[{"id":"ITEM-1","itemData":{"DOI":"10.1007/S00261-012-9862-X/TABLES/1","ISSN":"09428925","PMID":"22426851","abstract":"The prevalence of obesity has been rising steadily over the last several decades and is currently at unprecedented le</w:instrText>
      </w:r>
      <w:r>
        <w:rPr>
          <w:rFonts w:ascii="Arial" w:eastAsia="Times New Roman" w:hAnsi="Arial" w:cs="Arial"/>
          <w:color w:val="000000"/>
          <w:lang w:val="en-US" w:eastAsia="de-DE"/>
        </w:rPr>
        <w:instrText>vels: more than 68% of US adults are considered overweight, and 35% are obese (Flegal et al., JAMA 303:235-241, 2010). This increase has occurred across every age, sex, race, and smoking status, and data indicate that segments of individuals in the highest</w:instrText>
      </w:r>
      <w:r>
        <w:rPr>
          <w:rFonts w:ascii="Arial" w:eastAsia="Times New Roman" w:hAnsi="Arial" w:cs="Arial"/>
          <w:color w:val="000000"/>
          <w:lang w:val="en-US" w:eastAsia="de-DE"/>
        </w:rPr>
        <w:instrText xml:space="preserve"> weight categories (i.e., BMI &lt; 40 kg/m2) have increased proportionately more than those in lower BMI categories (BMI 7gt; 35 kg/m2). The dramatic rise in obesity has also occurred in many other countries, and the causes of this increase are not fully unde</w:instrText>
      </w:r>
      <w:r>
        <w:rPr>
          <w:rFonts w:ascii="Arial" w:eastAsia="Times New Roman" w:hAnsi="Arial" w:cs="Arial"/>
          <w:color w:val="000000"/>
          <w:lang w:val="en-US" w:eastAsia="de-DE"/>
        </w:rPr>
        <w:instrText>rstood (Hill and Melanson, Med Sci Sports Exerc 31:S515-S521, 1999). © Springer Science+Business Media, LLC 2012.","author":[{"dropping-particle":"","family":"Wright","given":"Suzanne M.","non-dropping-particle":"","parse-names":false,"suffix":""},{"droppi</w:instrText>
      </w:r>
      <w:r>
        <w:rPr>
          <w:rFonts w:ascii="Arial" w:eastAsia="Times New Roman" w:hAnsi="Arial" w:cs="Arial"/>
          <w:color w:val="000000"/>
          <w:lang w:val="en-US" w:eastAsia="de-DE"/>
        </w:rPr>
        <w:instrText>ng-particle":"","family":"Aronne","given":"Louis J.","non-dropping-particle":"","parse-names":false,"suffix":""}],"container-title":"Abdominal Imaging","id":"ITEM-1","issue":"5","issued":{"date-parts":[["2012","10","18"]]},"page":"730-732","publisher":"Spr</w:instrText>
      </w:r>
      <w:r>
        <w:rPr>
          <w:rFonts w:ascii="Arial" w:eastAsia="Times New Roman" w:hAnsi="Arial" w:cs="Arial"/>
          <w:color w:val="000000"/>
          <w:lang w:val="en-US" w:eastAsia="de-DE"/>
        </w:rPr>
        <w:instrText>inger","title":"Causes of obesity","type":"article-journal","volume":"37"},"uris":["http://www.mendeley.com/documents/?uuid=85501aea-ebf3-34c1-9d87-7c80ae2b6e13"]},{"id":"ITEM-2","itemData":{"DOI":"10.1038/s41598-018-22962-x","ISSN":"2045-2322","PMID":"295</w:instrText>
      </w:r>
      <w:r>
        <w:rPr>
          <w:rFonts w:ascii="Arial" w:eastAsia="Times New Roman" w:hAnsi="Arial" w:cs="Arial"/>
          <w:color w:val="000000"/>
          <w:lang w:val="en-US" w:eastAsia="de-DE"/>
        </w:rPr>
        <w:instrText>49282","abstract":"Obesity is associated with a disturbed adipose tissue (AT) function characterized by adipocyte hypertrophy, an impaired lipolysis and pro-inflammatory phenotype, which contributes to insulin resistance (IR). We investigated whether AT ph</w:instrText>
      </w:r>
      <w:r>
        <w:rPr>
          <w:rFonts w:ascii="Arial" w:eastAsia="Times New Roman" w:hAnsi="Arial" w:cs="Arial"/>
          <w:color w:val="000000"/>
          <w:lang w:val="en-US" w:eastAsia="de-DE"/>
        </w:rPr>
        <w:instrText>enotype in different AT depots of obese individuals with and without type 2 diabetes mellitus (T2DM) is associated with whole-body IR. Subcutaneous (SC) and visceral (V) AT biopsies from 18 lean, 17 obese and 8 obese T2DM men were collected. AT phenotype w</w:instrText>
      </w:r>
      <w:r>
        <w:rPr>
          <w:rFonts w:ascii="Arial" w:eastAsia="Times New Roman" w:hAnsi="Arial" w:cs="Arial"/>
          <w:color w:val="000000"/>
          <w:lang w:val="en-US" w:eastAsia="de-DE"/>
        </w:rPr>
        <w:instrText>as characterized by ex vivo measurement of basal and stimulated lipolysis (mature adipocytes), adipocyte size distribution (AT tissue sections) and AT immune cells (flow cytometry). In VAT, mean adipocyte size, CD45+ leukocytes and M1 macrophages were sign</w:instrText>
      </w:r>
      <w:r>
        <w:rPr>
          <w:rFonts w:ascii="Arial" w:eastAsia="Times New Roman" w:hAnsi="Arial" w:cs="Arial"/>
          <w:color w:val="000000"/>
          <w:lang w:val="en-US" w:eastAsia="de-DE"/>
        </w:rPr>
        <w:instrText>ificantly increased in both obese groups compared to lean individuals. In SCAT, despite adipocyte hypertrophy, no significant differences in immune cell populations between groups were found. In SCAT, multiple linear regression analysis showed that none of</w:instrText>
      </w:r>
      <w:r>
        <w:rPr>
          <w:rFonts w:ascii="Arial" w:eastAsia="Times New Roman" w:hAnsi="Arial" w:cs="Arial"/>
          <w:color w:val="000000"/>
          <w:lang w:val="en-US" w:eastAsia="de-DE"/>
        </w:rPr>
        <w:instrText xml:space="preserve"> the AT phenotype markers independently contributed to HOMA-IR while in VAT, mean adipocyte size&amp;nbsp;was significantly related to HOMA-IR. In conclusion, beside adipocyte hypertrophy in VAT, M1 macrophage- or B-cell-mediated inflammation, may contribute t</w:instrText>
      </w:r>
      <w:r>
        <w:rPr>
          <w:rFonts w:ascii="Arial" w:eastAsia="Times New Roman" w:hAnsi="Arial" w:cs="Arial"/>
          <w:color w:val="000000"/>
          <w:lang w:val="en-US" w:eastAsia="de-DE"/>
        </w:rPr>
        <w:instrText>o IR, while inflammation in hypertrophic SCAT does not seem to play a major role in IR.","author":[{"dropping-particle":"","family":"Verboven","given":"K.","non-dropping-particle":"","parse-names":false,"suffix":""},{"dropping-particle":"","family":"Wouter</w:instrText>
      </w:r>
      <w:r>
        <w:rPr>
          <w:rFonts w:ascii="Arial" w:eastAsia="Times New Roman" w:hAnsi="Arial" w:cs="Arial"/>
          <w:color w:val="000000"/>
          <w:lang w:val="en-US" w:eastAsia="de-DE"/>
        </w:rPr>
        <w:instrText>s","given":"K.","non-dropping-particle":"","parse-names":false,"suffix":""},{"dropping-particle":"","family":"Gaens","given":"K.","non-dropping-particle":"","parse-names":false,"suffix":""},{"dropping-particle":"","family":"Hansen","given":"D.","non-droppi</w:instrText>
      </w:r>
      <w:r>
        <w:rPr>
          <w:rFonts w:ascii="Arial" w:eastAsia="Times New Roman" w:hAnsi="Arial" w:cs="Arial"/>
          <w:color w:val="000000"/>
          <w:lang w:val="en-US" w:eastAsia="de-DE"/>
        </w:rPr>
        <w:instrText>ng-particle":"","parse-names":false,"suffix":""},{"dropping-particle":"","family":"Bijnen","given":"M.","non-dropping-particle":"","parse-names":false,"suffix":""},{"dropping-particle":"","family":"Wetzels","given":"S.","non-dropping-particle":"","parse-na</w:instrText>
      </w:r>
      <w:r>
        <w:rPr>
          <w:rFonts w:ascii="Arial" w:eastAsia="Times New Roman" w:hAnsi="Arial" w:cs="Arial"/>
          <w:color w:val="000000"/>
          <w:lang w:val="en-US" w:eastAsia="de-DE"/>
        </w:rPr>
        <w:instrText>mes":false,"suffix":""},{"dropping-particle":"","family":"Stehouwer","given":"C. D.","non-dropping-particle":"","parse-names":false,"suffix":""},{"dropping-particle":"","family":"Goossens","given":"G. H.","non-dropping-particle":"","parse-names":false,"suf</w:instrText>
      </w:r>
      <w:r>
        <w:rPr>
          <w:rFonts w:ascii="Arial" w:eastAsia="Times New Roman" w:hAnsi="Arial" w:cs="Arial"/>
          <w:color w:val="000000"/>
          <w:lang w:val="en-US" w:eastAsia="de-DE"/>
        </w:rPr>
        <w:instrText>fix":""},{"dropping-particle":"","family":"Schalkwijk","given":"C. G.","non-dropping-particle":"","parse-names":false,"suffix":""},{"dropping-particle":"","family":"Blaak","given":"E. E.","non-dropping-particle":"","parse-names":false,"suffix":""},{"droppi</w:instrText>
      </w:r>
      <w:r>
        <w:rPr>
          <w:rFonts w:ascii="Arial" w:eastAsia="Times New Roman" w:hAnsi="Arial" w:cs="Arial"/>
          <w:color w:val="000000"/>
          <w:lang w:val="en-US" w:eastAsia="de-DE"/>
        </w:rPr>
        <w:instrText>ng-particle":"","family":"Jocken","given":"J. W.","non-dropping-particle":"","parse-names":false,"suffix":""}],"container-title":"Scientific Reports 2018 8:1","id":"ITEM-2","issue":"1","issued":{"date-parts":[["2018","3","16"]]},"page":"1-8","publisher":"N</w:instrText>
      </w:r>
      <w:r>
        <w:rPr>
          <w:rFonts w:ascii="Arial" w:eastAsia="Times New Roman" w:hAnsi="Arial" w:cs="Arial"/>
          <w:color w:val="000000"/>
          <w:lang w:val="en-US" w:eastAsia="de-DE"/>
        </w:rPr>
        <w:instrText>ature Publishing Group","title":"Abdominal subcutaneous and visceral adipocyte size, lipolysis and inflammation relate to insulin resistance in male obese humans","type":"article-journal","volume":"8"},"uris":["http://www.mendeley.com/documents/?uuid=3ef04</w:instrText>
      </w:r>
      <w:r>
        <w:rPr>
          <w:rFonts w:ascii="Arial" w:eastAsia="Times New Roman" w:hAnsi="Arial" w:cs="Arial"/>
          <w:color w:val="000000"/>
          <w:lang w:val="en-US" w:eastAsia="de-DE"/>
        </w:rPr>
        <w:instrText>350-c137-325f-99a5-b5d384b26191"]},{"id":"ITEM-3","itemData":{"DOI":"10.1152/AJPREGU.00257.2017/ASSET/IMAGES/LARGE/ZH60061894830002.JPEG","ISSN":"15221490","PMID":"29641234","abstract":"Adipose tissue is necessary to harbor energy. To handle excess energy,</w:instrText>
      </w:r>
      <w:r>
        <w:rPr>
          <w:rFonts w:ascii="Arial" w:eastAsia="Times New Roman" w:hAnsi="Arial" w:cs="Arial"/>
          <w:color w:val="000000"/>
          <w:lang w:val="en-US" w:eastAsia="de-DE"/>
        </w:rPr>
        <w:instrText xml:space="preserve"> adipose tissue expands by increasing adipocyte size (hypertrophy) and number (hyperplasia). Here, we have summarized the different experimental techniques used to study adipocyte cell size and describe adipocyte size in relation to insulin resistance, typ</w:instrText>
      </w:r>
      <w:r>
        <w:rPr>
          <w:rFonts w:ascii="Arial" w:eastAsia="Times New Roman" w:hAnsi="Arial" w:cs="Arial"/>
          <w:color w:val="000000"/>
          <w:lang w:val="en-US" w:eastAsia="de-DE"/>
        </w:rPr>
        <w:instrText>e 2 diabetes, and diet interventions. Hypertrophic adipocytes have an impaired cellular function, and inherent mechanisms restrict their expansion to protect against cell breakage and subsequent inflammation. Reduction of large fat cells by diet restrictio</w:instrText>
      </w:r>
      <w:r>
        <w:rPr>
          <w:rFonts w:ascii="Arial" w:eastAsia="Times New Roman" w:hAnsi="Arial" w:cs="Arial"/>
          <w:color w:val="000000"/>
          <w:lang w:val="en-US" w:eastAsia="de-DE"/>
        </w:rPr>
        <w:instrText xml:space="preserve">n, physical activity, or bariatric surgery therefore is necessary to improve cellular function and health. Small fat cells may also be dysfunctional and unable to expand. The distribution and function of the entire cell size range of fat cells, from small </w:instrText>
      </w:r>
      <w:r>
        <w:rPr>
          <w:rFonts w:ascii="Arial" w:eastAsia="Times New Roman" w:hAnsi="Arial" w:cs="Arial"/>
          <w:color w:val="000000"/>
          <w:lang w:val="en-US" w:eastAsia="de-DE"/>
        </w:rPr>
        <w:instrText>to very large fat cells, are an important but understudied aspect of adipose tissue biology. To prevent dysmetabolism, therapeutic strategies to expand small fat cells, recruit new fat cells, and reduce large fat cells are needed.","author":[{"dropping-par</w:instrText>
      </w:r>
      <w:r>
        <w:rPr>
          <w:rFonts w:ascii="Arial" w:eastAsia="Times New Roman" w:hAnsi="Arial" w:cs="Arial"/>
          <w:color w:val="000000"/>
          <w:lang w:val="en-US" w:eastAsia="de-DE"/>
        </w:rPr>
        <w:instrText>ticle":"","family":"Stenkula","given":"Karin G.","non-dropping-particle":"","parse-names":false,"suffix":""},{"dropping-particle":"","family":"Erlanson-Albertsson","given":"Charlotte","non-dropping-particle":"","parse-names":false,"suffix":""}],"container-</w:instrText>
      </w:r>
      <w:r>
        <w:rPr>
          <w:rFonts w:ascii="Arial" w:eastAsia="Times New Roman" w:hAnsi="Arial" w:cs="Arial"/>
          <w:color w:val="000000"/>
          <w:lang w:val="en-US" w:eastAsia="de-DE"/>
        </w:rPr>
        <w:instrText>title":"American Journal of Physiology - Regulatory Integrative and Comparative Physiology","id":"ITEM-3","issue":"2","issued":{"date-parts":[["2018","8","20"]]},"page":"R284-R295","publisher":"American Physiological Society","title":"Adipose cell size: Im</w:instrText>
      </w:r>
      <w:r>
        <w:rPr>
          <w:rFonts w:ascii="Arial" w:eastAsia="Times New Roman" w:hAnsi="Arial" w:cs="Arial"/>
          <w:color w:val="000000"/>
          <w:lang w:val="en-US" w:eastAsia="de-DE"/>
        </w:rPr>
        <w:instrText>portance in health and disease","type":"article-journal","volume":"315"},"uris":["http://www.mendeley.com/documents/?uuid=591b843b-5794-3e69-b1de-3d76343db1e1"]}],"mendeley":{"formattedCitation":"&lt;sup&gt;224–226&lt;/sup&gt;","plainTextFormattedCitation":"224–226","</w:instrText>
      </w:r>
      <w:r>
        <w:rPr>
          <w:rFonts w:ascii="Arial" w:eastAsia="Times New Roman" w:hAnsi="Arial" w:cs="Arial"/>
          <w:color w:val="000000"/>
          <w:lang w:val="en-US" w:eastAsia="de-DE"/>
        </w:rPr>
        <w:instrText>previouslyFormattedCitation":"&lt;sup&gt;224–226&lt;/sup&gt;"},"properties":{"noteIndex":0},"schema":"https://github.com/citation-style-language/schema/raw/master/csl-citation.json"}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224–226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t>
      </w:r>
    </w:p>
    <w:p w14:paraId="28322766"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Why do cells adapt their size to the nutritional status of the environment? Research into fossil records of </w:t>
      </w:r>
      <w:proofErr w:type="spellStart"/>
      <w:r>
        <w:rPr>
          <w:rFonts w:ascii="Arial" w:eastAsia="Times New Roman" w:hAnsi="Arial" w:cs="Arial"/>
          <w:color w:val="000000"/>
          <w:lang w:val="en-US" w:eastAsia="de-DE"/>
        </w:rPr>
        <w:t>fusulinoidean</w:t>
      </w:r>
      <w:proofErr w:type="spellEnd"/>
      <w:r>
        <w:rPr>
          <w:rFonts w:ascii="Arial" w:eastAsia="Times New Roman" w:hAnsi="Arial" w:cs="Arial"/>
          <w:color w:val="000000"/>
          <w:lang w:val="en-US" w:eastAsia="de-DE"/>
        </w:rPr>
        <w:t xml:space="preserve"> foraminifers has shown that a </w:t>
      </w:r>
      <w:proofErr w:type="spellStart"/>
      <w:r>
        <w:rPr>
          <w:rFonts w:ascii="Arial" w:eastAsia="Times New Roman" w:hAnsi="Arial" w:cs="Arial"/>
          <w:color w:val="000000"/>
          <w:lang w:val="en-US" w:eastAsia="de-DE"/>
        </w:rPr>
        <w:t>hyperoxic</w:t>
      </w:r>
      <w:proofErr w:type="spellEnd"/>
      <w:r>
        <w:rPr>
          <w:rFonts w:ascii="Arial" w:eastAsia="Times New Roman" w:hAnsi="Arial" w:cs="Arial"/>
          <w:color w:val="000000"/>
          <w:lang w:val="en-US" w:eastAsia="de-DE"/>
        </w:rPr>
        <w:t xml:space="preserve"> environment may have enabled gigantism in the single-celled protists around 300 million years </w:t>
      </w:r>
      <w:r>
        <w:rPr>
          <w:rFonts w:ascii="Arial" w:eastAsia="Times New Roman" w:hAnsi="Arial" w:cs="Arial"/>
          <w:color w:val="000000"/>
          <w:lang w:val="en-US" w:eastAsia="de-DE"/>
        </w:rPr>
        <w:t>ago</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{"citationItems":[{"id":"ITEM-1","itemData":{"DOI":"10.1111/J.1558-5646.2012.01626.X","ISSN":"0014-3820","PMID":"22946813","abstract":"Atmospheric hyperoxia, with pO2 in excess of 30%, has long been hypothesized to account for late Pa</w:instrText>
      </w:r>
      <w:r>
        <w:rPr>
          <w:rFonts w:ascii="Arial" w:eastAsia="Times New Roman" w:hAnsi="Arial" w:cs="Arial"/>
          <w:color w:val="000000"/>
          <w:lang w:val="en-US" w:eastAsia="de-DE"/>
        </w:rPr>
        <w:instrText xml:space="preserve">leozoic (360-250 million years ago) gigantism in numerous higher taxa. However, this hypothesis has not been evaluated statistically because comprehensive size data have not been compiled previously at sufficient temporal resolution to permit quantitative </w:instrText>
      </w:r>
      <w:r>
        <w:rPr>
          <w:rFonts w:ascii="Arial" w:eastAsia="Times New Roman" w:hAnsi="Arial" w:cs="Arial"/>
          <w:color w:val="000000"/>
          <w:lang w:val="en-US" w:eastAsia="de-DE"/>
        </w:rPr>
        <w:instrText>analysis. In this study, we test the hyperoxia-gigantism hypothesis by examining the fossil record of fusulinoidean foraminifers, a dramatic example of protistan gigantism with some individuals exceeding 10 cm in length and exceeding their relatives by six</w:instrText>
      </w:r>
      <w:r>
        <w:rPr>
          <w:rFonts w:ascii="Arial" w:eastAsia="Times New Roman" w:hAnsi="Arial" w:cs="Arial"/>
          <w:color w:val="000000"/>
          <w:lang w:val="en-US" w:eastAsia="de-DE"/>
        </w:rPr>
        <w:instrText xml:space="preserve"> orders of magnitude in biovolume. We assembled and examined comprehensive regional and global, species-level datasets containing 270 and 1823 species, respectively. A statistical model of size evolution forced by atmospheric pO2 is conclusively favored ov</w:instrText>
      </w:r>
      <w:r>
        <w:rPr>
          <w:rFonts w:ascii="Arial" w:eastAsia="Times New Roman" w:hAnsi="Arial" w:cs="Arial"/>
          <w:color w:val="000000"/>
          <w:lang w:val="en-US" w:eastAsia="de-DE"/>
        </w:rPr>
        <w:instrText xml:space="preserve">er alternative models based on random walks or a constant tendency toward size increase. Moreover, the ratios of volume to surface area in the largest fusulinoideans are consistent in magnitude and trend with a mathematical model based on oxygen transport </w:instrText>
      </w:r>
      <w:r>
        <w:rPr>
          <w:rFonts w:ascii="Arial" w:eastAsia="Times New Roman" w:hAnsi="Arial" w:cs="Arial"/>
          <w:color w:val="000000"/>
          <w:lang w:val="en-US" w:eastAsia="de-DE"/>
        </w:rPr>
        <w:instrText>limitation. We further validate the hyperoxia-gigantism model through an examination of modern foraminiferal species living along a measured gradient in oxygen concentration. These findings provide the first quantitative confirmation of a direct connection</w:instrText>
      </w:r>
      <w:r>
        <w:rPr>
          <w:rFonts w:ascii="Arial" w:eastAsia="Times New Roman" w:hAnsi="Arial" w:cs="Arial"/>
          <w:color w:val="000000"/>
          <w:lang w:val="en-US" w:eastAsia="de-DE"/>
        </w:rPr>
        <w:instrText xml:space="preserve"> between Paleozoic gigantism and atmospheric hyperoxia. © 2012 The Author(s). Evolution© 2012 The Society for the Study of Evolution.","author":[{"dropping-particle":"","family":"Payne","given":"Jonathan L.","non-dropping-particle":"","parse-names":false,"</w:instrText>
      </w:r>
      <w:r>
        <w:rPr>
          <w:rFonts w:ascii="Arial" w:eastAsia="Times New Roman" w:hAnsi="Arial" w:cs="Arial"/>
          <w:color w:val="000000"/>
          <w:lang w:val="en-US" w:eastAsia="de-DE"/>
        </w:rPr>
        <w:instrText>suffix":""},{"dropping-particle":"","family":"Groves","given":"John R.","non-dropping-particle":"","parse-names":false,"suffix":""},{"dropping-particle":"","family":"Jost","given":"Adam B.","non-dropping-particle":"","parse-names":false,"suffix":""},{"drop</w:instrText>
      </w:r>
      <w:r>
        <w:rPr>
          <w:rFonts w:ascii="Arial" w:eastAsia="Times New Roman" w:hAnsi="Arial" w:cs="Arial"/>
          <w:color w:val="000000"/>
          <w:lang w:val="en-US" w:eastAsia="de-DE"/>
        </w:rPr>
        <w:instrText>ping-particle":"","family":"Nguyen","given":"Thienan","non-dropping-particle":"","parse-names":false,"suffix":""},{"dropping-particle":"","family":"Moffitt","given":"Sarah E.","non-dropping-particle":"","parse-names":false,"suffix":""},{"dropping-particle"</w:instrText>
      </w:r>
      <w:r>
        <w:rPr>
          <w:rFonts w:ascii="Arial" w:eastAsia="Times New Roman" w:hAnsi="Arial" w:cs="Arial"/>
          <w:color w:val="000000"/>
          <w:lang w:val="en-US" w:eastAsia="de-DE"/>
        </w:rPr>
        <w:instrText>:"","family":"Hill","given":"Tessa M.","non-dropping-particle":"","parse-names":false,"suffix":""},{"dropping-particle":"","family":"Skotheim","given":"Jan M.","non-dropping-particle":"","parse-names":false,"suffix":""}],"container-title":"Evolution","id":</w:instrText>
      </w:r>
      <w:r>
        <w:rPr>
          <w:rFonts w:ascii="Arial" w:eastAsia="Times New Roman" w:hAnsi="Arial" w:cs="Arial"/>
          <w:color w:val="000000"/>
          <w:lang w:val="en-US" w:eastAsia="de-DE"/>
        </w:rPr>
        <w:instrText>"ITEM-1","issue":"9","issued":{"date-parts":[["2012","9","1"]]},"page":"2929-2939","publisher":"Oxford Academic","title":"LATE PALEOZOIC FUSULINOIDEAN GIGANTISM DRIVEN BY ATMOSPHERIC HYPEROXIA","type":"article-journal","volume":"66"},"uris":["http://www.me</w:instrText>
      </w:r>
      <w:r>
        <w:rPr>
          <w:rFonts w:ascii="Arial" w:eastAsia="Times New Roman" w:hAnsi="Arial" w:cs="Arial"/>
          <w:color w:val="000000"/>
          <w:lang w:val="en-US" w:eastAsia="de-DE"/>
        </w:rPr>
        <w:instrText>ndeley.com/documents/?uuid=bbbfbfb8-13f6-3b4c-97dd-f5050815f81c"]}],"mendeley":{"formattedCitation":"&lt;sup&gt;227&lt;/sup&gt;","plainTextFormattedCitation":"227","previouslyFormattedCitation":"&lt;sup&gt;227&lt;/sup&gt;"},"properties":{"noteIndex":0},"schema":"https://github.co</w:instrText>
      </w:r>
      <w:r>
        <w:rPr>
          <w:rFonts w:ascii="Arial" w:eastAsia="Times New Roman" w:hAnsi="Arial" w:cs="Arial"/>
          <w:color w:val="000000"/>
          <w:lang w:val="en-US" w:eastAsia="de-DE"/>
        </w:rPr>
        <w:instrText>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227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Atmospheric CO</w:t>
      </w:r>
      <w:r>
        <w:rPr>
          <w:rFonts w:ascii="Arial" w:eastAsia="Times New Roman" w:hAnsi="Arial" w:cs="Arial"/>
          <w:color w:val="000000"/>
          <w:vertAlign w:val="subscript"/>
          <w:lang w:val="en-US" w:eastAsia="de-DE"/>
        </w:rPr>
        <w:t>2</w:t>
      </w:r>
      <w:r>
        <w:rPr>
          <w:rFonts w:ascii="Arial" w:eastAsia="Times New Roman" w:hAnsi="Arial" w:cs="Arial"/>
          <w:color w:val="000000"/>
          <w:lang w:val="en-US" w:eastAsia="de-DE"/>
        </w:rPr>
        <w:t xml:space="preserve"> levels were shown to be strongly correlated with stomatal guard cell size over geological time scales, as observed in plant fossil records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w:instrText>
      </w:r>
      <w:r>
        <w:rPr>
          <w:rFonts w:ascii="Arial" w:eastAsia="Times New Roman" w:hAnsi="Arial" w:cs="Arial"/>
          <w:color w:val="000000"/>
          <w:lang w:val="en-US" w:eastAsia="de-DE"/>
        </w:rPr>
        <w:instrText>ems":[{"id":"ITEM-1","itemData":{"DOI":"10.1073/PNAS.0904209106/SUPPL_FILE/ST1_PDF.PDF","ISSN":"00278424","PMID":"19506250","abstract":"Stomatal pores are microscopic structures on the epidermis of leaves formed by 2 specialized guard cells that control th</w:instrText>
      </w:r>
      <w:r>
        <w:rPr>
          <w:rFonts w:ascii="Arial" w:eastAsia="Times New Roman" w:hAnsi="Arial" w:cs="Arial"/>
          <w:color w:val="000000"/>
          <w:lang w:val="en-US" w:eastAsia="de-DE"/>
        </w:rPr>
        <w:instrText>e exchange of water vapor and CO2 between plants and the atmosphere. Stomatal size (S) and density (D) determine maximum leaf diffusive (stomatal) conductance of CO2 (gcmax) to sites of assimilation. Although large variations in D observed in the fossil re</w:instrText>
      </w:r>
      <w:r>
        <w:rPr>
          <w:rFonts w:ascii="Arial" w:eastAsia="Times New Roman" w:hAnsi="Arial" w:cs="Arial"/>
          <w:color w:val="000000"/>
          <w:lang w:val="en-US" w:eastAsia="de-DE"/>
        </w:rPr>
        <w:instrText>cord have been correlated with atmospheric CO 2, the crucial significance of similarly large variations in S has been overlooked. Here, we use physical diffusion theory to explain why large changes in S necessarily accompanied the changes in D and atmosphe</w:instrText>
      </w:r>
      <w:r>
        <w:rPr>
          <w:rFonts w:ascii="Arial" w:eastAsia="Times New Roman" w:hAnsi="Arial" w:cs="Arial"/>
          <w:color w:val="000000"/>
          <w:lang w:val="en-US" w:eastAsia="de-DE"/>
        </w:rPr>
        <w:instrText xml:space="preserve">ric CO 2 over the last 400 million years. In particular, we show that high densities of small stomata are the only way to attain the highest g cmax values required to counter CO2\"starvation\" at low atmospheric CO2 concentrations. This explains cycles of </w:instrText>
      </w:r>
      <w:r>
        <w:rPr>
          <w:rFonts w:ascii="Arial" w:eastAsia="Times New Roman" w:hAnsi="Arial" w:cs="Arial"/>
          <w:color w:val="000000"/>
          <w:lang w:val="en-US" w:eastAsia="de-DE"/>
        </w:rPr>
        <w:instrText>increasing D and decreasing S evident in the fossil history of stomata under the CO2 impoverished atmospheres of the Permo-Carboniferous and Cenozoic glaciations. The pattern was reversed under rising atmospheric CO2 regimes. Selection for small S was cruc</w:instrText>
      </w:r>
      <w:r>
        <w:rPr>
          <w:rFonts w:ascii="Arial" w:eastAsia="Times New Roman" w:hAnsi="Arial" w:cs="Arial"/>
          <w:color w:val="000000"/>
          <w:lang w:val="en-US" w:eastAsia="de-DE"/>
        </w:rPr>
        <w:instrText>ial for attaining high gcmax under falling atmospheric CO2 and, therefore, may represent a mechanism linking CO2 and the increasing gas-exchange capacity of land plants over geologic time.","author":[{"dropping-particle":"","family":"Franks","given":"Peter</w:instrText>
      </w:r>
      <w:r>
        <w:rPr>
          <w:rFonts w:ascii="Arial" w:eastAsia="Times New Roman" w:hAnsi="Arial" w:cs="Arial"/>
          <w:color w:val="000000"/>
          <w:lang w:val="en-US" w:eastAsia="de-DE"/>
        </w:rPr>
        <w:instrText xml:space="preserve"> J.","non-dropping-particle":"","parse-names":false,"suffix":""},{"dropping-particle":"","family":"Beerling","given":"David J.","non-dropping-particle":"","parse-names":false,"suffix":""}],"container-title":"Proceedings of the National Academy of Sciences </w:instrText>
      </w:r>
      <w:r>
        <w:rPr>
          <w:rFonts w:ascii="Arial" w:eastAsia="Times New Roman" w:hAnsi="Arial" w:cs="Arial"/>
          <w:color w:val="000000"/>
          <w:lang w:val="en-US" w:eastAsia="de-DE"/>
        </w:rPr>
        <w:instrText>of the United States of America","id":"ITEM-1","issue":"25","issued":{"date-parts":[["2009","6","23"]]},"page":"10343-10347","publisher":"\nNational Academy of Sciences","title":"Maximum leaf conductance driven by CO2 effects on stomatal size and density o</w:instrText>
      </w:r>
      <w:r>
        <w:rPr>
          <w:rFonts w:ascii="Arial" w:eastAsia="Times New Roman" w:hAnsi="Arial" w:cs="Arial"/>
          <w:color w:val="000000"/>
          <w:lang w:val="en-US" w:eastAsia="de-DE"/>
        </w:rPr>
        <w:instrText>ver geologic time","type":"article-journal","volume":"106"},"uris":["http://www.mendeley.com/documents/?uuid=68f485d3-98cd-3545-9191-7e0bc5ce987e"]}],"mendeley":{"formattedCitation":"&lt;sup&gt;228&lt;/sup&gt;","plainTextFormattedCitation":"228","previouslyFormattedCi</w:instrText>
      </w:r>
      <w:r>
        <w:rPr>
          <w:rFonts w:ascii="Arial" w:eastAsia="Times New Roman" w:hAnsi="Arial" w:cs="Arial"/>
          <w:color w:val="000000"/>
          <w:lang w:val="en-US" w:eastAsia="de-DE"/>
        </w:rPr>
        <w:instrText>tation":"&lt;sup&gt;228&lt;/sup&gt;"},"properties":{"noteIndex":0},"schema":"https://github.com/citation-style-language/schema/raw/master/csl-citation.json"}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228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 long-term evolution experiment in </w:t>
      </w:r>
      <w:r>
        <w:rPr>
          <w:rFonts w:ascii="Arial" w:eastAsia="Times New Roman" w:hAnsi="Arial" w:cs="Arial"/>
          <w:i/>
          <w:iCs/>
          <w:color w:val="000000"/>
          <w:lang w:val="en-US" w:eastAsia="de-DE"/>
        </w:rPr>
        <w:t>E.coli</w:t>
      </w:r>
      <w:r>
        <w:rPr>
          <w:rFonts w:ascii="Arial" w:eastAsia="Times New Roman" w:hAnsi="Arial" w:cs="Arial"/>
          <w:color w:val="000000"/>
          <w:lang w:val="en-US" w:eastAsia="de-DE"/>
        </w:rPr>
        <w:t>, spanning 50,000 generations and 32 years, has revealed that</w:t>
      </w:r>
      <w:r>
        <w:rPr>
          <w:rFonts w:ascii="Arial" w:eastAsia="Times New Roman" w:hAnsi="Arial" w:cs="Arial"/>
          <w:color w:val="000000"/>
          <w:lang w:val="en-US" w:eastAsia="de-DE"/>
        </w:rPr>
        <w:t xml:space="preserve"> the cells continued to evolve larger sizes in rich media, and cell size and fitness remained correlated throughout the 50,000 generations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{"citationItems":[{"id":"ITEM-1","itemData":{"DOI":"10.1128/JB.00469-20/SUPPL_FILE/JB.00469-20-S000</w:instrText>
      </w:r>
      <w:r>
        <w:rPr>
          <w:rFonts w:ascii="Arial" w:eastAsia="Times New Roman" w:hAnsi="Arial" w:cs="Arial"/>
          <w:color w:val="000000"/>
          <w:lang w:val="en-US" w:eastAsia="de-DE"/>
        </w:rPr>
        <w:instrText>1.PDF","ISSN":"10985530","PMID":"33649147","abstract":"Bacteria adopt a wide variety of sizes and shapes, with many species exhibiting stereotypical morphologies. How morphology changes, and over what timescales, is less clear. Previous work examining cell</w:instrText>
      </w:r>
      <w:r>
        <w:rPr>
          <w:rFonts w:ascii="Arial" w:eastAsia="Times New Roman" w:hAnsi="Arial" w:cs="Arial"/>
          <w:color w:val="000000"/>
          <w:lang w:val="en-US" w:eastAsia="de-DE"/>
        </w:rPr>
        <w:instrText xml:space="preserve"> morphology in an experiment with Escherichia coli showed that populations evolved larger cells and, in some cases, cells that were less rod-like. That experiment has now run for over two more decades. Meanwhile, genome sequence data are available for thes</w:instrText>
      </w:r>
      <w:r>
        <w:rPr>
          <w:rFonts w:ascii="Arial" w:eastAsia="Times New Roman" w:hAnsi="Arial" w:cs="Arial"/>
          <w:color w:val="000000"/>
          <w:lang w:val="en-US" w:eastAsia="de-DE"/>
        </w:rPr>
        <w:instrText>e populations, and new computational methods enable high-throughput microscopic analyses. In this study, we measured stationary-phase cell volumes for the ancestor and 12 populations at 2,000, 10,000, and 50,000 generations, including measurements during e</w:instrText>
      </w:r>
      <w:r>
        <w:rPr>
          <w:rFonts w:ascii="Arial" w:eastAsia="Times New Roman" w:hAnsi="Arial" w:cs="Arial"/>
          <w:color w:val="000000"/>
          <w:lang w:val="en-US" w:eastAsia="de-DE"/>
        </w:rPr>
        <w:instrText>xponential growth at the last time point. We measured the distribution of cell volumes for each sample using a Coulter counter and microscopy, the latter of which also provided data on cell shape. Our data confirm the trend toward larger cells while also r</w:instrText>
      </w:r>
      <w:r>
        <w:rPr>
          <w:rFonts w:ascii="Arial" w:eastAsia="Times New Roman" w:hAnsi="Arial" w:cs="Arial"/>
          <w:color w:val="000000"/>
          <w:lang w:val="en-US" w:eastAsia="de-DE"/>
        </w:rPr>
        <w:instrText>evealing substantial variation in size and shape across replicate populations. Most populations first evolved wider cells but later reverted to the ancestral lengthto- width ratio. All but one population evolved mutations in rod shape maintenance genes. We</w:instrText>
      </w:r>
      <w:r>
        <w:rPr>
          <w:rFonts w:ascii="Arial" w:eastAsia="Times New Roman" w:hAnsi="Arial" w:cs="Arial"/>
          <w:color w:val="000000"/>
          <w:lang w:val="en-US" w:eastAsia="de-DE"/>
        </w:rPr>
        <w:instrText xml:space="preserve"> also observed many ghost-like cells in the only population that evolved the novel ability to grow on citrate, supporting the hypothesis that this lineage struggles with maintaining balanced growth. Lastly, we show that cell size and fitness remain correla</w:instrText>
      </w:r>
      <w:r>
        <w:rPr>
          <w:rFonts w:ascii="Arial" w:eastAsia="Times New Roman" w:hAnsi="Arial" w:cs="Arial"/>
          <w:color w:val="000000"/>
          <w:lang w:val="en-US" w:eastAsia="de-DE"/>
        </w:rPr>
        <w:instrText>ted across 50,000 generations. Our results suggest that larger cells are beneficial in the experimental environment, while the reversion toward ancestral length-to-width ratios suggests partial compensation for the less favorable surface area-to-volume rat</w:instrText>
      </w:r>
      <w:r>
        <w:rPr>
          <w:rFonts w:ascii="Arial" w:eastAsia="Times New Roman" w:hAnsi="Arial" w:cs="Arial"/>
          <w:color w:val="000000"/>
          <w:lang w:val="en-US" w:eastAsia="de-DE"/>
        </w:rPr>
        <w:instrText>ios of the evolved cells.","author":[{"dropping-particle":"","family":"Grant","given":"Nkrumah A.","non-dropping-particle":"","parse-names":false,"suffix":""},{"dropping-particle":"","family":"Magid","given":"Ali Abdel","non-dropping-particle":"","parse-na</w:instrText>
      </w:r>
      <w:r>
        <w:rPr>
          <w:rFonts w:ascii="Arial" w:eastAsia="Times New Roman" w:hAnsi="Arial" w:cs="Arial"/>
          <w:color w:val="000000"/>
          <w:lang w:val="en-US" w:eastAsia="de-DE"/>
        </w:rPr>
        <w:instrText>mes":false,"suffix":""},{"dropping-particle":"","family":"Franklin","given":"Joshua","non-dropping-particle":"","parse-names":false,"suffix":""},{"dropping-particle":"","family":"Dufour","given":"Yann","non-dropping-particle":"","parse-names":false,"suffix</w:instrText>
      </w:r>
      <w:r>
        <w:rPr>
          <w:rFonts w:ascii="Arial" w:eastAsia="Times New Roman" w:hAnsi="Arial" w:cs="Arial"/>
          <w:color w:val="000000"/>
          <w:lang w:val="en-US" w:eastAsia="de-DE"/>
        </w:rPr>
        <w:instrText>":""},{"dropping-particle":"","family":"Lenski","given":"Richard E.","non-dropping-particle":"","parse-names":false,"suffix":""}],"container-title":"Journal of Bacteriology","id":"ITEM-1","issue":"10","issued":{"date-parts":[["2021","5","1"]]},"publisher":</w:instrText>
      </w:r>
      <w:r>
        <w:rPr>
          <w:rFonts w:ascii="Arial" w:eastAsia="Times New Roman" w:hAnsi="Arial" w:cs="Arial"/>
          <w:color w:val="000000"/>
          <w:lang w:val="en-US" w:eastAsia="de-DE"/>
        </w:rPr>
        <w:instrText>"American Society for Microbiology","title":"Changes in cell size and shape during 50,000 generations of experimental evolution with escherichia coli","type":"article-journal","volume":"203"},"uris":["http://www.mendeley.com/documents/?uuid=592d29a4-2d79-3</w:instrText>
      </w:r>
      <w:r>
        <w:rPr>
          <w:rFonts w:ascii="Arial" w:eastAsia="Times New Roman" w:hAnsi="Arial" w:cs="Arial"/>
          <w:color w:val="000000"/>
          <w:lang w:val="en-US" w:eastAsia="de-DE"/>
        </w:rPr>
        <w:instrText>8d6-8af2-8f846cac9559"]}],"mendeley":{"formattedCitation":"&lt;sup&gt;229&lt;/sup&gt;","plainTextFormattedCitation":"229","previouslyFormattedCitation":"&lt;sup&gt;229&lt;/sup&gt;"},"properties":{"noteIndex":0},"schema":"https://github.com/citation-style-language/schema/raw/maste</w:instrText>
      </w:r>
      <w:r>
        <w:rPr>
          <w:rFonts w:ascii="Arial" w:eastAsia="Times New Roman" w:hAnsi="Arial" w:cs="Arial"/>
          <w:color w:val="000000"/>
          <w:lang w:val="en-US" w:eastAsia="de-DE"/>
        </w:rPr>
        <w:instrText>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229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t>
      </w:r>
      <w:proofErr w:type="gramStart"/>
      <w:r>
        <w:rPr>
          <w:rFonts w:ascii="Arial" w:eastAsia="Times New Roman" w:hAnsi="Arial" w:cs="Arial"/>
          <w:color w:val="000000"/>
          <w:lang w:val="en-US" w:eastAsia="de-DE"/>
        </w:rPr>
        <w:t>All of</w:t>
      </w:r>
      <w:proofErr w:type="gramEnd"/>
      <w:r>
        <w:rPr>
          <w:rFonts w:ascii="Arial" w:eastAsia="Times New Roman" w:hAnsi="Arial" w:cs="Arial"/>
          <w:color w:val="000000"/>
          <w:lang w:val="en-US" w:eastAsia="de-DE"/>
        </w:rPr>
        <w:t xml:space="preserve"> the above are examples of size adaptation to nutrient availability on evolutionary timescales. This indicates that size adaptation to nutrients might increase cellular fitness and is therefore selected for. </w:t>
      </w:r>
    </w:p>
    <w:p w14:paraId="271E2D7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So how is nu</w:t>
      </w:r>
      <w:r>
        <w:rPr>
          <w:rFonts w:ascii="Arial" w:eastAsia="Times New Roman" w:hAnsi="Arial" w:cs="Arial"/>
          <w:color w:val="000000"/>
          <w:lang w:val="en-US" w:eastAsia="de-DE"/>
        </w:rPr>
        <w:t>trient sensing biochemically linked to the corresponding cell size modulation? Nutrients can affect both cell growth</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{"citationItems":[{"id":"ITEM-1","itemData":{"DOI":"10.1038/ncomms2015","ISSN":"2041-1723","author":[{"dropping-particle"</w:instrText>
      </w:r>
      <w:r>
        <w:rPr>
          <w:rFonts w:ascii="Arial" w:eastAsia="Times New Roman" w:hAnsi="Arial" w:cs="Arial"/>
          <w:color w:val="000000"/>
          <w:lang w:val="en-US" w:eastAsia="de-DE"/>
        </w:rPr>
        <w:instrText>:"","family":"Ferrezuelo","given":"Francisco","non-dropping-particle":"","parse-names":false,"suffix":""},{"dropping-particle":"","family":"Colomina","given":"Neus","non-dropping-particle":"","parse-names":false,"suffix":""},{"dropping-particle":"","family</w:instrText>
      </w:r>
      <w:r>
        <w:rPr>
          <w:rFonts w:ascii="Arial" w:eastAsia="Times New Roman" w:hAnsi="Arial" w:cs="Arial"/>
          <w:color w:val="000000"/>
          <w:lang w:val="en-US" w:eastAsia="de-DE"/>
        </w:rPr>
        <w:instrText>":"Palmisano","given":"Alida","non-dropping-particle":"","parse-names":false,"suffix":""},{"dropping-particle":"","family":"Garí","given":"Eloi","non-dropping-particle":"","parse-names":false,"suffix":""},{"dropping-particle":"","family":"Gallego","given":</w:instrText>
      </w:r>
      <w:r>
        <w:rPr>
          <w:rFonts w:ascii="Arial" w:eastAsia="Times New Roman" w:hAnsi="Arial" w:cs="Arial"/>
          <w:color w:val="000000"/>
          <w:lang w:val="en-US" w:eastAsia="de-DE"/>
        </w:rPr>
        <w:instrText>"Carme","non-dropping-particle":"","parse-names":false,"suffix":""},{"dropping-particle":"","family":"Csikász-Nagy","given":"Attila","non-dropping-particle":"","parse-names":false,"suffix":""},{"dropping-particle":"","family":"Aldea","given":"Martí","non-d</w:instrText>
      </w:r>
      <w:r>
        <w:rPr>
          <w:rFonts w:ascii="Arial" w:eastAsia="Times New Roman" w:hAnsi="Arial" w:cs="Arial"/>
          <w:color w:val="000000"/>
          <w:lang w:val="en-US" w:eastAsia="de-DE"/>
        </w:rPr>
        <w:instrText xml:space="preserve">ropping-particle":"","parse-names":false,"suffix":""}],"container-title":"Nature Communications","id":"ITEM-1","issued":{"date-parts":[["2012","8","21"]]},"page":"1012","publisher":"Nature Research","title":"The critical size is set at a single-cell level </w:instrText>
      </w:r>
      <w:r>
        <w:rPr>
          <w:rFonts w:ascii="Arial" w:eastAsia="Times New Roman" w:hAnsi="Arial" w:cs="Arial"/>
          <w:color w:val="000000"/>
          <w:lang w:val="en-US" w:eastAsia="de-DE"/>
        </w:rPr>
        <w:instrText>by growth rate to attain homeostasis and adaptation","type":"article-journal","volume":"3"},"uris":["http://www.mendeley.com/documents/?uuid=10027e37-4a7c-3301-9a36-1c204ae964a8"]}],"mendeley":{"formattedCitation":"&lt;sup&gt;218&lt;/sup&gt;","plainTextFormattedCitati</w:instrText>
      </w:r>
      <w:r>
        <w:rPr>
          <w:rFonts w:ascii="Arial" w:eastAsia="Times New Roman" w:hAnsi="Arial" w:cs="Arial"/>
          <w:color w:val="000000"/>
          <w:lang w:val="en-US" w:eastAsia="de-DE"/>
        </w:rPr>
        <w:instrText>on":"218","previouslyFormattedCitation":"&lt;sup&gt;218&lt;/sup&gt;"},"properties":{"noteIndex":0},"schema":"https://github.com/citation-style-language/schema/raw/master/csl-citation.json"}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218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cell cycle progression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w:instrText>
      </w:r>
      <w:r>
        <w:rPr>
          <w:rFonts w:ascii="Arial" w:eastAsia="Times New Roman" w:hAnsi="Arial" w:cs="Arial"/>
          <w:color w:val="000000"/>
          <w:lang w:val="en-US" w:eastAsia="de-DE"/>
        </w:rPr>
        <w:instrText>EM-1","itemData":{"DOI":"10.15252/EMBJ.2021110321","ISSN":"1460-2075","PMID":"36420556","abstract":"Eukaryotic cells decide in late G1 phase of the cell cycle whether to commit to another round of division. This point of cell cycle commitment is termed \"R</w:instrText>
      </w:r>
      <w:r>
        <w:rPr>
          <w:rFonts w:ascii="Arial" w:eastAsia="Times New Roman" w:hAnsi="Arial" w:cs="Arial"/>
          <w:color w:val="000000"/>
          <w:lang w:val="en-US" w:eastAsia="de-DE"/>
        </w:rPr>
        <w:instrText>estriction Point\" in mammals and \"Start\" in the budding yeast Saccharomyces cerevisiae. At Start, yeast cells integrate multiple signals such as pheromones and nutrients, and will not pass Start if nutrients are lacking. However, how cells respond to nu</w:instrText>
      </w:r>
      <w:r>
        <w:rPr>
          <w:rFonts w:ascii="Arial" w:eastAsia="Times New Roman" w:hAnsi="Arial" w:cs="Arial"/>
          <w:color w:val="000000"/>
          <w:lang w:val="en-US" w:eastAsia="de-DE"/>
        </w:rPr>
        <w:instrText>trient depletion after the Start decision remains poorly understood. Here, we analyze how post-Start cells respond to nutrient depletion, by monitoring Whi5, the cell cycle inhibitor whose export from the nucleus determines Start. Surprisingly, we find tha</w:instrText>
      </w:r>
      <w:r>
        <w:rPr>
          <w:rFonts w:ascii="Arial" w:eastAsia="Times New Roman" w:hAnsi="Arial" w:cs="Arial"/>
          <w:color w:val="000000"/>
          <w:lang w:val="en-US" w:eastAsia="de-DE"/>
        </w:rPr>
        <w:instrText>t cells that have passed Start can re-import Whi5 into the nucleus. In these cells, the positive feedback loop activating G1/S transcription is interrupted, and the Whi5 repressor re-binds DNA. Cells which re-import Whi5 become again sensitive to mating ph</w:instrText>
      </w:r>
      <w:r>
        <w:rPr>
          <w:rFonts w:ascii="Arial" w:eastAsia="Times New Roman" w:hAnsi="Arial" w:cs="Arial"/>
          <w:color w:val="000000"/>
          <w:lang w:val="en-US" w:eastAsia="de-DE"/>
        </w:rPr>
        <w:instrText xml:space="preserve">eromone, like pre-Start cells, and CDK activation can occur a second time upon replenishment of nutrients. These results demonstrate that upon starvation, the commitment decision at Start can be reversed. We therefore propose that cell cycle commitment in </w:instrText>
      </w:r>
      <w:r>
        <w:rPr>
          <w:rFonts w:ascii="Arial" w:eastAsia="Times New Roman" w:hAnsi="Arial" w:cs="Arial"/>
          <w:color w:val="000000"/>
          <w:lang w:val="en-US" w:eastAsia="de-DE"/>
        </w:rPr>
        <w:instrText>yeast is a multi-step process, similar to what has been suggested for mammalian cells.","author":[{"dropping-particle":"","family":"Irvali","given":"Deniz","non-dropping-particle":"","parse-names":false,"suffix":""},{"dropping-particle":"","family":"Schlot</w:instrText>
      </w:r>
      <w:r>
        <w:rPr>
          <w:rFonts w:ascii="Arial" w:eastAsia="Times New Roman" w:hAnsi="Arial" w:cs="Arial"/>
          <w:color w:val="000000"/>
          <w:lang w:val="en-US" w:eastAsia="de-DE"/>
        </w:rPr>
        <w:instrText>tmann","given":"Fabian P","non-dropping-particle":"","parse-names":false,"suffix":""},{"dropping-particle":"","family":"Muralidhara","given":"Prathibha","non-dropping-particle":"","parse-names":false,"suffix":""},{"dropping-particle":"","family":"Nadelson"</w:instrText>
      </w:r>
      <w:r>
        <w:rPr>
          <w:rFonts w:ascii="Arial" w:eastAsia="Times New Roman" w:hAnsi="Arial" w:cs="Arial"/>
          <w:color w:val="000000"/>
          <w:lang w:val="en-US" w:eastAsia="de-DE"/>
        </w:rPr>
        <w:instrText>,"given":"Iliya","non-dropping-particle":"","parse-names":false,"suffix":""},{"dropping-particle":"","family":"Kleemann","given":"Katja","non-dropping-particle":"","parse-names":false,"suffix":""},{"dropping-particle":"","family":"Wood","given":"N Ezgi","n</w:instrText>
      </w:r>
      <w:r>
        <w:rPr>
          <w:rFonts w:ascii="Arial" w:eastAsia="Times New Roman" w:hAnsi="Arial" w:cs="Arial"/>
          <w:color w:val="000000"/>
          <w:lang w:val="en-US" w:eastAsia="de-DE"/>
        </w:rPr>
        <w:instrText>on-dropping-particle":"","parse-names":false,"suffix":""},{"dropping-particle":"","family":"Doncic","given":"Andreas","non-dropping-particle":"","parse-names":false,"suffix":""},{"dropping-particle":"","family":"Ewald","given":"Jennifer C","non-dropping-pa</w:instrText>
      </w:r>
      <w:r>
        <w:rPr>
          <w:rFonts w:ascii="Arial" w:eastAsia="Times New Roman" w:hAnsi="Arial" w:cs="Arial"/>
          <w:color w:val="000000"/>
          <w:lang w:val="en-US" w:eastAsia="de-DE"/>
        </w:rPr>
        <w:instrText xml:space="preserve">rticle":"","parse-names":false,"suffix":""}],"container-title":"The EMBO Journal","id":"ITEM-1","issue":"2","issued":{"date-parts":[["2023","1","16"]]},"page":"e110321","publisher":"John Wiley &amp; Sons, Ltd","title":"When yeast cells change their mind: cell </w:instrText>
      </w:r>
      <w:r>
        <w:rPr>
          <w:rFonts w:ascii="Arial" w:eastAsia="Times New Roman" w:hAnsi="Arial" w:cs="Arial"/>
          <w:color w:val="000000"/>
          <w:lang w:val="en-US" w:eastAsia="de-DE"/>
        </w:rPr>
        <w:instrText>cycle “Start” is reversible under starvation","type":"article-journal","volume":"42"},"uris":["http://www.mendeley.com/documents/?uuid=ec9038ad-60ae-3d50-9043-2fc2c331a0de"]}],"mendeley":{"formattedCitation":"&lt;sup&gt;230&lt;/sup&gt;","plainTextFormattedCitation":"2</w:instrText>
      </w:r>
      <w:r>
        <w:rPr>
          <w:rFonts w:ascii="Arial" w:eastAsia="Times New Roman" w:hAnsi="Arial" w:cs="Arial"/>
          <w:color w:val="000000"/>
          <w:lang w:val="en-US" w:eastAsia="de-DE"/>
        </w:rPr>
        <w:instrText>30","previouslyFormattedCitation":"&lt;sup&gt;230&lt;/sup&gt;"},"properties":{"noteIndex":0},"schema":"https://github.com/citation-style-language/schema/raw/master/csl-citation.json"}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230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both of which contribute to the regulation of cell size. This is discussed in</w:t>
      </w:r>
      <w:r>
        <w:rPr>
          <w:rFonts w:ascii="Arial" w:eastAsia="Times New Roman" w:hAnsi="Arial" w:cs="Arial"/>
          <w:color w:val="000000"/>
          <w:lang w:val="en-US" w:eastAsia="de-DE"/>
        </w:rPr>
        <w:t xml:space="preserve"> detail in the section 7.3 on cell size control in changing environments.</w:t>
      </w:r>
    </w:p>
    <w:p w14:paraId="4BC273DC"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6.2 Cell size adaptation to physical and chemical properties of the environment</w:t>
      </w:r>
      <w:r>
        <w:rPr>
          <w:rFonts w:ascii="Arial" w:eastAsia="Times New Roman" w:hAnsi="Arial" w:cs="Arial"/>
          <w:color w:val="434343"/>
          <w:lang w:val="en-US" w:eastAsia="de-DE"/>
        </w:rPr>
        <w:t> </w:t>
      </w:r>
    </w:p>
    <w:p w14:paraId="7DE3AC0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Physical properties of the environment can affect cell size. For example, it has been shown in bacter</w:t>
      </w:r>
      <w:r>
        <w:rPr>
          <w:rFonts w:ascii="Arial" w:eastAsia="Times New Roman" w:hAnsi="Arial" w:cs="Arial"/>
          <w:color w:val="000000"/>
          <w:lang w:val="en-US" w:eastAsia="de-DE"/>
        </w:rPr>
        <w:t>ia that changes in the turgor pressure on the cell wall, which is, changes in the difference between the osmolarities of the cell and the extracellular environment, can lead to reversible changes in cell size due to influx or efflux of water</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w:instrText>
      </w:r>
      <w:r>
        <w:rPr>
          <w:rFonts w:ascii="Arial" w:eastAsia="Times New Roman" w:hAnsi="Arial" w:cs="Arial"/>
          <w:color w:val="000000"/>
          <w:lang w:val="en-US" w:eastAsia="de-DE"/>
        </w:rPr>
        <w:instrText>ION {"citationItems":[{"id":"ITEM-1","itemData":{"DOI":"10.1073/PNAS.1402591111/SUPPL_FILE/PNAS.1402591111.SM01.AVI","ISSN":"10916490","PMID":"24821776","abstract":"It has long been proposed that turgor pressure plays an essential role during bacterial gro</w:instrText>
      </w:r>
      <w:r>
        <w:rPr>
          <w:rFonts w:ascii="Arial" w:eastAsia="Times New Roman" w:hAnsi="Arial" w:cs="Arial"/>
          <w:color w:val="000000"/>
          <w:lang w:val="en-US" w:eastAsia="de-DE"/>
        </w:rPr>
        <w:instrText>wth by driving mechanical expansion of the cell wall. This hypothesis is based on analogy to plant cells, for which this mechanism has been established, and on experiments in which the growth rate of bacterial cultures was observed to decrease as the osmol</w:instrText>
      </w:r>
      <w:r>
        <w:rPr>
          <w:rFonts w:ascii="Arial" w:eastAsia="Times New Roman" w:hAnsi="Arial" w:cs="Arial"/>
          <w:color w:val="000000"/>
          <w:lang w:val="en-US" w:eastAsia="de-DE"/>
        </w:rPr>
        <w:instrText>arity of the growth medium was increased. To distinguish the effect of turgor pressure from pressure-independent effects that osmolarity might have on cell growth, we monitored the elongation of single Escherichia coli cells while rapidly changing the osmo</w:instrText>
      </w:r>
      <w:r>
        <w:rPr>
          <w:rFonts w:ascii="Arial" w:eastAsia="Times New Roman" w:hAnsi="Arial" w:cs="Arial"/>
          <w:color w:val="000000"/>
          <w:lang w:val="en-US" w:eastAsia="de-DE"/>
        </w:rPr>
        <w:instrText>larity of their media. By plasmolyzing cells, we found that cell-wall elastic strain did not scale with growth rate, suggesting that pressure does not drive cell-wall expansion. Furthermore, in response to hyper- and hypoosmotic shock, E. coli cells resume</w:instrText>
      </w:r>
      <w:r>
        <w:rPr>
          <w:rFonts w:ascii="Arial" w:eastAsia="Times New Roman" w:hAnsi="Arial" w:cs="Arial"/>
          <w:color w:val="000000"/>
          <w:lang w:val="en-US" w:eastAsia="de-DE"/>
        </w:rPr>
        <w:instrText>d their preshock growth rate and relaxed to their steady-state rate after several minutes, demonstrating that osmolarity modulates growth rate slowly, independently of pressure. Oscillatory hyper-osmotic shock revealed that although plasmolysis slowed cell</w:instrText>
      </w:r>
      <w:r>
        <w:rPr>
          <w:rFonts w:ascii="Arial" w:eastAsia="Times New Roman" w:hAnsi="Arial" w:cs="Arial"/>
          <w:color w:val="000000"/>
          <w:lang w:val="en-US" w:eastAsia="de-DE"/>
        </w:rPr>
        <w:instrText xml:space="preserve"> elongation, the cells nevertheless \"stored\" growth such that once turgor was reestablished the cells elongated to the length that they would have attained had they never been plasmolyzed. Finally, MreB dynamics were unaffected by osmotic shock. These re</w:instrText>
      </w:r>
      <w:r>
        <w:rPr>
          <w:rFonts w:ascii="Arial" w:eastAsia="Times New Roman" w:hAnsi="Arial" w:cs="Arial"/>
          <w:color w:val="000000"/>
          <w:lang w:val="en-US" w:eastAsia="de-DE"/>
        </w:rPr>
        <w:instrText>sults reveal the simple nature of E. coli cell-wall expansion: that the rate of expansion is determined by the rate of peptidoglycan insertion and insertion is not directly dependent on turgor pressure, but that pressure does play a basic role whereby it e</w:instrText>
      </w:r>
      <w:r>
        <w:rPr>
          <w:rFonts w:ascii="Arial" w:eastAsia="Times New Roman" w:hAnsi="Arial" w:cs="Arial"/>
          <w:color w:val="000000"/>
          <w:lang w:val="en-US" w:eastAsia="de-DE"/>
        </w:rPr>
        <w:instrText>nables full extension of recently inserted peptidoglycan.","author":[{"dropping-particle":"","family":"Rojas","given":"Enrique","non-dropping-particle":"","parse-names":false,"suffix":""},{"dropping-particle":"","family":"Theriot","given":"Julie A.","non-d</w:instrText>
      </w:r>
      <w:r>
        <w:rPr>
          <w:rFonts w:ascii="Arial" w:eastAsia="Times New Roman" w:hAnsi="Arial" w:cs="Arial"/>
          <w:color w:val="000000"/>
          <w:lang w:val="en-US" w:eastAsia="de-DE"/>
        </w:rPr>
        <w:instrText>ropping-particle":"","parse-names":false,"suffix":""},{"dropping-particle":"","family":"Huang","given":"Kerwyn Casey","non-dropping-particle":"","parse-names":false,"suffix":""}],"container-title":"Proceedings of the National Academy of Sciences of the Uni</w:instrText>
      </w:r>
      <w:r>
        <w:rPr>
          <w:rFonts w:ascii="Arial" w:eastAsia="Times New Roman" w:hAnsi="Arial" w:cs="Arial"/>
          <w:color w:val="000000"/>
          <w:lang w:val="en-US" w:eastAsia="de-DE"/>
        </w:rPr>
        <w:instrText>ted States of America","id":"ITEM-1","issue":"21","issued":{"date-parts":[["2014","5","27"]]},"page":"7807-7812","publisher":"National Academy of Sciences","title":"Response of Escherichia coli growth rate to osmotic shock","type":"article-journal","volume</w:instrText>
      </w:r>
      <w:r>
        <w:rPr>
          <w:rFonts w:ascii="Arial" w:eastAsia="Times New Roman" w:hAnsi="Arial" w:cs="Arial"/>
          <w:color w:val="000000"/>
          <w:lang w:val="en-US" w:eastAsia="de-DE"/>
        </w:rPr>
        <w:instrText>":"111"},"uris":["http://www.mendeley.com/documents/?uuid=c2d690ed-3f86-3af3-9cf7-23cf2dbff7e2"]},{"id":"ITEM-2","itemData":{"DOI":"10.1093/femsre/fux026","abstract":"One sentence summary: The authors review existing knowledge on how cell size is determine</w:instrText>
      </w:r>
      <w:r>
        <w:rPr>
          <w:rFonts w:ascii="Arial" w:eastAsia="Times New Roman" w:hAnsi="Arial" w:cs="Arial"/>
          <w:color w:val="000000"/>
          <w:lang w:val="en-US" w:eastAsia="de-DE"/>
        </w:rPr>
        <w:instrText>d in rod-shaped bacteria, discuss technological advances that have enabled precise quantification of cell size, and explore how cell size is connected to bacterial physiology. Editor: Mecky Pohlschroder ABSTRACT The determination of cell size is a fundamen</w:instrText>
      </w:r>
      <w:r>
        <w:rPr>
          <w:rFonts w:ascii="Arial" w:eastAsia="Times New Roman" w:hAnsi="Arial" w:cs="Arial"/>
          <w:color w:val="000000"/>
          <w:lang w:val="en-US" w:eastAsia="de-DE"/>
        </w:rPr>
        <w:instrText>tal challenge for all living organisms. In a given growth condition, cell size for a particular bacterial species typically falls within a narrow distribution. Nonetheless, size can vary enormously across species, and the size of a single bacterium can eve</w:instrText>
      </w:r>
      <w:r>
        <w:rPr>
          <w:rFonts w:ascii="Arial" w:eastAsia="Times New Roman" w:hAnsi="Arial" w:cs="Arial"/>
          <w:color w:val="000000"/>
          <w:lang w:val="en-US" w:eastAsia="de-DE"/>
        </w:rPr>
        <w:instrText>n vary substantially across growth conditions. Recent phenomenological studies have revived classic interest in how cells maintain their size and how they adjust their size with changes in growth rate. However, the mechanisms by which cells establish a par</w:instrText>
      </w:r>
      <w:r>
        <w:rPr>
          <w:rFonts w:ascii="Arial" w:eastAsia="Times New Roman" w:hAnsi="Arial" w:cs="Arial"/>
          <w:color w:val="000000"/>
          <w:lang w:val="en-US" w:eastAsia="de-DE"/>
        </w:rPr>
        <w:instrText>ticular size are relatively enigmatic. Here, we review existing knowledge on how size in rod-shaped bacteria is shaped by nutrient, mechanical, and genetic factors. We also examine obstacles to accurate size measurement and recent technologies that help to</w:instrText>
      </w:r>
      <w:r>
        <w:rPr>
          <w:rFonts w:ascii="Arial" w:eastAsia="Times New Roman" w:hAnsi="Arial" w:cs="Arial"/>
          <w:color w:val="000000"/>
          <w:lang w:val="en-US" w:eastAsia="de-DE"/>
        </w:rPr>
        <w:instrText xml:space="preserve"> overcome these hurdles. Finally, we discuss the relevance of cell size to bacterial physiology.","author":[{"dropping-particle":"","family":"Cesar","given":"Spencer","non-dropping-particle":"","parse-names":false,"suffix":""},{"dropping-particle":"","fami</w:instrText>
      </w:r>
      <w:r>
        <w:rPr>
          <w:rFonts w:ascii="Arial" w:eastAsia="Times New Roman" w:hAnsi="Arial" w:cs="Arial"/>
          <w:color w:val="000000"/>
          <w:lang w:val="en-US" w:eastAsia="de-DE"/>
        </w:rPr>
        <w:instrText>ly":"Huang","given":"Kerwyn Casey","non-dropping-particle":"","parse-names":false,"suffix":""}],"container-title":"FEMS Microbiology Reviews","id":"ITEM-2","issued":{"date-parts":[["2017"]]},"page":"672-678","title":"Thinking big: the tunability of bacteri</w:instrText>
      </w:r>
      <w:r>
        <w:rPr>
          <w:rFonts w:ascii="Arial" w:eastAsia="Times New Roman" w:hAnsi="Arial" w:cs="Arial"/>
          <w:color w:val="000000"/>
          <w:lang w:val="en-US" w:eastAsia="de-DE"/>
        </w:rPr>
        <w:instrText>al cell size","type":"article-journal","volume":"026"},"uris":["http://www.mendeley.com/documents/?uuid=ef9a3d4b-8044-3977-a863-9b5fa89a8756"]}],"mendeley":{"formattedCitation":"&lt;sup&gt;231,232&lt;/sup&gt;","plainTextFormattedCitation":"231,232","previouslyFormatte</w:instrText>
      </w:r>
      <w:r>
        <w:rPr>
          <w:rFonts w:ascii="Arial" w:eastAsia="Times New Roman" w:hAnsi="Arial" w:cs="Arial"/>
          <w:color w:val="000000"/>
          <w:lang w:val="en-US" w:eastAsia="de-DE"/>
        </w:rPr>
        <w:instrText>dCitation":"&lt;sup&gt;231,232&lt;/sup&gt;"},"properties":{"noteIndex":0},"schema":"https://github.com/citation-style-language/schema/raw/master/csl-citation.json"}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231,232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Cellular osmolarity-dependent cell volume changes have also been reported for animal and yea</w:t>
      </w:r>
      <w:r>
        <w:rPr>
          <w:rFonts w:ascii="Arial" w:eastAsia="Times New Roman" w:hAnsi="Arial" w:cs="Arial"/>
          <w:color w:val="000000"/>
          <w:lang w:val="en-US" w:eastAsia="de-DE"/>
        </w:rPr>
        <w:t>st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{"citationItems":[{"id":"ITEM-1","itemData":{"DOI":"10.1529/biophysj.105.078725","ISSN":"00063495","PMID":"16565059","abstract":"Small organic solutes, including sugar derivatives, amino acids, etc., contribute significantly to t</w:instrText>
      </w:r>
      <w:r>
        <w:rPr>
          <w:rFonts w:ascii="Arial" w:eastAsia="Times New Roman" w:hAnsi="Arial" w:cs="Arial"/>
          <w:color w:val="000000"/>
          <w:lang w:val="en-US" w:eastAsia="de-DE"/>
        </w:rPr>
        <w:instrText>he osmoregulation of mammalian cells. The present study explores the mechanisms of swelling-activated membrane permeability for electrolytes and neutral carbohydrates in Jurkat cells. Electrorotation was used to analyze the relationship between the hypoton</w:instrText>
      </w:r>
      <w:r>
        <w:rPr>
          <w:rFonts w:ascii="Arial" w:eastAsia="Times New Roman" w:hAnsi="Arial" w:cs="Arial"/>
          <w:color w:val="000000"/>
          <w:lang w:val="en-US" w:eastAsia="de-DE"/>
        </w:rPr>
        <w:instrText>ically induced changes in the electrically accessible surface area of the plasma membrane (probed by the capacitance) and its permeability to the monomeric sugar alcohol sorbitol, the disaccharide trehalose, and electrolyte. Time-resolved capacitance and v</w:instrText>
      </w:r>
      <w:r>
        <w:rPr>
          <w:rFonts w:ascii="Arial" w:eastAsia="Times New Roman" w:hAnsi="Arial" w:cs="Arial"/>
          <w:color w:val="000000"/>
          <w:lang w:val="en-US" w:eastAsia="de-DE"/>
        </w:rPr>
        <w:instrText xml:space="preserve">olumetric measurements were performed in parallel using media of different osmolalities containing either sorbitol or trehalose as the major solute. Under mild hypotonic stress in 200 mOsm sorbitol or trehalose solutions, the cells accomplished regulatory </w:instrText>
      </w:r>
      <w:r>
        <w:rPr>
          <w:rFonts w:ascii="Arial" w:eastAsia="Times New Roman" w:hAnsi="Arial" w:cs="Arial"/>
          <w:color w:val="000000"/>
          <w:lang w:val="en-US" w:eastAsia="de-DE"/>
        </w:rPr>
        <w:instrText xml:space="preserve">volume decrease by releasing cytosolic electrolytes presumably through pathways activated by the swelling-mediated retraction of microvilli. This is suggested by a rapid decrease of the area-specific membrane capacitance Cm (μF/cm2). The cell membrane was </w:instrText>
      </w:r>
      <w:r>
        <w:rPr>
          <w:rFonts w:ascii="Arial" w:eastAsia="Times New Roman" w:hAnsi="Arial" w:cs="Arial"/>
          <w:color w:val="000000"/>
          <w:lang w:val="en-US" w:eastAsia="de-DE"/>
        </w:rPr>
        <w:instrText>impermeable to both carbohydrates in 200 mOsm media. Whereas trehalose permeability remained also very poor in 100 mOsm medium, extreme swelling of cells in a strongly hypotonic solution (100 mOsm) led to a dramatic increase in sorbitol permeability as evi</w:instrText>
      </w:r>
      <w:r>
        <w:rPr>
          <w:rFonts w:ascii="Arial" w:eastAsia="Times New Roman" w:hAnsi="Arial" w:cs="Arial"/>
          <w:color w:val="000000"/>
          <w:lang w:val="en-US" w:eastAsia="de-DE"/>
        </w:rPr>
        <w:instrText>denced by regulatory volume decrease inhibition. The different osmotic thresholds for activation of electrolyte release and sorbitol influx suggest the involvement of separate swelling-activated pathways. Whereas the electrolyte efflux seemed to utilize pa</w:instrText>
      </w:r>
      <w:r>
        <w:rPr>
          <w:rFonts w:ascii="Arial" w:eastAsia="Times New Roman" w:hAnsi="Arial" w:cs="Arial"/>
          <w:color w:val="000000"/>
          <w:lang w:val="en-US" w:eastAsia="de-DE"/>
        </w:rPr>
        <w:instrText>thways preexisting in the plasma membrane, putative sorbitol channels might be inserted into the membrane from cytosolic vesicles via swelling-mediated exocytosis, as indicated by a substantial increase in the whole-cell capacitance Cc (pF) in strongly hyp</w:instrText>
      </w:r>
      <w:r>
        <w:rPr>
          <w:rFonts w:ascii="Arial" w:eastAsia="Times New Roman" w:hAnsi="Arial" w:cs="Arial"/>
          <w:color w:val="000000"/>
          <w:lang w:val="en-US" w:eastAsia="de-DE"/>
        </w:rPr>
        <w:instrText>otonic solutions. © 2006 by the Biophysical Society.","author":[{"dropping-particle":"","family":"Kiesel","given":"M.","non-dropping-particle":"","parse-names":false,"suffix":""},{"dropping-particle":"","family":"Reuss","given":"R.","non-dropping-particle"</w:instrText>
      </w:r>
      <w:r>
        <w:rPr>
          <w:rFonts w:ascii="Arial" w:eastAsia="Times New Roman" w:hAnsi="Arial" w:cs="Arial"/>
          <w:color w:val="000000"/>
          <w:lang w:val="en-US" w:eastAsia="de-DE"/>
        </w:rPr>
        <w:instrText>:"","parse-names":false,"suffix":""},{"dropping-particle":"","family":"Endter","given":"J.","non-dropping-particle":"","parse-names":false,"suffix":""},{"dropping-particle":"","family":"Zimmermann","given":"D.","non-dropping-particle":"","parse-names":fals</w:instrText>
      </w:r>
      <w:r>
        <w:rPr>
          <w:rFonts w:ascii="Arial" w:eastAsia="Times New Roman" w:hAnsi="Arial" w:cs="Arial"/>
          <w:color w:val="000000"/>
          <w:lang w:val="en-US" w:eastAsia="de-DE"/>
        </w:rPr>
        <w:instrText>e,"suffix":""},{"dropping-particle":"","family":"Zimmermann","given":"H.","non-dropping-particle":"","parse-names":false,"suffix":""},{"dropping-particle":"","family":"Shirakashi","given":"R.","non-dropping-particle":"","parse-names":false,"suffix":""},{"d</w:instrText>
      </w:r>
      <w:r>
        <w:rPr>
          <w:rFonts w:ascii="Arial" w:eastAsia="Times New Roman" w:hAnsi="Arial" w:cs="Arial"/>
          <w:color w:val="000000"/>
          <w:lang w:val="en-US" w:eastAsia="de-DE"/>
        </w:rPr>
        <w:instrText>ropping-particle":"","family":"Bamberg","given":"E.","non-dropping-particle":"","parse-names":false,"suffix":""},{"dropping-particle":"","family":"Zimmermann","given":"U.","non-dropping-particle":"","parse-names":false,"suffix":""},{"dropping-particle":"",</w:instrText>
      </w:r>
      <w:r>
        <w:rPr>
          <w:rFonts w:ascii="Arial" w:eastAsia="Times New Roman" w:hAnsi="Arial" w:cs="Arial"/>
          <w:color w:val="000000"/>
          <w:lang w:val="en-US" w:eastAsia="de-DE"/>
        </w:rPr>
        <w:instrText>"family":"Sukhorukov","given":"V. L.","non-dropping-particle":"","parse-names":false,"suffix":""}],"container-title":"Biophysical Journal","id":"ITEM-1","issue":"12","issued":{"date-parts":[["2006","6","15"]]},"page":"4720-4729","publisher":"Biophysical So</w:instrText>
      </w:r>
      <w:r>
        <w:rPr>
          <w:rFonts w:ascii="Arial" w:eastAsia="Times New Roman" w:hAnsi="Arial" w:cs="Arial"/>
          <w:color w:val="000000"/>
          <w:lang w:val="en-US" w:eastAsia="de-DE"/>
        </w:rPr>
        <w:instrText>ciety","title":"Swelling-activated pathways in human T-lymphocytes studied by cell volumetry and electrorotation","type":"article-journal","volume":"90"},"uris":["http://www.mendeley.com/documents/?uuid=0e13d8dd-a532-31d9-809d-ad70ccce359b"]},{"id":"ITEM-2</w:instrText>
      </w:r>
      <w:r>
        <w:rPr>
          <w:rFonts w:ascii="Arial" w:eastAsia="Times New Roman" w:hAnsi="Arial" w:cs="Arial"/>
          <w:color w:val="000000"/>
          <w:lang w:val="en-US" w:eastAsia="de-DE"/>
        </w:rPr>
        <w:instrText>","itemData":{"DOI":"10.1007/S00232-006-0080-8/FIGURES/9","ISSN":"00222631","PMID":"17598067","abstract":"To accommodate expanding volume (V) during hyposmotic swelling, animal cells change their shape and increase surface area (SA) by drawing extra membra</w:instrText>
      </w:r>
      <w:r>
        <w:rPr>
          <w:rFonts w:ascii="Arial" w:eastAsia="Times New Roman" w:hAnsi="Arial" w:cs="Arial"/>
          <w:color w:val="000000"/>
          <w:lang w:val="en-US" w:eastAsia="de-DE"/>
        </w:rPr>
        <w:instrText>ne from surface and intracellular reserves. The relative contributions of these processes, sources and extent of membrane reserves are not well defined. In this study, the SA and V of single substrate-attached A549, 16HBE14o -, CHO and NIH 3T3 cells were e</w:instrText>
      </w:r>
      <w:r>
        <w:rPr>
          <w:rFonts w:ascii="Arial" w:eastAsia="Times New Roman" w:hAnsi="Arial" w:cs="Arial"/>
          <w:color w:val="000000"/>
          <w:lang w:val="en-US" w:eastAsia="de-DE"/>
        </w:rPr>
        <w:instrText>valuated by reconstructing cell three-dimensional topology based on conventional light microscopic images acquired simultaneously from two perpendicular directions. The size of SA reserves was determined by swelling cells in extreme 98% hypotonic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 xml:space="preserve">6 </w:instrText>
      </w:r>
      <w:r>
        <w:rPr>
          <w:rFonts w:ascii="Arial" w:eastAsia="Times New Roman" w:hAnsi="Arial" w:cs="Arial"/>
          <w:color w:val="000000"/>
          <w:lang w:val="en-US" w:eastAsia="de-DE"/>
        </w:rPr>
        <w:instrText xml:space="preserve">mOsm) solution until membrane rupture; all cell types examined demonstrated surprisingly large membrane reserves and could increase their SA 3.6 ± 0.2-fold and V 10.7 ± 1.5-fold. Blocking exocytosis (by N-ethylmaleimide or 10°C) reduced SA and V increases </w:instrText>
      </w:r>
      <w:r>
        <w:rPr>
          <w:rFonts w:ascii="Arial" w:eastAsia="Times New Roman" w:hAnsi="Arial" w:cs="Arial"/>
          <w:color w:val="000000"/>
          <w:lang w:val="en-US" w:eastAsia="de-DE"/>
        </w:rPr>
        <w:instrText>of A549 cells to 1.7 ± 0.3-fold and 4.4 ± 0.9-fold, respectively. Interestingly, blocking exocytosis did not affect SA and V changes during moderate swelling in 50% hypotonicity. Thus, mammalian cells accommodate moderate (&lt;2-fold) V increases mainly by sh</w:instrText>
      </w:r>
      <w:r>
        <w:rPr>
          <w:rFonts w:ascii="Arial" w:eastAsia="Times New Roman" w:hAnsi="Arial" w:cs="Arial"/>
          <w:color w:val="000000"/>
          <w:lang w:val="en-US" w:eastAsia="de-DE"/>
        </w:rPr>
        <w:instrText>ape changes and by drawing membrane from preexisting surface reserves, while significant endomembrane insertion is observed only during extreme swelling. Large membrane reserves may provide a simple mechanism to maintain membrane tension below the lytic le</w:instrText>
      </w:r>
      <w:r>
        <w:rPr>
          <w:rFonts w:ascii="Arial" w:eastAsia="Times New Roman" w:hAnsi="Arial" w:cs="Arial"/>
          <w:color w:val="000000"/>
          <w:lang w:val="en-US" w:eastAsia="de-DE"/>
        </w:rPr>
        <w:instrText>vel during various cellular processes or acute mechanical perturbations and may explain the difficulty in activating mechanogated channels in mammalian cells. © 2007 Springer Science+Business Media, LLC.","author":[{"dropping-particle":"","family":"Groulx"</w:instrText>
      </w:r>
      <w:r>
        <w:rPr>
          <w:rFonts w:ascii="Arial" w:eastAsia="Times New Roman" w:hAnsi="Arial" w:cs="Arial"/>
          <w:color w:val="000000"/>
          <w:lang w:val="en-US" w:eastAsia="de-DE"/>
        </w:rPr>
        <w:instrText>,"given":"Nicolas","non-dropping-particle":"","parse-names":false,"suffix":""},{"dropping-particle":"","family":"Boudreault","given":"Francis","non-dropping-particle":"","parse-names":false,"suffix":""},{"dropping-particle":"","family":"Orlov","given":"Ser</w:instrText>
      </w:r>
      <w:r>
        <w:rPr>
          <w:rFonts w:ascii="Arial" w:eastAsia="Times New Roman" w:hAnsi="Arial" w:cs="Arial"/>
          <w:color w:val="000000"/>
          <w:lang w:val="en-US" w:eastAsia="de-DE"/>
        </w:rPr>
        <w:instrText>gei N.","non-dropping-particle":"","parse-names":false,"suffix":""},{"dropping-particle":"","family":"Grygorczyk","given":"Ryszard","non-dropping-particle":"","parse-names":false,"suffix":""}],"container-title":"Journal of Membrane Biology","id":"ITEM-2","</w:instrText>
      </w:r>
      <w:r>
        <w:rPr>
          <w:rFonts w:ascii="Arial" w:eastAsia="Times New Roman" w:hAnsi="Arial" w:cs="Arial"/>
          <w:color w:val="000000"/>
          <w:lang w:val="en-US" w:eastAsia="de-DE"/>
        </w:rPr>
        <w:instrText>issue":"1-2","issued":{"date-parts":[["2006","11","26"]]},"page":"43-56","publisher":"Springer","title":"Membrane reserves and hypotonic cell swelling","type":"article-journal","volume":"214"},"uris":["http://www.mendeley.com/documents/?uuid=6e6831bd-4aac-</w:instrText>
      </w:r>
      <w:r>
        <w:rPr>
          <w:rFonts w:ascii="Arial" w:eastAsia="Times New Roman" w:hAnsi="Arial" w:cs="Arial"/>
          <w:color w:val="000000"/>
          <w:lang w:val="en-US" w:eastAsia="de-DE"/>
        </w:rPr>
        <w:instrText>3b2a-a533-b95573dca13b"]},{"id":"ITEM-3","itemData":{"DOI":"10.2478/V10019-009-0017-9","ISSN":"15813207","abstract":"Background. Various electrofusion parameters have to be adjusted to obtain the optimal electrofusion efficiency. Based on published data, g</w:instrText>
      </w:r>
      <w:r>
        <w:rPr>
          <w:rFonts w:ascii="Arial" w:eastAsia="Times New Roman" w:hAnsi="Arial" w:cs="Arial"/>
          <w:color w:val="000000"/>
          <w:lang w:val="en-US" w:eastAsia="de-DE"/>
        </w:rPr>
        <w:instrText>ood electrofusion conditions can be achieved with the hypotonic treatment. However, the duration of the hypotonic treatment before electroporation and buffer hypoosmolarity have to be adjusted in order to cause cell swelling, to avoid regulatory volume dec</w:instrText>
      </w:r>
      <w:r>
        <w:rPr>
          <w:rFonts w:ascii="Arial" w:eastAsia="Times New Roman" w:hAnsi="Arial" w:cs="Arial"/>
          <w:color w:val="000000"/>
          <w:lang w:val="en-US" w:eastAsia="de-DE"/>
        </w:rPr>
        <w:instrText>rease and to preserve cell viability. The aims of our study were to determine cell size dynamics and viability of four different cell lines in hypotonic buffer and to study the influence of the electroporation on the selected cell line in hypotonic buffer.</w:instrText>
      </w:r>
      <w:r>
        <w:rPr>
          <w:rFonts w:ascii="Arial" w:eastAsia="Times New Roman" w:hAnsi="Arial" w:cs="Arial"/>
          <w:color w:val="000000"/>
          <w:lang w:val="en-US" w:eastAsia="de-DE"/>
        </w:rPr>
        <w:instrText xml:space="preserve">Materials and methods. Cell size dynamics of different cell lines exposed to hypotonic buffer and electroporation were analyzed by time-resolved cell size measurements. The viability of hypotonically treated or/and electroporated cells was determined 24 h </w:instrText>
      </w:r>
      <w:r>
        <w:rPr>
          <w:rFonts w:ascii="Arial" w:eastAsia="Times New Roman" w:hAnsi="Arial" w:cs="Arial"/>
          <w:color w:val="000000"/>
          <w:lang w:val="en-US" w:eastAsia="de-DE"/>
        </w:rPr>
        <w:instrText>after the experiment by a modified crystal violet (CV) viability assay.Results. In our experimental conditions the hypotonic treatment at 100 mOsm was efficient for CHO, V79 and B16-F1 cell lines. The optimal duration of the treatment was between two and f</w:instrText>
      </w:r>
      <w:r>
        <w:rPr>
          <w:rFonts w:ascii="Arial" w:eastAsia="Times New Roman" w:hAnsi="Arial" w:cs="Arial"/>
          <w:color w:val="000000"/>
          <w:lang w:val="en-US" w:eastAsia="de-DE"/>
        </w:rPr>
        <w:instrText>ive minutes. On the other hand the same hypotonic treatment did not cause cell swelling of NS1 cells. Cell swelling was also observed after electroporation of B16-F1 in isotonic buffer and it was amplified when hypotonic buffer was used. In addition, the r</w:instrText>
      </w:r>
      <w:r>
        <w:rPr>
          <w:rFonts w:ascii="Arial" w:eastAsia="Times New Roman" w:hAnsi="Arial" w:cs="Arial"/>
          <w:color w:val="000000"/>
          <w:lang w:val="en-US" w:eastAsia="de-DE"/>
        </w:rPr>
        <w:instrText>egulatory volume decrease was successfully inhibited with electroporation.Conclusions. Cell size dynamics in hypotonic conditions should be studied for each cell line since they differ in their sensitivity to the hypotonic treatment. The inhibition of cell</w:instrText>
      </w:r>
      <w:r>
        <w:rPr>
          <w:rFonts w:ascii="Arial" w:eastAsia="Times New Roman" w:hAnsi="Arial" w:cs="Arial"/>
          <w:color w:val="000000"/>
          <w:lang w:val="en-US" w:eastAsia="de-DE"/>
        </w:rPr>
        <w:instrText xml:space="preserve"> regulatory volume decrease by electroporation may be beneficial in achieving higher electrofusion efficiency. The hypotonic treatment in itself did not significantly affect the cell viability; however, electric field parameters for electroporation should </w:instrText>
      </w:r>
      <w:r>
        <w:rPr>
          <w:rFonts w:ascii="Arial" w:eastAsia="Times New Roman" w:hAnsi="Arial" w:cs="Arial"/>
          <w:color w:val="000000"/>
          <w:lang w:val="en-US" w:eastAsia="de-DE"/>
        </w:rPr>
        <w:instrText>be carefully selected taking into account the hypotonically induced volume increase of cells.","author":[{"dropping-particle":"","family":"Ušaj","given":"Marko","non-dropping-particle":"","parse-names":false,"suffix":""},{"dropping-particle":"","family":"T</w:instrText>
      </w:r>
      <w:r>
        <w:rPr>
          <w:rFonts w:ascii="Arial" w:eastAsia="Times New Roman" w:hAnsi="Arial" w:cs="Arial"/>
          <w:color w:val="000000"/>
          <w:lang w:val="en-US" w:eastAsia="de-DE"/>
        </w:rPr>
        <w:instrText>rontelj","given":"Katja","non-dropping-particle":"","parse-names":false,"suffix":""},{"dropping-particle":"","family":"Hudej","given":"Rosana","non-dropping-particle":"","parse-names":false,"suffix":""},{"dropping-particle":"","family":"Kandušer","given":"</w:instrText>
      </w:r>
      <w:r>
        <w:rPr>
          <w:rFonts w:ascii="Arial" w:eastAsia="Times New Roman" w:hAnsi="Arial" w:cs="Arial"/>
          <w:color w:val="000000"/>
          <w:lang w:val="en-US" w:eastAsia="de-DE"/>
        </w:rPr>
        <w:instrText>Maša","non-dropping-particle":"","parse-names":false,"suffix":""},{"dropping-particle":"","family":"Miklavčič","given":"Damijan","non-dropping-particle":"","parse-names":false,"suffix":""}],"container-title":"Radiology and Oncology","id":"ITEM-3","issue":"</w:instrText>
      </w:r>
      <w:r>
        <w:rPr>
          <w:rFonts w:ascii="Arial" w:eastAsia="Times New Roman" w:hAnsi="Arial" w:cs="Arial"/>
          <w:color w:val="000000"/>
          <w:lang w:val="en-US" w:eastAsia="de-DE"/>
        </w:rPr>
        <w:instrText>2","issued":{"date-parts":[["2009","6","1"]]},"page":"108-119","publisher":"Sciendo","title":"Cell size dynamics and viability of cells exposed to hypotonic treatment and electroporation for electrofusion optimization","type":"article-journal","volume":"43</w:instrText>
      </w:r>
      <w:r>
        <w:rPr>
          <w:rFonts w:ascii="Arial" w:eastAsia="Times New Roman" w:hAnsi="Arial" w:cs="Arial"/>
          <w:color w:val="000000"/>
          <w:lang w:val="en-US" w:eastAsia="de-DE"/>
        </w:rPr>
        <w:instrText>"},"uris":["http://www.mendeley.com/documents/?uuid=e6bcfa85-02a6-3968-9778-eba654184f90"]},{"id":"ITEM-4","itemData":{"DOI":"10.3390/IJMS22073290","ISSN":"1422-0067","PMID":"33804825","abstract":"The addition of nutrients and accumulation of metabolites i</w:instrText>
      </w:r>
      <w:r>
        <w:rPr>
          <w:rFonts w:ascii="Arial" w:eastAsia="Times New Roman" w:hAnsi="Arial" w:cs="Arial"/>
          <w:color w:val="000000"/>
          <w:lang w:val="en-US" w:eastAsia="de-DE"/>
        </w:rPr>
        <w:instrText>n a fed-batch culture of Chinese hamster ovary (CHO) cells leads to an increase in extracellular osmolality in late stage culture. Herein, we explore the effect of osmolality on CHO cell growth, specific monoclonal antibody (mAb) productivity and glycosyla</w:instrText>
      </w:r>
      <w:r>
        <w:rPr>
          <w:rFonts w:ascii="Arial" w:eastAsia="Times New Roman" w:hAnsi="Arial" w:cs="Arial"/>
          <w:color w:val="000000"/>
          <w:lang w:val="en-US" w:eastAsia="de-DE"/>
        </w:rPr>
        <w:instrText>tion achieved with the addition of NaCl or the supplementation of a commercial feed. Although both methods lead to an increase in specific antibody productivity, they have different effects on cell growth and antibody production. Osmolality modulation usin</w:instrText>
      </w:r>
      <w:r>
        <w:rPr>
          <w:rFonts w:ascii="Arial" w:eastAsia="Times New Roman" w:hAnsi="Arial" w:cs="Arial"/>
          <w:color w:val="000000"/>
          <w:lang w:val="en-US" w:eastAsia="de-DE"/>
        </w:rPr>
        <w:instrText>g NaCl up to 470 mOsm kg−1 had a consistently positive effect on specific antibody productivity and titre. The addition of the commercial feed achieved variable results: specific mAb productivity was increased, yet cell growth rate was significantly compro</w:instrText>
      </w:r>
      <w:r>
        <w:rPr>
          <w:rFonts w:ascii="Arial" w:eastAsia="Times New Roman" w:hAnsi="Arial" w:cs="Arial"/>
          <w:color w:val="000000"/>
          <w:lang w:val="en-US" w:eastAsia="de-DE"/>
        </w:rPr>
        <w:instrText>mised at high osmolality values. As a result, Feed C addition to 410 mOsm kg−1 was the only condition that achieved a significantly higher mAb titre compared to the control. Additionally, Feed C supplementation resulted in a significant reduction in galact</w:instrText>
      </w:r>
      <w:r>
        <w:rPr>
          <w:rFonts w:ascii="Arial" w:eastAsia="Times New Roman" w:hAnsi="Arial" w:cs="Arial"/>
          <w:color w:val="000000"/>
          <w:lang w:val="en-US" w:eastAsia="de-DE"/>
        </w:rPr>
        <w:instrText>osylated antibody structures. Cell volume was found to be positively correlated to osmolality; however, osmolality alone could not account for observed changes in average cell diameter without considering cell cycle variations. These results help delineate</w:instrText>
      </w:r>
      <w:r>
        <w:rPr>
          <w:rFonts w:ascii="Arial" w:eastAsia="Times New Roman" w:hAnsi="Arial" w:cs="Arial"/>
          <w:color w:val="000000"/>
          <w:lang w:val="en-US" w:eastAsia="de-DE"/>
        </w:rPr>
        <w:instrText xml:space="preserve"> the overall effect of osmolality on titre and highlight the potentially negative effect of overfeeding on cell growth.","author":[{"dropping-particle":"","family":"Alhuthali","given":"Sakhr","non-dropping-particle":"","parse-names":false,"suffix":""},{"dr</w:instrText>
      </w:r>
      <w:r>
        <w:rPr>
          <w:rFonts w:ascii="Arial" w:eastAsia="Times New Roman" w:hAnsi="Arial" w:cs="Arial"/>
          <w:color w:val="000000"/>
          <w:lang w:val="en-US" w:eastAsia="de-DE"/>
        </w:rPr>
        <w:instrText>opping-particle":"","family":"Kotidis","given":"Pavlos","non-dropping-particle":"","parse-names":false,"suffix":""},{"dropping-particle":"","family":"Kontoravdi","given":"Cleo","non-dropping-particle":"","parse-names":false,"suffix":""}],"container-title":</w:instrText>
      </w:r>
      <w:r>
        <w:rPr>
          <w:rFonts w:ascii="Arial" w:eastAsia="Times New Roman" w:hAnsi="Arial" w:cs="Arial"/>
          <w:color w:val="000000"/>
          <w:lang w:val="en-US" w:eastAsia="de-DE"/>
        </w:rPr>
        <w:instrText xml:space="preserve">"International Journal of Molecular Sciences 2021, Vol. 22, Page 3290","id":"ITEM-4","issue":"7","issued":{"date-parts":[["2021","3","24"]]},"page":"3290","publisher":"Multidisciplinary Digital Publishing Institute","title":"Osmolality Effects on CHO Cell </w:instrText>
      </w:r>
      <w:r>
        <w:rPr>
          <w:rFonts w:ascii="Arial" w:eastAsia="Times New Roman" w:hAnsi="Arial" w:cs="Arial"/>
          <w:color w:val="000000"/>
          <w:lang w:val="en-US" w:eastAsia="de-DE"/>
        </w:rPr>
        <w:instrText>Growth, Cell Volume, Antibody Productivity and Glycosylation","type":"article-journal","volume":"22"},"uris":["http://www.mendeley.com/documents/?uuid=bb67c7e8-0320-37b0-b379-d259876756d3"]},{"id":"ITEM-5","itemData":{"DOI":"10.1007/S42770-021-00427-0/FIGU</w:instrText>
      </w:r>
      <w:r>
        <w:rPr>
          <w:rFonts w:ascii="Arial" w:eastAsia="Times New Roman" w:hAnsi="Arial" w:cs="Arial"/>
          <w:color w:val="000000"/>
          <w:lang w:val="en-US" w:eastAsia="de-DE"/>
        </w:rPr>
        <w:instrText>RES/5","ISSN":"16784405","PMID":"33476034","abstract":"Saccharomyces cerevisiae has evolved diverse mechanisms to osmotic changes: the cell wall, ion and water transport systems, and signaling cascades. At the present time, little is known about the mechan</w:instrText>
      </w:r>
      <w:r>
        <w:rPr>
          <w:rFonts w:ascii="Arial" w:eastAsia="Times New Roman" w:hAnsi="Arial" w:cs="Arial"/>
          <w:color w:val="000000"/>
          <w:lang w:val="en-US" w:eastAsia="de-DE"/>
        </w:rPr>
        <w:instrText>isms involved in short-term responses of osmotic stress in yeast or their physiological state during this process. We conducted studies of flow cytometry, wet weight measurements, and electron microscopy to evaluate the modifications in cell volume and the</w:instrText>
      </w:r>
      <w:r>
        <w:rPr>
          <w:rFonts w:ascii="Arial" w:eastAsia="Times New Roman" w:hAnsi="Arial" w:cs="Arial"/>
          <w:color w:val="000000"/>
          <w:lang w:val="en-US" w:eastAsia="de-DE"/>
        </w:rPr>
        <w:instrText xml:space="preserve"> cell wall induced by osmotic stress. In response to osmotic challenges, we show very fast and drastic changes in cell volume (up to 60%), which were completed in less than eight seconds. This dramatic change was completely reversible approximately 16 s af</w:instrText>
      </w:r>
      <w:r>
        <w:rPr>
          <w:rFonts w:ascii="Arial" w:eastAsia="Times New Roman" w:hAnsi="Arial" w:cs="Arial"/>
          <w:color w:val="000000"/>
          <w:lang w:val="en-US" w:eastAsia="de-DE"/>
        </w:rPr>
        <w:instrText>ter returning to an isosmotic solution. Cell volume changes were also accompanied by adaptations in yeast metabolism observed as a reduction by 50% in the respiratory rate, measured as oxygen consumption. This effect was also fully reversible upon returnin</w:instrText>
      </w:r>
      <w:r>
        <w:rPr>
          <w:rFonts w:ascii="Arial" w:eastAsia="Times New Roman" w:hAnsi="Arial" w:cs="Arial"/>
          <w:color w:val="000000"/>
          <w:lang w:val="en-US" w:eastAsia="de-DE"/>
        </w:rPr>
        <w:instrText>g to an isosmotic solution. It is noteworthy that we observed a significant recovery in oxygen consumption during the first 10 min of the osmotic shock. The rapid adjustment of the cellular volume may represent an evolutionary advantage, allowing greater f</w:instrText>
      </w:r>
      <w:r>
        <w:rPr>
          <w:rFonts w:ascii="Arial" w:eastAsia="Times New Roman" w:hAnsi="Arial" w:cs="Arial"/>
          <w:color w:val="000000"/>
          <w:lang w:val="en-US" w:eastAsia="de-DE"/>
        </w:rPr>
        <w:instrText>lexibility for survival.","author":[{"dropping-particle":"","family":"Saldaña","given":"Carlos","non-dropping-particle":"","parse-names":false,"suffix":""},{"dropping-particle":"","family":"Villava","given":"Casandra","non-dropping-particle":"","parse-name</w:instrText>
      </w:r>
      <w:r>
        <w:rPr>
          <w:rFonts w:ascii="Arial" w:eastAsia="Times New Roman" w:hAnsi="Arial" w:cs="Arial"/>
          <w:color w:val="000000"/>
          <w:lang w:val="en-US" w:eastAsia="de-DE"/>
        </w:rPr>
        <w:instrText>s":false,"suffix":""},{"dropping-particle":"","family":"Ramírez-Villarreal","given":"Jimena","non-dropping-particle":"","parse-names":false,"suffix":""},{"dropping-particle":"","family":"Morales-Tlalpan","given":"Verónica","non-dropping-particle":"","parse</w:instrText>
      </w:r>
      <w:r>
        <w:rPr>
          <w:rFonts w:ascii="Arial" w:eastAsia="Times New Roman" w:hAnsi="Arial" w:cs="Arial"/>
          <w:color w:val="000000"/>
          <w:lang w:val="en-US" w:eastAsia="de-DE"/>
        </w:rPr>
        <w:instrText>-names":false,"suffix":""},{"dropping-particle":"","family":"Campos-Guillen","given":"Juan","non-dropping-particle":"","parse-names":false,"suffix":""},{"dropping-particle":"","family":"Chávez-Servín","given":"Jorge","non-dropping-particle":"","parse-names</w:instrText>
      </w:r>
      <w:r>
        <w:rPr>
          <w:rFonts w:ascii="Arial" w:eastAsia="Times New Roman" w:hAnsi="Arial" w:cs="Arial"/>
          <w:color w:val="000000"/>
          <w:lang w:val="en-US" w:eastAsia="de-DE"/>
        </w:rPr>
        <w:instrText>":false,"suffix":""},{"dropping-particle":"","family":"García-Gasca","given":"Teresa","non-dropping-particle":"","parse-names":false,"suffix":""}],"container-title":"Brazilian Journal of Microbiology","id":"ITEM-5","issue":"2","issued":{"date-parts":[["202</w:instrText>
      </w:r>
      <w:r>
        <w:rPr>
          <w:rFonts w:ascii="Arial" w:eastAsia="Times New Roman" w:hAnsi="Arial" w:cs="Arial"/>
          <w:color w:val="000000"/>
          <w:lang w:val="en-US" w:eastAsia="de-DE"/>
        </w:rPr>
        <w:instrText>1","6","1"]]},"page":"895-903","publisher":"Springer Science and Business Media Deutschland GmbH","title":"Rapid and reversible cell volume changes in response to osmotic stress in yeast","type":"article-journal","volume":"52"},"uris":["http://www.mendeley</w:instrText>
      </w:r>
      <w:r>
        <w:rPr>
          <w:rFonts w:ascii="Arial" w:eastAsia="Times New Roman" w:hAnsi="Arial" w:cs="Arial"/>
          <w:color w:val="000000"/>
          <w:lang w:val="en-US" w:eastAsia="de-DE"/>
        </w:rPr>
        <w:instrText>.com/documents/?uuid=743829dc-4f9c-3787-b3ba-80a39272258e"]}],"mendeley":{"formattedCitation":"&lt;sup&gt;233–237&lt;/sup&gt;","plainTextFormattedCitation":"233–237","previouslyFormattedCitation":"&lt;sup&gt;233–237&lt;/sup&gt;"},"properties":{"noteIndex":0},"schema":"https://git</w:instrText>
      </w:r>
      <w:r>
        <w:rPr>
          <w:rFonts w:ascii="Arial" w:eastAsia="Times New Roman" w:hAnsi="Arial" w:cs="Arial"/>
          <w:color w:val="000000"/>
          <w:lang w:val="en-US" w:eastAsia="de-DE"/>
        </w:rPr>
        <w:instrTex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233–237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Cells must sense cell volume changes caused by osmotic perturbations and counteract them to maintain cell membrane integrity and size homeostasis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w:instrText>
      </w:r>
      <w:r>
        <w:rPr>
          <w:rFonts w:ascii="Arial" w:eastAsia="Times New Roman" w:hAnsi="Arial" w:cs="Arial"/>
          <w:color w:val="000000"/>
          <w:lang w:val="en-US" w:eastAsia="de-DE"/>
        </w:rPr>
        <w:instrText>tems":[{"id":"ITEM-1","itemData":{"DOI":"10.1074/jbc.R800049200","ISSN":"00219258","PMID":"19004817","abstract":"Cell volume and shape are stringently regulated. This homeostasis requires the cells to sense their size and shape and to convey this informati</w:instrText>
      </w:r>
      <w:r>
        <w:rPr>
          <w:rFonts w:ascii="Arial" w:eastAsia="Times New Roman" w:hAnsi="Arial" w:cs="Arial"/>
          <w:color w:val="000000"/>
          <w:lang w:val="en-US" w:eastAsia="de-DE"/>
        </w:rPr>
        <w:instrText>on to effectors that will counteract deformations induced by osmotic or mechanical challenges. The sensors, transducers, and effectors of volume change are the subject of this review. © 2009 by The American Society for Biochemistry and Molecular Biology, I</w:instrText>
      </w:r>
      <w:r>
        <w:rPr>
          <w:rFonts w:ascii="Arial" w:eastAsia="Times New Roman" w:hAnsi="Arial" w:cs="Arial"/>
          <w:color w:val="000000"/>
          <w:lang w:val="en-US" w:eastAsia="de-DE"/>
        </w:rPr>
        <w:instrText>nc.","author":[{"dropping-particle":"","family":"Koivusalo","given":"Mirkka","non-dropping-particle":"","parse-names":false,"suffix":""},{"dropping-particle":"","family":"Kapus","given":"Andras","non-dropping-particle":"","parse-names":false,"suffix":""},{</w:instrText>
      </w:r>
      <w:r>
        <w:rPr>
          <w:rFonts w:ascii="Arial" w:eastAsia="Times New Roman" w:hAnsi="Arial" w:cs="Arial"/>
          <w:color w:val="000000"/>
          <w:lang w:val="en-US" w:eastAsia="de-DE"/>
        </w:rPr>
        <w:instrText>"dropping-particle":"","family":"Grinstein","given":"Sergio","non-dropping-particle":"","parse-names":false,"suffix":""}],"container-title":"Journal of Biological Chemistry","id":"ITEM-1","issue":"11","issued":{"date-parts":[["2009","3","13"]]},"page":"659</w:instrText>
      </w:r>
      <w:r>
        <w:rPr>
          <w:rFonts w:ascii="Arial" w:eastAsia="Times New Roman" w:hAnsi="Arial" w:cs="Arial"/>
          <w:color w:val="000000"/>
          <w:lang w:val="en-US" w:eastAsia="de-DE"/>
        </w:rPr>
        <w:instrText>5-6599","publisher":"Elsevier","title":"Sensors, transducers, and effectors that regulate cell size and shape","type":"article-journal","volume":"284"},"uris":["http://www.mendeley.com/documents/?uuid=d7b16773-04e1-3172-8efa-20d425cd3b3e"]}],"mendeley":{"f</w:instrText>
      </w:r>
      <w:r>
        <w:rPr>
          <w:rFonts w:ascii="Arial" w:eastAsia="Times New Roman" w:hAnsi="Arial" w:cs="Arial"/>
          <w:color w:val="000000"/>
          <w:lang w:val="en-US" w:eastAsia="de-DE"/>
        </w:rPr>
        <w:instrText>ormattedCitation":"&lt;sup&gt;238&lt;/sup&gt;","plainTextFormattedCitation":"238","previouslyFormattedCitation":"&lt;sup&gt;238&lt;/sup&gt;"},"properties":{"noteIndex":0},"schema":"https://github.com/citation-style-language/schema/raw/master/csl-citation.json"}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238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Additionall</w:t>
      </w:r>
      <w:r>
        <w:rPr>
          <w:rFonts w:ascii="Arial" w:eastAsia="Times New Roman" w:hAnsi="Arial" w:cs="Arial"/>
          <w:color w:val="000000"/>
          <w:lang w:val="en-US" w:eastAsia="de-DE"/>
        </w:rPr>
        <w:t>y, external mechanical forces have been shown to affect cell size and cell cycle progression, as discussed in the section on mechano-sensing. </w:t>
      </w:r>
    </w:p>
    <w:p w14:paraId="224B0147"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An increase in temperature is associated with an increase in enzymatic rates but also an increase in protein dena</w:t>
      </w:r>
      <w:r>
        <w:rPr>
          <w:rFonts w:ascii="Arial" w:eastAsia="Times New Roman" w:hAnsi="Arial" w:cs="Arial"/>
          <w:color w:val="000000"/>
          <w:lang w:val="en-US" w:eastAsia="de-DE"/>
        </w:rPr>
        <w:t>turation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{"citationItems":[{"id":"ITEM-1","itemData":{"DOI":"10.1146/annurev-biophys-112221-074832","ISSN":"19361238","PMID":"35534014","abstract":"Temperature impacts biological systems across all length and timescales. Cells and the enz</w:instrText>
      </w:r>
      <w:r>
        <w:rPr>
          <w:rFonts w:ascii="Arial" w:eastAsia="Times New Roman" w:hAnsi="Arial" w:cs="Arial"/>
          <w:color w:val="000000"/>
          <w:lang w:val="en-US" w:eastAsia="de-DE"/>
        </w:rPr>
        <w:instrText>ymes that comprise them respond to temperature fluctuations on short timescales, and temperature can affect protein folding, the molecular composition of cells, and volume expansion. Entire ecosystems exhibit temperature-dependent behaviors, and global war</w:instrText>
      </w:r>
      <w:r>
        <w:rPr>
          <w:rFonts w:ascii="Arial" w:eastAsia="Times New Roman" w:hAnsi="Arial" w:cs="Arial"/>
          <w:color w:val="000000"/>
          <w:lang w:val="en-US" w:eastAsia="de-DE"/>
        </w:rPr>
        <w:instrText>ming threatens to disrupt thermal homeostasis in microbes that are important for human and planetary health. Intriguingly, the growth rate of most species follows the Arrhenius law of equilibrium thermodynamics, with an activation energy similar to that of</w:instrText>
      </w:r>
      <w:r>
        <w:rPr>
          <w:rFonts w:ascii="Arial" w:eastAsia="Times New Roman" w:hAnsi="Arial" w:cs="Arial"/>
          <w:color w:val="000000"/>
          <w:lang w:val="en-US" w:eastAsia="de-DE"/>
        </w:rPr>
        <w:instrText xml:space="preserve"> individual enzymes but with maximal growth rates and over temperature ranges that are species specific. In this review, we discuss how the temperature dependence of critical cellular processes, such as the central dogma and membrane fluidity, contributes </w:instrText>
      </w:r>
      <w:r>
        <w:rPr>
          <w:rFonts w:ascii="Arial" w:eastAsia="Times New Roman" w:hAnsi="Arial" w:cs="Arial"/>
          <w:color w:val="000000"/>
          <w:lang w:val="en-US" w:eastAsia="de-DE"/>
        </w:rPr>
        <w:instrText>to the temperature dependence of growth. We conclude with a discussion of adaptation to temperature shifts and the effects of temperature on evolution and on the properties of microbial ecosystems.","author":[{"dropping-particle":"","family":"Knapp","given</w:instrText>
      </w:r>
      <w:r>
        <w:rPr>
          <w:rFonts w:ascii="Arial" w:eastAsia="Times New Roman" w:hAnsi="Arial" w:cs="Arial"/>
          <w:color w:val="000000"/>
          <w:lang w:val="en-US" w:eastAsia="de-DE"/>
        </w:rPr>
        <w:instrText>":"Benjamin D.","non-dropping-particle":"","parse-names":false,"suffix":""},{"dropping-particle":"","family":"Huang","given":"Kerwyn Casey","non-dropping-particle":"","parse-names":false,"suffix":""}],"container-title":"Annual Review of Biophysics","id":"I</w:instrText>
      </w:r>
      <w:r>
        <w:rPr>
          <w:rFonts w:ascii="Arial" w:eastAsia="Times New Roman" w:hAnsi="Arial" w:cs="Arial"/>
          <w:color w:val="000000"/>
          <w:lang w:val="en-US" w:eastAsia="de-DE"/>
        </w:rPr>
        <w:instrText>TEM-1","issued":{"date-parts":[["2022","5","9"]]},"page":"499-526","publisher":"Annual Reviews","title":"The Effects of Temperature on Cellular Physiology","type":"article","volume":"51"},"uris":["http://www.mendeley.com/documents/?uuid=a76e2c68-9cf2-3990-</w:instrText>
      </w:r>
      <w:r>
        <w:rPr>
          <w:rFonts w:ascii="Arial" w:eastAsia="Times New Roman" w:hAnsi="Arial" w:cs="Arial"/>
          <w:color w:val="000000"/>
          <w:lang w:val="en-US" w:eastAsia="de-DE"/>
        </w:rPr>
        <w:instrText>8440-cdb5edc124de"]},{"id":"ITEM-2","itemData":{"DOI":"10.1126/SCIADV.ADH8043/SUPPL_FILE/SCIADV.ADH8043_SM.PDF","ISSN":"23752548","PMID":"37656790","abstract":"Phytoplankton are responsible for half of all oxygen production and drive the ocean carbon cycle</w:instrText>
      </w:r>
      <w:r>
        <w:rPr>
          <w:rFonts w:ascii="Arial" w:eastAsia="Times New Roman" w:hAnsi="Arial" w:cs="Arial"/>
          <w:color w:val="000000"/>
          <w:lang w:val="en-US" w:eastAsia="de-DE"/>
        </w:rPr>
        <w:instrText>. Metabolic theory predicts that increasing global temperatures will cause phytoplankton to become more heterotrophic and smaller. Here, we uncover the metabolic trade-offs between cellular space, energy, and stress management driving phytoplankton thermal</w:instrText>
      </w:r>
      <w:r>
        <w:rPr>
          <w:rFonts w:ascii="Arial" w:eastAsia="Times New Roman" w:hAnsi="Arial" w:cs="Arial"/>
          <w:color w:val="000000"/>
          <w:lang w:val="en-US" w:eastAsia="de-DE"/>
        </w:rPr>
        <w:instrText xml:space="preserve"> acclimation and how these might be overcome through evolutionary adaptation. We show that the observed relationships between traits such as chlorophyll, lipid content, C:N, and size can be predicted on the basis of the metabolic demands of the cell, the t</w:instrText>
      </w:r>
      <w:r>
        <w:rPr>
          <w:rFonts w:ascii="Arial" w:eastAsia="Times New Roman" w:hAnsi="Arial" w:cs="Arial"/>
          <w:color w:val="000000"/>
          <w:lang w:val="en-US" w:eastAsia="de-DE"/>
        </w:rPr>
        <w:instrText>hermal dependency of transporters, and changes in membrane lipids. We suggest that many of the observed relationships are not fixed physiological constraints but rather can be altered through adaptation. For example, the evolution of lipid metabolism can f</w:instrText>
      </w:r>
      <w:r>
        <w:rPr>
          <w:rFonts w:ascii="Arial" w:eastAsia="Times New Roman" w:hAnsi="Arial" w:cs="Arial"/>
          <w:color w:val="000000"/>
          <w:lang w:val="en-US" w:eastAsia="de-DE"/>
        </w:rPr>
        <w:instrText>avor larger cells with higher lipid content to mitigate oxidative stress. These results have implications for rates of carbon sequestration and export in a warmer ocean.","author":[{"dropping-particle":"","family":"Leles","given":"Suzana G.","non-dropping-</w:instrText>
      </w:r>
      <w:r>
        <w:rPr>
          <w:rFonts w:ascii="Arial" w:eastAsia="Times New Roman" w:hAnsi="Arial" w:cs="Arial"/>
          <w:color w:val="000000"/>
          <w:lang w:val="en-US" w:eastAsia="de-DE"/>
        </w:rPr>
        <w:instrText>particle":"","parse-names":false,"suffix":""},{"dropping-particle":"","family":"Levine","given":"Naomi M.","non-dropping-particle":"","parse-names":false,"suffix":""}],"container-title":"Science Advances","id":"ITEM-2","issue":"35","issued":{"date-parts":[</w:instrText>
      </w:r>
      <w:r>
        <w:rPr>
          <w:rFonts w:ascii="Arial" w:eastAsia="Times New Roman" w:hAnsi="Arial" w:cs="Arial"/>
          <w:color w:val="000000"/>
          <w:lang w:val="en-US" w:eastAsia="de-DE"/>
        </w:rPr>
        <w:instrText>["2023"]]},"publisher":"American Association for the Advancement of Science","title":"Mechanistic constraints on the trade-off between photosynthesis and respiration in response to warming","type":"article-journal","volume":"9"},"uris":["http://www.mendele</w:instrText>
      </w:r>
      <w:r>
        <w:rPr>
          <w:rFonts w:ascii="Arial" w:eastAsia="Times New Roman" w:hAnsi="Arial" w:cs="Arial"/>
          <w:color w:val="000000"/>
          <w:lang w:val="en-US" w:eastAsia="de-DE"/>
        </w:rPr>
        <w:instrText>y.com/documents/?uuid=85842313-264c-3543-8a0b-4aeec5cf15d3"]}],"mendeley":{"formattedCitation":"&lt;sup&gt;159,239&lt;/sup&gt;","plainTextFormattedCitation":"159,239","previouslyFormattedCitation":"&lt;sup&gt;159,239&lt;/sup&gt;"},"properties":{"noteIndex":0},"schema":"https://gi</w:instrText>
      </w:r>
      <w:r>
        <w:rPr>
          <w:rFonts w:ascii="Arial" w:eastAsia="Times New Roman" w:hAnsi="Arial" w:cs="Arial"/>
          <w:color w:val="000000"/>
          <w:lang w:val="en-US" w:eastAsia="de-DE"/>
        </w:rPr>
        <w:instrText>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159,239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line with that, for bacteria grown in steady state conditions, different temperatures affected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w:instrText>
      </w:r>
      <w:r>
        <w:rPr>
          <w:rFonts w:ascii="Arial" w:eastAsia="Times New Roman" w:hAnsi="Arial" w:cs="Arial"/>
          <w:color w:val="000000"/>
          <w:lang w:val="en-US" w:eastAsia="de-DE"/>
        </w:rPr>
        <w:instrText>I":"10.1007/BF00405885/METRICS","ISSN":"03028933","PMID":"7049105","abstract":"Two substrains of Escherichia coli B/r were grown to steady-state in batch cultures at temperatures between 22 and 42° C in different growth media. The size and shape of the cel</w:instrText>
      </w:r>
      <w:r>
        <w:rPr>
          <w:rFonts w:ascii="Arial" w:eastAsia="Times New Roman" w:hAnsi="Arial" w:cs="Arial"/>
          <w:color w:val="000000"/>
          <w:lang w:val="en-US" w:eastAsia="de-DE"/>
        </w:rPr>
        <w:instrText>ls were measured from light and electron micrographs and with the Coulter channelizer. The results indicate that cells are shorter and somewhat thicker at the lower temperatures, especially in rich growth media; cell volume is then slightly smaller. A lowe</w:instrText>
      </w:r>
      <w:r>
        <w:rPr>
          <w:rFonts w:ascii="Arial" w:eastAsia="Times New Roman" w:hAnsi="Arial" w:cs="Arial"/>
          <w:color w:val="000000"/>
          <w:lang w:val="en-US" w:eastAsia="de-DE"/>
        </w:rPr>
        <w:instrText>r temperature was further found to increase the relative duration of the constriction period. The shapes of the cell size distributions are indistinguishable, indicating that the pattern of growth of the cells is the same at all temperatures. The adaptatio</w:instrText>
      </w:r>
      <w:r>
        <w:rPr>
          <w:rFonts w:ascii="Arial" w:eastAsia="Times New Roman" w:hAnsi="Arial" w:cs="Arial"/>
          <w:color w:val="000000"/>
          <w:lang w:val="en-US" w:eastAsia="de-DE"/>
        </w:rPr>
        <w:instrText>n of the cells to a temperature shift lasted several generations, indicating that the morphological effects of temperature are mediated by the cell's physiology. © 1982 Springer-Verlag.","author":[{"dropping-particle":"","family":"Trueba","given":"Frank J.</w:instrText>
      </w:r>
      <w:r>
        <w:rPr>
          <w:rFonts w:ascii="Arial" w:eastAsia="Times New Roman" w:hAnsi="Arial" w:cs="Arial"/>
          <w:color w:val="000000"/>
          <w:lang w:val="en-US" w:eastAsia="de-DE"/>
        </w:rPr>
        <w:instrText>","non-dropping-particle":"","parse-names":false,"suffix":""},{"dropping-particle":"","family":"Spronsen","given":"Edwin A.","non-dropping-particle":"van","parse-names":false,"suffix":""},{"dropping-particle":"","family":"Traas","given":"Jan","non-dropping</w:instrText>
      </w:r>
      <w:r>
        <w:rPr>
          <w:rFonts w:ascii="Arial" w:eastAsia="Times New Roman" w:hAnsi="Arial" w:cs="Arial"/>
          <w:color w:val="000000"/>
          <w:lang w:val="en-US" w:eastAsia="de-DE"/>
        </w:rPr>
        <w:instrText>-particle":"","parse-names":false,"suffix":""},{"dropping-particle":"","family":"Woldringh","given":"Conrad L.","non-dropping-particle":"","parse-names":false,"suffix":""}],"container-title":"Archives of Microbiology","id":"ITEM-1","issue":"3","issued":{"d</w:instrText>
      </w:r>
      <w:r>
        <w:rPr>
          <w:rFonts w:ascii="Arial" w:eastAsia="Times New Roman" w:hAnsi="Arial" w:cs="Arial"/>
          <w:color w:val="000000"/>
          <w:lang w:val="en-US" w:eastAsia="de-DE"/>
        </w:rPr>
        <w:instrText>ate-parts":[["1982","5"]]},"page":"235-240","publisher":"Springer-Verlag","title":"Effects of temperature on the size and shape of Escherichia coli cells","type":"article-journal","volume":"131"},"uris":["http://www.mendeley.com/documents/?uuid=c9f3956b-5b</w:instrText>
      </w:r>
      <w:r>
        <w:rPr>
          <w:rFonts w:ascii="Arial" w:eastAsia="Times New Roman" w:hAnsi="Arial" w:cs="Arial"/>
          <w:color w:val="000000"/>
          <w:lang w:val="en-US" w:eastAsia="de-DE"/>
        </w:rPr>
        <w:instrText>f9-3b10-81c4-20c39ae31c13"]}],"mendeley":{"formattedCitation":"&lt;sup&gt;240&lt;/sup&gt;","plainTextFormattedCitation":"240","previouslyFormattedCitation":"&lt;sup&gt;240&lt;/sup&gt;"},"properties":{"noteIndex":0},"schema":"https://github.com/citation-style-language/schema/raw/m</w:instrText>
      </w:r>
      <w:r>
        <w:rPr>
          <w:rFonts w:ascii="Arial" w:eastAsia="Times New Roman" w:hAnsi="Arial" w:cs="Arial"/>
          <w:color w:val="000000"/>
          <w:lang w:val="en-US" w:eastAsia="de-DE"/>
        </w:rPr>
        <w:instrText>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240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Cell size changes were also observed in yeast spheroplasts and human leukemia cells facing rapid temperature shifts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{"citationItems":[{"id":"ITEM-1","itemData":{"DOI":"10.1016/S0168-1656(03)00031-2","ISSN"</w:instrText>
      </w:r>
      <w:r>
        <w:rPr>
          <w:rFonts w:ascii="Arial" w:eastAsia="Times New Roman" w:hAnsi="Arial" w:cs="Arial"/>
          <w:color w:val="000000"/>
          <w:lang w:val="en-US" w:eastAsia="de-DE"/>
        </w:rPr>
        <w:instrText>:"0168-1656","PMID":"12795302","abstract":"The effect of a rapid temperature increase on the volume of different types of cells was investigated. Experiments were carried out using continuous microscopic image analysis. Volume variation of yeast cells, yea</w:instrText>
      </w:r>
      <w:r>
        <w:rPr>
          <w:rFonts w:ascii="Arial" w:eastAsia="Times New Roman" w:hAnsi="Arial" w:cs="Arial"/>
          <w:color w:val="000000"/>
          <w:lang w:val="en-US" w:eastAsia="de-DE"/>
        </w:rPr>
        <w:instrText xml:space="preserve">st spheroplasts and human leukaemia cells was measured during the transient phase after a thermal shift. The thermal shift was found to induce rapid increase in cell volume for cells lacking a cell wall (yeast spheroplasts and human leukaemia cells). This </w:instrText>
      </w:r>
      <w:r>
        <w:rPr>
          <w:rFonts w:ascii="Arial" w:eastAsia="Times New Roman" w:hAnsi="Arial" w:cs="Arial"/>
          <w:color w:val="000000"/>
          <w:lang w:val="en-US" w:eastAsia="de-DE"/>
        </w:rPr>
        <w:instrText>increase in cell volume is assumed to be a main cause of the heat shock-induced cell death. A theoretical mechanistic model that explains the behaviour of these cells is finally proposed. © 2003 Elsevier Science B.V. All rights reserved.","author":[{"dropp</w:instrText>
      </w:r>
      <w:r>
        <w:rPr>
          <w:rFonts w:ascii="Arial" w:eastAsia="Times New Roman" w:hAnsi="Arial" w:cs="Arial"/>
          <w:color w:val="000000"/>
          <w:lang w:val="en-US" w:eastAsia="de-DE"/>
        </w:rPr>
        <w:instrText>ing-particle":"","family":"Gervais","given":"Patrick","non-dropping-particle":"","parse-names":false,"suffix":""},{"dropping-particle":"","family":"Martínez De Marañón","given":"Iñigo","non-dropping-particle":"","parse-names":false,"suffix":""},{"dropping-</w:instrText>
      </w:r>
      <w:r>
        <w:rPr>
          <w:rFonts w:ascii="Arial" w:eastAsia="Times New Roman" w:hAnsi="Arial" w:cs="Arial"/>
          <w:color w:val="000000"/>
          <w:lang w:val="en-US" w:eastAsia="de-DE"/>
        </w:rPr>
        <w:instrText>particle":"","family":"Evrard","given":"Christine","non-dropping-particle":"","parse-names":false,"suffix":""},{"dropping-particle":"","family":"Ferret","given":"Eric","non-dropping-particle":"","parse-names":false,"suffix":""},{"dropping-particle":"","fam</w:instrText>
      </w:r>
      <w:r>
        <w:rPr>
          <w:rFonts w:ascii="Arial" w:eastAsia="Times New Roman" w:hAnsi="Arial" w:cs="Arial"/>
          <w:color w:val="000000"/>
          <w:lang w:val="en-US" w:eastAsia="de-DE"/>
        </w:rPr>
        <w:instrText>ily":"Moundanga","given":"Sylvie","non-dropping-particle":"","parse-names":false,"suffix":""}],"container-title":"Journal of Biotechnology","id":"ITEM-1","issue":"3","issued":{"date-parts":[["2003","5","8"]]},"page":"269-279","publisher":"Elsevier","title"</w:instrText>
      </w:r>
      <w:r>
        <w:rPr>
          <w:rFonts w:ascii="Arial" w:eastAsia="Times New Roman" w:hAnsi="Arial" w:cs="Arial"/>
          <w:color w:val="000000"/>
          <w:lang w:val="en-US" w:eastAsia="de-DE"/>
        </w:rPr>
        <w:instrText>:"Cell volume changes during rapid temperature shifts","type":"article-journal","volume":"102"},"uris":["http://www.mendeley.com/documents/?uuid=32b469a4-6824-30c8-98a0-478f9927edd9"]}],"mendeley":{"formattedCitation":"&lt;sup&gt;241&lt;/sup&gt;","plainTextFormattedCi</w:instrText>
      </w:r>
      <w:r>
        <w:rPr>
          <w:rFonts w:ascii="Arial" w:eastAsia="Times New Roman" w:hAnsi="Arial" w:cs="Arial"/>
          <w:color w:val="000000"/>
          <w:lang w:val="en-US" w:eastAsia="de-DE"/>
        </w:rPr>
        <w:instrText>tation":"241","previouslyFormattedCitation":"&lt;sup&gt;241&lt;/sup&gt;"},"properties":{"noteIndex":0},"schema":"https://github.com/citation-style-language/schema/raw/master/csl-citation.json"}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241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all of these cell types, cells were found to be bigger at higher</w:t>
      </w:r>
      <w:r>
        <w:rPr>
          <w:rFonts w:ascii="Arial" w:eastAsia="Times New Roman" w:hAnsi="Arial" w:cs="Arial"/>
          <w:color w:val="000000"/>
          <w:lang w:val="en-US" w:eastAsia="de-DE"/>
        </w:rPr>
        <w:t xml:space="preserve"> temperatures or after heat shock and this increase in volume could be a reason for heat-shock-induced death</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{"citationItems":[{"id":"ITEM-1","itemData":{"DOI":"10.1007/BF00405885/METRICS","ISSN":"03028933","PMID":"7049105","abstract":"Tw</w:instrText>
      </w:r>
      <w:r>
        <w:rPr>
          <w:rFonts w:ascii="Arial" w:eastAsia="Times New Roman" w:hAnsi="Arial" w:cs="Arial"/>
          <w:color w:val="000000"/>
          <w:lang w:val="en-US" w:eastAsia="de-DE"/>
        </w:rPr>
        <w:instrText>o substrains of Escherichia coli B/r were grown to steady-state in batch cultures at temperatures between 22 and 42° C in different growth media. The size and shape of the cells were measured from light and electron micrographs and with the Coulter channel</w:instrText>
      </w:r>
      <w:r>
        <w:rPr>
          <w:rFonts w:ascii="Arial" w:eastAsia="Times New Roman" w:hAnsi="Arial" w:cs="Arial"/>
          <w:color w:val="000000"/>
          <w:lang w:val="en-US" w:eastAsia="de-DE"/>
        </w:rPr>
        <w:instrText>izer. The results indicate that cells are shorter and somewhat thicker at the lower temperatures, especially in rich growth media; cell volume is then slightly smaller. A lower temperature was further found to increase the relative duration of the constric</w:instrText>
      </w:r>
      <w:r>
        <w:rPr>
          <w:rFonts w:ascii="Arial" w:eastAsia="Times New Roman" w:hAnsi="Arial" w:cs="Arial"/>
          <w:color w:val="000000"/>
          <w:lang w:val="en-US" w:eastAsia="de-DE"/>
        </w:rPr>
        <w:instrText>tion period. The shapes of the cell size distributions are indistinguishable, indicating that the pattern of growth of the cells is the same at all temperatures. The adaptation of the cells to a temperature shift lasted several generations, indicating that</w:instrText>
      </w:r>
      <w:r>
        <w:rPr>
          <w:rFonts w:ascii="Arial" w:eastAsia="Times New Roman" w:hAnsi="Arial" w:cs="Arial"/>
          <w:color w:val="000000"/>
          <w:lang w:val="en-US" w:eastAsia="de-DE"/>
        </w:rPr>
        <w:instrText xml:space="preserve"> the morphological effects of temperature are mediated by the cell's physiology. © 1982 Springer-Verlag.","author":[{"dropping-particle":"","family":"Trueba","given":"Frank J.","non-dropping-particle":"","parse-names":false,"suffix":""},{"dropping-particle</w:instrText>
      </w:r>
      <w:r>
        <w:rPr>
          <w:rFonts w:ascii="Arial" w:eastAsia="Times New Roman" w:hAnsi="Arial" w:cs="Arial"/>
          <w:color w:val="000000"/>
          <w:lang w:val="en-US" w:eastAsia="de-DE"/>
        </w:rPr>
        <w:instrText>":"","family":"Spronsen","given":"Edwin A.","non-dropping-particle":"van","parse-names":false,"suffix":""},{"dropping-particle":"","family":"Traas","given":"Jan","non-dropping-particle":"","parse-names":false,"suffix":""},{"dropping-particle":"","family":"</w:instrText>
      </w:r>
      <w:r>
        <w:rPr>
          <w:rFonts w:ascii="Arial" w:eastAsia="Times New Roman" w:hAnsi="Arial" w:cs="Arial"/>
          <w:color w:val="000000"/>
          <w:lang w:val="en-US" w:eastAsia="de-DE"/>
        </w:rPr>
        <w:instrText>Woldringh","given":"Conrad L.","non-dropping-particle":"","parse-names":false,"suffix":""}],"container-title":"Archives of Microbiology","id":"ITEM-1","issue":"3","issued":{"date-parts":[["1982","5"]]},"page":"235-240","publisher":"Springer-Verlag","title"</w:instrText>
      </w:r>
      <w:r>
        <w:rPr>
          <w:rFonts w:ascii="Arial" w:eastAsia="Times New Roman" w:hAnsi="Arial" w:cs="Arial"/>
          <w:color w:val="000000"/>
          <w:lang w:val="en-US" w:eastAsia="de-DE"/>
        </w:rPr>
        <w:instrText>:"Effects of temperature on the size and shape of Escherichia coli cells","type":"article-journal","volume":"131"},"uris":["http://www.mendeley.com/documents/?uuid=c9f3956b-5bf9-3b10-81c4-20c39ae31c13"]},{"id":"ITEM-2","itemData":{"DOI":"10.1016/S0168-1656</w:instrText>
      </w:r>
      <w:r>
        <w:rPr>
          <w:rFonts w:ascii="Arial" w:eastAsia="Times New Roman" w:hAnsi="Arial" w:cs="Arial"/>
          <w:color w:val="000000"/>
          <w:lang w:val="en-US" w:eastAsia="de-DE"/>
        </w:rPr>
        <w:instrText xml:space="preserve">(03)00031-2","ISSN":"0168-1656","PMID":"12795302","abstract":"The effect of a rapid temperature increase on the volume of different types of cells was investigated. Experiments were carried out using continuous microscopic image analysis. Volume variation </w:instrText>
      </w:r>
      <w:r>
        <w:rPr>
          <w:rFonts w:ascii="Arial" w:eastAsia="Times New Roman" w:hAnsi="Arial" w:cs="Arial"/>
          <w:color w:val="000000"/>
          <w:lang w:val="en-US" w:eastAsia="de-DE"/>
        </w:rPr>
        <w:instrText>of yeast cells, yeast spheroplasts and human leukaemia cells was measured during the transient phase after a thermal shift. The thermal shift was found to induce rapid increase in cell volume for cells lacking a cell wall (yeast spheroplasts and human leuk</w:instrText>
      </w:r>
      <w:r>
        <w:rPr>
          <w:rFonts w:ascii="Arial" w:eastAsia="Times New Roman" w:hAnsi="Arial" w:cs="Arial"/>
          <w:color w:val="000000"/>
          <w:lang w:val="en-US" w:eastAsia="de-DE"/>
        </w:rPr>
        <w:instrText>aemia cells). This increase in cell volume is assumed to be a main cause of the heat shock-induced cell death. A theoretical mechanistic model that explains the behaviour of these cells is finally proposed. © 2003 Elsevier Science B.V. All rights reserved.</w:instrText>
      </w:r>
      <w:r>
        <w:rPr>
          <w:rFonts w:ascii="Arial" w:eastAsia="Times New Roman" w:hAnsi="Arial" w:cs="Arial"/>
          <w:color w:val="000000"/>
          <w:lang w:val="en-US" w:eastAsia="de-DE"/>
        </w:rPr>
        <w:instrText>","author":[{"dropping-particle":"","family":"Gervais","given":"Patrick","non-dropping-particle":"","parse-names":false,"suffix":""},{"dropping-particle":"","family":"Martínez De Marañón","given":"Iñigo","non-dropping-particle":"","parse-names":false,"suff</w:instrText>
      </w:r>
      <w:r>
        <w:rPr>
          <w:rFonts w:ascii="Arial" w:eastAsia="Times New Roman" w:hAnsi="Arial" w:cs="Arial"/>
          <w:color w:val="000000"/>
          <w:lang w:val="en-US" w:eastAsia="de-DE"/>
        </w:rPr>
        <w:instrText>ix":""},{"dropping-particle":"","family":"Evrard","given":"Christine","non-dropping-particle":"","parse-names":false,"suffix":""},{"dropping-particle":"","family":"Ferret","given":"Eric","non-dropping-particle":"","parse-names":false,"suffix":""},{"droppin</w:instrText>
      </w:r>
      <w:r>
        <w:rPr>
          <w:rFonts w:ascii="Arial" w:eastAsia="Times New Roman" w:hAnsi="Arial" w:cs="Arial"/>
          <w:color w:val="000000"/>
          <w:lang w:val="en-US" w:eastAsia="de-DE"/>
        </w:rPr>
        <w:instrText>g-particle":"","family":"Moundanga","given":"Sylvie","non-dropping-particle":"","parse-names":false,"suffix":""}],"container-title":"Journal of Biotechnology","id":"ITEM-2","issue":"3","issued":{"date-parts":[["2003","5","8"]]},"page":"269-279","publisher"</w:instrText>
      </w:r>
      <w:r>
        <w:rPr>
          <w:rFonts w:ascii="Arial" w:eastAsia="Times New Roman" w:hAnsi="Arial" w:cs="Arial"/>
          <w:color w:val="000000"/>
          <w:lang w:val="en-US" w:eastAsia="de-DE"/>
        </w:rPr>
        <w:instrText>:"Elsevier","title":"Cell volume changes during rapid temperature shifts","type":"article-journal","volume":"102"},"uris":["http://www.mendeley.com/documents/?uuid=32b469a4-6824-30c8-98a0-478f9927edd9"]}],"mendeley":{"formattedCitation":"&lt;sup&gt;240,241&lt;/sup&gt;</w:instrText>
      </w:r>
      <w:r>
        <w:rPr>
          <w:rFonts w:ascii="Arial" w:eastAsia="Times New Roman" w:hAnsi="Arial" w:cs="Arial"/>
          <w:color w:val="000000"/>
          <w:lang w:val="en-US" w:eastAsia="de-DE"/>
        </w:rPr>
        <w:instrText>","plainTextFormattedCitation":"240,241","previouslyFormattedCitation":"&lt;sup&gt;240,241&lt;/sup&gt;"},"properties":{"noteIndex":0},"schema":"https://github.com/citation-style-language/schema/raw/master/csl-citation.json"}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240,241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 relevant question, therefore, </w:t>
      </w:r>
      <w:r>
        <w:rPr>
          <w:rFonts w:ascii="Arial" w:eastAsia="Times New Roman" w:hAnsi="Arial" w:cs="Arial"/>
          <w:color w:val="000000"/>
          <w:lang w:val="en-US" w:eastAsia="de-DE"/>
        </w:rPr>
        <w:t>is how global warming might affect cellular size and function in the coming years. Leles and Levine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{"citationItems":[{"id":"ITEM-1","itemData":{"DOI":"10.1126/SCIADV.ADH8043/SUPPL_FILE/SCIADV.ADH8043_SM.PDF","ISSN":"23752548","PMID":"376</w:instrText>
      </w:r>
      <w:r>
        <w:rPr>
          <w:rFonts w:ascii="Arial" w:eastAsia="Times New Roman" w:hAnsi="Arial" w:cs="Arial"/>
          <w:color w:val="000000"/>
          <w:lang w:val="en-US" w:eastAsia="de-DE"/>
        </w:rPr>
        <w:instrText>56790","abstract":"Phytoplankton are responsible for half of all oxygen production and drive the ocean carbon cycle. Metabolic theory predicts that increasing global temperatures will cause phytoplankton to become more heterotrophic and smaller. Here, we u</w:instrText>
      </w:r>
      <w:r>
        <w:rPr>
          <w:rFonts w:ascii="Arial" w:eastAsia="Times New Roman" w:hAnsi="Arial" w:cs="Arial"/>
          <w:color w:val="000000"/>
          <w:lang w:val="en-US" w:eastAsia="de-DE"/>
        </w:rPr>
        <w:instrText xml:space="preserve">ncover the metabolic trade-offs between cellular space, energy, and stress management driving phytoplankton thermal acclimation and how these might be overcome through evolutionary adaptation. We show that the observed relationships between traits such as </w:instrText>
      </w:r>
      <w:r>
        <w:rPr>
          <w:rFonts w:ascii="Arial" w:eastAsia="Times New Roman" w:hAnsi="Arial" w:cs="Arial"/>
          <w:color w:val="000000"/>
          <w:lang w:val="en-US" w:eastAsia="de-DE"/>
        </w:rPr>
        <w:instrText>chlorophyll, lipid content, C:N, and size can be predicted on the basis of the metabolic demands of the cell, the thermal dependency of transporters, and changes in membrane lipids. We suggest that many of the observed relationships are not fixed physiolog</w:instrText>
      </w:r>
      <w:r>
        <w:rPr>
          <w:rFonts w:ascii="Arial" w:eastAsia="Times New Roman" w:hAnsi="Arial" w:cs="Arial"/>
          <w:color w:val="000000"/>
          <w:lang w:val="en-US" w:eastAsia="de-DE"/>
        </w:rPr>
        <w:instrText>ical constraints but rather can be altered through adaptation. For example, the evolution of lipid metabolism can favor larger cells with higher lipid content to mitigate oxidative stress. These results have implications for rates of carbon sequestration a</w:instrText>
      </w:r>
      <w:r>
        <w:rPr>
          <w:rFonts w:ascii="Arial" w:eastAsia="Times New Roman" w:hAnsi="Arial" w:cs="Arial"/>
          <w:color w:val="000000"/>
          <w:lang w:val="en-US" w:eastAsia="de-DE"/>
        </w:rPr>
        <w:instrText>nd export in a warmer ocean.","author":[{"dropping-particle":"","family":"Leles","given":"Suzana G.","non-dropping-particle":"","parse-names":false,"suffix":""},{"dropping-particle":"","family":"Levine","given":"Naomi M.","non-dropping-particle":"","parse-</w:instrText>
      </w:r>
      <w:r>
        <w:rPr>
          <w:rFonts w:ascii="Arial" w:eastAsia="Times New Roman" w:hAnsi="Arial" w:cs="Arial"/>
          <w:color w:val="000000"/>
          <w:lang w:val="en-US" w:eastAsia="de-DE"/>
        </w:rPr>
        <w:instrText>names":false,"suffix":""}],"container-title":"Science Advances","id":"ITEM-1","issue":"35","issued":{"date-parts":[["2023"]]},"publisher":"American Association for the Advancement of Science","title":"Mechanistic constraints on the trade-off between photos</w:instrText>
      </w:r>
      <w:r>
        <w:rPr>
          <w:rFonts w:ascii="Arial" w:eastAsia="Times New Roman" w:hAnsi="Arial" w:cs="Arial"/>
          <w:color w:val="000000"/>
          <w:lang w:val="en-US" w:eastAsia="de-DE"/>
        </w:rPr>
        <w:instrText>ynthesis and respiration in response to warming","type":"article-journal","volume":"9"},"uris":["http://www.mendeley.com/documents/?uuid=85842313-264c-3543-8a0b-4aeec5cf15d3"]}],"mendeley":{"formattedCitation":"&lt;sup&gt;159&lt;/sup&gt;","plainTextFormattedCitation":</w:instrText>
      </w:r>
      <w:r>
        <w:rPr>
          <w:rFonts w:ascii="Arial" w:eastAsia="Times New Roman" w:hAnsi="Arial" w:cs="Arial"/>
          <w:color w:val="000000"/>
          <w:lang w:val="en-US" w:eastAsia="de-DE"/>
        </w:rPr>
        <w:instrText>"159","previouslyFormattedCitation":"&lt;sup&gt;159&lt;/sup&gt;"},"properties":{"noteIndex":0},"schema":"https://github.com/citation-style-language/schema/raw/master/csl-citation.json"}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have developed a proteomic model of a phytoplankton cell to study thermal ac</w:t>
      </w:r>
      <w:r>
        <w:rPr>
          <w:rFonts w:ascii="Arial" w:eastAsia="Times New Roman" w:hAnsi="Arial" w:cs="Arial"/>
          <w:color w:val="000000"/>
          <w:lang w:val="en-US" w:eastAsia="de-DE"/>
        </w:rPr>
        <w:t>climation in phytoplankton. While theoretical studies suggest that cells are expected to become smaller and more heterotrophic with an increase in temperature, their model suggests that under certain environmental conditions, cells might adapt to warming b</w:t>
      </w:r>
      <w:r>
        <w:rPr>
          <w:rFonts w:ascii="Arial" w:eastAsia="Times New Roman" w:hAnsi="Arial" w:cs="Arial"/>
          <w:color w:val="000000"/>
          <w:lang w:val="en-US" w:eastAsia="de-DE"/>
        </w:rPr>
        <w:t>y evolving larger sizes, faster growth rates and by changing their lipid metabolism. Since phytoplankton are responsible for half of all oxygen production on earth, this finding could be significant for understanding global effects of ocean warming</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w:instrText>
      </w:r>
      <w:r>
        <w:rPr>
          <w:rFonts w:ascii="Arial" w:eastAsia="Times New Roman" w:hAnsi="Arial" w:cs="Arial"/>
          <w:color w:val="000000"/>
          <w:lang w:val="en-US" w:eastAsia="de-DE"/>
        </w:rPr>
        <w:instrText>L_CITATION {"citationItems":[{"id":"ITEM-1","itemData":{"DOI":"10.1126/SCIADV.ADH8043/SUPPL_FILE/SCIADV.ADH8043_SM.PDF","ISSN":"23752548","PMID":"37656790","abstract":"Phytoplankton are responsible for half of all oxygen production and drive the ocean carb</w:instrText>
      </w:r>
      <w:r>
        <w:rPr>
          <w:rFonts w:ascii="Arial" w:eastAsia="Times New Roman" w:hAnsi="Arial" w:cs="Arial"/>
          <w:color w:val="000000"/>
          <w:lang w:val="en-US" w:eastAsia="de-DE"/>
        </w:rPr>
        <w:instrText>on cycle. Metabolic theory predicts that increasing global temperatures will cause phytoplankton to become more heterotrophic and smaller. Here, we uncover the metabolic trade-offs between cellular space, energy, and stress management driving phytoplankton</w:instrText>
      </w:r>
      <w:r>
        <w:rPr>
          <w:rFonts w:ascii="Arial" w:eastAsia="Times New Roman" w:hAnsi="Arial" w:cs="Arial"/>
          <w:color w:val="000000"/>
          <w:lang w:val="en-US" w:eastAsia="de-DE"/>
        </w:rPr>
        <w:instrText xml:space="preserve"> thermal acclimation and how these might be overcome through evolutionary adaptation. We show that the observed relationships between traits such as chlorophyll, lipid content, C:N, and size can be predicted on the basis of the metabolic demands of the cel</w:instrText>
      </w:r>
      <w:r>
        <w:rPr>
          <w:rFonts w:ascii="Arial" w:eastAsia="Times New Roman" w:hAnsi="Arial" w:cs="Arial"/>
          <w:color w:val="000000"/>
          <w:lang w:val="en-US" w:eastAsia="de-DE"/>
        </w:rPr>
        <w:instrText>l, the thermal dependency of transporters, and changes in membrane lipids. We suggest that many of the observed relationships are not fixed physiological constraints but rather can be altered through adaptation. For example, the evolution of lipid metaboli</w:instrText>
      </w:r>
      <w:r>
        <w:rPr>
          <w:rFonts w:ascii="Arial" w:eastAsia="Times New Roman" w:hAnsi="Arial" w:cs="Arial"/>
          <w:color w:val="000000"/>
          <w:lang w:val="en-US" w:eastAsia="de-DE"/>
        </w:rPr>
        <w:instrText>sm can favor larger cells with higher lipid content to mitigate oxidative stress. These results have implications for rates of carbon sequestration and export in a warmer ocean.","author":[{"dropping-particle":"","family":"Leles","given":"Suzana G.","non-d</w:instrText>
      </w:r>
      <w:r>
        <w:rPr>
          <w:rFonts w:ascii="Arial" w:eastAsia="Times New Roman" w:hAnsi="Arial" w:cs="Arial"/>
          <w:color w:val="000000"/>
          <w:lang w:val="en-US" w:eastAsia="de-DE"/>
        </w:rPr>
        <w:instrText>ropping-particle":"","parse-names":false,"suffix":""},{"dropping-particle":"","family":"Levine","given":"Naomi M.","non-dropping-particle":"","parse-names":false,"suffix":""}],"container-title":"Science Advances","id":"ITEM-1","issue":"35","issued":{"date-</w:instrText>
      </w:r>
      <w:r>
        <w:rPr>
          <w:rFonts w:ascii="Arial" w:eastAsia="Times New Roman" w:hAnsi="Arial" w:cs="Arial"/>
          <w:color w:val="000000"/>
          <w:lang w:val="en-US" w:eastAsia="de-DE"/>
        </w:rPr>
        <w:instrText>parts":[["2023"]]},"publisher":"American Association for the Advancement of Science","title":"Mechanistic constraints on the trade-off between photosynthesis and respiration in response to warming","type":"article-journal","volume":"9"},"uris":["http://www</w:instrText>
      </w:r>
      <w:r>
        <w:rPr>
          <w:rFonts w:ascii="Arial" w:eastAsia="Times New Roman" w:hAnsi="Arial" w:cs="Arial"/>
          <w:color w:val="000000"/>
          <w:lang w:val="en-US" w:eastAsia="de-DE"/>
        </w:rPr>
        <w:instrText>.mendeley.com/documents/?uuid=85842313-264c-3543-8a0b-4aeec5cf15d3"]}],"mendeley":{"formattedCitation":"&lt;sup&gt;159&lt;/sup&gt;","plainTextFormattedCitation":"159","previouslyFormattedCitation":"&lt;sup&gt;159&lt;/sup&gt;"},"properties":{"noteIndex":0},"schema":"https://github</w:instrText>
      </w:r>
      <w:r>
        <w:rPr>
          <w:rFonts w:ascii="Arial" w:eastAsia="Times New Roman" w:hAnsi="Arial" w:cs="Arial"/>
          <w:color w:val="000000"/>
          <w:lang w:val="en-US" w:eastAsia="de-DE"/>
        </w:rPr>
        <w:instrText>.com/citation-style-language/schema/raw/master/csl-citation.json"}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159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 study in zebrafish larvae showed cell-size dependent phenotypes under warmer or cooler rearing temperatures, indicating the existence of different selection pressures for ectotherm</w:t>
      </w:r>
      <w:r>
        <w:rPr>
          <w:rFonts w:ascii="Arial" w:eastAsia="Times New Roman" w:hAnsi="Arial" w:cs="Arial"/>
          <w:color w:val="000000"/>
          <w:lang w:val="en-US" w:eastAsia="de-DE"/>
        </w:rPr>
        <w:t xml:space="preserve"> cell sizes under different temperatures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{"citationItems":[{"id":"ITEM-1","itemData":{"DOI":"10.3389/FPHYS.2021.738804/BIBTEX","ISSN":"1664042X","abstract":"Cell size may be important in understanding the thermal biology of ectotherms, as</w:instrText>
      </w:r>
      <w:r>
        <w:rPr>
          <w:rFonts w:ascii="Arial" w:eastAsia="Times New Roman" w:hAnsi="Arial" w:cs="Arial"/>
          <w:color w:val="000000"/>
          <w:lang w:val="en-US" w:eastAsia="de-DE"/>
        </w:rPr>
        <w:instrText xml:space="preserve"> the regulation and consequences of cell size appear to be temperature dependent. Using a recently developed model system of triploid zebrafish (which have around 1.5-fold larger cells than their diploid counterparts) we examine the effects of cell size on</w:instrText>
      </w:r>
      <w:r>
        <w:rPr>
          <w:rFonts w:ascii="Arial" w:eastAsia="Times New Roman" w:hAnsi="Arial" w:cs="Arial"/>
          <w:color w:val="000000"/>
          <w:lang w:val="en-US" w:eastAsia="de-DE"/>
        </w:rPr>
        <w:instrText xml:space="preserve"> gene expression, growth, development and swimming performance in zebrafish larvae at different temperatures. Both temperature and ploidy affected the expression of genes related to metabolic processes (citrate synthase and lactate dehydrogenase), growth a</w:instrText>
      </w:r>
      <w:r>
        <w:rPr>
          <w:rFonts w:ascii="Arial" w:eastAsia="Times New Roman" w:hAnsi="Arial" w:cs="Arial"/>
          <w:color w:val="000000"/>
          <w:lang w:val="en-US" w:eastAsia="de-DE"/>
        </w:rPr>
        <w:instrText>nd swimming performance. Temperature also increased development rate, but there was no effect of ploidy level. We did find interactive effects between ploidy and temperature for gene expression, body size and swimming performance, confirming that the conse</w:instrText>
      </w:r>
      <w:r>
        <w:rPr>
          <w:rFonts w:ascii="Arial" w:eastAsia="Times New Roman" w:hAnsi="Arial" w:cs="Arial"/>
          <w:color w:val="000000"/>
          <w:lang w:val="en-US" w:eastAsia="de-DE"/>
        </w:rPr>
        <w:instrText>quences of cell size are temperature dependent. Triploids with larger cells performed best at cool conditions, while diploids performed better at warmer conditions. These results suggest different selection pressures on ectotherms and their cell size in co</w:instrText>
      </w:r>
      <w:r>
        <w:rPr>
          <w:rFonts w:ascii="Arial" w:eastAsia="Times New Roman" w:hAnsi="Arial" w:cs="Arial"/>
          <w:color w:val="000000"/>
          <w:lang w:val="en-US" w:eastAsia="de-DE"/>
        </w:rPr>
        <w:instrText>ld and warm habitats.","author":[{"dropping-particle":"","family":"Pol","given":"Iris Louise Eleonora","non-dropping-particle":"van de","parse-names":false,"suffix":""},{"dropping-particle":"","family":"Hermaniuk","given":"Adam","non-dropping-particle":"",</w:instrText>
      </w:r>
      <w:r>
        <w:rPr>
          <w:rFonts w:ascii="Arial" w:eastAsia="Times New Roman" w:hAnsi="Arial" w:cs="Arial"/>
          <w:color w:val="000000"/>
          <w:lang w:val="en-US" w:eastAsia="de-DE"/>
        </w:rPr>
        <w:instrText>"parse-names":false,"suffix":""},{"dropping-particle":"","family":"Verberk","given":"Wilhelmus Cornelis Egbertus Petrus","non-dropping-particle":"","parse-names":false,"suffix":""}],"container-title":"Frontiers in Physiology","id":"ITEM-1","issued":{"date-</w:instrText>
      </w:r>
      <w:r>
        <w:rPr>
          <w:rFonts w:ascii="Arial" w:eastAsia="Times New Roman" w:hAnsi="Arial" w:cs="Arial"/>
          <w:color w:val="000000"/>
          <w:lang w:val="en-US" w:eastAsia="de-DE"/>
        </w:rPr>
        <w:instrText>parts":[["2021","12","7"]]},"page":"738804","publisher":"Frontiers Media S.A.","title":"Interacting Effects of Cell Size and Temperature on Gene Expression, Growth, Development and Swimming Performance in Larval Zebrafish","type":"article-journal","volume"</w:instrText>
      </w:r>
      <w:r>
        <w:rPr>
          <w:rFonts w:ascii="Arial" w:eastAsia="Times New Roman" w:hAnsi="Arial" w:cs="Arial"/>
          <w:color w:val="000000"/>
          <w:lang w:val="en-US" w:eastAsia="de-DE"/>
        </w:rPr>
        <w:instrText>:"12"},"uris":["http://www.mendeley.com/documents/?uuid=61b0762a-6ee5-3b5f-b995-479b65cf5df2"]}],"mendeley":{"formattedCitation":"&lt;sup&gt;242&lt;/sup&gt;","plainTextFormattedCitation":"242","previouslyFormattedCitation":"&lt;sup&gt;242&lt;/sup&gt;"},"properties":{"noteIndex":0</w:instrText>
      </w:r>
      <w:r>
        <w:rPr>
          <w:rFonts w:ascii="Arial" w:eastAsia="Times New Roman" w:hAnsi="Arial" w:cs="Arial"/>
          <w:color w:val="000000"/>
          <w:lang w:val="en-US" w:eastAsia="de-DE"/>
        </w:rPr>
        <w:instrText>},"schema":"https://github.com/citation-style-language/schema/raw/master/csl-citation.json"}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242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t>
      </w:r>
    </w:p>
    <w:p w14:paraId="327CC2F5" w14:textId="77777777" w:rsidR="00066D11" w:rsidRDefault="00E55468">
      <w:pPr>
        <w:spacing w:before="240" w:after="240" w:line="240" w:lineRule="auto"/>
        <w:jc w:val="both"/>
        <w:rPr>
          <w:rFonts w:ascii="Arial" w:eastAsia="Times New Roman" w:hAnsi="Arial" w:cs="Arial"/>
          <w:color w:val="000000" w:themeColor="text1"/>
          <w:lang w:val="en-US" w:eastAsia="de-DE"/>
        </w:rPr>
      </w:pPr>
      <w:r>
        <w:rPr>
          <w:rFonts w:ascii="Arial" w:eastAsia="Times New Roman" w:hAnsi="Arial" w:cs="Arial"/>
          <w:color w:val="000000" w:themeColor="text1"/>
          <w:lang w:val="en-US" w:eastAsia="de-DE"/>
        </w:rPr>
        <w:t>Similarly, changes in extracellular pH led to changes in cell size in bacteria and yeast</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w:instrText>
      </w:r>
      <w:r>
        <w:rPr>
          <w:rFonts w:ascii="Arial" w:eastAsia="Times New Roman" w:hAnsi="Arial" w:cs="Arial"/>
          <w:color w:val="000000" w:themeColor="text1"/>
          <w:lang w:val="en-US" w:eastAsia="de-DE"/>
        </w:rPr>
        <w:instrText>I":"10.1371/JOURNAL.PGEN.1008685","ISBN":"1111111111","ISSN":"1553-7404","PMID":"32203516","abstract":"Cell size is a complex trait, derived from both genetic and environmental factors. Environmental determinants of bacterial cell size identified to date p</w:instrText>
      </w:r>
      <w:r>
        <w:rPr>
          <w:rFonts w:ascii="Arial" w:eastAsia="Times New Roman" w:hAnsi="Arial" w:cs="Arial"/>
          <w:color w:val="000000" w:themeColor="text1"/>
          <w:lang w:val="en-US" w:eastAsia="de-DE"/>
        </w:rPr>
        <w:instrText>rimarily target assembly of cytosolic components of the cell division machinery. Whether certain environmental cues also impact cell size through changes in the assembly or activity of extracytoplasmic division proteins remains an open question. Here, we i</w:instrText>
      </w:r>
      <w:r>
        <w:rPr>
          <w:rFonts w:ascii="Arial" w:eastAsia="Times New Roman" w:hAnsi="Arial" w:cs="Arial"/>
          <w:color w:val="000000" w:themeColor="text1"/>
          <w:lang w:val="en-US" w:eastAsia="de-DE"/>
        </w:rPr>
        <w:instrText>dentify extracellular pH as a modulator of cell division and a significant determinant of cell size across evolutionarily distant bacterial species. In the Gram-negative model organism Escherichia coli, our data indicate environmental pH impacts the length</w:instrText>
      </w:r>
      <w:r>
        <w:rPr>
          <w:rFonts w:ascii="Arial" w:eastAsia="Times New Roman" w:hAnsi="Arial" w:cs="Arial"/>
          <w:color w:val="000000" w:themeColor="text1"/>
          <w:lang w:val="en-US" w:eastAsia="de-DE"/>
        </w:rPr>
        <w:instrText xml:space="preserve"> at which cells divide by altering the ability of the terminal cell division protein FtsN to localize to the cytokinetic ring where it activates division. Acidic environments lead to enrichment of FtsN at the septum and activation of division at a reduced </w:instrText>
      </w:r>
      <w:r>
        <w:rPr>
          <w:rFonts w:ascii="Arial" w:eastAsia="Times New Roman" w:hAnsi="Arial" w:cs="Arial"/>
          <w:color w:val="000000" w:themeColor="text1"/>
          <w:lang w:val="en-US" w:eastAsia="de-DE"/>
        </w:rPr>
        <w:instrText>cell length. Alkaline pH inhibits FtsN localization and suppresses division activation. Altogether, our work reveals a previously unappreciated role for pH in bacterial cell size control.","author":[{"dropping-particle":"","family":"Mueller","given":"Eliza</w:instrText>
      </w:r>
      <w:r>
        <w:rPr>
          <w:rFonts w:ascii="Arial" w:eastAsia="Times New Roman" w:hAnsi="Arial" w:cs="Arial"/>
          <w:color w:val="000000" w:themeColor="text1"/>
          <w:lang w:val="en-US" w:eastAsia="de-DE"/>
        </w:rPr>
        <w:instrText>beth A.","non-dropping-particle":"","parse-names":false,"suffix":""},{"dropping-particle":"","family":"Westfall","given":"Corey S.","non-dropping-particle":"","parse-names":false,"suffix":""},{"dropping-particle":"","family":"Levin","given":"Petra Anne","n</w:instrText>
      </w:r>
      <w:r>
        <w:rPr>
          <w:rFonts w:ascii="Arial" w:eastAsia="Times New Roman" w:hAnsi="Arial" w:cs="Arial"/>
          <w:color w:val="000000" w:themeColor="text1"/>
          <w:lang w:val="en-US" w:eastAsia="de-DE"/>
        </w:rPr>
        <w:instrText xml:space="preserve">on-dropping-particle":"","parse-names":false,"suffix":""}],"container-title":"PLOS Genetics","id":"ITEM-1","issue":"3","issued":{"date-parts":[["2020","3","1"]]},"page":"e1008685","publisher":"Public Library of Science","title":"pH-dependent activation of </w:instrText>
      </w:r>
      <w:r>
        <w:rPr>
          <w:rFonts w:ascii="Arial" w:eastAsia="Times New Roman" w:hAnsi="Arial" w:cs="Arial"/>
          <w:color w:val="000000" w:themeColor="text1"/>
          <w:lang w:val="en-US" w:eastAsia="de-DE"/>
        </w:rPr>
        <w:instrText>cytokinesis modulates Escherichia coli cell size","type":"article-journal","volume":"16"},"uris":["http://www.mendeley.com/documents/?uuid=5bd22a0f-992b-308f-a9da-3203a692abb3"]},{"id":"ITEM-2","itemData":{"DOI":"10.1016/j.jbc.2023.102973","ISSN":"1083351X</w:instrText>
      </w:r>
      <w:r>
        <w:rPr>
          <w:rFonts w:ascii="Arial" w:eastAsia="Times New Roman" w:hAnsi="Arial" w:cs="Arial"/>
          <w:color w:val="000000" w:themeColor="text1"/>
          <w:lang w:val="en-US" w:eastAsia="de-DE"/>
        </w:rPr>
        <w:instrText>","PMID":"36738789","abstract":"Although cell size regulation is crucial for cellular functions in a variety of organisms from bacteria to humans, the underlying mechanisms remain elusive. Here, we identify Rim21, a component of the pH-sensing Rim101 pathw</w:instrText>
      </w:r>
      <w:r>
        <w:rPr>
          <w:rFonts w:ascii="Arial" w:eastAsia="Times New Roman" w:hAnsi="Arial" w:cs="Arial"/>
          <w:color w:val="000000" w:themeColor="text1"/>
          <w:lang w:val="en-US" w:eastAsia="de-DE"/>
        </w:rPr>
        <w:instrText>ay, as a positive regulator of cell size through a flow cytometry–based genome-wide screen of Saccharomyces cerevisiae deletion mutants. We found that mutants defective in the Rim101 pathway were consistently smaller than wildtype cells in the log and stat</w:instrText>
      </w:r>
      <w:r>
        <w:rPr>
          <w:rFonts w:ascii="Arial" w:eastAsia="Times New Roman" w:hAnsi="Arial" w:cs="Arial"/>
          <w:color w:val="000000" w:themeColor="text1"/>
          <w:lang w:val="en-US" w:eastAsia="de-DE"/>
        </w:rPr>
        <w:instrText>ionary phases. We show that the expression of the active form of Rim101 increased the size of wildtype cells. Furthermore, the size of wildtype cells increased in response to external alkalization. Microscopic observation revealed that this cell size incre</w:instrText>
      </w:r>
      <w:r>
        <w:rPr>
          <w:rFonts w:ascii="Arial" w:eastAsia="Times New Roman" w:hAnsi="Arial" w:cs="Arial"/>
          <w:color w:val="000000" w:themeColor="text1"/>
          <w:lang w:val="en-US" w:eastAsia="de-DE"/>
        </w:rPr>
        <w:instrText xml:space="preserve">ase was associated with changes in both vacuolar and cytoplasmic volume. We also found that these volume changes were dependent on Rim21 and Rim101. In addition, a mutant lacking Vph1, a component of V-ATPase that is transcriptionally regulated by Rim101, </w:instrText>
      </w:r>
      <w:r>
        <w:rPr>
          <w:rFonts w:ascii="Arial" w:eastAsia="Times New Roman" w:hAnsi="Arial" w:cs="Arial"/>
          <w:color w:val="000000" w:themeColor="text1"/>
          <w:lang w:val="en-US" w:eastAsia="de-DE"/>
        </w:rPr>
        <w:instrText>was also smaller than wildtype cells, with no increase in size in response to alkalization. We demonstrate that the loss of Vph1 suppressed the Rim101-induced increase in cell size under physiological pH conditions. Taken together, our results suggest that</w:instrText>
      </w:r>
      <w:r>
        <w:rPr>
          <w:rFonts w:ascii="Arial" w:eastAsia="Times New Roman" w:hAnsi="Arial" w:cs="Arial"/>
          <w:color w:val="000000" w:themeColor="text1"/>
          <w:lang w:val="en-US" w:eastAsia="de-DE"/>
        </w:rPr>
        <w:instrText xml:space="preserve"> the cell size of budding yeast is regulated by the Rim101–V-ATPase axis under physiological conditions as well as in response to alkaline stresses.","author":[{"dropping-particle":"","family":"Shimasawa","given":"Masaru","non-dropping-particle":"","parse-</w:instrText>
      </w:r>
      <w:r>
        <w:rPr>
          <w:rFonts w:ascii="Arial" w:eastAsia="Times New Roman" w:hAnsi="Arial" w:cs="Arial"/>
          <w:color w:val="000000" w:themeColor="text1"/>
          <w:lang w:val="en-US" w:eastAsia="de-DE"/>
        </w:rPr>
        <w:instrText>names":false,"suffix":""},{"dropping-particle":"","family":"Sakamaki","given":"Jun ichi","non-dropping-particle":"","parse-names":false,"suffix":""},{"dropping-particle":"","family":"Maeda","given":"Tatsuya","non-dropping-particle":"","parse-names":false,"</w:instrText>
      </w:r>
      <w:r>
        <w:rPr>
          <w:rFonts w:ascii="Arial" w:eastAsia="Times New Roman" w:hAnsi="Arial" w:cs="Arial"/>
          <w:color w:val="000000" w:themeColor="text1"/>
          <w:lang w:val="en-US" w:eastAsia="de-DE"/>
        </w:rPr>
        <w:instrText>suffix":""},{"dropping-particle":"","family":"Mizushima","given":"Noboru","non-dropping-particle":"","parse-names":false,"suffix":""}],"container-title":"Journal of Biological Chemistry","id":"ITEM-2","issue":"3","issued":{"date-parts":[["2023","3","1"]]},</w:instrText>
      </w:r>
      <w:r>
        <w:rPr>
          <w:rFonts w:ascii="Arial" w:eastAsia="Times New Roman" w:hAnsi="Arial" w:cs="Arial"/>
          <w:color w:val="000000" w:themeColor="text1"/>
          <w:lang w:val="en-US" w:eastAsia="de-DE"/>
        </w:rPr>
        <w:instrText>"page":"102973-102974","publisher":"American Society for Biochemistry and Molecular Biology Inc.","title":"The pH-sensing Rim101 pathway regulates cell size in budding yeast","type":"article-journal","volume":"299"},"uris":["http://www.mendeley.com/documen</w:instrText>
      </w:r>
      <w:r>
        <w:rPr>
          <w:rFonts w:ascii="Arial" w:eastAsia="Times New Roman" w:hAnsi="Arial" w:cs="Arial"/>
          <w:color w:val="000000" w:themeColor="text1"/>
          <w:lang w:val="en-US" w:eastAsia="de-DE"/>
        </w:rPr>
        <w:instrText>ts/?uuid=1f4efdb7-87e3-322b-86da-1b10f5ec227b"]}],"mendeley":{"formattedCitation":"&lt;sup&gt;243,244&lt;/sup&gt;","plainTextFormattedCitation":"243,244","previouslyFormattedCitation":"&lt;sup&gt;243,244&lt;/sup&gt;"},"properties":{"noteIndex":0},"schema":"https://github.com/cita</w:instrText>
      </w:r>
      <w:r>
        <w:rPr>
          <w:rFonts w:ascii="Arial" w:eastAsia="Times New Roman" w:hAnsi="Arial" w:cs="Arial"/>
          <w:color w:val="000000" w:themeColor="text1"/>
          <w:lang w:val="en-US" w:eastAsia="de-DE"/>
        </w:rPr>
        <w:instrText>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243,244</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In both organisms, acidic extracellular environments led to reduced cell sizes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w:instrText>
      </w:r>
      <w:r>
        <w:rPr>
          <w:rFonts w:ascii="Arial" w:eastAsia="Times New Roman" w:hAnsi="Arial" w:cs="Arial"/>
          <w:color w:val="000000" w:themeColor="text1"/>
          <w:lang w:val="en-US" w:eastAsia="de-DE"/>
        </w:rPr>
        <w:instrText>{"citationItems":[{"id":"ITEM-1","itemData":{"DOI":"10.1371/JOURNAL.PGEN.1008685","ISBN":"1111111111","ISSN":"1553-7404","PMID":"32203516","abstract":"Cell size is a complex trait, derived from both genetic and environmental factors. Environmental determin</w:instrText>
      </w:r>
      <w:r>
        <w:rPr>
          <w:rFonts w:ascii="Arial" w:eastAsia="Times New Roman" w:hAnsi="Arial" w:cs="Arial"/>
          <w:color w:val="000000" w:themeColor="text1"/>
          <w:lang w:val="en-US" w:eastAsia="de-DE"/>
        </w:rPr>
        <w:instrText>ants of bacterial cell size identified to date primarily target assembly of cytosolic components of the cell division machinery. Whether certain environmental cues also impact cell size through changes in the assembly or activity of extracytoplasmic divisi</w:instrText>
      </w:r>
      <w:r>
        <w:rPr>
          <w:rFonts w:ascii="Arial" w:eastAsia="Times New Roman" w:hAnsi="Arial" w:cs="Arial"/>
          <w:color w:val="000000" w:themeColor="text1"/>
          <w:lang w:val="en-US" w:eastAsia="de-DE"/>
        </w:rPr>
        <w:instrText>on proteins remains an open question. Here, we identify extracellular pH as a modulator of cell division and a significant determinant of cell size across evolutionarily distant bacterial species. In the Gram-negative model organism Escherichia coli, our d</w:instrText>
      </w:r>
      <w:r>
        <w:rPr>
          <w:rFonts w:ascii="Arial" w:eastAsia="Times New Roman" w:hAnsi="Arial" w:cs="Arial"/>
          <w:color w:val="000000" w:themeColor="text1"/>
          <w:lang w:val="en-US" w:eastAsia="de-DE"/>
        </w:rPr>
        <w:instrText>ata indicate environmental pH impacts the length at which cells divide by altering the ability of the terminal cell division protein FtsN to localize to the cytokinetic ring where it activates division. Acidic environments lead to enrichment of FtsN at the</w:instrText>
      </w:r>
      <w:r>
        <w:rPr>
          <w:rFonts w:ascii="Arial" w:eastAsia="Times New Roman" w:hAnsi="Arial" w:cs="Arial"/>
          <w:color w:val="000000" w:themeColor="text1"/>
          <w:lang w:val="en-US" w:eastAsia="de-DE"/>
        </w:rPr>
        <w:instrText xml:space="preserve"> septum and activation of division at a reduced cell length. Alkaline pH inhibits FtsN localization and suppresses division activation. Altogether, our work reveals a previously unappreciated role for pH in bacterial cell size control.","author":[{"droppin</w:instrText>
      </w:r>
      <w:r>
        <w:rPr>
          <w:rFonts w:ascii="Arial" w:eastAsia="Times New Roman" w:hAnsi="Arial" w:cs="Arial"/>
          <w:color w:val="000000" w:themeColor="text1"/>
          <w:lang w:val="en-US" w:eastAsia="de-DE"/>
        </w:rPr>
        <w:instrText>g-particle":"","family":"Mueller","given":"Elizabeth A.","non-dropping-particle":"","parse-names":false,"suffix":""},{"dropping-particle":"","family":"Westfall","given":"Corey S.","non-dropping-particle":"","parse-names":false,"suffix":""},{"dropping-parti</w:instrText>
      </w:r>
      <w:r>
        <w:rPr>
          <w:rFonts w:ascii="Arial" w:eastAsia="Times New Roman" w:hAnsi="Arial" w:cs="Arial"/>
          <w:color w:val="000000" w:themeColor="text1"/>
          <w:lang w:val="en-US" w:eastAsia="de-DE"/>
        </w:rPr>
        <w:instrText xml:space="preserve">cle":"","family":"Levin","given":"Petra Anne","non-dropping-particle":"","parse-names":false,"suffix":""}],"container-title":"PLOS Genetics","id":"ITEM-1","issue":"3","issued":{"date-parts":[["2020","3","1"]]},"page":"e1008685","publisher":"Public Library </w:instrText>
      </w:r>
      <w:r>
        <w:rPr>
          <w:rFonts w:ascii="Arial" w:eastAsia="Times New Roman" w:hAnsi="Arial" w:cs="Arial"/>
          <w:color w:val="000000" w:themeColor="text1"/>
          <w:lang w:val="en-US" w:eastAsia="de-DE"/>
        </w:rPr>
        <w:instrText>of Science","title":"pH-dependent activation of cytokinesis modulates Escherichia coli cell size","type":"article-journal","volume":"16"},"uris":["http://www.mendeley.com/documents/?uuid=5bd22a0f-992b-308f-a9da-3203a692abb3"]},{"id":"ITEM-2","itemData":{"D</w:instrText>
      </w:r>
      <w:r>
        <w:rPr>
          <w:rFonts w:ascii="Arial" w:eastAsia="Times New Roman" w:hAnsi="Arial" w:cs="Arial"/>
          <w:color w:val="000000" w:themeColor="text1"/>
          <w:lang w:val="en-US" w:eastAsia="de-DE"/>
        </w:rPr>
        <w:instrText>OI":"10.1016/j.jbc.2023.102973","ISSN":"1083351X","PMID":"36738789","abstract":"Although cell size regulation is crucial for cellular functions in a variety of organisms from bacteria to humans, the underlying mechanisms remain elusive. Here, we identify R</w:instrText>
      </w:r>
      <w:r>
        <w:rPr>
          <w:rFonts w:ascii="Arial" w:eastAsia="Times New Roman" w:hAnsi="Arial" w:cs="Arial"/>
          <w:color w:val="000000" w:themeColor="text1"/>
          <w:lang w:val="en-US" w:eastAsia="de-DE"/>
        </w:rPr>
        <w:instrText>im21, a component of the pH-sensing Rim101 pathway, as a positive regulator of cell size through a flow cytometry–based genome-wide screen of Saccharomyces cerevisiae deletion mutants. We found that mutants defective in the Rim101 pathway were consistently</w:instrText>
      </w:r>
      <w:r>
        <w:rPr>
          <w:rFonts w:ascii="Arial" w:eastAsia="Times New Roman" w:hAnsi="Arial" w:cs="Arial"/>
          <w:color w:val="000000" w:themeColor="text1"/>
          <w:lang w:val="en-US" w:eastAsia="de-DE"/>
        </w:rPr>
        <w:instrText xml:space="preserve"> smaller than wildtype cells in the log and stationary phases. We show that the expression of the active form of Rim101 increased the size of wildtype cells. Furthermore, the size of wildtype cells increased in response to external alkalization. Microscopi</w:instrText>
      </w:r>
      <w:r>
        <w:rPr>
          <w:rFonts w:ascii="Arial" w:eastAsia="Times New Roman" w:hAnsi="Arial" w:cs="Arial"/>
          <w:color w:val="000000" w:themeColor="text1"/>
          <w:lang w:val="en-US" w:eastAsia="de-DE"/>
        </w:rPr>
        <w:instrText>c observation revealed that this cell size increase was associated with changes in both vacuolar and cytoplasmic volume. We also found that these volume changes were dependent on Rim21 and Rim101. In addition, a mutant lacking Vph1, a component of V-ATPase</w:instrText>
      </w:r>
      <w:r>
        <w:rPr>
          <w:rFonts w:ascii="Arial" w:eastAsia="Times New Roman" w:hAnsi="Arial" w:cs="Arial"/>
          <w:color w:val="000000" w:themeColor="text1"/>
          <w:lang w:val="en-US" w:eastAsia="de-DE"/>
        </w:rPr>
        <w:instrText xml:space="preserve"> that is transcriptionally regulated by Rim101, was also smaller than wildtype cells, with no increase in size in response to alkalization. We demonstrate that the loss of Vph1 suppressed the Rim101-induced increase in cell size under physiological pH cond</w:instrText>
      </w:r>
      <w:r>
        <w:rPr>
          <w:rFonts w:ascii="Arial" w:eastAsia="Times New Roman" w:hAnsi="Arial" w:cs="Arial"/>
          <w:color w:val="000000" w:themeColor="text1"/>
          <w:lang w:val="en-US" w:eastAsia="de-DE"/>
        </w:rPr>
        <w:instrText>itions. Taken together, our results suggest that the cell size of budding yeast is regulated by the Rim101–V-ATPase axis under physiological conditions as well as in response to alkaline stresses.","author":[{"dropping-particle":"","family":"Shimasawa","gi</w:instrText>
      </w:r>
      <w:r>
        <w:rPr>
          <w:rFonts w:ascii="Arial" w:eastAsia="Times New Roman" w:hAnsi="Arial" w:cs="Arial"/>
          <w:color w:val="000000" w:themeColor="text1"/>
          <w:lang w:val="en-US" w:eastAsia="de-DE"/>
        </w:rPr>
        <w:instrText>ven":"Masaru","non-dropping-particle":"","parse-names":false,"suffix":""},{"dropping-particle":"","family":"Sakamaki","given":"Jun ichi","non-dropping-particle":"","parse-names":false,"suffix":""},{"dropping-particle":"","family":"Maeda","given":"Tatsuya",</w:instrText>
      </w:r>
      <w:r>
        <w:rPr>
          <w:rFonts w:ascii="Arial" w:eastAsia="Times New Roman" w:hAnsi="Arial" w:cs="Arial"/>
          <w:color w:val="000000" w:themeColor="text1"/>
          <w:lang w:val="en-US" w:eastAsia="de-DE"/>
        </w:rPr>
        <w:instrText>"non-dropping-particle":"","parse-names":false,"suffix":""},{"dropping-particle":"","family":"Mizushima","given":"Noboru","non-dropping-particle":"","parse-names":false,"suffix":""}],"container-title":"Journal of Biological Chemistry","id":"ITEM-2","issue"</w:instrText>
      </w:r>
      <w:r>
        <w:rPr>
          <w:rFonts w:ascii="Arial" w:eastAsia="Times New Roman" w:hAnsi="Arial" w:cs="Arial"/>
          <w:color w:val="000000" w:themeColor="text1"/>
          <w:lang w:val="en-US" w:eastAsia="de-DE"/>
        </w:rPr>
        <w:instrText>:"3","issued":{"date-parts":[["2023","3","1"]]},"page":"102973-102974","publisher":"American Society for Biochemistry and Molecular Biology Inc.","title":"The pH-sensing Rim101 pathway regulates cell size in budding yeast","type":"article-journal","volume"</w:instrText>
      </w:r>
      <w:r>
        <w:rPr>
          <w:rFonts w:ascii="Arial" w:eastAsia="Times New Roman" w:hAnsi="Arial" w:cs="Arial"/>
          <w:color w:val="000000" w:themeColor="text1"/>
          <w:lang w:val="en-US" w:eastAsia="de-DE"/>
        </w:rPr>
        <w:instrText>:"299"},"uris":["http://www.mendeley.com/documents/?uuid=1f4efdb7-87e3-322b-86da-1b10f5ec227b"]}],"mendeley":{"formattedCitation":"&lt;sup&gt;243,244&lt;/sup&gt;","plainTextFormattedCitation":"243,244","previouslyFormattedCitation":"&lt;sup&gt;243,244&lt;/sup&gt;"},"properties":{</w:instrText>
      </w:r>
      <w:r>
        <w:rPr>
          <w:rFonts w:ascii="Arial" w:eastAsia="Times New Roman" w:hAnsi="Arial" w:cs="Arial"/>
          <w:color w:val="000000" w:themeColor="text1"/>
          <w:lang w:val="en-US" w:eastAsia="de-DE"/>
        </w:rPr>
        <w:instrText>"noteIndex":0},"schema":"https://github.com/citation-style-language/schema/raw/master/csl-citation.json"}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243,244</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and in bacteria, basic extracellular environments led to longer cells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w:instrText>
      </w:r>
      <w:r>
        <w:rPr>
          <w:rFonts w:ascii="Arial" w:eastAsia="Times New Roman" w:hAnsi="Arial" w:cs="Arial"/>
          <w:color w:val="000000" w:themeColor="text1"/>
          <w:lang w:val="en-US" w:eastAsia="de-DE"/>
        </w:rPr>
        <w:instrText>"10.1371/JOURNAL.PGEN.1008685","ISBN":"1111111111","ISSN":"1553-7404","PMID":"32203516","abstract":"Cell size is a complex trait, derived from both genetic and environmental factors. Environmental determinants of bacterial cell size identified to date prim</w:instrText>
      </w:r>
      <w:r>
        <w:rPr>
          <w:rFonts w:ascii="Arial" w:eastAsia="Times New Roman" w:hAnsi="Arial" w:cs="Arial"/>
          <w:color w:val="000000" w:themeColor="text1"/>
          <w:lang w:val="en-US" w:eastAsia="de-DE"/>
        </w:rPr>
        <w:instrText>arily target assembly of cytosolic components of the cell division machinery. Whether certain environmental cues also impact cell size through changes in the assembly or activity of extracytoplasmic division proteins remains an open question. Here, we iden</w:instrText>
      </w:r>
      <w:r>
        <w:rPr>
          <w:rFonts w:ascii="Arial" w:eastAsia="Times New Roman" w:hAnsi="Arial" w:cs="Arial"/>
          <w:color w:val="000000" w:themeColor="text1"/>
          <w:lang w:val="en-US" w:eastAsia="de-DE"/>
        </w:rPr>
        <w:instrText>tify extracellular pH as a modulator of cell division and a significant determinant of cell size across evolutionarily distant bacterial species. In the Gram-negative model organism Escherichia coli, our data indicate environmental pH impacts the length at</w:instrText>
      </w:r>
      <w:r>
        <w:rPr>
          <w:rFonts w:ascii="Arial" w:eastAsia="Times New Roman" w:hAnsi="Arial" w:cs="Arial"/>
          <w:color w:val="000000" w:themeColor="text1"/>
          <w:lang w:val="en-US" w:eastAsia="de-DE"/>
        </w:rPr>
        <w:instrText xml:space="preserve"> which cells divide by altering the ability of the terminal cell division protein FtsN to localize to the cytokinetic ring where it activates division. Acidic environments lead to enrichment of FtsN at the septum and activation of division at a reduced cel</w:instrText>
      </w:r>
      <w:r>
        <w:rPr>
          <w:rFonts w:ascii="Arial" w:eastAsia="Times New Roman" w:hAnsi="Arial" w:cs="Arial"/>
          <w:color w:val="000000" w:themeColor="text1"/>
          <w:lang w:val="en-US" w:eastAsia="de-DE"/>
        </w:rPr>
        <w:instrText>l length. Alkaline pH inhibits FtsN localization and suppresses division activation. Altogether, our work reveals a previously unappreciated role for pH in bacterial cell size control.","author":[{"dropping-particle":"","family":"Mueller","given":"Elizabet</w:instrText>
      </w:r>
      <w:r>
        <w:rPr>
          <w:rFonts w:ascii="Arial" w:eastAsia="Times New Roman" w:hAnsi="Arial" w:cs="Arial"/>
          <w:color w:val="000000" w:themeColor="text1"/>
          <w:lang w:val="en-US" w:eastAsia="de-DE"/>
        </w:rPr>
        <w:instrText>h A.","non-dropping-particle":"","parse-names":false,"suffix":""},{"dropping-particle":"","family":"Westfall","given":"Corey S.","non-dropping-particle":"","parse-names":false,"suffix":""},{"dropping-particle":"","family":"Levin","given":"Petra Anne","non-</w:instrText>
      </w:r>
      <w:r>
        <w:rPr>
          <w:rFonts w:ascii="Arial" w:eastAsia="Times New Roman" w:hAnsi="Arial" w:cs="Arial"/>
          <w:color w:val="000000" w:themeColor="text1"/>
          <w:lang w:val="en-US" w:eastAsia="de-DE"/>
        </w:rPr>
        <w:instrText>dropping-particle":"","parse-names":false,"suffix":""}],"container-title":"PLOS Genetics","id":"ITEM-1","issue":"3","issued":{"date-parts":[["2020","3","1"]]},"page":"e1008685","publisher":"Public Library of Science","title":"pH-dependent activation of cyt</w:instrText>
      </w:r>
      <w:r>
        <w:rPr>
          <w:rFonts w:ascii="Arial" w:eastAsia="Times New Roman" w:hAnsi="Arial" w:cs="Arial"/>
          <w:color w:val="000000" w:themeColor="text1"/>
          <w:lang w:val="en-US" w:eastAsia="de-DE"/>
        </w:rPr>
        <w:instrText>okinesis modulates Escherichia coli cell size","type":"article-journal","volume":"16"},"uris":["http://www.mendeley.com/documents/?uuid=5bd22a0f-992b-308f-a9da-3203a692abb3"]}],"mendeley":{"formattedCitation":"&lt;sup&gt;243&lt;/sup&gt;","plainTextFormattedCitation":"</w:instrText>
      </w:r>
      <w:r>
        <w:rPr>
          <w:rFonts w:ascii="Arial" w:eastAsia="Times New Roman" w:hAnsi="Arial" w:cs="Arial"/>
          <w:color w:val="000000" w:themeColor="text1"/>
          <w:lang w:val="en-US" w:eastAsia="de-DE"/>
        </w:rPr>
        <w:instrText>243","previouslyFormattedCitation":"&lt;sup&gt;243&lt;/sup&gt;"},"properties":{"noteIndex":0},"schema":"https://github.com/citation-style-language/schema/raw/master/csl-citation.json"}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There are also indications that </w:t>
      </w:r>
      <w:r>
        <w:rPr>
          <w:rFonts w:ascii="Arial" w:eastAsia="Times New Roman" w:hAnsi="Arial" w:cs="Arial"/>
          <w:color w:val="000000" w:themeColor="text1"/>
          <w:lang w:val="en-US" w:eastAsia="de-DE"/>
        </w:rPr>
        <w:lastRenderedPageBreak/>
        <w:t>extracellular pH can affect proliferation of</w:t>
      </w:r>
      <w:r>
        <w:rPr>
          <w:rFonts w:ascii="Arial" w:eastAsia="Times New Roman" w:hAnsi="Arial" w:cs="Arial"/>
          <w:color w:val="000000" w:themeColor="text1"/>
          <w:lang w:val="en-US" w:eastAsia="de-DE"/>
        </w:rPr>
        <w:t xml:space="preserve"> mammalian cells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{"citationItems":[{"id":"ITEM-1","itemData":{"DOI":"10.1083/jcb.9.1.141","ISSN":"00959901","PMID":"13764902","abstract":"A simple procedure has been established for controlling and measuring the pH of media in which the b</w:instrText>
      </w:r>
      <w:r>
        <w:rPr>
          <w:rFonts w:ascii="Arial" w:eastAsia="Times New Roman" w:hAnsi="Arial" w:cs="Arial"/>
          <w:color w:val="000000" w:themeColor="text1"/>
          <w:lang w:val="en-US" w:eastAsia="de-DE"/>
        </w:rPr>
        <w:instrText>icarbonate-carbonic acid system is the predominant buffer. The HCO(-) (3) concentration was maintained at 22.5 mM and the H(2)CO(3) concentration was varied by equilibrating the media with 0.5 to 40 per cent CO(2) in air. The curve relating extracellular p</w:instrText>
      </w:r>
      <w:r>
        <w:rPr>
          <w:rFonts w:ascii="Arial" w:eastAsia="Times New Roman" w:hAnsi="Arial" w:cs="Arial"/>
          <w:color w:val="000000" w:themeColor="text1"/>
          <w:lang w:val="en-US" w:eastAsia="de-DE"/>
        </w:rPr>
        <w:instrText xml:space="preserve">H to 3 day cell growth was similar for glass-attached HeLa and Chang liver cells. Maximum growth occurred over a pH range of 7.38 to 7.87. Cell growth declined precipitously on the alkaline side and more gradually on the acid side of the optimal pH range. </w:instrText>
      </w:r>
      <w:r>
        <w:rPr>
          <w:rFonts w:ascii="Arial" w:eastAsia="Times New Roman" w:hAnsi="Arial" w:cs="Arial"/>
          <w:color w:val="000000" w:themeColor="text1"/>
          <w:lang w:val="en-US" w:eastAsia="de-DE"/>
        </w:rPr>
        <w:instrText xml:space="preserve">Comparable pH growth curves were also obtained with newly isolated cells from rat liver and skeletal muscle. It was shown that the effect of pH on growth was independent of the CO(2) concentration and that the essential nutrients in the medium were stable </w:instrText>
      </w:r>
      <w:r>
        <w:rPr>
          <w:rFonts w:ascii="Arial" w:eastAsia="Times New Roman" w:hAnsi="Arial" w:cs="Arial"/>
          <w:color w:val="000000" w:themeColor="text1"/>
          <w:lang w:val="en-US" w:eastAsia="de-DE"/>
        </w:rPr>
        <w:instrText>over the pH range studied. Although alkalosis depressed the 3 day cell population, cells exposed to a pH of 8.0 to 8.2 grew at the maximal rate for the first 12 to 24 hours. Growth then ceased abruptly and the cells entered a steady state with respect to n</w:instrText>
      </w:r>
      <w:r>
        <w:rPr>
          <w:rFonts w:ascii="Arial" w:eastAsia="Times New Roman" w:hAnsi="Arial" w:cs="Arial"/>
          <w:color w:val="000000" w:themeColor="text1"/>
          <w:lang w:val="en-US" w:eastAsia="de-DE"/>
        </w:rPr>
        <w:instrText>et protein synthesis. This was followed by cytoplasmic retraction and cell death. Increasing the concentrations of calcium or magnesium in the medium failed to prevent the effects of alkalosis. Moreover, the increase in CO(-) (3) concentration of the media</w:instrText>
      </w:r>
      <w:r>
        <w:rPr>
          <w:rFonts w:ascii="Arial" w:eastAsia="Times New Roman" w:hAnsi="Arial" w:cs="Arial"/>
          <w:color w:val="000000" w:themeColor="text1"/>
          <w:lang w:val="en-US" w:eastAsia="de-DE"/>
        </w:rPr>
        <w:instrText xml:space="preserve"> and the concomitant decrease in Ca(++) ion concentration that occur at high pH were eliminated as determining factors in the growth failure and death. While acidosis had a less pronounced effect on the 3 day cell population, its effect on the growth rate </w:instrText>
      </w:r>
      <w:r>
        <w:rPr>
          <w:rFonts w:ascii="Arial" w:eastAsia="Times New Roman" w:hAnsi="Arial" w:cs="Arial"/>
          <w:color w:val="000000" w:themeColor="text1"/>
          <w:lang w:val="en-US" w:eastAsia="de-DE"/>
        </w:rPr>
        <w:instrText>was immediate. The increase in cell generation time was proportional to the H(+) ion concentration. In each of the cell lines studied, acidosis was accompanied by a striking increase in the number of cytoplasmic perinuclear granules. These granules which s</w:instrText>
      </w:r>
      <w:r>
        <w:rPr>
          <w:rFonts w:ascii="Arial" w:eastAsia="Times New Roman" w:hAnsi="Arial" w:cs="Arial"/>
          <w:color w:val="000000" w:themeColor="text1"/>
          <w:lang w:val="en-US" w:eastAsia="de-DE"/>
        </w:rPr>
        <w:instrText>tain supravitally with Janus green are extracted from fixed cells with lipid solvents. They maintain their identity in cell homogenates and may be isolated from the other subcellular structures by differential centrifugation; at 100,000 g they form a disti</w:instrText>
      </w:r>
      <w:r>
        <w:rPr>
          <w:rFonts w:ascii="Arial" w:eastAsia="Times New Roman" w:hAnsi="Arial" w:cs="Arial"/>
          <w:color w:val="000000" w:themeColor="text1"/>
          <w:lang w:val="en-US" w:eastAsia="de-DE"/>
        </w:rPr>
        <w:instrText xml:space="preserve">nct layer at the top of the supernatant fraction. On the basis of their physical and chemical properties, these granules have been called lipid-rich particles. The accumulation of lipid-rich particles in acidosis was independent of the growth rate and the </w:instrText>
      </w:r>
      <w:r>
        <w:rPr>
          <w:rFonts w:ascii="Arial" w:eastAsia="Times New Roman" w:hAnsi="Arial" w:cs="Arial"/>
          <w:color w:val="000000" w:themeColor="text1"/>
          <w:lang w:val="en-US" w:eastAsia="de-DE"/>
        </w:rPr>
        <w:instrText>CO(2) concentration.","author":[{"dropping-particle":"","family":"MACKENZIE","given":"C. G.","non-dropping-particle":"","parse-names":false,"suffix":""},{"dropping-particle":"","family":"MACKENZIE","given":"J. B.","non-dropping-particle":"","parse-names":f</w:instrText>
      </w:r>
      <w:r>
        <w:rPr>
          <w:rFonts w:ascii="Arial" w:eastAsia="Times New Roman" w:hAnsi="Arial" w:cs="Arial"/>
          <w:color w:val="000000" w:themeColor="text1"/>
          <w:lang w:val="en-US" w:eastAsia="de-DE"/>
        </w:rPr>
        <w:instrText>alse,"suffix":""},{"dropping-particle":"","family":"BECK","given":"P.","non-dropping-particle":"","parse-names":false,"suffix":""}],"container-title":"The Journal of biophysical and biochemical cytology","id":"ITEM-1","issue":"1","issued":{"date-parts":[["</w:instrText>
      </w:r>
      <w:r>
        <w:rPr>
          <w:rFonts w:ascii="Arial" w:eastAsia="Times New Roman" w:hAnsi="Arial" w:cs="Arial"/>
          <w:color w:val="000000" w:themeColor="text1"/>
          <w:lang w:val="en-US" w:eastAsia="de-DE"/>
        </w:rPr>
        <w:instrText>1961","1","1"]]},"page":"141-156","publisher":"The Rockefeller University Press","title":"The effect of pH on growth, protein synthesis, and lipid-rich particles of cultured mammalian cells.","type":"article-journal","volume":"9"},"uris":["http://www.mende</w:instrText>
      </w:r>
      <w:r>
        <w:rPr>
          <w:rFonts w:ascii="Arial" w:eastAsia="Times New Roman" w:hAnsi="Arial" w:cs="Arial"/>
          <w:color w:val="000000" w:themeColor="text1"/>
          <w:lang w:val="en-US" w:eastAsia="de-DE"/>
        </w:rPr>
        <w:instrText xml:space="preserve">ley.com/documents/?uuid=567cffdb-97ce-375c-bfb8-670ac9ee1fd4"]},{"id":"ITEM-2","itemData":{"DOI":"10.3390/IJMS22189910","ISSN":"1422-0067","PMID":"34576073","abstract":"Breast cancer is the most common type of cancer in women and the most life-threatening </w:instrText>
      </w:r>
      <w:r>
        <w:rPr>
          <w:rFonts w:ascii="Arial" w:eastAsia="Times New Roman" w:hAnsi="Arial" w:cs="Arial"/>
          <w:color w:val="000000" w:themeColor="text1"/>
          <w:lang w:val="en-US" w:eastAsia="de-DE"/>
        </w:rPr>
        <w:instrText xml:space="preserve">cancer in females worldwide. One key feature of cancer cells, including breast cancer cells, is a reversed pH gradient which causes the extracellular pH of cancer cells to be more acidic than that of normal cells. Growing literature suggests that alkaline </w:instrText>
      </w:r>
      <w:r>
        <w:rPr>
          <w:rFonts w:ascii="Arial" w:eastAsia="Times New Roman" w:hAnsi="Arial" w:cs="Arial"/>
          <w:color w:val="000000" w:themeColor="text1"/>
          <w:lang w:val="en-US" w:eastAsia="de-DE"/>
        </w:rPr>
        <w:instrText>therapy could reverse the pH gradient back to normal and treat the cancer; however, evidence remains inconclusive. In this study, we investigated how different exogenous pH levels affected the growth, survival, intracellular reactive oxygen species (ROS) l</w:instrText>
      </w:r>
      <w:r>
        <w:rPr>
          <w:rFonts w:ascii="Arial" w:eastAsia="Times New Roman" w:hAnsi="Arial" w:cs="Arial"/>
          <w:color w:val="000000" w:themeColor="text1"/>
          <w:lang w:val="en-US" w:eastAsia="de-DE"/>
        </w:rPr>
        <w:instrText>evels and cell cycle of triple-negative breast cancer cells from MDA-MB-231 cancer cell lines. Our results demonstrated that extreme acidic conditions (pH 6.0) and moderate to extreme basic conditions (pH 8.4 and pH 9.2) retarded cellular growth, induced c</w:instrText>
      </w:r>
      <w:r>
        <w:rPr>
          <w:rFonts w:ascii="Arial" w:eastAsia="Times New Roman" w:hAnsi="Arial" w:cs="Arial"/>
          <w:color w:val="000000" w:themeColor="text1"/>
          <w:lang w:val="en-US" w:eastAsia="de-DE"/>
        </w:rPr>
        <w:instrText>ell death via necrosis and apoptosis, increased ROS levels, and shifted the cell cycle away from the G0/G1 phase. However, slightly acidic conditions (pH 6.7) increased cellular growth, decreased ROS levels, did not cause significant cell death and shifted</w:instrText>
      </w:r>
      <w:r>
        <w:rPr>
          <w:rFonts w:ascii="Arial" w:eastAsia="Times New Roman" w:hAnsi="Arial" w:cs="Arial"/>
          <w:color w:val="000000" w:themeColor="text1"/>
          <w:lang w:val="en-US" w:eastAsia="de-DE"/>
        </w:rPr>
        <w:instrText xml:space="preserve"> the cell cycle from the G0/G1 phase to the G2/M phase, thereby explaining why cancer cells favored acidic conditions over neutral ones. Interestingly, our results also showed that cellular pH history did not significantly affect the subsequent growth of c</w:instrText>
      </w:r>
      <w:r>
        <w:rPr>
          <w:rFonts w:ascii="Arial" w:eastAsia="Times New Roman" w:hAnsi="Arial" w:cs="Arial"/>
          <w:color w:val="000000" w:themeColor="text1"/>
          <w:lang w:val="en-US" w:eastAsia="de-DE"/>
        </w:rPr>
        <w:instrText>ells when the pH of the medium was changed. Based on these results, we suggest that controlling or maintaining an unfavorable pH (such as a slightly alkaline pH) for cancer cells in vivo could retard the growth of cancer cells or potentially treat the canc</w:instrText>
      </w:r>
      <w:r>
        <w:rPr>
          <w:rFonts w:ascii="Arial" w:eastAsia="Times New Roman" w:hAnsi="Arial" w:cs="Arial"/>
          <w:color w:val="000000" w:themeColor="text1"/>
          <w:lang w:val="en-US" w:eastAsia="de-DE"/>
        </w:rPr>
        <w:instrText>er.","author":[{"dropping-particle":"","family":"Lee","given":"Sungmun","non-dropping-particle":"","parse-names":false,"suffix":""},{"dropping-particle":"","family":"Shanti","given":"Aya","non-dropping-particle":"","parse-names":false,"suffix":""}],"contai</w:instrText>
      </w:r>
      <w:r>
        <w:rPr>
          <w:rFonts w:ascii="Arial" w:eastAsia="Times New Roman" w:hAnsi="Arial" w:cs="Arial"/>
          <w:color w:val="000000" w:themeColor="text1"/>
          <w:lang w:val="en-US" w:eastAsia="de-DE"/>
        </w:rPr>
        <w:instrText>ner-title":"International Journal of Molecular Sciences 2021, Vol. 22, Page 9910","id":"ITEM-2","issue":"18","issued":{"date-parts":[["2021","9","14"]]},"page":"9910","publisher":"Multidisciplinary Digital Publishing Institute","title":"Effect of Exogenous</w:instrText>
      </w:r>
      <w:r>
        <w:rPr>
          <w:rFonts w:ascii="Arial" w:eastAsia="Times New Roman" w:hAnsi="Arial" w:cs="Arial"/>
          <w:color w:val="000000" w:themeColor="text1"/>
          <w:lang w:val="en-US" w:eastAsia="de-DE"/>
        </w:rPr>
        <w:instrText xml:space="preserve"> pH on Cell Growth of Breast Cancer Cells","type":"article-journal","volume":"22"},"uris":["http://www.mendeley.com/documents/?uuid=35795186-9fb5-3fbb-a8f6-460234cc38c8"]}],"mendeley":{"formattedCitation":"&lt;sup&gt;245,246&lt;/sup&gt;","plainTextFormattedCitation":"</w:instrText>
      </w:r>
      <w:r>
        <w:rPr>
          <w:rFonts w:ascii="Arial" w:eastAsia="Times New Roman" w:hAnsi="Arial" w:cs="Arial"/>
          <w:color w:val="000000" w:themeColor="text1"/>
          <w:lang w:val="en-US" w:eastAsia="de-DE"/>
        </w:rPr>
        <w:instrText>245,246","previouslyFormattedCitation":"&lt;sup&gt;245,246&lt;/sup&gt;"},"properties":{"noteIndex":0},"schema":"https://github.com/citation-style-language/schema/raw/master/csl-citation.json"}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245,246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In addition, for cultured mammalian cell lines, the stiffness of</w:t>
      </w:r>
      <w:r>
        <w:rPr>
          <w:rFonts w:ascii="Arial" w:eastAsia="Times New Roman" w:hAnsi="Arial" w:cs="Arial"/>
          <w:color w:val="000000" w:themeColor="text1"/>
          <w:lang w:val="en-US" w:eastAsia="de-DE"/>
        </w:rPr>
        <w:t xml:space="preserve"> the substrate can affect cell size and shape, with stiffer substrate leading to increased cell volume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{"citationItems":[{"id":"ITEM-1","itemData":{"DOI":"10.1002/JCP.26026","ISSN":"1097-4652","PMID":"28543431","abstract":"Existing studie</w:instrText>
      </w:r>
      <w:r>
        <w:rPr>
          <w:rFonts w:ascii="Arial" w:eastAsia="Times New Roman" w:hAnsi="Arial" w:cs="Arial"/>
          <w:color w:val="000000" w:themeColor="text1"/>
          <w:lang w:val="en-US" w:eastAsia="de-DE"/>
        </w:rPr>
        <w:instrText>s on the mechanism of cell volume regulation are mainly relevant to ion channels and osmosis in extracellular fluid. Recently, accumulating evidence has shown that cellular mechanical microenvironment also influences the cell volume. Herein, we investigate</w:instrText>
      </w:r>
      <w:r>
        <w:rPr>
          <w:rFonts w:ascii="Arial" w:eastAsia="Times New Roman" w:hAnsi="Arial" w:cs="Arial"/>
          <w:color w:val="000000" w:themeColor="text1"/>
          <w:lang w:val="en-US" w:eastAsia="de-DE"/>
        </w:rPr>
        <w:instrText>d the regulation of substrate stiffness on the cell volume homeostasis of MCF-7 cells and their following migration behaviors. We found that cell volume increases with increasing substrate stiffness, which could be affected by blocking the cell membrane an</w:instrText>
      </w:r>
      <w:r>
        <w:rPr>
          <w:rFonts w:ascii="Arial" w:eastAsia="Times New Roman" w:hAnsi="Arial" w:cs="Arial"/>
          <w:color w:val="000000" w:themeColor="text1"/>
          <w:lang w:val="en-US" w:eastAsia="de-DE"/>
        </w:rPr>
        <w:instrText xml:space="preserve">ion permeability and dopamine receptor. In addition, the cell migration is significantly inhibited by decreasing the cell volume using tamoxifen and such inhibition effect on migration is enhanced by increasing substrate stiffness. The cell membrane anion </w:instrText>
      </w:r>
      <w:r>
        <w:rPr>
          <w:rFonts w:ascii="Arial" w:eastAsia="Times New Roman" w:hAnsi="Arial" w:cs="Arial"/>
          <w:color w:val="000000" w:themeColor="text1"/>
          <w:lang w:val="en-US" w:eastAsia="de-DE"/>
        </w:rPr>
        <w:instrText>permeability might be the linker between cellular mechanical microenvironment and cellular volume homeostasis regulation. This work revealed the regulation of substrate stiffness on cell volume homeostasis for the first time, which would provide a new pers</w:instrText>
      </w:r>
      <w:r>
        <w:rPr>
          <w:rFonts w:ascii="Arial" w:eastAsia="Times New Roman" w:hAnsi="Arial" w:cs="Arial"/>
          <w:color w:val="000000" w:themeColor="text1"/>
          <w:lang w:val="en-US" w:eastAsia="de-DE"/>
        </w:rPr>
        <w:instrText>pective into the understanding of cancer metastasis and a promising anti-cancer therapy through regulation of cell volume homeostasis.","author":[{"dropping-particle":"","family":"Wang","given":"Meng","non-dropping-particle":"","parse-names":false,"suffix"</w:instrText>
      </w:r>
      <w:r>
        <w:rPr>
          <w:rFonts w:ascii="Arial" w:eastAsia="Times New Roman" w:hAnsi="Arial" w:cs="Arial"/>
          <w:color w:val="000000" w:themeColor="text1"/>
          <w:lang w:val="en-US" w:eastAsia="de-DE"/>
        </w:rPr>
        <w:instrText>:""},{"dropping-particle":"","family":"Chai","given":"Na","non-dropping-particle":"","parse-names":false,"suffix":""},{"dropping-particle":"","family":"Sha","given":"Baoyong","non-dropping-particle":"","parse-names":false,"suffix":""},{"dropping-particle":</w:instrText>
      </w:r>
      <w:r>
        <w:rPr>
          <w:rFonts w:ascii="Arial" w:eastAsia="Times New Roman" w:hAnsi="Arial" w:cs="Arial"/>
          <w:color w:val="000000" w:themeColor="text1"/>
          <w:lang w:val="en-US" w:eastAsia="de-DE"/>
        </w:rPr>
        <w:instrText>"","family":"Guo","given":"Manyun","non-dropping-particle":"","parse-names":false,"suffix":""},{"dropping-particle":"","family":"Zhuang","given":"Jian","non-dropping-particle":"","parse-names":false,"suffix":""},{"dropping-particle":"","family":"Xu","given</w:instrText>
      </w:r>
      <w:r>
        <w:rPr>
          <w:rFonts w:ascii="Arial" w:eastAsia="Times New Roman" w:hAnsi="Arial" w:cs="Arial"/>
          <w:color w:val="000000" w:themeColor="text1"/>
          <w:lang w:val="en-US" w:eastAsia="de-DE"/>
        </w:rPr>
        <w:instrText>":"Feng","non-dropping-particle":"","parse-names":false,"suffix":""},{"dropping-particle":"","family":"Li","given":"Fei","non-dropping-particle":"","parse-names":false,"suffix":""}],"container-title":"Journal of Cellular Physiology","id":"ITEM-1","issue":"</w:instrText>
      </w:r>
      <w:r>
        <w:rPr>
          <w:rFonts w:ascii="Arial" w:eastAsia="Times New Roman" w:hAnsi="Arial" w:cs="Arial"/>
          <w:color w:val="000000" w:themeColor="text1"/>
          <w:lang w:val="en-US" w:eastAsia="de-DE"/>
        </w:rPr>
        <w:instrText>2","issued":{"date-parts":[["2018","2","1"]]},"page":"1414-1423","publisher":"John Wiley &amp; Sons, Ltd","title":"The effect of substrate stiffness on cancer cell volume homeostasis","type":"article-journal","volume":"233"},"uris":["http://www.mendeley.com/do</w:instrText>
      </w:r>
      <w:r>
        <w:rPr>
          <w:rFonts w:ascii="Arial" w:eastAsia="Times New Roman" w:hAnsi="Arial" w:cs="Arial"/>
          <w:color w:val="000000" w:themeColor="text1"/>
          <w:lang w:val="en-US" w:eastAsia="de-DE"/>
        </w:rPr>
        <w:instrText>cuments/?uuid=4005123e-fd92-3569-a42b-20923f9776db"]}],"mendeley":{"formattedCitation":"&lt;sup&gt;247&lt;/sup&gt;","plainTextFormattedCitation":"247","previouslyFormattedCitation":"&lt;sup&gt;247&lt;/sup&gt;"},"properties":{"noteIndex":0},"schema":"https://github.com/citation-st</w:instrText>
      </w:r>
      <w:r>
        <w:rPr>
          <w:rFonts w:ascii="Arial" w:eastAsia="Times New Roman" w:hAnsi="Arial" w:cs="Arial"/>
          <w:color w:val="000000" w:themeColor="text1"/>
          <w:lang w:val="en-US" w:eastAsia="de-DE"/>
        </w:rPr>
        <w:instrTex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or area</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{"citationItems":[{"id":"ITEM-1","itemData":{"DOI":"10.1002/CM.20041","ISSN":"1097-0169","PMID":"15573414","abstract":"The morphology and cytoskeletal structure of fibroblas</w:instrText>
      </w:r>
      <w:r>
        <w:rPr>
          <w:rFonts w:ascii="Arial" w:eastAsia="Times New Roman" w:hAnsi="Arial" w:cs="Arial"/>
          <w:color w:val="000000" w:themeColor="text1"/>
          <w:lang w:val="en-US" w:eastAsia="de-DE"/>
        </w:rPr>
        <w:instrText>ts, endothelial cells, and neutrophils are documented for cells cultured on surfaces with stiffness ranging from 2 to 55,000 Pa that have been laminated with fibronectin or collagen as adhesive ligand. When grown in sparse culture with no cell-cell contact</w:instrText>
      </w:r>
      <w:r>
        <w:rPr>
          <w:rFonts w:ascii="Arial" w:eastAsia="Times New Roman" w:hAnsi="Arial" w:cs="Arial"/>
          <w:color w:val="000000" w:themeColor="text1"/>
          <w:lang w:val="en-US" w:eastAsia="de-DE"/>
        </w:rPr>
        <w:instrText>s, fibroblasts and endothelial cells show an abrupt change in spread area that occurs at a stiffness range around 3,000 Pa. No actin stress fibers are seen in fibroblasts on soft surfaces, and the appearance of stress fibers is abrupt and complete at a sti</w:instrText>
      </w:r>
      <w:r>
        <w:rPr>
          <w:rFonts w:ascii="Arial" w:eastAsia="Times New Roman" w:hAnsi="Arial" w:cs="Arial"/>
          <w:color w:val="000000" w:themeColor="text1"/>
          <w:lang w:val="en-US" w:eastAsia="de-DE"/>
        </w:rPr>
        <w:instrText xml:space="preserve">ffness range coincident with that at which they spread. Upregulation of α5 integrin also occurs in the same stiffness range, but exogenous expression of α5 integrin is not sufficient to cause cell spreading on soft surfaces. Neutrophils, in contrast, show </w:instrText>
      </w:r>
      <w:r>
        <w:rPr>
          <w:rFonts w:ascii="Arial" w:eastAsia="Times New Roman" w:hAnsi="Arial" w:cs="Arial"/>
          <w:color w:val="000000" w:themeColor="text1"/>
          <w:lang w:val="en-US" w:eastAsia="de-DE"/>
        </w:rPr>
        <w:instrText xml:space="preserve">no dependence of either resting shape or ability to spread after activation when cultured on surfaces as soft as 2 Pa compared to glass. The shape and cytoskeletal differences evident in single cells on soft compared to hard substrates are eliminated when </w:instrText>
      </w:r>
      <w:r>
        <w:rPr>
          <w:rFonts w:ascii="Arial" w:eastAsia="Times New Roman" w:hAnsi="Arial" w:cs="Arial"/>
          <w:color w:val="000000" w:themeColor="text1"/>
          <w:lang w:val="en-US" w:eastAsia="de-DE"/>
        </w:rPr>
        <w:instrText>fibroblasts or endothelial cells make cell-cell contact. These results support the hypothesis that mechanical factors impact different cell types in fundamentally different ways, and can trigger specific changes similar to those stimulated by soluble ligan</w:instrText>
      </w:r>
      <w:r>
        <w:rPr>
          <w:rFonts w:ascii="Arial" w:eastAsia="Times New Roman" w:hAnsi="Arial" w:cs="Arial"/>
          <w:color w:val="000000" w:themeColor="text1"/>
          <w:lang w:val="en-US" w:eastAsia="de-DE"/>
        </w:rPr>
        <w:instrText>ds. © 2004 Wiley-Liss, Inc.","author":[{"dropping-particle":"","family":"Yeung","given":"Tony","non-dropping-particle":"","parse-names":false,"suffix":""},{"dropping-particle":"","family":"Georges","given":"Penelope C.","non-dropping-particle":"","parse-na</w:instrText>
      </w:r>
      <w:r>
        <w:rPr>
          <w:rFonts w:ascii="Arial" w:eastAsia="Times New Roman" w:hAnsi="Arial" w:cs="Arial"/>
          <w:color w:val="000000" w:themeColor="text1"/>
          <w:lang w:val="en-US" w:eastAsia="de-DE"/>
        </w:rPr>
        <w:instrText>mes":false,"suffix":""},{"dropping-particle":"","family":"Flanagan","given":"Lisa A.","non-dropping-particle":"","parse-names":false,"suffix":""},{"dropping-particle":"","family":"Marg","given":"Beatrice","non-dropping-particle":"","parse-names":false,"suf</w:instrText>
      </w:r>
      <w:r>
        <w:rPr>
          <w:rFonts w:ascii="Arial" w:eastAsia="Times New Roman" w:hAnsi="Arial" w:cs="Arial"/>
          <w:color w:val="000000" w:themeColor="text1"/>
          <w:lang w:val="en-US" w:eastAsia="de-DE"/>
        </w:rPr>
        <w:instrText>fix":""},{"dropping-particle":"","family":"Ortiz","given":"Miguelina","non-dropping-particle":"","parse-names":false,"suffix":""},{"dropping-particle":"","family":"Funaki","given":"Makoto","non-dropping-particle":"","parse-names":false,"suffix":""},{"dropp</w:instrText>
      </w:r>
      <w:r>
        <w:rPr>
          <w:rFonts w:ascii="Arial" w:eastAsia="Times New Roman" w:hAnsi="Arial" w:cs="Arial"/>
          <w:color w:val="000000" w:themeColor="text1"/>
          <w:lang w:val="en-US" w:eastAsia="de-DE"/>
        </w:rPr>
        <w:instrText>ing-particle":"","family":"Zahir","given":"Nastaran","non-dropping-particle":"","parse-names":false,"suffix":""},{"dropping-particle":"","family":"Ming","given":"Wenyu","non-dropping-particle":"","parse-names":false,"suffix":""},{"dropping-particle":"","fa</w:instrText>
      </w:r>
      <w:r>
        <w:rPr>
          <w:rFonts w:ascii="Arial" w:eastAsia="Times New Roman" w:hAnsi="Arial" w:cs="Arial"/>
          <w:color w:val="000000" w:themeColor="text1"/>
          <w:lang w:val="en-US" w:eastAsia="de-DE"/>
        </w:rPr>
        <w:instrText>mily":"Weaver","given":"Valerie","non-dropping-particle":"","parse-names":false,"suffix":""},{"dropping-particle":"","family":"Janmey","given":"Paul A.","non-dropping-particle":"","parse-names":false,"suffix":""}],"container-title":"Cell Motility and the C</w:instrText>
      </w:r>
      <w:r>
        <w:rPr>
          <w:rFonts w:ascii="Arial" w:eastAsia="Times New Roman" w:hAnsi="Arial" w:cs="Arial"/>
          <w:color w:val="000000" w:themeColor="text1"/>
          <w:lang w:val="en-US" w:eastAsia="de-DE"/>
        </w:rPr>
        <w:instrText>ytoskeleton","id":"ITEM-1","issue":"1","issued":{"date-parts":[["2005","1","1"]]},"page":"24-34","publisher":"John Wiley &amp; Sons, Ltd","title":"Effects of substrate stiffness on cell morphology, cytoskeletal structure, and adhesion","type":"article-journal"</w:instrText>
      </w:r>
      <w:r>
        <w:rPr>
          <w:rFonts w:ascii="Arial" w:eastAsia="Times New Roman" w:hAnsi="Arial" w:cs="Arial"/>
          <w:color w:val="000000" w:themeColor="text1"/>
          <w:lang w:val="en-US" w:eastAsia="de-DE"/>
        </w:rPr>
        <w:instrText>,"volume":"60"},"uris":["http://www.mendeley.com/documents/?uuid=d7623eb1-1948-3c84-9749-d0637b960dbb"]}],"mendeley":{"formattedCitation":"&lt;sup&gt;248&lt;/sup&gt;","plainTextFormattedCitation":"248","previouslyFormattedCitation":"&lt;sup&gt;248&lt;/sup&gt;"},"properties":{"not</w:instrText>
      </w:r>
      <w:r>
        <w:rPr>
          <w:rFonts w:ascii="Arial" w:eastAsia="Times New Roman" w:hAnsi="Arial" w:cs="Arial"/>
          <w:color w:val="000000" w:themeColor="text1"/>
          <w:lang w:val="en-US" w:eastAsia="de-DE"/>
        </w:rPr>
        <w:instrTex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248</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These examples describe how physical properties of the environment can alter cell size and how the cellular response can be either to maintain the </w:t>
      </w:r>
      <w:r>
        <w:rPr>
          <w:rFonts w:ascii="Arial" w:eastAsia="Times New Roman" w:hAnsi="Arial" w:cs="Arial"/>
          <w:color w:val="000000" w:themeColor="text1"/>
          <w:lang w:val="en-US" w:eastAsia="de-DE"/>
        </w:rPr>
        <w:t xml:space="preserve">original size or to adapt to a size </w:t>
      </w:r>
      <w:proofErr w:type="gramStart"/>
      <w:r>
        <w:rPr>
          <w:rFonts w:ascii="Arial" w:eastAsia="Times New Roman" w:hAnsi="Arial" w:cs="Arial"/>
          <w:color w:val="000000" w:themeColor="text1"/>
          <w:lang w:val="en-US" w:eastAsia="de-DE"/>
        </w:rPr>
        <w:t>better-suited</w:t>
      </w:r>
      <w:proofErr w:type="gramEnd"/>
      <w:r>
        <w:rPr>
          <w:rFonts w:ascii="Arial" w:eastAsia="Times New Roman" w:hAnsi="Arial" w:cs="Arial"/>
          <w:color w:val="000000" w:themeColor="text1"/>
          <w:lang w:val="en-US" w:eastAsia="de-DE"/>
        </w:rPr>
        <w:t xml:space="preserve"> to the environmental change. Moreover, this indicates that multiple environmental parameters signal to a complex cell size control system.  The effect that a multicellular environment such as a tissue may h</w:t>
      </w:r>
      <w:r>
        <w:rPr>
          <w:rFonts w:ascii="Arial" w:eastAsia="Times New Roman" w:hAnsi="Arial" w:cs="Arial"/>
          <w:color w:val="000000" w:themeColor="text1"/>
          <w:lang w:val="en-US" w:eastAsia="de-DE"/>
        </w:rPr>
        <w:t>ave on cell size control is discussed in section 7.1.5.</w:t>
      </w:r>
    </w:p>
    <w:p w14:paraId="774FF363"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u w:val="single"/>
          <w:lang w:val="en-US" w:eastAsia="de-DE"/>
        </w:rPr>
        <w:t>7. Mechanisms of cell size control</w:t>
      </w:r>
    </w:p>
    <w:p w14:paraId="51391A9E"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7.1 Steady state cell size control in proliferating cells </w:t>
      </w:r>
    </w:p>
    <w:p w14:paraId="16BF10C5"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Cell size control is the regulation through which cell populations maintain narrow size distributions by c</w:t>
      </w:r>
      <w:r>
        <w:rPr>
          <w:rFonts w:ascii="Arial" w:eastAsia="Times New Roman" w:hAnsi="Arial" w:cs="Arial"/>
          <w:color w:val="000000" w:themeColor="text1"/>
          <w:lang w:val="en-US" w:eastAsia="de-DE"/>
        </w:rPr>
        <w:t>orrecting deviations in size. Cell size homeostasis then emerges from single-cell level size control, which, in proliferating cells, is typically executed through a coupling of cell division and cell growth to cell size (Fig. 6). While our understanding of</w:t>
      </w:r>
      <w:r>
        <w:rPr>
          <w:rFonts w:ascii="Arial" w:eastAsia="Times New Roman" w:hAnsi="Arial" w:cs="Arial"/>
          <w:color w:val="000000" w:themeColor="text1"/>
          <w:lang w:val="en-US" w:eastAsia="de-DE"/>
        </w:rPr>
        <w:t xml:space="preserve"> the coupling between growth rate regulation and cell size is only at the beginning</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{"citationItems":[{"id":"ITEM-1","itemData":{"DOI":"10.3389/FCELL.2022.949382/BIBTEX","ISSN":"2296634X","abstract":"The human body is programmed with defi</w:instrText>
      </w:r>
      <w:r>
        <w:rPr>
          <w:rFonts w:ascii="Arial" w:eastAsia="Times New Roman" w:hAnsi="Arial" w:cs="Arial"/>
          <w:color w:val="000000" w:themeColor="text1"/>
          <w:lang w:val="en-US" w:eastAsia="de-DE"/>
        </w:rPr>
        <w:instrText>nite quantities, magnitudes, and proportions. At the microscopic level, such definite sizes manifest in individual cells - different cell types are characterized by distinct cell sizes whereas cells of the same type are highly uniform in size. How do cells</w:instrText>
      </w:r>
      <w:r>
        <w:rPr>
          <w:rFonts w:ascii="Arial" w:eastAsia="Times New Roman" w:hAnsi="Arial" w:cs="Arial"/>
          <w:color w:val="000000" w:themeColor="text1"/>
          <w:lang w:val="en-US" w:eastAsia="de-DE"/>
        </w:rPr>
        <w:instrText xml:space="preserve"> in a population maintain uniformity in cell size, and how are changes in target size programmed? A convergence of recent and historical studies suggest - just as a thermostat maintains room temperature - the size of proliferating animal cells is similarly</w:instrText>
      </w:r>
      <w:r>
        <w:rPr>
          <w:rFonts w:ascii="Arial" w:eastAsia="Times New Roman" w:hAnsi="Arial" w:cs="Arial"/>
          <w:color w:val="000000" w:themeColor="text1"/>
          <w:lang w:val="en-US" w:eastAsia="de-DE"/>
        </w:rPr>
        <w:instrText xml:space="preserve"> maintained by homeostatic mechanisms. In this review, we first summarize old and new literature on the existence of cell size checkpoints, then discuss additional advances in the study of size homeostasis that involve feedback regulation of cellular growt</w:instrText>
      </w:r>
      <w:r>
        <w:rPr>
          <w:rFonts w:ascii="Arial" w:eastAsia="Times New Roman" w:hAnsi="Arial" w:cs="Arial"/>
          <w:color w:val="000000" w:themeColor="text1"/>
          <w:lang w:val="en-US" w:eastAsia="de-DE"/>
        </w:rPr>
        <w:instrText>h rate. We further discuss recent progress on the molecules that underlie cell size checkpoints and mechanisms that specify target size setpoints. Lastly, we discuss a less-well explored teleological question: why does cell size matter and what is the func</w:instrText>
      </w:r>
      <w:r>
        <w:rPr>
          <w:rFonts w:ascii="Arial" w:eastAsia="Times New Roman" w:hAnsi="Arial" w:cs="Arial"/>
          <w:color w:val="000000" w:themeColor="text1"/>
          <w:lang w:val="en-US" w:eastAsia="de-DE"/>
        </w:rPr>
        <w:instrText>tional importance of cell size control?","author":[{"dropping-particle":"","family":"Liu","given":"Shixuan","non-dropping-particle":"","parse-names":false,"suffix":""},{"dropping-particle":"","family":"Tan","given":"Ceryl","non-dropping-particle":"","parse</w:instrText>
      </w:r>
      <w:r>
        <w:rPr>
          <w:rFonts w:ascii="Arial" w:eastAsia="Times New Roman" w:hAnsi="Arial" w:cs="Arial"/>
          <w:color w:val="000000" w:themeColor="text1"/>
          <w:lang w:val="en-US" w:eastAsia="de-DE"/>
        </w:rPr>
        <w:instrText>-names":false,"suffix":""},{"dropping-particle":"","family":"Tyers","given":"Mike","non-dropping-particle":"","parse-names":false,"suffix":""},{"dropping-particle":"","family":"Zetterberg","given":"Anders","non-dropping-particle":"","parse-names":false,"su</w:instrText>
      </w:r>
      <w:r>
        <w:rPr>
          <w:rFonts w:ascii="Arial" w:eastAsia="Times New Roman" w:hAnsi="Arial" w:cs="Arial"/>
          <w:color w:val="000000" w:themeColor="text1"/>
          <w:lang w:val="en-US" w:eastAsia="de-DE"/>
        </w:rPr>
        <w:instrText>ffix":""},{"dropping-particle":"","family":"Kafri","given":"Ran","non-dropping-particle":"","parse-names":false,"suffix":""}],"container-title":"Frontiers in Cell and Developmental Biology","id":"ITEM-1","issued":{"date-parts":[["2022","11","1"]]},"page":"</w:instrText>
      </w:r>
      <w:r>
        <w:rPr>
          <w:rFonts w:ascii="Arial" w:eastAsia="Times New Roman" w:hAnsi="Arial" w:cs="Arial"/>
          <w:color w:val="000000" w:themeColor="text1"/>
          <w:lang w:val="en-US" w:eastAsia="de-DE"/>
        </w:rPr>
        <w:instrText>949382","publisher":"Frontiers Media S.A.","title":"What programs the size of animal cells?","type":"article-journal","volume":"10"},"uris":["http://www.mendeley.com/documents/?uuid=9c31cbbe-a90d-3eca-b3d8-9b0266a5b0f6"]}],"mendeley":{"formattedCitation":"</w:instrText>
      </w:r>
      <w:r>
        <w:rPr>
          <w:rFonts w:ascii="Arial" w:eastAsia="Times New Roman" w:hAnsi="Arial" w:cs="Arial"/>
          <w:color w:val="000000" w:themeColor="text1"/>
          <w:lang w:val="en-US" w:eastAsia="de-DE"/>
        </w:rPr>
        <w:instrText>&lt;sup&gt;249&lt;/sup&gt;","plainTextFormattedCitation":"249","previouslyFormattedCitation":"&lt;sup&gt;249&lt;/sup&gt;"},"properties":{"noteIndex":0},"schema":"https://github.com/citation-style-language/schema/raw/master/csl-citation.json"}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the coupling between cell divi</w:t>
      </w:r>
      <w:r>
        <w:rPr>
          <w:rFonts w:ascii="Arial" w:eastAsia="Times New Roman" w:hAnsi="Arial" w:cs="Arial"/>
          <w:color w:val="000000" w:themeColor="text1"/>
          <w:lang w:val="en-US" w:eastAsia="de-DE"/>
        </w:rPr>
        <w:t xml:space="preserve">sion and cell size has been extensively studied and multiple mathematical models have been proposed. Conceptually, simplified mathematical descriptions have often been categorized into </w:t>
      </w:r>
      <w:r>
        <w:rPr>
          <w:rFonts w:ascii="Arial" w:eastAsia="Times New Roman" w:hAnsi="Arial" w:cs="Arial"/>
          <w:i/>
          <w:iCs/>
          <w:color w:val="000000" w:themeColor="text1"/>
          <w:lang w:val="en-US" w:eastAsia="de-DE"/>
        </w:rPr>
        <w:t>sizers</w:t>
      </w:r>
      <w:r>
        <w:rPr>
          <w:rFonts w:ascii="Arial" w:eastAsia="Times New Roman" w:hAnsi="Arial" w:cs="Arial"/>
          <w:color w:val="000000" w:themeColor="text1"/>
          <w:lang w:val="en-US" w:eastAsia="de-DE"/>
        </w:rPr>
        <w:t xml:space="preserve">, </w:t>
      </w:r>
      <w:r>
        <w:rPr>
          <w:rFonts w:ascii="Arial" w:eastAsia="Times New Roman" w:hAnsi="Arial" w:cs="Arial"/>
          <w:i/>
          <w:iCs/>
          <w:color w:val="000000" w:themeColor="text1"/>
          <w:lang w:val="en-US" w:eastAsia="de-DE"/>
        </w:rPr>
        <w:t>adders</w:t>
      </w:r>
      <w:r>
        <w:rPr>
          <w:rFonts w:ascii="Arial" w:eastAsia="Times New Roman" w:hAnsi="Arial" w:cs="Arial"/>
          <w:color w:val="000000" w:themeColor="text1"/>
          <w:lang w:val="en-US" w:eastAsia="de-DE"/>
        </w:rPr>
        <w:t xml:space="preserve"> or </w:t>
      </w:r>
      <w:r>
        <w:rPr>
          <w:rFonts w:ascii="Arial" w:eastAsia="Times New Roman" w:hAnsi="Arial" w:cs="Arial"/>
          <w:i/>
          <w:iCs/>
          <w:color w:val="000000" w:themeColor="text1"/>
          <w:lang w:val="en-US" w:eastAsia="de-DE"/>
        </w:rPr>
        <w:t>timers</w:t>
      </w:r>
      <w:r>
        <w:rPr>
          <w:rFonts w:ascii="Arial" w:eastAsia="Times New Roman" w:hAnsi="Arial" w:cs="Arial"/>
          <w:color w:val="000000" w:themeColor="text1"/>
          <w:lang w:val="en-US" w:eastAsia="de-DE"/>
        </w:rPr>
        <w:t>, depending upon what is prioritized in the cel</w:t>
      </w:r>
      <w:r>
        <w:rPr>
          <w:rFonts w:ascii="Arial" w:eastAsia="Times New Roman" w:hAnsi="Arial" w:cs="Arial"/>
          <w:color w:val="000000" w:themeColor="text1"/>
          <w:lang w:val="en-US" w:eastAsia="de-DE"/>
        </w:rPr>
        <w:t>lular decision to divide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{"citationItems":[{"id":"ITEM-1","itemData":{"DOI":"10.1242/JCS.24.1.51","ISSN":"0021-9533","PMID":"893551","abstract":"Steady-state and perturbed cells of Schizosaccttaromyces pombe have been observed through sev</w:instrText>
      </w:r>
      <w:r>
        <w:rPr>
          <w:rFonts w:ascii="Arial" w:eastAsia="Times New Roman" w:hAnsi="Arial" w:cs="Arial"/>
          <w:color w:val="000000" w:themeColor="text1"/>
          <w:lang w:val="en-US" w:eastAsia="de-DE"/>
        </w:rPr>
        <w:instrText>eral division cycles by time-lapse photomicrography. Perturbed cells were produced by the use of a conditional cell division cycle mutant in which nuclear division is reversibly blocked at high temperature. These experiments show that in both populations c</w:instrText>
      </w:r>
      <w:r>
        <w:rPr>
          <w:rFonts w:ascii="Arial" w:eastAsia="Times New Roman" w:hAnsi="Arial" w:cs="Arial"/>
          <w:color w:val="000000" w:themeColor="text1"/>
          <w:lang w:val="en-US" w:eastAsia="de-DE"/>
        </w:rPr>
        <w:instrText xml:space="preserve">ell length at division and cell cycle duration are homeostatically controlled, probably by a primary size-control mechanism. Cycle time is indirectly controlled, as cells which have an extended cycle are on average larger at division, so that daughters of </w:instrText>
      </w:r>
      <w:r>
        <w:rPr>
          <w:rFonts w:ascii="Arial" w:eastAsia="Times New Roman" w:hAnsi="Arial" w:cs="Arial"/>
          <w:color w:val="000000" w:themeColor="text1"/>
          <w:lang w:val="en-US" w:eastAsia="de-DE"/>
        </w:rPr>
        <w:instrText>such cells need to grow by a smaller amount and for a shorter period, before dividing again. In general, deviations from the mean are corrected within a single cycle, but in the case of very long cells the control breaks down because the cycle cannot be sh</w:instrText>
      </w:r>
      <w:r>
        <w:rPr>
          <w:rFonts w:ascii="Arial" w:eastAsia="Times New Roman" w:hAnsi="Arial" w:cs="Arial"/>
          <w:color w:val="000000" w:themeColor="text1"/>
          <w:lang w:val="en-US" w:eastAsia="de-DE"/>
        </w:rPr>
        <w:instrText>ortened by more than a quarter under the conditions used. These cells take more than one cycle to return to normal.","author":[{"dropping-particle":"","family":"Fantes","given":"P. A.","non-dropping-particle":"","parse-names":false,"suffix":""}],"container</w:instrText>
      </w:r>
      <w:r>
        <w:rPr>
          <w:rFonts w:ascii="Arial" w:eastAsia="Times New Roman" w:hAnsi="Arial" w:cs="Arial"/>
          <w:color w:val="000000" w:themeColor="text1"/>
          <w:lang w:val="en-US" w:eastAsia="de-DE"/>
        </w:rPr>
        <w:instrText>-title":"Journal of Cell Science","id":"ITEM-1","issue":"1","issued":{"date-parts":[["1977","4","1"]]},"page":"51-67","publisher":"The Company of Biologists","title":"Control of cell size and cycle time in Schizosaccharomyces pombe","type":"article-journal</w:instrText>
      </w:r>
      <w:r>
        <w:rPr>
          <w:rFonts w:ascii="Arial" w:eastAsia="Times New Roman" w:hAnsi="Arial" w:cs="Arial"/>
          <w:color w:val="000000" w:themeColor="text1"/>
          <w:lang w:val="en-US" w:eastAsia="de-DE"/>
        </w:rPr>
        <w:instrText xml:space="preserve">","volume":"24"},"uris":["http://www.mendeley.com/documents/?uuid=981bbbcb-2798-3066-85a8-7ac2cb8cfb05"]},{"id":"ITEM-2","itemData":{"DOI":"10.1007/S002030050539/METRICS","ISSN":"03028933","PMID":"9396834","abstract":"We studied two statistical hypotheses </w:instrText>
      </w:r>
      <w:r>
        <w:rPr>
          <w:rFonts w:ascii="Arial" w:eastAsia="Times New Roman" w:hAnsi="Arial" w:cs="Arial"/>
          <w:color w:val="000000" w:themeColor="text1"/>
          <w:lang w:val="en-US" w:eastAsia="de-DE"/>
        </w:rPr>
        <w:instrText>for the occurrence of cellular division and compared these hypotheses to available data. The two models were tested by observed distributions of cellular size during steady-state growth. The 30-year-old sloppy size model could be rejected, whereas the rece</w:instrText>
      </w:r>
      <w:r>
        <w:rPr>
          <w:rFonts w:ascii="Arial" w:eastAsia="Times New Roman" w:hAnsi="Arial" w:cs="Arial"/>
          <w:color w:val="000000" w:themeColor="text1"/>
          <w:lang w:val="en-US" w:eastAsia="de-DE"/>
        </w:rPr>
        <w:instrText>ntly developed incremental size proposal could not. The latter proposition was accepted by default. We concluded that the time between successive divisions is not simply derived from extant size at cellular division, but rather from interdivisional size in</w:instrText>
      </w:r>
      <w:r>
        <w:rPr>
          <w:rFonts w:ascii="Arial" w:eastAsia="Times New Roman" w:hAnsi="Arial" w:cs="Arial"/>
          <w:color w:val="000000" w:themeColor="text1"/>
          <w:lang w:val="en-US" w:eastAsia="de-DE"/>
        </w:rPr>
        <w:instrText>crement. We therefore propose that cellular division is regulated by the need of cells at birth to accumulate a certain amount of mass or something related to mass before division.","author":[{"dropping-particle":"","family":"Voorn","given":"W. J.","non-dr</w:instrText>
      </w:r>
      <w:r>
        <w:rPr>
          <w:rFonts w:ascii="Arial" w:eastAsia="Times New Roman" w:hAnsi="Arial" w:cs="Arial"/>
          <w:color w:val="000000" w:themeColor="text1"/>
          <w:lang w:val="en-US" w:eastAsia="de-DE"/>
        </w:rPr>
        <w:instrText>opping-particle":"","parse-names":false,"suffix":""},{"dropping-particle":"","family":"Koppes","given":"L. J.H.","non-dropping-particle":"","parse-names":false,"suffix":""}],"container-title":"Archives of Microbiology","id":"ITEM-2","issue":"1","issued":{"</w:instrText>
      </w:r>
      <w:r>
        <w:rPr>
          <w:rFonts w:ascii="Arial" w:eastAsia="Times New Roman" w:hAnsi="Arial" w:cs="Arial"/>
          <w:color w:val="000000" w:themeColor="text1"/>
          <w:lang w:val="en-US" w:eastAsia="de-DE"/>
        </w:rPr>
        <w:instrText>date-parts":[["1997","12","1"]]},"page":"43-51","publisher":"Springer Verlag","title":"Skew or third moment of bacterial generation times","type":"article-journal","volume":"169"},"uris":["http://www.mendeley.com/documents/?uuid=67da7121-32e7-326f-a659-1a7</w:instrText>
      </w:r>
      <w:r>
        <w:rPr>
          <w:rFonts w:ascii="Arial" w:eastAsia="Times New Roman" w:hAnsi="Arial" w:cs="Arial"/>
          <w:color w:val="000000" w:themeColor="text1"/>
          <w:lang w:val="en-US" w:eastAsia="de-DE"/>
        </w:rPr>
        <w:instrText>d7c32292c"]},{"id":"ITEM-3","itemData":{"DOI":"10.7554/eLife.02040","ISSN":"2050084X","PMID":"24642412","abstract":"Cells can, in principle, control their size by growing to a specified size before commencing cell division. How any cell actually senses its</w:instrText>
      </w:r>
      <w:r>
        <w:rPr>
          <w:rFonts w:ascii="Arial" w:eastAsia="Times New Roman" w:hAnsi="Arial" w:cs="Arial"/>
          <w:color w:val="000000" w:themeColor="text1"/>
          <w:lang w:val="en-US" w:eastAsia="de-DE"/>
        </w:rPr>
        <w:instrText xml:space="preserve"> own size remains poorly understood. The fission yeast Schizosaccharomyces pombe are rod-shaped cells that grow to </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 xml:space="preserve">14 µm in length before entering mitosis. In this study, we provide evidence that these cells sense their surface area as part of this </w:instrText>
      </w:r>
      <w:r>
        <w:rPr>
          <w:rFonts w:ascii="Arial" w:eastAsia="Times New Roman" w:hAnsi="Arial" w:cs="Arial"/>
          <w:color w:val="000000" w:themeColor="text1"/>
          <w:lang w:val="en-US" w:eastAsia="de-DE"/>
        </w:rPr>
        <w:instrText xml:space="preserve">size control mechanism. We show that cells enter mitosis at a certain surface area, as opposed to a certain volume or length. A peripheral membrane protein kinase cdr2p has properties of a dose-dependent 'sizer' that controls mitotic entry. As cells grow, </w:instrText>
      </w:r>
      <w:r>
        <w:rPr>
          <w:rFonts w:ascii="Arial" w:eastAsia="Times New Roman" w:hAnsi="Arial" w:cs="Arial"/>
          <w:color w:val="000000" w:themeColor="text1"/>
          <w:lang w:val="en-US" w:eastAsia="de-DE"/>
        </w:rPr>
        <w:instrText>the local cdr2p concentration in nodes at the medial cortex accumulates as a measure of cell surface area. Our findings, which challenge a previously proposed pom1p gradient model, lead to a new model in which cells sense their size by using cdr2p to probe</w:instrText>
      </w:r>
      <w:r>
        <w:rPr>
          <w:rFonts w:ascii="Arial" w:eastAsia="Times New Roman" w:hAnsi="Arial" w:cs="Arial"/>
          <w:color w:val="000000" w:themeColor="text1"/>
          <w:lang w:val="en-US" w:eastAsia="de-DE"/>
        </w:rPr>
        <w:instrText xml:space="preserve"> the surface area over the whole cell and relay this information to the medial cortex. DOI: http://dx.doi.org/10.7554/eLife.02040.001.","author":[{"dropping-particle":"","family":"Pan","given":"Kally Z.","non-dropping-particle":"","parse-names":false,"suff</w:instrText>
      </w:r>
      <w:r>
        <w:rPr>
          <w:rFonts w:ascii="Arial" w:eastAsia="Times New Roman" w:hAnsi="Arial" w:cs="Arial"/>
          <w:color w:val="000000" w:themeColor="text1"/>
          <w:lang w:val="en-US" w:eastAsia="de-DE"/>
        </w:rPr>
        <w:instrText>ix":""},{"dropping-particle":"","family":"Saunders","given":"Timothy E.","non-dropping-particle":"","parse-names":false,"suffix":""},{"dropping-particle":"","family":"Flor-Parra","given":"Ignacio","non-dropping-particle":"","parse-names":false,"suffix":""}</w:instrText>
      </w:r>
      <w:r>
        <w:rPr>
          <w:rFonts w:ascii="Arial" w:eastAsia="Times New Roman" w:hAnsi="Arial" w:cs="Arial"/>
          <w:color w:val="000000" w:themeColor="text1"/>
          <w:lang w:val="en-US" w:eastAsia="de-DE"/>
        </w:rPr>
        <w:instrText>,{"dropping-particle":"","family":"Howard","given":"Martin","non-dropping-particle":"","parse-names":false,"suffix":""},{"dropping-particle":"","family":"Chang","given":"Fred","non-dropping-particle":"","parse-names":false,"suffix":""}],"container-title":"</w:instrText>
      </w:r>
      <w:r>
        <w:rPr>
          <w:rFonts w:ascii="Arial" w:eastAsia="Times New Roman" w:hAnsi="Arial" w:cs="Arial"/>
          <w:color w:val="000000" w:themeColor="text1"/>
          <w:lang w:val="en-US" w:eastAsia="de-DE"/>
        </w:rPr>
        <w:instrText>eLife","id":"ITEM-3","issue":"3","issued":{"date-parts":[["2014"]]},"title":"Cortical regulation of cell size by a sizer cdr2p","type":"article-journal","volume":"2014"},"uris":["http://www.mendeley.com/documents/?uuid=5f50be8d-7b06-400d-8810-d5a51ecb5729"</w:instrText>
      </w:r>
      <w:r>
        <w:rPr>
          <w:rFonts w:ascii="Arial" w:eastAsia="Times New Roman" w:hAnsi="Arial" w:cs="Arial"/>
          <w:color w:val="000000" w:themeColor="text1"/>
          <w:lang w:val="en-US" w:eastAsia="de-DE"/>
        </w:rPr>
        <w:instrText>]},{"id":"ITEM-4","itemData":{"DOI":"10.1038/s41467-018-05393-0","ISSN":"2041-1723","abstract":"Despite decades of research, how mammalian cell size is controlled remains unclear because of the difficulty of directly measuring growth at the single-cell lev</w:instrText>
      </w:r>
      <w:r>
        <w:rPr>
          <w:rFonts w:ascii="Arial" w:eastAsia="Times New Roman" w:hAnsi="Arial" w:cs="Arial"/>
          <w:color w:val="000000" w:themeColor="text1"/>
          <w:lang w:val="en-US" w:eastAsia="de-DE"/>
        </w:rPr>
        <w:instrText xml:space="preserve">el. Here we report direct measurements of single-cell volumes over entire cell cycles on various mammalian cell lines and primary human cells. We find that, in a majority of cell types, the volume added across the cell cycle shows little or no correlation </w:instrText>
      </w:r>
      <w:r>
        <w:rPr>
          <w:rFonts w:ascii="Arial" w:eastAsia="Times New Roman" w:hAnsi="Arial" w:cs="Arial"/>
          <w:color w:val="000000" w:themeColor="text1"/>
          <w:lang w:val="en-US" w:eastAsia="de-DE"/>
        </w:rPr>
        <w:instrText>to cell birth size, a homeostatic behavior called “adder”. This behavior involves modulation of G1 or S-G2 duration and modulation of growth rate. The precise combination of these mechanisms depends on the cell type and the growth condition. We have develo</w:instrText>
      </w:r>
      <w:r>
        <w:rPr>
          <w:rFonts w:ascii="Arial" w:eastAsia="Times New Roman" w:hAnsi="Arial" w:cs="Arial"/>
          <w:color w:val="000000" w:themeColor="text1"/>
          <w:lang w:val="en-US" w:eastAsia="de-DE"/>
        </w:rPr>
        <w:instrText>ped a mathematical framework to compare size homeostasis in datasets ranging from bacteria to mammalian cells. This reveals that a near-adder behavior is the most common type of size control and highlights the importance of growth rate modulation to size c</w:instrText>
      </w:r>
      <w:r>
        <w:rPr>
          <w:rFonts w:ascii="Arial" w:eastAsia="Times New Roman" w:hAnsi="Arial" w:cs="Arial"/>
          <w:color w:val="000000" w:themeColor="text1"/>
          <w:lang w:val="en-US" w:eastAsia="de-DE"/>
        </w:rPr>
        <w:instrText>ontrol in mammalian cells.","author":[{"dropping-particle":"","family":"Cadart","given":"Clotilde","non-dropping-particle":"","parse-names":false,"suffix":""},{"dropping-particle":"","family":"Monnier","given":"Sylvain","non-dropping-particle":"","parse-na</w:instrText>
      </w:r>
      <w:r>
        <w:rPr>
          <w:rFonts w:ascii="Arial" w:eastAsia="Times New Roman" w:hAnsi="Arial" w:cs="Arial"/>
          <w:color w:val="000000" w:themeColor="text1"/>
          <w:lang w:val="en-US" w:eastAsia="de-DE"/>
        </w:rPr>
        <w:instrText>mes":false,"suffix":""},{"dropping-particle":"","family":"Grilli","given":"Jacopo","non-dropping-particle":"","parse-names":false,"suffix":""},{"dropping-particle":"","family":"Sáez","given":"Pablo J.","non-dropping-particle":"","parse-names":false,"suffix</w:instrText>
      </w:r>
      <w:r>
        <w:rPr>
          <w:rFonts w:ascii="Arial" w:eastAsia="Times New Roman" w:hAnsi="Arial" w:cs="Arial"/>
          <w:color w:val="000000" w:themeColor="text1"/>
          <w:lang w:val="en-US" w:eastAsia="de-DE"/>
        </w:rPr>
        <w:instrText>":""},{"dropping-particle":"","family":"Srivastava","given":"Nishit","non-dropping-particle":"","parse-names":false,"suffix":""},{"dropping-particle":"","family":"Attia","given":"Rafaele","non-dropping-particle":"","parse-names":false,"suffix":""},{"droppi</w:instrText>
      </w:r>
      <w:r>
        <w:rPr>
          <w:rFonts w:ascii="Arial" w:eastAsia="Times New Roman" w:hAnsi="Arial" w:cs="Arial"/>
          <w:color w:val="000000" w:themeColor="text1"/>
          <w:lang w:val="en-US" w:eastAsia="de-DE"/>
        </w:rPr>
        <w:instrText>ng-particle":"","family":"Terriac","given":"Emmanuel","non-dropping-particle":"","parse-names":false,"suffix":""},{"dropping-particle":"","family":"Baum","given":"Buzz","non-dropping-particle":"","parse-names":false,"suffix":""},{"dropping-particle":"","fa</w:instrText>
      </w:r>
      <w:r>
        <w:rPr>
          <w:rFonts w:ascii="Arial" w:eastAsia="Times New Roman" w:hAnsi="Arial" w:cs="Arial"/>
          <w:color w:val="000000" w:themeColor="text1"/>
          <w:lang w:val="en-US" w:eastAsia="de-DE"/>
        </w:rPr>
        <w:instrText>mily":"Cosentino-Lagomarsino","given":"Marco","non-dropping-particle":"","parse-names":false,"suffix":""},{"dropping-particle":"","family":"Piel","given":"Matthieu","non-dropping-particle":"","parse-names":false,"suffix":""}],"container-title":"Nature Comm</w:instrText>
      </w:r>
      <w:r>
        <w:rPr>
          <w:rFonts w:ascii="Arial" w:eastAsia="Times New Roman" w:hAnsi="Arial" w:cs="Arial"/>
          <w:color w:val="000000" w:themeColor="text1"/>
          <w:lang w:val="en-US" w:eastAsia="de-DE"/>
        </w:rPr>
        <w:instrText>unications","id":"ITEM-4","issue":"1","issued":{"date-parts":[["2018","12","16"]]},"page":"3275","publisher":"Nature Publishing Group","title":"Size control in mammalian cells involves modulation of both growth rate and cell cycle duration","type":"article</w:instrText>
      </w:r>
      <w:r>
        <w:rPr>
          <w:rFonts w:ascii="Arial" w:eastAsia="Times New Roman" w:hAnsi="Arial" w:cs="Arial"/>
          <w:color w:val="000000" w:themeColor="text1"/>
          <w:lang w:val="en-US" w:eastAsia="de-DE"/>
        </w:rPr>
        <w:instrText>-journal","volume":"9"},"uris":["http://www.mendeley.com/documents/?uuid=728e7d87-1026-3f9b-b588-fff8b5bafe30"]},{"id":"ITEM-5","itemData":{"DOI":"10.1016/j.cub.2015.11.067","ISBN":"1879-0445 (Electronic)\\r0960-9822 (Linking)","ISSN":"09609822","PMID":"26</w:instrText>
      </w:r>
      <w:r>
        <w:rPr>
          <w:rFonts w:ascii="Arial" w:eastAsia="Times New Roman" w:hAnsi="Arial" w:cs="Arial"/>
          <w:color w:val="000000" w:themeColor="text1"/>
          <w:lang w:val="en-US" w:eastAsia="de-DE"/>
        </w:rPr>
        <w:instrText>776734","abstract":"To maintain a constant cell size, dividing cells have to coordinate cell-cycle events with cell growth. This coordination has long been supposed to rely on the existence of size thresholds determining cell-cycle progression [1]. In budd</w:instrText>
      </w:r>
      <w:r>
        <w:rPr>
          <w:rFonts w:ascii="Arial" w:eastAsia="Times New Roman" w:hAnsi="Arial" w:cs="Arial"/>
          <w:color w:val="000000" w:themeColor="text1"/>
          <w:lang w:val="en-US" w:eastAsia="de-DE"/>
        </w:rPr>
        <w:instrText>ing yeast, size is controlled at the G1/S transition [2]. In agreement with this hypothesis, the size at birth influences the time spent in G1: smaller cells have a longer G1 period [3]. Nevertheless, even though cells born smaller have a longer G1, the co</w:instrText>
      </w:r>
      <w:r>
        <w:rPr>
          <w:rFonts w:ascii="Arial" w:eastAsia="Times New Roman" w:hAnsi="Arial" w:cs="Arial"/>
          <w:color w:val="000000" w:themeColor="text1"/>
          <w:lang w:val="en-US" w:eastAsia="de-DE"/>
        </w:rPr>
        <w:instrText xml:space="preserve">mpensation is imperfect and they still bud at smaller cell sizes. In bacteria, several recent studies have shown that the incremental model of size control, in which size is controlled by addition of a constant volume (in contrast to a size threshold), is </w:instrText>
      </w:r>
      <w:r>
        <w:rPr>
          <w:rFonts w:ascii="Arial" w:eastAsia="Times New Roman" w:hAnsi="Arial" w:cs="Arial"/>
          <w:color w:val="000000" w:themeColor="text1"/>
          <w:lang w:val="en-US" w:eastAsia="de-DE"/>
        </w:rPr>
        <w:instrText>able to quantitatively explain the experimental data on four different bacterial species [4-7]. Here, we report on experimental results for the budding yeast Saccharomyces cerevisiae, finding, surprisingly, that cell size control in this organism is very w</w:instrText>
      </w:r>
      <w:r>
        <w:rPr>
          <w:rFonts w:ascii="Arial" w:eastAsia="Times New Roman" w:hAnsi="Arial" w:cs="Arial"/>
          <w:color w:val="000000" w:themeColor="text1"/>
          <w:lang w:val="en-US" w:eastAsia="de-DE"/>
        </w:rPr>
        <w:instrText>ell described by the incremental model, suggesting a common strategy for cell size control with bacteria. Additionally, we argue that for S. cerevisiae the \"volume increment\" is not added from birth to division, but rather between two budding events.","a</w:instrText>
      </w:r>
      <w:r>
        <w:rPr>
          <w:rFonts w:ascii="Arial" w:eastAsia="Times New Roman" w:hAnsi="Arial" w:cs="Arial"/>
          <w:color w:val="000000" w:themeColor="text1"/>
          <w:lang w:val="en-US" w:eastAsia="de-DE"/>
        </w:rPr>
        <w:instrText>uthor":[{"dropping-particle":"","family":"Soifer","given":"Ilya","non-dropping-particle":"","parse-names":false,"suffix":""},{"dropping-particle":"","family":"Robert","given":"Lydia","non-dropping-particle":"","parse-names":false,"suffix":""},{"dropping-pa</w:instrText>
      </w:r>
      <w:r>
        <w:rPr>
          <w:rFonts w:ascii="Arial" w:eastAsia="Times New Roman" w:hAnsi="Arial" w:cs="Arial"/>
          <w:color w:val="000000" w:themeColor="text1"/>
          <w:lang w:val="en-US" w:eastAsia="de-DE"/>
        </w:rPr>
        <w:instrText>rticle":"","family":"Amir","given":"Ariel","non-dropping-particle":"","parse-names":false,"suffix":""}],"container-title":"Current Biology","id":"ITEM-5","issue":"3","issued":{"date-parts":[["2016"]]},"page":"356-361","title":"Single-cell analysis of growt</w:instrText>
      </w:r>
      <w:r>
        <w:rPr>
          <w:rFonts w:ascii="Arial" w:eastAsia="Times New Roman" w:hAnsi="Arial" w:cs="Arial"/>
          <w:color w:val="000000" w:themeColor="text1"/>
          <w:lang w:val="en-US" w:eastAsia="de-DE"/>
        </w:rPr>
        <w:instrText>h in budding yeast and bacteria reveals a common size regulation strategy","type":"article-journal","volume":"26"},"uris":["http://www.mendeley.com/documents/?uuid=e74f32f0-c076-3ee2-a19c-13b611bfbddb"]}],"mendeley":{"formattedCitation":"&lt;sup&gt;250–254&lt;/sup&gt;</w:instrText>
      </w:r>
      <w:r>
        <w:rPr>
          <w:rFonts w:ascii="Arial" w:eastAsia="Times New Roman" w:hAnsi="Arial" w:cs="Arial"/>
          <w:color w:val="000000" w:themeColor="text1"/>
          <w:lang w:val="en-US" w:eastAsia="de-DE"/>
        </w:rPr>
        <w:instrText>","plainTextFormattedCitation":"250–254","previouslyFormattedCitation":"&lt;sup&gt;250–254&lt;/sup&gt;"},"properties":{"noteIndex":0},"schema":"https://github.com/citation-style-language/schema/raw/master/csl-citation.json"}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250–254</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(Fig. 6a).</w:t>
      </w:r>
    </w:p>
    <w:p w14:paraId="3AF30239"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themeColor="text1"/>
          <w:lang w:val="en-US" w:eastAsia="de-DE"/>
        </w:rPr>
        <w:t>Sizers</w:t>
      </w:r>
      <w:r>
        <w:rPr>
          <w:rFonts w:ascii="Arial" w:eastAsia="Times New Roman" w:hAnsi="Arial" w:cs="Arial"/>
          <w:color w:val="000000" w:themeColor="text1"/>
          <w:lang w:val="en-US" w:eastAsia="de-DE"/>
        </w:rPr>
        <w:t xml:space="preserve"> prioritize atta</w:t>
      </w:r>
      <w:r>
        <w:rPr>
          <w:rFonts w:ascii="Arial" w:eastAsia="Times New Roman" w:hAnsi="Arial" w:cs="Arial"/>
          <w:color w:val="000000" w:themeColor="text1"/>
          <w:lang w:val="en-US" w:eastAsia="de-DE"/>
        </w:rPr>
        <w:t xml:space="preserve">ining a specific cell size at a given point of the cell cycle, for example at division. In this kind of size control, cells that are bigger at birth grow less during the cell cycle whereas cells that are smaller at birth grow more to achieve similar sizes </w:t>
      </w:r>
      <w:r>
        <w:rPr>
          <w:rFonts w:ascii="Arial" w:eastAsia="Times New Roman" w:hAnsi="Arial" w:cs="Arial"/>
          <w:color w:val="000000" w:themeColor="text1"/>
          <w:lang w:val="en-US" w:eastAsia="de-DE"/>
        </w:rPr>
        <w:t xml:space="preserve">at division. </w:t>
      </w:r>
      <w:r>
        <w:rPr>
          <w:rFonts w:ascii="Arial" w:eastAsia="Times New Roman" w:hAnsi="Arial" w:cs="Arial"/>
          <w:i/>
          <w:iCs/>
          <w:color w:val="000000" w:themeColor="text1"/>
          <w:lang w:val="en-US" w:eastAsia="de-DE"/>
        </w:rPr>
        <w:t>Adders</w:t>
      </w:r>
      <w:r>
        <w:rPr>
          <w:rFonts w:ascii="Arial" w:eastAsia="Times New Roman" w:hAnsi="Arial" w:cs="Arial"/>
          <w:color w:val="000000" w:themeColor="text1"/>
          <w:lang w:val="en-US" w:eastAsia="de-DE"/>
        </w:rPr>
        <w:t xml:space="preserve">, on the contrary, add the same volume (or mass) in every cell cycle, again independently of birth size. While strong </w:t>
      </w:r>
      <w:r>
        <w:rPr>
          <w:rFonts w:ascii="Arial" w:eastAsia="Times New Roman" w:hAnsi="Arial" w:cs="Arial"/>
          <w:i/>
          <w:iCs/>
          <w:color w:val="000000" w:themeColor="text1"/>
          <w:lang w:val="en-US" w:eastAsia="de-DE"/>
        </w:rPr>
        <w:t>sizers</w:t>
      </w:r>
      <w:r>
        <w:rPr>
          <w:rFonts w:ascii="Arial" w:eastAsia="Times New Roman" w:hAnsi="Arial" w:cs="Arial"/>
          <w:color w:val="000000" w:themeColor="text1"/>
          <w:lang w:val="en-US" w:eastAsia="de-DE"/>
        </w:rPr>
        <w:t xml:space="preserve"> that are close to an ideal</w:t>
      </w:r>
      <w:r>
        <w:rPr>
          <w:rFonts w:ascii="Arial" w:eastAsia="Times New Roman" w:hAnsi="Arial" w:cs="Arial"/>
          <w:i/>
          <w:iCs/>
          <w:color w:val="000000" w:themeColor="text1"/>
          <w:lang w:val="en-US" w:eastAsia="de-DE"/>
        </w:rPr>
        <w:t xml:space="preserve"> sizer</w:t>
      </w:r>
      <w:r>
        <w:rPr>
          <w:rFonts w:ascii="Arial" w:eastAsia="Times New Roman" w:hAnsi="Arial" w:cs="Arial"/>
          <w:color w:val="000000" w:themeColor="text1"/>
          <w:lang w:val="en-US" w:eastAsia="de-DE"/>
        </w:rPr>
        <w:t xml:space="preserve"> mechanism can correct size deviations within one cell cycle, </w:t>
      </w:r>
      <w:r>
        <w:rPr>
          <w:rFonts w:ascii="Arial" w:eastAsia="Times New Roman" w:hAnsi="Arial" w:cs="Arial"/>
          <w:i/>
          <w:iCs/>
          <w:color w:val="000000" w:themeColor="text1"/>
          <w:lang w:val="en-US" w:eastAsia="de-DE"/>
        </w:rPr>
        <w:t>adders</w:t>
      </w:r>
      <w:r>
        <w:rPr>
          <w:rFonts w:ascii="Arial" w:eastAsia="Times New Roman" w:hAnsi="Arial" w:cs="Arial"/>
          <w:color w:val="000000" w:themeColor="text1"/>
          <w:lang w:val="en-US" w:eastAsia="de-DE"/>
        </w:rPr>
        <w:t xml:space="preserve"> require mul</w:t>
      </w:r>
      <w:r>
        <w:rPr>
          <w:rFonts w:ascii="Arial" w:eastAsia="Times New Roman" w:hAnsi="Arial" w:cs="Arial"/>
          <w:color w:val="000000" w:themeColor="text1"/>
          <w:lang w:val="en-US" w:eastAsia="de-DE"/>
        </w:rPr>
        <w:t xml:space="preserve">tiple generations. A third kind of size control regime, described as </w:t>
      </w:r>
      <w:r>
        <w:rPr>
          <w:rFonts w:ascii="Arial" w:eastAsia="Times New Roman" w:hAnsi="Arial" w:cs="Arial"/>
          <w:i/>
          <w:iCs/>
          <w:color w:val="000000" w:themeColor="text1"/>
          <w:lang w:val="en-US" w:eastAsia="de-DE"/>
        </w:rPr>
        <w:t>timers</w:t>
      </w:r>
      <w:r>
        <w:rPr>
          <w:rFonts w:ascii="Arial" w:eastAsia="Times New Roman" w:hAnsi="Arial" w:cs="Arial"/>
          <w:color w:val="000000" w:themeColor="text1"/>
          <w:lang w:val="en-US" w:eastAsia="de-DE"/>
        </w:rPr>
        <w:t>, prioritizes keeping cell cycle durations constant. In cells that grow linearly, i.e., cells in which growth rate is constant across cell sizes, both big- and small-born cells woul</w:t>
      </w:r>
      <w:r>
        <w:rPr>
          <w:rFonts w:ascii="Arial" w:eastAsia="Times New Roman" w:hAnsi="Arial" w:cs="Arial"/>
          <w:color w:val="000000" w:themeColor="text1"/>
          <w:lang w:val="en-US" w:eastAsia="de-DE"/>
        </w:rPr>
        <w:t xml:space="preserve">d grow the same </w:t>
      </w:r>
      <w:proofErr w:type="gramStart"/>
      <w:r>
        <w:rPr>
          <w:rFonts w:ascii="Arial" w:eastAsia="Times New Roman" w:hAnsi="Arial" w:cs="Arial"/>
          <w:color w:val="000000" w:themeColor="text1"/>
          <w:lang w:val="en-US" w:eastAsia="de-DE"/>
        </w:rPr>
        <w:t>in a given</w:t>
      </w:r>
      <w:proofErr w:type="gramEnd"/>
      <w:r>
        <w:rPr>
          <w:rFonts w:ascii="Arial" w:eastAsia="Times New Roman" w:hAnsi="Arial" w:cs="Arial"/>
          <w:color w:val="000000" w:themeColor="text1"/>
          <w:lang w:val="en-US" w:eastAsia="de-DE"/>
        </w:rPr>
        <w:t xml:space="preserve"> amount of time. Thus, a </w:t>
      </w:r>
      <w:r>
        <w:rPr>
          <w:rFonts w:ascii="Arial" w:eastAsia="Times New Roman" w:hAnsi="Arial" w:cs="Arial"/>
          <w:i/>
          <w:iCs/>
          <w:color w:val="000000" w:themeColor="text1"/>
          <w:lang w:val="en-US" w:eastAsia="de-DE"/>
        </w:rPr>
        <w:t>timer</w:t>
      </w:r>
      <w:r>
        <w:rPr>
          <w:rFonts w:ascii="Arial" w:eastAsia="Times New Roman" w:hAnsi="Arial" w:cs="Arial"/>
          <w:color w:val="000000" w:themeColor="text1"/>
          <w:lang w:val="en-US" w:eastAsia="de-DE"/>
        </w:rPr>
        <w:t xml:space="preserve"> in linearly growing cells has the same emergent phenotype as an </w:t>
      </w:r>
      <w:proofErr w:type="spellStart"/>
      <w:r>
        <w:rPr>
          <w:rFonts w:ascii="Arial" w:eastAsia="Times New Roman" w:hAnsi="Arial" w:cs="Arial"/>
          <w:i/>
          <w:iCs/>
          <w:color w:val="000000" w:themeColor="text1"/>
          <w:lang w:val="en-US" w:eastAsia="de-DE"/>
        </w:rPr>
        <w:t>adder</w:t>
      </w:r>
      <w:proofErr w:type="spellEnd"/>
      <w:r>
        <w:rPr>
          <w:rFonts w:ascii="Arial" w:eastAsia="Times New Roman" w:hAnsi="Arial" w:cs="Arial"/>
          <w:color w:val="000000" w:themeColor="text1"/>
          <w:lang w:val="en-US" w:eastAsia="de-DE"/>
        </w:rPr>
        <w:t xml:space="preserve">. For cells that grow exponentially, the growth rate increases proportionally with cell size. In such cells, a </w:t>
      </w:r>
      <w:r>
        <w:rPr>
          <w:rFonts w:ascii="Arial" w:eastAsia="Times New Roman" w:hAnsi="Arial" w:cs="Arial"/>
          <w:i/>
          <w:iCs/>
          <w:color w:val="000000" w:themeColor="text1"/>
          <w:lang w:val="en-US" w:eastAsia="de-DE"/>
        </w:rPr>
        <w:t>timer</w:t>
      </w:r>
      <w:r>
        <w:rPr>
          <w:rFonts w:ascii="Arial" w:eastAsia="Times New Roman" w:hAnsi="Arial" w:cs="Arial"/>
          <w:color w:val="000000" w:themeColor="text1"/>
          <w:lang w:val="en-US" w:eastAsia="de-DE"/>
        </w:rPr>
        <w:t xml:space="preserve"> leads to a co</w:t>
      </w:r>
      <w:r>
        <w:rPr>
          <w:rFonts w:ascii="Arial" w:eastAsia="Times New Roman" w:hAnsi="Arial" w:cs="Arial"/>
          <w:color w:val="000000" w:themeColor="text1"/>
          <w:lang w:val="en-US" w:eastAsia="de-DE"/>
        </w:rPr>
        <w:t xml:space="preserve">ntinuous broadening of the size distribution over time, and no longer qualifies as a size control mechanism. </w:t>
      </w:r>
      <w:r>
        <w:rPr>
          <w:rFonts w:ascii="Arial" w:eastAsia="Times New Roman" w:hAnsi="Arial" w:cs="Arial"/>
          <w:i/>
          <w:iCs/>
          <w:color w:val="000000" w:themeColor="text1"/>
          <w:lang w:val="en-US" w:eastAsia="de-DE"/>
        </w:rPr>
        <w:t>Timers</w:t>
      </w:r>
      <w:r>
        <w:rPr>
          <w:rFonts w:ascii="Arial" w:eastAsia="Times New Roman" w:hAnsi="Arial" w:cs="Arial"/>
          <w:color w:val="000000" w:themeColor="text1"/>
          <w:lang w:val="en-US" w:eastAsia="de-DE"/>
        </w:rPr>
        <w:t xml:space="preserve">, </w:t>
      </w:r>
      <w:proofErr w:type="gramStart"/>
      <w:r>
        <w:rPr>
          <w:rFonts w:ascii="Arial" w:eastAsia="Times New Roman" w:hAnsi="Arial" w:cs="Arial"/>
          <w:color w:val="000000" w:themeColor="text1"/>
          <w:lang w:val="en-US" w:eastAsia="de-DE"/>
        </w:rPr>
        <w:t>in particular for</w:t>
      </w:r>
      <w:proofErr w:type="gramEnd"/>
      <w:r>
        <w:rPr>
          <w:rFonts w:ascii="Arial" w:eastAsia="Times New Roman" w:hAnsi="Arial" w:cs="Arial"/>
          <w:color w:val="000000" w:themeColor="text1"/>
          <w:lang w:val="en-US" w:eastAsia="de-DE"/>
        </w:rPr>
        <w:t xml:space="preserve"> distinct cell cycle phases, are sometimes observed in conjunction with </w:t>
      </w:r>
      <w:r>
        <w:rPr>
          <w:rFonts w:ascii="Arial" w:eastAsia="Times New Roman" w:hAnsi="Arial" w:cs="Arial"/>
          <w:i/>
          <w:iCs/>
          <w:color w:val="000000" w:themeColor="text1"/>
          <w:lang w:val="en-US" w:eastAsia="de-DE"/>
        </w:rPr>
        <w:t>sizers</w:t>
      </w:r>
      <w:r>
        <w:rPr>
          <w:rFonts w:ascii="Arial" w:eastAsia="Times New Roman" w:hAnsi="Arial" w:cs="Arial"/>
          <w:color w:val="000000" w:themeColor="text1"/>
          <w:lang w:val="en-US" w:eastAsia="de-DE"/>
        </w:rPr>
        <w:t xml:space="preserve"> because while </w:t>
      </w:r>
      <w:r>
        <w:rPr>
          <w:rFonts w:ascii="Arial" w:eastAsia="Times New Roman" w:hAnsi="Arial" w:cs="Arial"/>
          <w:i/>
          <w:iCs/>
          <w:color w:val="000000" w:themeColor="text1"/>
          <w:lang w:val="en-US" w:eastAsia="de-DE"/>
        </w:rPr>
        <w:t>timers</w:t>
      </w:r>
      <w:r>
        <w:rPr>
          <w:rFonts w:ascii="Arial" w:eastAsia="Times New Roman" w:hAnsi="Arial" w:cs="Arial"/>
          <w:color w:val="000000" w:themeColor="text1"/>
          <w:lang w:val="en-US" w:eastAsia="de-DE"/>
        </w:rPr>
        <w:t xml:space="preserve"> cannot correct size de</w:t>
      </w:r>
      <w:r>
        <w:rPr>
          <w:rFonts w:ascii="Arial" w:eastAsia="Times New Roman" w:hAnsi="Arial" w:cs="Arial"/>
          <w:color w:val="000000" w:themeColor="text1"/>
          <w:lang w:val="en-US" w:eastAsia="de-DE"/>
        </w:rPr>
        <w:t xml:space="preserve">viations in exponentially growing cells, they can largely maintain the size homeostasis instated by a </w:t>
      </w:r>
      <w:r>
        <w:rPr>
          <w:rFonts w:ascii="Arial" w:eastAsia="Times New Roman" w:hAnsi="Arial" w:cs="Arial"/>
          <w:i/>
          <w:iCs/>
          <w:color w:val="000000" w:themeColor="text1"/>
          <w:lang w:val="en-US" w:eastAsia="de-DE"/>
        </w:rPr>
        <w:t>sizer</w:t>
      </w:r>
      <w:r>
        <w:rPr>
          <w:rFonts w:ascii="Arial" w:eastAsia="Times New Roman" w:hAnsi="Arial" w:cs="Arial"/>
          <w:color w:val="000000" w:themeColor="text1"/>
          <w:lang w:val="en-US" w:eastAsia="de-DE"/>
        </w:rPr>
        <w:t>. </w:t>
      </w:r>
    </w:p>
    <w:p w14:paraId="17A92870"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For size to be controlled by a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xml:space="preserve">- or an </w:t>
      </w:r>
      <w:r>
        <w:rPr>
          <w:rFonts w:ascii="Arial" w:eastAsia="Times New Roman" w:hAnsi="Arial" w:cs="Arial"/>
          <w:i/>
          <w:iCs/>
          <w:color w:val="000000"/>
          <w:lang w:val="en-US" w:eastAsia="de-DE"/>
        </w:rPr>
        <w:t>adder</w:t>
      </w:r>
      <w:r>
        <w:rPr>
          <w:rFonts w:ascii="Arial" w:eastAsia="Times New Roman" w:hAnsi="Arial" w:cs="Arial"/>
          <w:color w:val="000000"/>
          <w:lang w:val="en-US" w:eastAsia="de-DE"/>
        </w:rPr>
        <w:t>-like mechanism, a molecular signal that measures cell size is required. While the aforementioned</w:t>
      </w:r>
      <w:r>
        <w:rPr>
          <w:rFonts w:ascii="Arial" w:eastAsia="Times New Roman" w:hAnsi="Arial" w:cs="Arial"/>
          <w:color w:val="000000"/>
          <w:lang w:val="en-US" w:eastAsia="de-DE"/>
        </w:rPr>
        <w:t xml:space="preserve"> size control models have been amply reviewed previously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{"citationItems":[{"id":"ITEM-1","itemData":{"DOI":"10.1016/j.cub.2021.09.017","author":[{"dropping-particle":"","family":"Rhind","given":"Nicholas","non-dropping-particle":"","pars</w:instrText>
      </w:r>
      <w:r>
        <w:rPr>
          <w:rFonts w:ascii="Arial" w:eastAsia="Times New Roman" w:hAnsi="Arial" w:cs="Arial"/>
          <w:color w:val="000000"/>
          <w:lang w:val="en-US" w:eastAsia="de-DE"/>
        </w:rPr>
        <w:instrText>e-names":false,"suffix":""}],"id":"ITEM-1","issued":{"date-parts":[["2021"]]},"title":"Cell-size control","type":"article-journal"},"uris":["http://www.mendeley.com/documents/?uuid=f24e2f7a-f168-3b18-bd89-b75cf15b0357"]}],"mendeley":{"formattedCitation":"&lt;</w:instrText>
      </w:r>
      <w:r>
        <w:rPr>
          <w:rFonts w:ascii="Arial" w:eastAsia="Times New Roman" w:hAnsi="Arial" w:cs="Arial"/>
          <w:color w:val="000000"/>
          <w:lang w:val="en-US" w:eastAsia="de-DE"/>
        </w:rPr>
        <w:instrText>sup&gt;255&lt;/sup&gt;","plainTextFormattedCitation":"255","previouslyFormattedCitation":"&lt;sup&gt;255&lt;/sup&gt;"},"properties":{"noteIndex":0},"schema":"https://github.com/citation-style-language/schema/raw/master/csl-citation.json"}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255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our goal here is to </w:t>
      </w:r>
      <w:r>
        <w:rPr>
          <w:rFonts w:ascii="Arial" w:eastAsia="Times New Roman" w:hAnsi="Arial" w:cs="Arial"/>
          <w:color w:val="000000"/>
          <w:lang w:val="en-US" w:eastAsia="de-DE"/>
        </w:rPr>
        <w:t>describe the range of mechanisms that facilitate the molecular size sensing required for these models. </w:t>
      </w:r>
    </w:p>
    <w:p w14:paraId="4F812176"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One way for a cell to sense its size is by comparison of two biochemical properties - one that changes with cell size (a ‘reporter’ property) and one th</w:t>
      </w:r>
      <w:r>
        <w:rPr>
          <w:rFonts w:ascii="Arial" w:eastAsia="Times New Roman" w:hAnsi="Arial" w:cs="Arial"/>
          <w:color w:val="000000"/>
          <w:lang w:val="en-US" w:eastAsia="de-DE"/>
        </w:rPr>
        <w:t xml:space="preserve">at stays constant as cell size changes (a ‘constant’ property), </w:t>
      </w:r>
      <w:proofErr w:type="gramStart"/>
      <w:r>
        <w:rPr>
          <w:rFonts w:ascii="Arial" w:eastAsia="Times New Roman" w:hAnsi="Arial" w:cs="Arial"/>
          <w:color w:val="000000"/>
          <w:lang w:val="en-US" w:eastAsia="de-DE"/>
        </w:rPr>
        <w:t>similar to</w:t>
      </w:r>
      <w:proofErr w:type="gramEnd"/>
      <w:r>
        <w:rPr>
          <w:rFonts w:ascii="Arial" w:eastAsia="Times New Roman" w:hAnsi="Arial" w:cs="Arial"/>
          <w:color w:val="000000"/>
          <w:lang w:val="en-US" w:eastAsia="de-DE"/>
        </w:rPr>
        <w:t xml:space="preserve"> a titration. Multiple different size sensing mechanisms have now been discovered in different species, with this kind of regulation as the underlying strategy. It is important to no</w:t>
      </w:r>
      <w:r>
        <w:rPr>
          <w:rFonts w:ascii="Arial" w:eastAsia="Times New Roman" w:hAnsi="Arial" w:cs="Arial"/>
          <w:color w:val="000000"/>
          <w:lang w:val="en-US" w:eastAsia="de-DE"/>
        </w:rPr>
        <w:t xml:space="preserve">te here that since the total protein amount in a cell typically scales with cell size, the concentrations of most proteins in a cell size regulation network may be constant and </w:t>
      </w:r>
      <w:proofErr w:type="gramStart"/>
      <w:r>
        <w:rPr>
          <w:rFonts w:ascii="Arial" w:eastAsia="Times New Roman" w:hAnsi="Arial" w:cs="Arial"/>
          <w:color w:val="000000"/>
          <w:lang w:val="en-US" w:eastAsia="de-DE"/>
        </w:rPr>
        <w:t>size-independent</w:t>
      </w:r>
      <w:proofErr w:type="gramEnd"/>
      <w:r>
        <w:rPr>
          <w:rFonts w:ascii="Arial" w:eastAsia="Times New Roman" w:hAnsi="Arial" w:cs="Arial"/>
          <w:color w:val="000000"/>
          <w:lang w:val="en-US" w:eastAsia="de-DE"/>
        </w:rPr>
        <w:t xml:space="preserve">. Given that, the size-scaling of the whole regulatory network </w:t>
      </w:r>
      <w:r>
        <w:rPr>
          <w:rFonts w:ascii="Arial" w:eastAsia="Times New Roman" w:hAnsi="Arial" w:cs="Arial"/>
          <w:color w:val="000000"/>
          <w:lang w:val="en-US" w:eastAsia="de-DE"/>
        </w:rPr>
        <w:t>may serve as the ‘constant’ property for size sensing.</w:t>
      </w:r>
    </w:p>
    <w:p w14:paraId="27ED7E5D" w14:textId="77777777" w:rsidR="00066D11" w:rsidRDefault="00E55468">
      <w:pPr>
        <w:spacing w:before="240" w:after="240" w:line="240" w:lineRule="auto"/>
        <w:jc w:val="center"/>
      </w:pPr>
      <w:r>
        <w:rPr>
          <w:noProof/>
          <w:lang w:eastAsia="de-DE"/>
        </w:rPr>
        <w:lastRenderedPageBreak/>
        <w:drawing>
          <wp:inline distT="0" distB="0" distL="0" distR="0" wp14:anchorId="1DDC7006" wp14:editId="2CC25B1D">
            <wp:extent cx="5495091" cy="8705156"/>
            <wp:effectExtent l="0" t="0" r="0" b="0"/>
            <wp:docPr id="2013754720" name="Picture 201375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rcRect l="9259" t="2979" r="8922" b="5363"/>
                    <a:stretch>
                      <a:fillRect/>
                    </a:stretch>
                  </pic:blipFill>
                  <pic:spPr>
                    <a:xfrm>
                      <a:off x="0" y="0"/>
                      <a:ext cx="5495091" cy="8705156"/>
                    </a:xfrm>
                    <a:prstGeom prst="rect">
                      <a:avLst/>
                    </a:prstGeom>
                  </pic:spPr>
                </pic:pic>
              </a:graphicData>
            </a:graphic>
          </wp:inline>
        </w:drawing>
      </w:r>
    </w:p>
    <w:p w14:paraId="5D158F19" w14:textId="77777777" w:rsidR="00066D11" w:rsidRDefault="00E55468">
      <w:pPr>
        <w:spacing w:before="240" w:after="240" w:line="240" w:lineRule="auto"/>
        <w:jc w:val="both"/>
        <w:rPr>
          <w:rFonts w:ascii="Arial" w:eastAsia="Times New Roman" w:hAnsi="Arial" w:cs="Arial"/>
          <w:i/>
          <w:color w:val="000000"/>
          <w:lang w:val="en-US" w:eastAsia="de-DE"/>
        </w:rPr>
      </w:pPr>
      <w:r>
        <w:rPr>
          <w:rFonts w:ascii="Arial" w:eastAsia="Times New Roman" w:hAnsi="Arial" w:cs="Arial"/>
          <w:b/>
          <w:bCs/>
          <w:i/>
          <w:iCs/>
          <w:color w:val="000000" w:themeColor="text1"/>
          <w:lang w:val="en-US" w:eastAsia="de-DE"/>
        </w:rPr>
        <w:lastRenderedPageBreak/>
        <w:t xml:space="preserve">Fig. 6: </w:t>
      </w:r>
      <w:r>
        <w:rPr>
          <w:rFonts w:ascii="Arial" w:eastAsia="Times New Roman" w:hAnsi="Arial" w:cs="Arial"/>
          <w:i/>
          <w:iCs/>
          <w:color w:val="000000" w:themeColor="text1"/>
          <w:lang w:val="en-US" w:eastAsia="de-DE"/>
        </w:rPr>
        <w:t>a) Cell size control of proliferating cells requires that cell cycle progression is coordinated with cell growth. Different types of strategies include sizes, adders, and timers. b) On a mole</w:t>
      </w:r>
      <w:r>
        <w:rPr>
          <w:rFonts w:ascii="Arial" w:eastAsia="Times New Roman" w:hAnsi="Arial" w:cs="Arial"/>
          <w:i/>
          <w:iCs/>
          <w:color w:val="000000" w:themeColor="text1"/>
          <w:lang w:val="en-US" w:eastAsia="de-DE"/>
        </w:rPr>
        <w:t xml:space="preserve">cular level, cell size sensing can be implemented through </w:t>
      </w:r>
      <w:proofErr w:type="spellStart"/>
      <w:r>
        <w:rPr>
          <w:rFonts w:ascii="Arial" w:eastAsia="Times New Roman" w:hAnsi="Arial" w:cs="Arial"/>
          <w:i/>
          <w:iCs/>
          <w:color w:val="000000" w:themeColor="text1"/>
          <w:lang w:val="en-US" w:eastAsia="de-DE"/>
        </w:rPr>
        <w:t>subscaling</w:t>
      </w:r>
      <w:proofErr w:type="spellEnd"/>
      <w:r>
        <w:rPr>
          <w:rFonts w:ascii="Arial" w:eastAsia="Times New Roman" w:hAnsi="Arial" w:cs="Arial"/>
          <w:i/>
          <w:iCs/>
          <w:color w:val="000000" w:themeColor="text1"/>
          <w:lang w:val="en-US" w:eastAsia="de-DE"/>
        </w:rPr>
        <w:t xml:space="preserve"> cell cycle inhibitors or </w:t>
      </w:r>
      <w:proofErr w:type="spellStart"/>
      <w:r>
        <w:rPr>
          <w:rFonts w:ascii="Arial" w:eastAsia="Times New Roman" w:hAnsi="Arial" w:cs="Arial"/>
          <w:i/>
          <w:iCs/>
          <w:color w:val="000000" w:themeColor="text1"/>
          <w:lang w:val="en-US" w:eastAsia="de-DE"/>
        </w:rPr>
        <w:t>superscaling</w:t>
      </w:r>
      <w:proofErr w:type="spellEnd"/>
      <w:r>
        <w:rPr>
          <w:rFonts w:ascii="Arial" w:eastAsia="Times New Roman" w:hAnsi="Arial" w:cs="Arial"/>
          <w:i/>
          <w:iCs/>
          <w:color w:val="000000" w:themeColor="text1"/>
          <w:lang w:val="en-US" w:eastAsia="de-DE"/>
        </w:rPr>
        <w:t xml:space="preserve"> activators. c-g) Specific cell size reporters have been identified in yeast, mammals, algae, and plants.</w:t>
      </w:r>
    </w:p>
    <w:p w14:paraId="1F1F9FB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7.1.1 Dilution of a reporter</w:t>
      </w:r>
    </w:p>
    <w:p w14:paraId="1B3E8C4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As described in</w:t>
      </w:r>
      <w:r>
        <w:rPr>
          <w:rFonts w:ascii="Arial" w:eastAsia="Times New Roman" w:hAnsi="Arial" w:cs="Arial"/>
          <w:color w:val="000000"/>
          <w:lang w:val="en-US" w:eastAsia="de-DE"/>
        </w:rPr>
        <w:t xml:space="preserve"> the section on biosynthetic scaling above, total protein and total mRNA content typically scale with cell size. However, individual proteins and their transcripts may scale differently. Strongly </w:t>
      </w:r>
      <w:proofErr w:type="spellStart"/>
      <w:r>
        <w:rPr>
          <w:rFonts w:ascii="Arial" w:eastAsia="Times New Roman" w:hAnsi="Arial" w:cs="Arial"/>
          <w:color w:val="000000"/>
          <w:lang w:val="en-US" w:eastAsia="de-DE"/>
        </w:rPr>
        <w:t>subscaling</w:t>
      </w:r>
      <w:proofErr w:type="spellEnd"/>
      <w:r>
        <w:rPr>
          <w:rFonts w:ascii="Arial" w:eastAsia="Times New Roman" w:hAnsi="Arial" w:cs="Arial"/>
          <w:color w:val="000000"/>
          <w:lang w:val="en-US" w:eastAsia="de-DE"/>
        </w:rPr>
        <w:t xml:space="preserve"> or </w:t>
      </w:r>
      <w:proofErr w:type="spellStart"/>
      <w:r>
        <w:rPr>
          <w:rFonts w:ascii="Arial" w:eastAsia="Times New Roman" w:hAnsi="Arial" w:cs="Arial"/>
          <w:color w:val="000000"/>
          <w:lang w:val="en-US" w:eastAsia="de-DE"/>
        </w:rPr>
        <w:t>superscaling</w:t>
      </w:r>
      <w:proofErr w:type="spellEnd"/>
      <w:r>
        <w:rPr>
          <w:rFonts w:ascii="Arial" w:eastAsia="Times New Roman" w:hAnsi="Arial" w:cs="Arial"/>
          <w:color w:val="000000"/>
          <w:lang w:val="en-US" w:eastAsia="de-DE"/>
        </w:rPr>
        <w:t xml:space="preserve"> proteins make great candidates fo</w:t>
      </w:r>
      <w:r>
        <w:rPr>
          <w:rFonts w:ascii="Arial" w:eastAsia="Times New Roman" w:hAnsi="Arial" w:cs="Arial"/>
          <w:color w:val="000000"/>
          <w:lang w:val="en-US" w:eastAsia="de-DE"/>
        </w:rPr>
        <w:t>r ‘reporters’ of cell size (Fig. 6b). In the</w:t>
      </w:r>
      <w:r>
        <w:rPr>
          <w:rFonts w:ascii="Arial" w:eastAsia="Times New Roman" w:hAnsi="Arial" w:cs="Arial"/>
          <w:b/>
          <w:bCs/>
          <w:color w:val="000000"/>
          <w:lang w:val="en-US" w:eastAsia="de-DE"/>
        </w:rPr>
        <w:t xml:space="preserve"> budding yeast </w:t>
      </w:r>
      <w:r>
        <w:rPr>
          <w:rFonts w:ascii="Arial" w:eastAsia="Times New Roman" w:hAnsi="Arial" w:cs="Arial"/>
          <w:i/>
          <w:iCs/>
          <w:color w:val="000000"/>
          <w:lang w:val="en-US" w:eastAsia="de-DE"/>
        </w:rPr>
        <w:t>S. cerevisiae</w:t>
      </w:r>
      <w:r>
        <w:rPr>
          <w:rFonts w:ascii="Arial" w:eastAsia="Times New Roman" w:hAnsi="Arial" w:cs="Arial"/>
          <w:color w:val="000000"/>
          <w:lang w:val="en-US" w:eastAsia="de-DE"/>
        </w:rPr>
        <w:t xml:space="preserve">, for example, the cell-cycle inhibitor protein Whi5, a functional analog of Rb, is </w:t>
      </w:r>
      <w:proofErr w:type="spellStart"/>
      <w:r>
        <w:rPr>
          <w:rFonts w:ascii="Arial" w:eastAsia="Times New Roman" w:hAnsi="Arial" w:cs="Arial"/>
          <w:color w:val="000000"/>
          <w:lang w:val="en-US" w:eastAsia="de-DE"/>
        </w:rPr>
        <w:t>subscaling</w:t>
      </w:r>
      <w:proofErr w:type="spellEnd"/>
      <w:r>
        <w:rPr>
          <w:rFonts w:ascii="Arial" w:eastAsia="Times New Roman" w:hAnsi="Arial" w:cs="Arial"/>
          <w:color w:val="000000"/>
          <w:lang w:val="en-US" w:eastAsia="de-DE"/>
        </w:rPr>
        <w:t xml:space="preserve"> both at the time of cell birth and during G1</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{"citationItems":[{"id":"ITEM-1","itemData":{"author":[{"dropping-particle":"","family":"Schmoller","given":"Kurt M.","non-dropping-particle":"","parse-names":false,"suffix":""},{"dropping-particle":"","family":"Turner","given":"Jonathan J","non-dropping-p</w:instrText>
      </w:r>
      <w:r>
        <w:rPr>
          <w:rFonts w:ascii="Arial" w:eastAsia="Times New Roman" w:hAnsi="Arial" w:cs="Arial"/>
          <w:color w:val="000000"/>
          <w:lang w:val="en-US" w:eastAsia="de-DE"/>
        </w:rPr>
        <w:instrText>article":"","parse-names":false,"suffix":""},{"dropping-particle":"","family":"Kõivomägi","given":"Mardo","non-dropping-particle":"","parse-names":false,"suffix":""},{"dropping-particle":"","family":"Skotheim","given":"Jan M.","non-dropping-particle":"","p</w:instrText>
      </w:r>
      <w:r>
        <w:rPr>
          <w:rFonts w:ascii="Arial" w:eastAsia="Times New Roman" w:hAnsi="Arial" w:cs="Arial"/>
          <w:color w:val="000000"/>
          <w:lang w:val="en-US" w:eastAsia="de-DE"/>
        </w:rPr>
        <w:instrText>arse-names":false,"suffix":""}],"container-title":"Nature","id":"ITEM-1","issued":{"date-parts":[["2015"]]},"page":"268-272","title":"Dilution of the cell cycle inhibitor Whi5 controls budding yeast cell size","type":"article-journal","volume":"526"},"uris</w:instrText>
      </w:r>
      <w:r>
        <w:rPr>
          <w:rFonts w:ascii="Arial" w:eastAsia="Times New Roman" w:hAnsi="Arial" w:cs="Arial"/>
          <w:color w:val="000000"/>
          <w:lang w:val="en-US" w:eastAsia="de-DE"/>
        </w:rPr>
        <w:instrText xml:space="preserve">":["http://www.mendeley.com/documents/?uuid=fd5a714b-8317-497f-90e4-bf36a0e6efea"]},{"id":"ITEM-2","itemData":{"DOI":"10.1016/j.celrep.2019.09.030","ISSN":"22111247","abstract":"Proliferating cells need to evaluate the environment to determine the optimal </w:instrText>
      </w:r>
      <w:r>
        <w:rPr>
          <w:rFonts w:ascii="Arial" w:eastAsia="Times New Roman" w:hAnsi="Arial" w:cs="Arial"/>
          <w:color w:val="000000"/>
          <w:lang w:val="en-US" w:eastAsia="de-DE"/>
        </w:rPr>
        <w:instrText>timing for cell cycle entry. However, how this is achieved is not well understood. Here, we show that, in budding yeast, the G1 inhibitor Whi5 is a key environmental indicator and plays a crucial role in coordinating cell growth and division. We found that</w:instrText>
      </w:r>
      <w:r>
        <w:rPr>
          <w:rFonts w:ascii="Arial" w:eastAsia="Times New Roman" w:hAnsi="Arial" w:cs="Arial"/>
          <w:color w:val="000000"/>
          <w:lang w:val="en-US" w:eastAsia="de-DE"/>
        </w:rPr>
        <w:instrText>, under a variety of nutrient and stress conditions, Whi5 amount in G1 is proportional to the cell's doubling time in the environment, which in turn influences the timing for the next cell cycle entry. In addition, the coordination between division and env</w:instrText>
      </w:r>
      <w:r>
        <w:rPr>
          <w:rFonts w:ascii="Arial" w:eastAsia="Times New Roman" w:hAnsi="Arial" w:cs="Arial"/>
          <w:color w:val="000000"/>
          <w:lang w:val="en-US" w:eastAsia="de-DE"/>
        </w:rPr>
        <w:instrText>ironment is further fine-tuned in G1 by environmentally dependent growth rate, G1 cyclin-Cdk1 contribution, and Whi5 threshold at the start. Our results show that the cell stores the past environmental information in Whi5, which works together with other m</w:instrText>
      </w:r>
      <w:r>
        <w:rPr>
          <w:rFonts w:ascii="Arial" w:eastAsia="Times New Roman" w:hAnsi="Arial" w:cs="Arial"/>
          <w:color w:val="000000"/>
          <w:lang w:val="en-US" w:eastAsia="de-DE"/>
        </w:rPr>
        <w:instrText>echanisms sensing the current environmental condition to achieve an adaptive cellular decision making process.","author":[{"dropping-particle":"","family":"Qu","given":"Yimiao","non-dropping-particle":"","parse-names":false,"suffix":""},{"dropping-particle</w:instrText>
      </w:r>
      <w:r>
        <w:rPr>
          <w:rFonts w:ascii="Arial" w:eastAsia="Times New Roman" w:hAnsi="Arial" w:cs="Arial"/>
          <w:color w:val="000000"/>
          <w:lang w:val="en-US" w:eastAsia="de-DE"/>
        </w:rPr>
        <w:instrText>":"","family":"Jiang","given":"Jun","non-dropping-particle":"","parse-names":false,"suffix":""},{"dropping-particle":"","family":"Liu","given":"Xiang","non-dropping-particle":"","parse-names":false,"suffix":""},{"dropping-particle":"","family":"Wei","given</w:instrText>
      </w:r>
      <w:r>
        <w:rPr>
          <w:rFonts w:ascii="Arial" w:eastAsia="Times New Roman" w:hAnsi="Arial" w:cs="Arial"/>
          <w:color w:val="000000"/>
          <w:lang w:val="en-US" w:eastAsia="de-DE"/>
        </w:rPr>
        <w:instrText>":"Ping","non-dropping-particle":"","parse-names":false,"suffix":""},{"dropping-particle":"","family":"Yang","given":"Xiaojing","non-dropping-particle":"","parse-names":false,"suffix":""},{"dropping-particle":"","family":"Tang","given":"Chao","non-dropping</w:instrText>
      </w:r>
      <w:r>
        <w:rPr>
          <w:rFonts w:ascii="Arial" w:eastAsia="Times New Roman" w:hAnsi="Arial" w:cs="Arial"/>
          <w:color w:val="000000"/>
          <w:lang w:val="en-US" w:eastAsia="de-DE"/>
        </w:rPr>
        <w:instrText xml:space="preserve">-particle":"","parse-names":false,"suffix":""}],"container-title":"Cell Reports","id":"ITEM-2","issue":"4","issued":{"date-parts":[["2019"]]},"page":"987-994.e5","title":"Cell Cycle Inhibitor Whi5 Records Environmental Information to Coordinate Growth and </w:instrText>
      </w:r>
      <w:r>
        <w:rPr>
          <w:rFonts w:ascii="Arial" w:eastAsia="Times New Roman" w:hAnsi="Arial" w:cs="Arial"/>
          <w:color w:val="000000"/>
          <w:lang w:val="en-US" w:eastAsia="de-DE"/>
        </w:rPr>
        <w:instrText>Division in Yeast","type":"article-journal","volume":"29"},"uris":["http://www.mendeley.com/documents/?uuid=181f9a6e-1b36-4d60-89fb-0697c9a7bfe2"]},{"id":"ITEM-3","itemData":{"DOI":"10.1073/PNAS.2001255117/SUPPL_FILE/PNAS.2001255117.SAPP.PDF","ISSN":"10916</w:instrText>
      </w:r>
      <w:r>
        <w:rPr>
          <w:rFonts w:ascii="Arial" w:eastAsia="Times New Roman" w:hAnsi="Arial" w:cs="Arial"/>
          <w:color w:val="000000"/>
          <w:lang w:val="en-US" w:eastAsia="de-DE"/>
        </w:rPr>
        <w:instrText>490","PMID":"32518113","abstract":"Cells must couple cell-cycle progress to their growth rate to restrict the spread of cell sizes present throughout a population. Linear, rather than exponential, accumulation of Whi5, was proposed to provide this coordina</w:instrText>
      </w:r>
      <w:r>
        <w:rPr>
          <w:rFonts w:ascii="Arial" w:eastAsia="Times New Roman" w:hAnsi="Arial" w:cs="Arial"/>
          <w:color w:val="000000"/>
          <w:lang w:val="en-US" w:eastAsia="de-DE"/>
        </w:rPr>
        <w:instrText xml:space="preserve">tion by causing a higher Whi5 concentration in cells born at a smaller size. We tested this model using the inducible GAL1 promoter to make the Whi5 concentration independent of cell size. At an expression level that equalizes the mean cell size with that </w:instrText>
      </w:r>
      <w:r>
        <w:rPr>
          <w:rFonts w:ascii="Arial" w:eastAsia="Times New Roman" w:hAnsi="Arial" w:cs="Arial"/>
          <w:color w:val="000000"/>
          <w:lang w:val="en-US" w:eastAsia="de-DE"/>
        </w:rPr>
        <w:instrText>of wild-type cells, the size distributions of cells with galactose-induced Whi5 expression and wild-type cells are indistinguishable. Fluorescence microscopy confirms that the endogenous and GAL1 promoters produce different relationships between Whi5 conce</w:instrText>
      </w:r>
      <w:r>
        <w:rPr>
          <w:rFonts w:ascii="Arial" w:eastAsia="Times New Roman" w:hAnsi="Arial" w:cs="Arial"/>
          <w:color w:val="000000"/>
          <w:lang w:val="en-US" w:eastAsia="de-DE"/>
        </w:rPr>
        <w:instrText>ntration and cell volume without diminishing size control in the G1 phase. We also expressed Cln3 from the GAL1 promoter, finding that the spread in cell sizes for an asynchronous population is unaffected by this perturbation. Our findings indicate that si</w:instrText>
      </w:r>
      <w:r>
        <w:rPr>
          <w:rFonts w:ascii="Arial" w:eastAsia="Times New Roman" w:hAnsi="Arial" w:cs="Arial"/>
          <w:color w:val="000000"/>
          <w:lang w:val="en-US" w:eastAsia="de-DE"/>
        </w:rPr>
        <w:instrText>ze control in budding yeast does not fundamentally originate from the linear accumulation ofWhi5, contradicting a previous claim and demonstrating the need for further models of cell-cycle regulation to explain how cell size controls passage through Start.</w:instrText>
      </w:r>
      <w:r>
        <w:rPr>
          <w:rFonts w:ascii="Arial" w:eastAsia="Times New Roman" w:hAnsi="Arial" w:cs="Arial"/>
          <w:color w:val="000000"/>
          <w:lang w:val="en-US" w:eastAsia="de-DE"/>
        </w:rPr>
        <w:instrText>","author":[{"dropping-particle":"","family":"Barber","given":"Felix","non-dropping-particle":"","parse-names":false,"suffix":""},{"dropping-particle":"","family":"Amir","given":"Ariel","non-dropping-particle":"","parse-names":false,"suffix":""},{"dropping</w:instrText>
      </w:r>
      <w:r>
        <w:rPr>
          <w:rFonts w:ascii="Arial" w:eastAsia="Times New Roman" w:hAnsi="Arial" w:cs="Arial"/>
          <w:color w:val="000000"/>
          <w:lang w:val="en-US" w:eastAsia="de-DE"/>
        </w:rPr>
        <w:instrText>-particle":"","family":"Murray","given":"Andrew W.","non-dropping-particle":"","parse-names":false,"suffix":""},{"dropping-particle":"","family":"Murray","given":"Andrew W.","non-dropping-particle":"","parse-names":false,"suffix":""}],"container-title":"Pr</w:instrText>
      </w:r>
      <w:r>
        <w:rPr>
          <w:rFonts w:ascii="Arial" w:eastAsia="Times New Roman" w:hAnsi="Arial" w:cs="Arial"/>
          <w:color w:val="000000"/>
          <w:lang w:val="en-US" w:eastAsia="de-DE"/>
        </w:rPr>
        <w:instrText>oceedings of the National Academy of Sciences of the United States of America","id":"ITEM-3","issue":"25","issued":{"date-parts":[["2020","6","23"]]},"page":"14243-14250","publisher":"National Academy of Sciences","title":"Cell-size regulation in budding y</w:instrText>
      </w:r>
      <w:r>
        <w:rPr>
          <w:rFonts w:ascii="Arial" w:eastAsia="Times New Roman" w:hAnsi="Arial" w:cs="Arial"/>
          <w:color w:val="000000"/>
          <w:lang w:val="en-US" w:eastAsia="de-DE"/>
        </w:rPr>
        <w:instrText>east does not depend on linear accumulation of Whi5","type":"article-journal","volume":"117"},"uris":["http://www.mendeley.com/documents/?uuid=1570664f-82f3-3bc3-96de-22f9f5de5897"]},{"id":"ITEM-4","itemData":{"author":[{"dropping-particle":"","family":"Sw</w:instrText>
      </w:r>
      <w:r>
        <w:rPr>
          <w:rFonts w:ascii="Arial" w:eastAsia="Times New Roman" w:hAnsi="Arial" w:cs="Arial"/>
          <w:color w:val="000000"/>
          <w:lang w:val="en-US" w:eastAsia="de-DE"/>
        </w:rPr>
        <w:instrText>affer","given":"Matthew P","non-dropping-particle":"","parse-names":false,"suffix":""},{"dropping-particle":"","family":"Kim","given":"Jacob","non-dropping-particle":"","parse-names":false,"suffix":""},{"dropping-particle":"","family":"Chandler-Brown","giv</w:instrText>
      </w:r>
      <w:r>
        <w:rPr>
          <w:rFonts w:ascii="Arial" w:eastAsia="Times New Roman" w:hAnsi="Arial" w:cs="Arial"/>
          <w:color w:val="000000"/>
          <w:lang w:val="en-US" w:eastAsia="de-DE"/>
        </w:rPr>
        <w:instrText>en":"Devon","non-dropping-particle":"","parse-names":false,"suffix":""},{"dropping-particle":"","family":"Langhinrichs","given":"Maurice","non-dropping-particle":"","parse-names":false,"suffix":""},{"dropping-particle":"","family":"Marinov","given":"Georgi</w:instrText>
      </w:r>
      <w:r>
        <w:rPr>
          <w:rFonts w:ascii="Arial" w:eastAsia="Times New Roman" w:hAnsi="Arial" w:cs="Arial"/>
          <w:color w:val="000000"/>
          <w:lang w:val="en-US" w:eastAsia="de-DE"/>
        </w:rPr>
        <w:instrText>","non-dropping-particle":"","parse-names":false,"suffix":""},{"dropping-particle":"","family":"Greenleaf","given":"William J","non-dropping-particle":"","parse-names":false,"suffix":""},{"dropping-particle":"","family":"Kundaje","given":"Anshul","non-drop</w:instrText>
      </w:r>
      <w:r>
        <w:rPr>
          <w:rFonts w:ascii="Arial" w:eastAsia="Times New Roman" w:hAnsi="Arial" w:cs="Arial"/>
          <w:color w:val="000000"/>
          <w:lang w:val="en-US" w:eastAsia="de-DE"/>
        </w:rPr>
        <w:instrText>ping-particle":"","parse-names":false,"suffix":""},{"dropping-particle":"","family":"Schmoller","given":"Kurt M","non-dropping-particle":"","parse-names":false,"suffix":""},{"dropping-particle":"","family":"Skotheim","given":"Jan M","non-dropping-particle"</w:instrText>
      </w:r>
      <w:r>
        <w:rPr>
          <w:rFonts w:ascii="Arial" w:eastAsia="Times New Roman" w:hAnsi="Arial" w:cs="Arial"/>
          <w:color w:val="000000"/>
          <w:lang w:val="en-US" w:eastAsia="de-DE"/>
        </w:rPr>
        <w:instrText>:"","parse-names":false,"suffix":""}],"container-title":"Molecular cell","id":"ITEM-4","issued":{"date-parts":[["2021"]]},"page":"4861-4875","title":"Transcriptional and chromatin-based partitioning mechanisms uncouple protein scaling from cell size","type</w:instrText>
      </w:r>
      <w:r>
        <w:rPr>
          <w:rFonts w:ascii="Arial" w:eastAsia="Times New Roman" w:hAnsi="Arial" w:cs="Arial"/>
          <w:color w:val="000000"/>
          <w:lang w:val="en-US" w:eastAsia="de-DE"/>
        </w:rPr>
        <w:instrText>":"article-journal","volume":"81"},"uris":["http://www.mendeley.com/documents/?uuid=1fdceeb1-8ea8-46cd-97f8-5f08dbc8e2bf"]},{"id":"ITEM-5","itemData":{"DOI":"10.1091/MBC.E21-01-0029/ASSET/IMAGES/LARGE/MBC-33-LT1-G003.JPEG","ISSN":"19394586","PMID":"3548251</w:instrText>
      </w:r>
      <w:r>
        <w:rPr>
          <w:rFonts w:ascii="Arial" w:eastAsia="Times New Roman" w:hAnsi="Arial" w:cs="Arial"/>
          <w:color w:val="000000"/>
          <w:lang w:val="en-US" w:eastAsia="de-DE"/>
        </w:rPr>
        <w:instrText>0","abstract":"The Whi5 dilution model requires that the concentration of Whi5 in newborn cells decreases with their cell size at birth, and that dilution by cell growth causes a continuous decrease of Whi5 concentration during G1. While the size-dependent</w:instrText>
      </w:r>
      <w:r>
        <w:rPr>
          <w:rFonts w:ascii="Arial" w:eastAsia="Times New Roman" w:hAnsi="Arial" w:cs="Arial"/>
          <w:color w:val="000000"/>
          <w:lang w:val="en-US" w:eastAsia="de-DE"/>
        </w:rPr>
        <w:instrText xml:space="preserve"> Whi5 concentration at birth is based on an unusual cell size-independent transcriptional mechanism and chromatin-based partitioning (Schmoller et al., 2015; Swaffer et al., 2021), the latter is explained by two key observations. First, Whi5 is a stable pr</w:instrText>
      </w:r>
      <w:r>
        <w:rPr>
          <w:rFonts w:ascii="Arial" w:eastAsia="Times New Roman" w:hAnsi="Arial" w:cs="Arial"/>
          <w:color w:val="000000"/>
          <w:lang w:val="en-US" w:eastAsia="de-DE"/>
        </w:rPr>
        <w:instrText>otein (Schmoller et al., 2015; Gomar-Alba et al., 2017). Second, transcription of WHI5 mRNA is strongly cell cycle-dependent and peaks in S/G2 (Spellman et al., 1998; Pramila et al., 2006; Granovskaia et al., 2010). Indeed, it has long been known that WHI5</w:instrText>
      </w:r>
      <w:r>
        <w:rPr>
          <w:rFonts w:ascii="Arial" w:eastAsia="Times New Roman" w:hAnsi="Arial" w:cs="Arial"/>
          <w:color w:val="000000"/>
          <w:lang w:val="en-US" w:eastAsia="de-DE"/>
        </w:rPr>
        <w:instrText xml:space="preserve"> is a cell cycle-dependent transcript as it ranks among the top 300 most periodically expressed budding yeast genes in the Cyclebase database (Santos et al., 2015). This cell cycle dependence was recently confirmed using single molecule FISH (Qu et al., 20</w:instrText>
      </w:r>
      <w:r>
        <w:rPr>
          <w:rFonts w:ascii="Arial" w:eastAsia="Times New Roman" w:hAnsi="Arial" w:cs="Arial"/>
          <w:color w:val="000000"/>
          <w:lang w:val="en-US" w:eastAsia="de-DE"/>
        </w:rPr>
        <w:instrText>19; Swaffer et al., 2021). Thus, unless translational control perfectly compensates for the transcriptional oscillation, cell growth during G1-the period in which Whi5 mRNA is only weakly expressed-will inevitably decrease Whi5 protein concentration. Impor</w:instrText>
      </w:r>
      <w:r>
        <w:rPr>
          <w:rFonts w:ascii="Arial" w:eastAsia="Times New Roman" w:hAnsi="Arial" w:cs="Arial"/>
          <w:color w:val="000000"/>
          <w:lang w:val="en-US" w:eastAsia="de-DE"/>
        </w:rPr>
        <w:instrText>tantly, dilution of Whi5 does not imply that there is absolutely no synthesis of Whi5 protein during G1, just that its synthesis rate in G1 is significantly lower than in S/G2/M. Whi5 dilution during pre-Start G1 was observed using live-cell wide-field flu</w:instrText>
      </w:r>
      <w:r>
        <w:rPr>
          <w:rFonts w:ascii="Arial" w:eastAsia="Times New Roman" w:hAnsi="Arial" w:cs="Arial"/>
          <w:color w:val="000000"/>
          <w:lang w:val="en-US" w:eastAsia="de-DE"/>
        </w:rPr>
        <w:instrText>orescence microscopy of Whi5 in asynchronously cycling single cells (Schmoller et al., 2015). This analysis required careful subtraction of background and cell autofluorescence before the total fluorescence intensity of tagged Whi5 can be extracted as a pr</w:instrText>
      </w:r>
      <w:r>
        <w:rPr>
          <w:rFonts w:ascii="Arial" w:eastAsia="Times New Roman" w:hAnsi="Arial" w:cs="Arial"/>
          <w:color w:val="000000"/>
          <w:lang w:val="en-US" w:eastAsia="de-DE"/>
        </w:rPr>
        <w:instrText>oxy for the total amount of Whi5 protein. Simultaneous estimation of cell volume based on cell segmentations obtained from phase contrast images can then be used to calculate the relative change of Whi5 concentration over time. Using this approach, we foun</w:instrText>
      </w:r>
      <w:r>
        <w:rPr>
          <w:rFonts w:ascii="Arial" w:eastAsia="Times New Roman" w:hAnsi="Arial" w:cs="Arial"/>
          <w:color w:val="000000"/>
          <w:lang w:val="en-US" w:eastAsia="de-DE"/>
        </w:rPr>
        <w:instrText>d that Whi5 protein concentrations directly reflect its transcriptional regulation. In G1, Whi5 is weakly expressed, which leads to its dilution in this phase of the cell cycle. This is followed by a strong increase in Whi5 synthesis in the budded phase of</w:instrText>
      </w:r>
      <w:r>
        <w:rPr>
          <w:rFonts w:ascii="Arial" w:eastAsia="Times New Roman" w:hAnsi="Arial" w:cs="Arial"/>
          <w:color w:val="000000"/>
          <w:lang w:val="en-US" w:eastAsia="de-DE"/>
        </w:rPr>
        <w:instrText xml:space="preserve"> the cell cycle (Schmoller et al., 2015).","author":[{"dropping-particle":"","family":"Schmoller","given":"Kurt M.","non-dropping-particle":"","parse-names":false,"suffix":""},{"dropping-particle":"","family":"Lanz","given":"Michael C.","non-dropping-parti</w:instrText>
      </w:r>
      <w:r>
        <w:rPr>
          <w:rFonts w:ascii="Arial" w:eastAsia="Times New Roman" w:hAnsi="Arial" w:cs="Arial"/>
          <w:color w:val="000000"/>
          <w:lang w:val="en-US" w:eastAsia="de-DE"/>
        </w:rPr>
        <w:instrText>cle":"","parse-names":false,"suffix":""},{"dropping-particle":"","family":"Kim","given":"Jacob","non-dropping-particle":"","parse-names":false,"suffix":""},{"dropping-particle":"","family":"Koivomagi","given":"Mardo","non-dropping-particle":"","parse-names</w:instrText>
      </w:r>
      <w:r>
        <w:rPr>
          <w:rFonts w:ascii="Arial" w:eastAsia="Times New Roman" w:hAnsi="Arial" w:cs="Arial"/>
          <w:color w:val="000000"/>
          <w:lang w:val="en-US" w:eastAsia="de-DE"/>
        </w:rPr>
        <w:instrText>":false,"suffix":""},{"dropping-particle":"","family":"Qu","given":"Yimiao","non-dropping-particle":"","parse-names":false,"suffix":""},{"dropping-particle":"","family":"Tang","given":"Chao","non-dropping-particle":"","parse-names":false,"suffix":""},{"dro</w:instrText>
      </w:r>
      <w:r>
        <w:rPr>
          <w:rFonts w:ascii="Arial" w:eastAsia="Times New Roman" w:hAnsi="Arial" w:cs="Arial"/>
          <w:color w:val="000000"/>
          <w:lang w:val="en-US" w:eastAsia="de-DE"/>
        </w:rPr>
        <w:instrText>pping-particle":"V.","family":"Kukhtevich","given":"Igor","non-dropping-particle":"","parse-names":false,"suffix":""},{"dropping-particle":"","family":"Schneider","given":"Robert","non-dropping-particle":"","parse-names":false,"suffix":""},{"dropping-parti</w:instrText>
      </w:r>
      <w:r>
        <w:rPr>
          <w:rFonts w:ascii="Arial" w:eastAsia="Times New Roman" w:hAnsi="Arial" w:cs="Arial"/>
          <w:color w:val="000000"/>
          <w:lang w:val="en-US" w:eastAsia="de-DE"/>
        </w:rPr>
        <w:instrText>cle":"","family":"Rudolf","given":"Fabian","non-dropping-particle":"","parse-names":false,"suffix":""},{"dropping-particle":"","family":"Moreno","given":"David F.","non-dropping-particle":"","parse-names":false,"suffix":""},{"dropping-particle":"","family"</w:instrText>
      </w:r>
      <w:r>
        <w:rPr>
          <w:rFonts w:ascii="Arial" w:eastAsia="Times New Roman" w:hAnsi="Arial" w:cs="Arial"/>
          <w:color w:val="000000"/>
          <w:lang w:val="en-US" w:eastAsia="de-DE"/>
        </w:rPr>
        <w:instrText>:"Aldea","given":"Martí","non-dropping-particle":"","parse-names":false,"suffix":""},{"dropping-particle":"","family":"Lucena","given":"Rafael","non-dropping-particle":"","parse-names":false,"suffix":""},{"dropping-particle":"","family":"Skotheim","given":</w:instrText>
      </w:r>
      <w:r>
        <w:rPr>
          <w:rFonts w:ascii="Arial" w:eastAsia="Times New Roman" w:hAnsi="Arial" w:cs="Arial"/>
          <w:color w:val="000000"/>
          <w:lang w:val="en-US" w:eastAsia="de-DE"/>
        </w:rPr>
        <w:instrText>"Jan M.","non-dropping-particle":"","parse-names":false,"suffix":""}],"container-title":"Molecular Biology of the Cell","id":"ITEM-5","issue":"5","issued":{"date-parts":[["2022","5","1"]]},"page":"1-1","publisher":"American Society for Cell Biology","title</w:instrText>
      </w:r>
      <w:r>
        <w:rPr>
          <w:rFonts w:ascii="Arial" w:eastAsia="Times New Roman" w:hAnsi="Arial" w:cs="Arial"/>
          <w:color w:val="000000"/>
          <w:lang w:val="en-US" w:eastAsia="de-DE"/>
        </w:rPr>
        <w:instrText>":"Whi5 is diluted and protein synthesis does not dramatically increase in pre-Start G1","type":"article-journal","volume":"33"},"uris":["http://www.mendeley.com/documents/?uuid=5f6ff575-5e21-33ed-9537-c627c666fc4e"]}],"mendeley":{"formattedCitation":"&lt;sup</w:instrText>
      </w:r>
      <w:r>
        <w:rPr>
          <w:rFonts w:ascii="Arial" w:eastAsia="Times New Roman" w:hAnsi="Arial" w:cs="Arial"/>
          <w:color w:val="000000"/>
          <w:lang w:val="en-US" w:eastAsia="de-DE"/>
        </w:rPr>
        <w:instrText>&gt;4,51–54&lt;/sup&gt;","plainTextFormattedCitation":"4,51–54","previouslyFormattedCitation":"&lt;sup&gt;4,51–54&lt;/sup&gt;"},"properties":{"noteIndex":0},"schema":"https://github.com/citation-style-language/schema/raw/master/csl-citation.json"}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4,51–54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and its reducing c</w:t>
      </w:r>
      <w:r>
        <w:rPr>
          <w:rFonts w:ascii="Arial" w:eastAsia="Times New Roman" w:hAnsi="Arial" w:cs="Arial"/>
          <w:color w:val="000000"/>
          <w:lang w:val="en-US" w:eastAsia="de-DE"/>
        </w:rPr>
        <w:t>oncentration serves as a reporter of cell size (Fig. 6c). Whi5 binds to and inhibits the transcription factor SBF (functional analog of E2F</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{"citationItems":[{"id":"ITEM-1","itemData":{"DOI":"10.7554/eLife.09492","ISSN":"2050-084X","PMID"</w:instrText>
      </w:r>
      <w:r>
        <w:rPr>
          <w:rFonts w:ascii="Arial" w:eastAsia="Times New Roman" w:hAnsi="Arial" w:cs="Arial"/>
          <w:color w:val="000000"/>
          <w:lang w:val="en-US" w:eastAsia="de-DE"/>
        </w:rPr>
        <w:instrText>:"27162172","abstract":"Although cell cycle control is an ancient, conserved, and essential process, some core animal and fungal cell cycle regulators share no more sequence identity than non-homologous proteins. Here, we show that evolution along the fung</w:instrText>
      </w:r>
      <w:r>
        <w:rPr>
          <w:rFonts w:ascii="Arial" w:eastAsia="Times New Roman" w:hAnsi="Arial" w:cs="Arial"/>
          <w:color w:val="000000"/>
          <w:lang w:val="en-US" w:eastAsia="de-DE"/>
        </w:rPr>
        <w:instrText>al lineage was punctuated by the early acquisition and entrainment of the SBF transcription factor through horizontal gene transfer. Cell cycle evolution in the fungal ancestor then proceeded through a hybrid network containing both SBF and its ancestral a</w:instrText>
      </w:r>
      <w:r>
        <w:rPr>
          <w:rFonts w:ascii="Arial" w:eastAsia="Times New Roman" w:hAnsi="Arial" w:cs="Arial"/>
          <w:color w:val="000000"/>
          <w:lang w:val="en-US" w:eastAsia="de-DE"/>
        </w:rPr>
        <w:instrText xml:space="preserve">nimal counterpart E2F, which is still maintained in many basal fungi. We hypothesize that a virally-derived SBF may have initially hijacked cell cycle control by activating transcription via the cis-regulatory elements targeted by the ancestral cell cycle </w:instrText>
      </w:r>
      <w:r>
        <w:rPr>
          <w:rFonts w:ascii="Arial" w:eastAsia="Times New Roman" w:hAnsi="Arial" w:cs="Arial"/>
          <w:color w:val="000000"/>
          <w:lang w:val="en-US" w:eastAsia="de-DE"/>
        </w:rPr>
        <w:instrText>regulator E2F, much like extant viral oncogenes. Consistent with this hypothesis, we show that SBF can regulate promoters with E2F binding sites in budding yeast.","author":[{"dropping-particle":"","family":"Medina","given":"Edgar M","non-dropping-particle</w:instrText>
      </w:r>
      <w:r>
        <w:rPr>
          <w:rFonts w:ascii="Arial" w:eastAsia="Times New Roman" w:hAnsi="Arial" w:cs="Arial"/>
          <w:color w:val="000000"/>
          <w:lang w:val="en-US" w:eastAsia="de-DE"/>
        </w:rPr>
        <w:instrText>":"","parse-names":false,"suffix":""},{"dropping-particle":"","family":"Turner","given":"Jonathan J","non-dropping-particle":"","parse-names":false,"suffix":""},{"dropping-particle":"","family":"Gordân","given":"Raluca","non-dropping-particle":"","parse-na</w:instrText>
      </w:r>
      <w:r>
        <w:rPr>
          <w:rFonts w:ascii="Arial" w:eastAsia="Times New Roman" w:hAnsi="Arial" w:cs="Arial"/>
          <w:color w:val="000000"/>
          <w:lang w:val="en-US" w:eastAsia="de-DE"/>
        </w:rPr>
        <w:instrText>mes":false,"suffix":""},{"dropping-particle":"","family":"Skotheim","given":"Jan M","non-dropping-particle":"","parse-names":false,"suffix":""},{"dropping-particle":"","family":"Buchler","given":"Nicolas E","non-dropping-particle":"","parse-names":false,"s</w:instrText>
      </w:r>
      <w:r>
        <w:rPr>
          <w:rFonts w:ascii="Arial" w:eastAsia="Times New Roman" w:hAnsi="Arial" w:cs="Arial"/>
          <w:color w:val="000000"/>
          <w:lang w:val="en-US" w:eastAsia="de-DE"/>
        </w:rPr>
        <w:instrText>uffix":""}],"container-title":"eLife","id":"ITEM-1","issued":{"date-parts":[["2016"]]},"title":"Punctuated evolution and transitional hybrid network in an ancestral cell cycle of fungi.","type":"article-journal","volume":"5"},"uris":["http://www.mendeley.c</w:instrText>
      </w:r>
      <w:r>
        <w:rPr>
          <w:rFonts w:ascii="Arial" w:eastAsia="Times New Roman" w:hAnsi="Arial" w:cs="Arial"/>
          <w:color w:val="000000"/>
          <w:lang w:val="en-US" w:eastAsia="de-DE"/>
        </w:rPr>
        <w:instrText>om/documents/?uuid=4f740a5a-c167-417b-b57e-ffa4af2f25dc"]}],"mendeley":{"formattedCitation":"&lt;sup&gt;256&lt;/sup&gt;","plainTextFormattedCitation":"256","previouslyFormattedCitation":"&lt;sup&gt;256&lt;/sup&gt;"},"properties":{"noteIndex":0},"schema":"https://github.com/citati</w:instrText>
      </w:r>
      <w:r>
        <w:rPr>
          <w:rFonts w:ascii="Arial" w:eastAsia="Times New Roman" w:hAnsi="Arial" w:cs="Arial"/>
          <w:color w:val="000000"/>
          <w:lang w:val="en-US" w:eastAsia="de-DE"/>
        </w:rPr>
        <w:instrText>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256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whose target genes drive the G1/S transition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{"citationItems":[{"id":"ITEM-1","itemData":{"DOI":"10.1016/j.cell.2004.05.024","ISBN":"0092-8674 (Print)\\r0092-8674 (Linking)",</w:instrText>
      </w:r>
      <w:r>
        <w:rPr>
          <w:rFonts w:ascii="Arial" w:eastAsia="Times New Roman" w:hAnsi="Arial" w:cs="Arial"/>
          <w:color w:val="000000"/>
          <w:lang w:val="en-US" w:eastAsia="de-DE"/>
        </w:rPr>
        <w:instrText>"ISSN":"00928674","PMID":"15210111","abstract":"Cyclin-dependent kinase (CDK) activity initiates the eukaryotic cell division cycle by turning on a suite of gene expression in late G1 phase. In metazoans, CDK-dependent phosphorylation of the retinoblastoma</w:instrText>
      </w:r>
      <w:r>
        <w:rPr>
          <w:rFonts w:ascii="Arial" w:eastAsia="Times New Roman" w:hAnsi="Arial" w:cs="Arial"/>
          <w:color w:val="000000"/>
          <w:lang w:val="en-US" w:eastAsia="de-DE"/>
        </w:rPr>
        <w:instrText xml:space="preserve"> tumor suppressor protein (Rb) alleviates repression of E2F and thereby activates G1/S transcription. However, in yeast, an analogous G1 phase target of CDK activity has remained elusive. Here we show that the cell size regulator Whi5 inhibits G1/S transcr</w:instrText>
      </w:r>
      <w:r>
        <w:rPr>
          <w:rFonts w:ascii="Arial" w:eastAsia="Times New Roman" w:hAnsi="Arial" w:cs="Arial"/>
          <w:color w:val="000000"/>
          <w:lang w:val="en-US" w:eastAsia="de-DE"/>
        </w:rPr>
        <w:instrText xml:space="preserve">iption and that this inhibition is relieved by CDK-mediated phosphorylation. Deletion of WHI5 bypasses the requirement for upstream activators of the G1/S transcription factors SBF/MBF and thereby accelerates the G1/S transition. Whi5 is recruited to G1/S </w:instrText>
      </w:r>
      <w:r>
        <w:rPr>
          <w:rFonts w:ascii="Arial" w:eastAsia="Times New Roman" w:hAnsi="Arial" w:cs="Arial"/>
          <w:color w:val="000000"/>
          <w:lang w:val="en-US" w:eastAsia="de-DE"/>
        </w:rPr>
        <w:instrText xml:space="preserve">promoter elements via its interaction with SBF/MBF in vivo and in vitro. In late G1 phase, CDK-dependent phosphorylation dissociates Whi5 from SBF and drives Whi5 out of the nucleus. Elimination of CDK activity at the end of mitosis allows Whi5 to reenter </w:instrText>
      </w:r>
      <w:r>
        <w:rPr>
          <w:rFonts w:ascii="Arial" w:eastAsia="Times New Roman" w:hAnsi="Arial" w:cs="Arial"/>
          <w:color w:val="000000"/>
          <w:lang w:val="en-US" w:eastAsia="de-DE"/>
        </w:rPr>
        <w:instrText>the nucleus to again repress G1/S transcription. These findings harmonize G1/S control in eukaryotes.","author":[{"dropping-particle":"","family":"Costanzo","given":"Michael","non-dropping-particle":"","parse-names":false,"suffix":""},{"dropping-particle":</w:instrText>
      </w:r>
      <w:r>
        <w:rPr>
          <w:rFonts w:ascii="Arial" w:eastAsia="Times New Roman" w:hAnsi="Arial" w:cs="Arial"/>
          <w:color w:val="000000"/>
          <w:lang w:val="en-US" w:eastAsia="de-DE"/>
        </w:rPr>
        <w:instrText>"","family":"Nishikawa","given":"Joy L.","non-dropping-particle":"","parse-names":false,"suffix":""},{"dropping-particle":"","family":"Tang","given":"Xiaojing","non-dropping-particle":"","parse-names":false,"suffix":""},{"dropping-particle":"","family":"Mi</w:instrText>
      </w:r>
      <w:r>
        <w:rPr>
          <w:rFonts w:ascii="Arial" w:eastAsia="Times New Roman" w:hAnsi="Arial" w:cs="Arial"/>
          <w:color w:val="000000"/>
          <w:lang w:val="en-US" w:eastAsia="de-DE"/>
        </w:rPr>
        <w:instrText>llman","given":"Jonathan S.","non-dropping-particle":"","parse-names":false,"suffix":""},{"dropping-particle":"","family":"Schub","given":"Oliver","non-dropping-particle":"","parse-names":false,"suffix":""},{"dropping-particle":"","family":"Breitkreuz","gi</w:instrText>
      </w:r>
      <w:r>
        <w:rPr>
          <w:rFonts w:ascii="Arial" w:eastAsia="Times New Roman" w:hAnsi="Arial" w:cs="Arial"/>
          <w:color w:val="000000"/>
          <w:lang w:val="en-US" w:eastAsia="de-DE"/>
        </w:rPr>
        <w:instrText>ven":"Kevin","non-dropping-particle":"","parse-names":false,"suffix":""},{"dropping-particle":"","family":"Dewar","given":"Danielle","non-dropping-particle":"","parse-names":false,"suffix":""},{"dropping-particle":"","family":"Rupes","given":"Ivan","non-dr</w:instrText>
      </w:r>
      <w:r>
        <w:rPr>
          <w:rFonts w:ascii="Arial" w:eastAsia="Times New Roman" w:hAnsi="Arial" w:cs="Arial"/>
          <w:color w:val="000000"/>
          <w:lang w:val="en-US" w:eastAsia="de-DE"/>
        </w:rPr>
        <w:instrText>opping-particle":"","parse-names":false,"suffix":""},{"dropping-particle":"","family":"Andrews","given":"Brenda","non-dropping-particle":"","parse-names":false,"suffix":""},{"dropping-particle":"","family":"Tyers","given":"Mike","non-dropping-particle":"",</w:instrText>
      </w:r>
      <w:r>
        <w:rPr>
          <w:rFonts w:ascii="Arial" w:eastAsia="Times New Roman" w:hAnsi="Arial" w:cs="Arial"/>
          <w:color w:val="000000"/>
          <w:lang w:val="en-US" w:eastAsia="de-DE"/>
        </w:rPr>
        <w:instrText>"parse-names":false,"suffix":""}],"container-title":"Cell","id":"ITEM-1","issue":"7","issued":{"date-parts":[["2004"]]},"page":"899-913","title":"CDK activity antagonizes Whi5, an inhibitor of G1/S transcription in yeast","type":"article-journal","volume":</w:instrText>
      </w:r>
      <w:r>
        <w:rPr>
          <w:rFonts w:ascii="Arial" w:eastAsia="Times New Roman" w:hAnsi="Arial" w:cs="Arial"/>
          <w:color w:val="000000"/>
          <w:lang w:val="en-US" w:eastAsia="de-DE"/>
        </w:rPr>
        <w:instrText>"117"},"uris":["http://www.mendeley.com/documents/?uuid=d5940367-3e30-4b75-8081-9c767e3b2031"]},{"id":"ITEM-2","itemData":{"DOI":"10.1016/j.cell.2004.05.025","ISBN":"0092-8674 (Print)\\r0092-8674 (Linking)","ISSN":"00928674","PMID":"15210110","abstract":"G</w:instrText>
      </w:r>
      <w:r>
        <w:rPr>
          <w:rFonts w:ascii="Arial" w:eastAsia="Times New Roman" w:hAnsi="Arial" w:cs="Arial"/>
          <w:color w:val="000000"/>
          <w:lang w:val="en-US" w:eastAsia="de-DE"/>
        </w:rPr>
        <w:instrText>1-specific transcriptional activation by Cln3/CDK initiates the budding yeast cell cycle. To identify targets of Cln3/CDK, we analyzed the SBF and MBF transcription factor complexes by multidimensional protein interaction technology (MudPIT). Whi5 was iden</w:instrText>
      </w:r>
      <w:r>
        <w:rPr>
          <w:rFonts w:ascii="Arial" w:eastAsia="Times New Roman" w:hAnsi="Arial" w:cs="Arial"/>
          <w:color w:val="000000"/>
          <w:lang w:val="en-US" w:eastAsia="de-DE"/>
        </w:rPr>
        <w:instrText>tified as a stably bound component of SBF but not MBF. Inactivation of Whi5 leads to premature expression of G1-specific genes and budding, whereas overexpression retards those processes. Whi5 inactivation bypasses the requirement for Cln3 both for transcr</w:instrText>
      </w:r>
      <w:r>
        <w:rPr>
          <w:rFonts w:ascii="Arial" w:eastAsia="Times New Roman" w:hAnsi="Arial" w:cs="Arial"/>
          <w:color w:val="000000"/>
          <w:lang w:val="en-US" w:eastAsia="de-DE"/>
        </w:rPr>
        <w:instrText xml:space="preserve">iptional activation and cell cycle initiation. Whi5 associates with G1-specific promoters via SBF during early G1 phase, then dissociates coincident with transcriptional activation. Dissociation of Whi5 is promoted by Cln3 in vivo. Cln/CDK phosphorylation </w:instrText>
      </w:r>
      <w:r>
        <w:rPr>
          <w:rFonts w:ascii="Arial" w:eastAsia="Times New Roman" w:hAnsi="Arial" w:cs="Arial"/>
          <w:color w:val="000000"/>
          <w:lang w:val="en-US" w:eastAsia="de-DE"/>
        </w:rPr>
        <w:instrText xml:space="preserve">of Whi5 in vitro promotes its dissociation from SBF complexes. Mutation of putative CDK phosphorylation sites, at least five of which are phosphorylated in vivo, strongly reduces SBF-dependent transcription and delays cell cycle initiation. Like mammalian </w:instrText>
      </w:r>
      <w:r>
        <w:rPr>
          <w:rFonts w:ascii="Arial" w:eastAsia="Times New Roman" w:hAnsi="Arial" w:cs="Arial"/>
          <w:color w:val="000000"/>
          <w:lang w:val="en-US" w:eastAsia="de-DE"/>
        </w:rPr>
        <w:instrText>Rb, Whi5 is a G1-specific transcriptional repressor antagonized by CDK.","author":[{"dropping-particle":"","family":"Bruin","given":"R. A M","non-dropping-particle":"De","parse-names":false,"suffix":""},{"dropping-particle":"","family":"McDonald","given":"</w:instrText>
      </w:r>
      <w:r>
        <w:rPr>
          <w:rFonts w:ascii="Arial" w:eastAsia="Times New Roman" w:hAnsi="Arial" w:cs="Arial"/>
          <w:color w:val="000000"/>
          <w:lang w:val="en-US" w:eastAsia="de-DE"/>
        </w:rPr>
        <w:instrText>W. Hayes","non-dropping-particle":"","parse-names":false,"suffix":""},{"dropping-particle":"","family":"Kalashnikova","given":"Tatyana I.","non-dropping-particle":"","parse-names":false,"suffix":""},{"dropping-particle":"","family":"Yates","given":"John","</w:instrText>
      </w:r>
      <w:r>
        <w:rPr>
          <w:rFonts w:ascii="Arial" w:eastAsia="Times New Roman" w:hAnsi="Arial" w:cs="Arial"/>
          <w:color w:val="000000"/>
          <w:lang w:val="en-US" w:eastAsia="de-DE"/>
        </w:rPr>
        <w:instrText>non-dropping-particle":"","parse-names":false,"suffix":""},{"dropping-particle":"","family":"Wittenberg","given":"Curt","non-dropping-particle":"","parse-names":false,"suffix":""}],"container-title":"Cell","id":"ITEM-2","issue":"7","issued":{"date-parts":[</w:instrText>
      </w:r>
      <w:r>
        <w:rPr>
          <w:rFonts w:ascii="Arial" w:eastAsia="Times New Roman" w:hAnsi="Arial" w:cs="Arial"/>
          <w:color w:val="000000"/>
          <w:lang w:val="en-US" w:eastAsia="de-DE"/>
        </w:rPr>
        <w:instrText>["2004"]]},"page":"887-898","title":"Cln3 activates G1-specific transcription via phosphorylation of the SBF bound repressor Whi5","type":"article-journal","volume":"117"},"uris":["http://www.mendeley.com/documents/?uuid=ee890807-5b39-492b-b90c-5f489cc37eb</w:instrText>
      </w:r>
      <w:r>
        <w:rPr>
          <w:rFonts w:ascii="Arial" w:eastAsia="Times New Roman" w:hAnsi="Arial" w:cs="Arial"/>
          <w:color w:val="000000"/>
          <w:lang w:val="en-US" w:eastAsia="de-DE"/>
        </w:rPr>
        <w:instrText>d"]}],"mendeley":{"formattedCitation":"&lt;sup&gt;257,258&lt;/sup&gt;","plainTextFormattedCitation":"257,258","previouslyFormattedCitation":"&lt;sup&gt;257,258&lt;/sup&gt;"},"properties":{"noteIndex":0},"schema":"https://github.com/citation-style-language/schema/raw/master/csl-ci</w:instrText>
      </w:r>
      <w:r>
        <w:rPr>
          <w:rFonts w:ascii="Arial" w:eastAsia="Times New Roman" w:hAnsi="Arial" w:cs="Arial"/>
          <w:color w:val="000000"/>
          <w:lang w:val="en-US" w:eastAsia="de-DE"/>
        </w:rPr>
        <w:instrText>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257,258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number of SBF-binding sites in the genome remains unchanged during G1, and the antagonists of Whi5, the G1/S activators Cln3, Bck2, and the SBF-subunit Swi4 are maintained at roughly constant concentrations or are even supersca</w:t>
      </w:r>
      <w:r>
        <w:rPr>
          <w:rFonts w:ascii="Arial" w:eastAsia="Times New Roman" w:hAnsi="Arial" w:cs="Arial"/>
          <w:color w:val="000000"/>
          <w:lang w:val="en-US" w:eastAsia="de-DE"/>
        </w:rPr>
        <w:t>ling</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{"citationItems":[{"id":"ITEM-1","itemData":{"author":[{"dropping-particle":"","family":"Schmoller","given":"Kurt M.","non-dropping-particle":"","parse-names":false,"suffix":""},{"dropping-particle":"","family":"Turner","given":"Jona</w:instrText>
      </w:r>
      <w:r>
        <w:rPr>
          <w:rFonts w:ascii="Arial" w:eastAsia="Times New Roman" w:hAnsi="Arial" w:cs="Arial"/>
          <w:color w:val="000000"/>
          <w:lang w:val="en-US" w:eastAsia="de-DE"/>
        </w:rPr>
        <w:instrText>than J","non-dropping-particle":"","parse-names":false,"suffix":""},{"dropping-particle":"","family":"Kõivomägi","given":"Mardo","non-dropping-particle":"","parse-names":false,"suffix":""},{"dropping-particle":"","family":"Skotheim","given":"Jan M.","non-d</w:instrText>
      </w:r>
      <w:r>
        <w:rPr>
          <w:rFonts w:ascii="Arial" w:eastAsia="Times New Roman" w:hAnsi="Arial" w:cs="Arial"/>
          <w:color w:val="000000"/>
          <w:lang w:val="en-US" w:eastAsia="de-DE"/>
        </w:rPr>
        <w:instrText>ropping-particle":"","parse-names":false,"suffix":""}],"container-title":"Nature","id":"ITEM-1","issued":{"date-parts":[["2015"]]},"page":"268-272","title":"Dilution of the cell cycle inhibitor Whi5 controls budding yeast cell size","type":"article-journal</w:instrText>
      </w:r>
      <w:r>
        <w:rPr>
          <w:rFonts w:ascii="Arial" w:eastAsia="Times New Roman" w:hAnsi="Arial" w:cs="Arial"/>
          <w:color w:val="000000"/>
          <w:lang w:val="en-US" w:eastAsia="de-DE"/>
        </w:rPr>
        <w:instrText>","volume":"526"},"uris":["http://www.mendeley.com/documents/?uuid=fd5a714b-8317-497f-90e4-bf36a0e6efea"]},{"id":"ITEM-2","itemData":{"DOI":"10.1016/j.molcel.2020.03.012","ISSN":"10972765","PMID":"32246903","abstract":"&lt;h2&gt;Summary&lt;/h2&gt;&lt;p&gt;Yeast cells must g</w:instrText>
      </w:r>
      <w:r>
        <w:rPr>
          <w:rFonts w:ascii="Arial" w:eastAsia="Times New Roman" w:hAnsi="Arial" w:cs="Arial"/>
          <w:color w:val="000000"/>
          <w:lang w:val="en-US" w:eastAsia="de-DE"/>
        </w:rPr>
        <w:instrText>row to a critical size before committing to division. It is unknown how size is measured. We find that as cells grow, mRNAs for some cell-cycle activators scale faster than size, increasing in concentration, while mRNAs for some inhibitors scale slower tha</w:instrText>
      </w:r>
      <w:r>
        <w:rPr>
          <w:rFonts w:ascii="Arial" w:eastAsia="Times New Roman" w:hAnsi="Arial" w:cs="Arial"/>
          <w:color w:val="000000"/>
          <w:lang w:val="en-US" w:eastAsia="de-DE"/>
        </w:rPr>
        <w:instrText>n size, decreasing in concentration. Size-scaled gene expression could cause an increasing ratio of activators to inhibitors with size, triggering cell-cycle entry. Consistent with this, expression of the &lt;i&gt;CLN2&lt;/i&gt; activator from the promoter of the &lt;i&gt;W</w:instrText>
      </w:r>
      <w:r>
        <w:rPr>
          <w:rFonts w:ascii="Arial" w:eastAsia="Times New Roman" w:hAnsi="Arial" w:cs="Arial"/>
          <w:color w:val="000000"/>
          <w:lang w:val="en-US" w:eastAsia="de-DE"/>
        </w:rPr>
        <w:instrText>HI5&lt;/i&gt; inhibitor, or vice versa, interfered with cell size homeostasis, yielding a broader distribution of cell sizes. We suggest that size homeostasis comes from differential scaling of gene expression with size. Differential regulation of gene expressio</w:instrText>
      </w:r>
      <w:r>
        <w:rPr>
          <w:rFonts w:ascii="Arial" w:eastAsia="Times New Roman" w:hAnsi="Arial" w:cs="Arial"/>
          <w:color w:val="000000"/>
          <w:lang w:val="en-US" w:eastAsia="de-DE"/>
        </w:rPr>
        <w:instrText>n as a function of cell size could affect many cellular processes.&lt;/p&gt;","author":[{"dropping-particle":"","family":"Chen","given":"Yuping","non-dropping-particle":"","parse-names":false,"suffix":""},{"dropping-particle":"","family":"Zhao","given":"Gang","n</w:instrText>
      </w:r>
      <w:r>
        <w:rPr>
          <w:rFonts w:ascii="Arial" w:eastAsia="Times New Roman" w:hAnsi="Arial" w:cs="Arial"/>
          <w:color w:val="000000"/>
          <w:lang w:val="en-US" w:eastAsia="de-DE"/>
        </w:rPr>
        <w:instrText>on-dropping-particle":"","parse-names":false,"suffix":""},{"dropping-particle":"","family":"Zahumensky","given":"Jakub","non-dropping-particle":"","parse-names":false,"suffix":""},{"dropping-particle":"","family":"Honey","given":"Sangeet","non-dropping-par</w:instrText>
      </w:r>
      <w:r>
        <w:rPr>
          <w:rFonts w:ascii="Arial" w:eastAsia="Times New Roman" w:hAnsi="Arial" w:cs="Arial"/>
          <w:color w:val="000000"/>
          <w:lang w:val="en-US" w:eastAsia="de-DE"/>
        </w:rPr>
        <w:instrText>ticle":"","parse-names":false,"suffix":""},{"dropping-particle":"","family":"Futcher","given":"Bruce","non-dropping-particle":"","parse-names":false,"suffix":""}],"container-title":"Molecular Cell","id":"ITEM-2","issued":{"date-parts":[["2020"]]},"page":"1</w:instrText>
      </w:r>
      <w:r>
        <w:rPr>
          <w:rFonts w:ascii="Arial" w:eastAsia="Times New Roman" w:hAnsi="Arial" w:cs="Arial"/>
          <w:color w:val="000000"/>
          <w:lang w:val="en-US" w:eastAsia="de-DE"/>
        </w:rPr>
        <w:instrText>-12","publisher":"Elsevier Inc.","title":"Differential Scaling of Gene Expression with Cell Size May Explain Size Control in Budding Yeast","type":"article-journal"},"uris":["http://www.mendeley.com/documents/?uuid=462cbc48-dca1-4b01-8a7e-1d7a3a60bab1"]}],</w:instrText>
      </w:r>
      <w:r>
        <w:rPr>
          <w:rFonts w:ascii="Arial" w:eastAsia="Times New Roman" w:hAnsi="Arial" w:cs="Arial"/>
          <w:color w:val="000000"/>
          <w:lang w:val="en-US" w:eastAsia="de-DE"/>
        </w:rPr>
        <w:instrText>"mendeley":{"formattedCitation":"&lt;sup&gt;51,63&lt;/sup&gt;","plainTextFormattedCitation":"51,63","previouslyFormattedCitation":"&lt;sup&gt;51,63&lt;/sup&gt;"},"properties":{"noteIndex":0},"schema":"https://github.com/citation-style-language/schema/raw/master/csl-citation.json"</w:instrText>
      </w:r>
      <w:r>
        <w:rPr>
          <w:rFonts w:ascii="Arial" w:eastAsia="Times New Roman" w:hAnsi="Arial" w:cs="Arial"/>
          <w:color w:val="000000"/>
          <w:lang w:val="en-US" w:eastAsia="de-DE"/>
        </w:rPr>
        <w:instrText>}</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51,63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Thus, although the exact mechanism of how the decreasing Whi5 concentration is translated into an increased activity of SBF-controlled genes is unclear, both the DNA and the activators can serve as the ‘constant’ property for the reporter to be </w:t>
      </w:r>
      <w:r>
        <w:rPr>
          <w:rFonts w:ascii="Arial" w:eastAsia="Times New Roman" w:hAnsi="Arial" w:cs="Arial"/>
          <w:color w:val="000000"/>
          <w:lang w:val="en-US" w:eastAsia="de-DE"/>
        </w:rPr>
        <w:t>titrated against. This mechanism sets-up a size-dependent likelihood of commitment to the G1/S transition (Start), with bigger cells being more likely to enter S-phase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{"citationItems":[{"id":"ITEM-1","itemData":{"author":[{"dropping-part</w:instrText>
      </w:r>
      <w:r>
        <w:rPr>
          <w:rFonts w:ascii="Arial" w:eastAsia="Times New Roman" w:hAnsi="Arial" w:cs="Arial"/>
          <w:color w:val="000000"/>
          <w:lang w:val="en-US" w:eastAsia="de-DE"/>
        </w:rPr>
        <w:instrText>icle":"","family":"Schmoller","given":"Kurt M.","non-dropping-particle":"","parse-names":false,"suffix":""},{"dropping-particle":"","family":"Turner","given":"Jonathan J","non-dropping-particle":"","parse-names":false,"suffix":""},{"dropping-particle":"","</w:instrText>
      </w:r>
      <w:r>
        <w:rPr>
          <w:rFonts w:ascii="Arial" w:eastAsia="Times New Roman" w:hAnsi="Arial" w:cs="Arial"/>
          <w:color w:val="000000"/>
          <w:lang w:val="en-US" w:eastAsia="de-DE"/>
        </w:rPr>
        <w:instrText>family":"Kõivomägi","given":"Mardo","non-dropping-particle":"","parse-names":false,"suffix":""},{"dropping-particle":"","family":"Skotheim","given":"Jan M.","non-dropping-particle":"","parse-names":false,"suffix":""}],"container-title":"Nature","id":"ITEM-</w:instrText>
      </w:r>
      <w:r>
        <w:rPr>
          <w:rFonts w:ascii="Arial" w:eastAsia="Times New Roman" w:hAnsi="Arial" w:cs="Arial"/>
          <w:color w:val="000000"/>
          <w:lang w:val="en-US" w:eastAsia="de-DE"/>
        </w:rPr>
        <w:instrText>1","issued":{"date-parts":[["2015"]]},"page":"268-272","title":"Dilution of the cell cycle inhibitor Whi5 controls budding yeast cell size","type":"article-journal","volume":"526"},"uris":["http://www.mendeley.com/documents/?uuid=fd5a714b-8317-497f-90e4-bf</w:instrText>
      </w:r>
      <w:r>
        <w:rPr>
          <w:rFonts w:ascii="Arial" w:eastAsia="Times New Roman" w:hAnsi="Arial" w:cs="Arial"/>
          <w:color w:val="000000"/>
          <w:lang w:val="en-US" w:eastAsia="de-DE"/>
        </w:rPr>
        <w:instrText>36a0e6efea"]},{"id":"ITEM-2","itemData":{"DOI":"10.1016/j.cub.2017.08.015","ISSN":"09609822","PMID":"28889980","abstract":"Although it has long been clear that cells actively regulate their size, the molecular mechanisms underlying this regulation have rem</w:instrText>
      </w:r>
      <w:r>
        <w:rPr>
          <w:rFonts w:ascii="Arial" w:eastAsia="Times New Roman" w:hAnsi="Arial" w:cs="Arial"/>
          <w:color w:val="000000"/>
          <w:lang w:val="en-US" w:eastAsia="de-DE"/>
        </w:rPr>
        <w:instrText xml:space="preserve">ained poorly understood. In budding yeast, cell size primarily modulates the duration of the cell-division cycle by controlling the G1/S transition known as Start. We have recently shown that the rate of progression through Start increases with cell size, </w:instrText>
      </w:r>
      <w:r>
        <w:rPr>
          <w:rFonts w:ascii="Arial" w:eastAsia="Times New Roman" w:hAnsi="Arial" w:cs="Arial"/>
          <w:color w:val="000000"/>
          <w:lang w:val="en-US" w:eastAsia="de-DE"/>
        </w:rPr>
        <w:instrText>because cell growth dilutes the cell-cycle inhibitor Whi5 in G1. Recent phenomenological studies in yeast and bacteria have shown that these cells add an approximately constant volume during each complete cell cycle, independent of their size at birth. The</w:instrText>
      </w:r>
      <w:r>
        <w:rPr>
          <w:rFonts w:ascii="Arial" w:eastAsia="Times New Roman" w:hAnsi="Arial" w:cs="Arial"/>
          <w:color w:val="000000"/>
          <w:lang w:val="en-US" w:eastAsia="de-DE"/>
        </w:rPr>
        <w:instrText>se results seem to be in conflict, as the phenomenological studies suggest that cells measure the amount they grow, rather than their size, and that size control acts over the whole cell cycle, rather than specifically in G1. Here, we propose an integrated</w:instrText>
      </w:r>
      <w:r>
        <w:rPr>
          <w:rFonts w:ascii="Arial" w:eastAsia="Times New Roman" w:hAnsi="Arial" w:cs="Arial"/>
          <w:color w:val="000000"/>
          <w:lang w:val="en-US" w:eastAsia="de-DE"/>
        </w:rPr>
        <w:instrText xml:space="preserve"> model that unifies the adder phenomenology with the molecular mechanism of G1/S cell-size control. We use single-cell microscopy to parameterize a full cell-cycle model based on independent control of pre- and post-Start cell-cycle periods. We find that o</w:instrText>
      </w:r>
      <w:r>
        <w:rPr>
          <w:rFonts w:ascii="Arial" w:eastAsia="Times New Roman" w:hAnsi="Arial" w:cs="Arial"/>
          <w:color w:val="000000"/>
          <w:lang w:val="en-US" w:eastAsia="de-DE"/>
        </w:rPr>
        <w:instrText xml:space="preserve">ur model predicts the size-independent amount of cell growth during the full cell cycle. This suggests that the adder phenomenon is an emergent property of the independent regulation of pre- and post-Start cell-cycle periods rather than the consequence of </w:instrText>
      </w:r>
      <w:r>
        <w:rPr>
          <w:rFonts w:ascii="Arial" w:eastAsia="Times New Roman" w:hAnsi="Arial" w:cs="Arial"/>
          <w:color w:val="000000"/>
          <w:lang w:val="en-US" w:eastAsia="de-DE"/>
        </w:rPr>
        <w:instrText>an underlying molecular mechanism measuring a fixed amount of growth. Budding yeast daughter, but not mother, cells grow a size-independent amount in their cell cycle, known as the adder. Chandler-Brown, Schmoller, et al. show that the adder arises from in</w:instrText>
      </w:r>
      <w:r>
        <w:rPr>
          <w:rFonts w:ascii="Arial" w:eastAsia="Times New Roman" w:hAnsi="Arial" w:cs="Arial"/>
          <w:color w:val="000000"/>
          <w:lang w:val="en-US" w:eastAsia="de-DE"/>
        </w:rPr>
        <w:instrText>dependent regulation of the pre- and post-Start cell cycle rather than from a molecular adder mechanism. Accordingly, mutations of G1/S regulators disrupt the adder.","author":[{"dropping-particle":"","family":"Chandler-Brown","given":"Devon","non-dropping</w:instrText>
      </w:r>
      <w:r>
        <w:rPr>
          <w:rFonts w:ascii="Arial" w:eastAsia="Times New Roman" w:hAnsi="Arial" w:cs="Arial"/>
          <w:color w:val="000000"/>
          <w:lang w:val="en-US" w:eastAsia="de-DE"/>
        </w:rPr>
        <w:instrText>-particle":"","parse-names":false,"suffix":""},{"dropping-particle":"","family":"Schmoller","given":"Kurt M.","non-dropping-particle":"","parse-names":false,"suffix":""},{"dropping-particle":"","family":"Winetraub","given":"Yonatan","non-dropping-particle"</w:instrText>
      </w:r>
      <w:r>
        <w:rPr>
          <w:rFonts w:ascii="Arial" w:eastAsia="Times New Roman" w:hAnsi="Arial" w:cs="Arial"/>
          <w:color w:val="000000"/>
          <w:lang w:val="en-US" w:eastAsia="de-DE"/>
        </w:rPr>
        <w:instrText>:"","parse-names":false,"suffix":""},{"dropping-particle":"","family":"Skotheim","given":"Jan M.","non-dropping-particle":"","parse-names":false,"suffix":""}],"container-title":"Current Biology","id":"ITEM-2","issue":"18","issued":{"date-parts":[["2017"]]}</w:instrText>
      </w:r>
      <w:r>
        <w:rPr>
          <w:rFonts w:ascii="Arial" w:eastAsia="Times New Roman" w:hAnsi="Arial" w:cs="Arial"/>
          <w:color w:val="000000"/>
          <w:lang w:val="en-US" w:eastAsia="de-DE"/>
        </w:rPr>
        <w:instrText>,"page":"2774-2783.e3","title":"The Adder Phenomenon Emerges from Independent Control of Pre- and Post-Start Phases of the Budding Yeast Cell Cycle","type":"article-journal","volume":"27"},"uris":["http://www.mendeley.com/documents/?uuid=a41ea316-44af-44d7</w:instrText>
      </w:r>
      <w:r>
        <w:rPr>
          <w:rFonts w:ascii="Arial" w:eastAsia="Times New Roman" w:hAnsi="Arial" w:cs="Arial"/>
          <w:color w:val="000000"/>
          <w:lang w:val="en-US" w:eastAsia="de-DE"/>
        </w:rPr>
        <w:instrText>-b0fe-2d527534b8af"]}],"mendeley":{"formattedCitation":"&lt;sup&gt;51,163&lt;/sup&gt;","plainTextFormattedCitation":"51,163","previouslyFormattedCitation":"&lt;sup&gt;51,163&lt;/sup&gt;"},"properties":{"noteIndex":0},"schema":"https://github.com/citation-style-language/schema/raw</w:instrText>
      </w:r>
      <w:r>
        <w:rPr>
          <w:rFonts w:ascii="Arial" w:eastAsia="Times New Roman" w:hAnsi="Arial" w:cs="Arial"/>
          <w:color w:val="000000"/>
          <w:lang w:val="en-US" w:eastAsia="de-DE"/>
        </w:rPr>
        <w:instrText>/master/csl-citation.json"}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51,163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Crucially, all cells have a similar amount of Whi5 at birth. This leads to a higher Whi5 concentration in smaller-born cells, keeping them longer in G1 and allowing them to grow more. Whi5-dilution based size-sensing r</w:t>
      </w:r>
      <w:r>
        <w:rPr>
          <w:rFonts w:ascii="Arial" w:eastAsia="Times New Roman" w:hAnsi="Arial" w:cs="Arial"/>
          <w:color w:val="000000"/>
          <w:lang w:val="en-US" w:eastAsia="de-DE"/>
        </w:rPr>
        <w:t xml:space="preserve">esults in an </w:t>
      </w:r>
      <w:r>
        <w:rPr>
          <w:rFonts w:ascii="Arial" w:eastAsia="Times New Roman" w:hAnsi="Arial" w:cs="Arial"/>
          <w:i/>
          <w:iCs/>
          <w:color w:val="000000"/>
          <w:lang w:val="en-US" w:eastAsia="de-DE"/>
        </w:rPr>
        <w:t>imperfect sizer</w:t>
      </w:r>
      <w:r>
        <w:rPr>
          <w:rFonts w:ascii="Arial" w:eastAsia="Times New Roman" w:hAnsi="Arial" w:cs="Arial"/>
          <w:color w:val="000000"/>
          <w:lang w:val="en-US" w:eastAsia="de-DE"/>
        </w:rPr>
        <w:t xml:space="preserve"> during budding yeast G1, with G1 growth being negatively correlated with volume at birth. </w:t>
      </w:r>
    </w:p>
    <w:p w14:paraId="4997D84E"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A similar mechanism has recently been described in the shoot apical meristem (SAM) of the </w:t>
      </w:r>
      <w:r>
        <w:rPr>
          <w:rFonts w:ascii="Arial" w:eastAsia="Times New Roman" w:hAnsi="Arial" w:cs="Arial"/>
          <w:b/>
          <w:bCs/>
          <w:color w:val="000000"/>
          <w:lang w:val="en-US" w:eastAsia="de-DE"/>
        </w:rPr>
        <w:t xml:space="preserve">flowering plant </w:t>
      </w:r>
      <w:r>
        <w:rPr>
          <w:rFonts w:ascii="Arial" w:eastAsia="Times New Roman" w:hAnsi="Arial" w:cs="Arial"/>
          <w:i/>
          <w:iCs/>
          <w:color w:val="000000"/>
          <w:lang w:val="en-US" w:eastAsia="de-DE"/>
        </w:rPr>
        <w:t>Arabidopsis thaliana</w:t>
      </w:r>
      <w:r>
        <w:rPr>
          <w:rFonts w:ascii="Arial" w:eastAsia="Times New Roman" w:hAnsi="Arial" w:cs="Arial"/>
          <w:color w:val="000000"/>
          <w:lang w:val="en-US" w:eastAsia="de-DE"/>
        </w:rPr>
        <w:t>. While bo</w:t>
      </w:r>
      <w:r>
        <w:rPr>
          <w:rFonts w:ascii="Arial" w:eastAsia="Times New Roman" w:hAnsi="Arial" w:cs="Arial"/>
          <w:color w:val="000000"/>
          <w:lang w:val="en-US" w:eastAsia="de-DE"/>
        </w:rPr>
        <w:t>th the G1/S and the G2/M transitions are size-dependent in the SAM, cell size regulation primarily occurs at the G1/S transition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{"citationItems":[{"id":"ITEM-1","itemData":{"DOI":"10.1038/ncomms15060","PMID":"28447614","abstract":"Mean c</w:instrText>
      </w:r>
      <w:r>
        <w:rPr>
          <w:rFonts w:ascii="Arial" w:eastAsia="Times New Roman" w:hAnsi="Arial" w:cs="Arial"/>
          <w:color w:val="000000"/>
          <w:lang w:val="en-US" w:eastAsia="de-DE"/>
        </w:rPr>
        <w:instrText>ell size at division is generally constant for specific conditions and cell types, but the mechanisms coupling cell growth and cell cycle control with cell size regulation are poorly understood in intact tissues. Here we show that the continuously dividing</w:instrText>
      </w:r>
      <w:r>
        <w:rPr>
          <w:rFonts w:ascii="Arial" w:eastAsia="Times New Roman" w:hAnsi="Arial" w:cs="Arial"/>
          <w:color w:val="000000"/>
          <w:lang w:val="en-US" w:eastAsia="de-DE"/>
        </w:rPr>
        <w:instrText xml:space="preserve"> fields of cells within the shoot apical meristem of Arabidopsis show dynamic regulation of mean cell size dependent on developmental stage, genotype and environmental signals. We show cell size at division and cell cycle length is effectively predicted us</w:instrText>
      </w:r>
      <w:r>
        <w:rPr>
          <w:rFonts w:ascii="Arial" w:eastAsia="Times New Roman" w:hAnsi="Arial" w:cs="Arial"/>
          <w:color w:val="000000"/>
          <w:lang w:val="en-US" w:eastAsia="de-DE"/>
        </w:rPr>
        <w:instrText>ing a two-stage cell cycle model linking cell growth and two sequential cyclin dependent kinase (CDK) activities, and experimental results concur in showing that progression through both G1/S and G2/M is size dependent. This work shows that cell-autonomous</w:instrText>
      </w:r>
      <w:r>
        <w:rPr>
          <w:rFonts w:ascii="Arial" w:eastAsia="Times New Roman" w:hAnsi="Arial" w:cs="Arial"/>
          <w:color w:val="000000"/>
          <w:lang w:val="en-US" w:eastAsia="de-DE"/>
        </w:rPr>
        <w:instrText xml:space="preserve"> co-ordination of cell growth and cell division previously observed in unicellular organisms also exists in intact plant tissues, and that cell size may be an emergent rather than directly determined property of cells.","author":[{"dropping-particle":"","f</w:instrText>
      </w:r>
      <w:r>
        <w:rPr>
          <w:rFonts w:ascii="Arial" w:eastAsia="Times New Roman" w:hAnsi="Arial" w:cs="Arial"/>
          <w:color w:val="000000"/>
          <w:lang w:val="en-US" w:eastAsia="de-DE"/>
        </w:rPr>
        <w:instrText>amily":"R Jones","given":"Angharad","non-dropping-particle":"","parse-names":false,"suffix":""},{"dropping-particle":"","family":"Forero-Vargas","given":"Manuel","non-dropping-particle":"","parse-names":false,"suffix":""},{"dropping-particle":"","family":"</w:instrText>
      </w:r>
      <w:r>
        <w:rPr>
          <w:rFonts w:ascii="Arial" w:eastAsia="Times New Roman" w:hAnsi="Arial" w:cs="Arial"/>
          <w:color w:val="000000"/>
          <w:lang w:val="en-US" w:eastAsia="de-DE"/>
        </w:rPr>
        <w:instrText>Withers","given":"Simon P","non-dropping-particle":"","parse-names":false,"suffix":""},{"dropping-particle":"","family":"Smith","given":"Richard S","non-dropping-particle":"","parse-names":false,"suffix":""},{"dropping-particle":"","family":"Traas","given"</w:instrText>
      </w:r>
      <w:r>
        <w:rPr>
          <w:rFonts w:ascii="Arial" w:eastAsia="Times New Roman" w:hAnsi="Arial" w:cs="Arial"/>
          <w:color w:val="000000"/>
          <w:lang w:val="en-US" w:eastAsia="de-DE"/>
        </w:rPr>
        <w:instrText>:"Jan","non-dropping-particle":"","parse-names":false,"suffix":""},{"dropping-particle":"","family":"Dewitte","given":"Walter","non-dropping-particle":"","parse-names":false,"suffix":""},{"dropping-particle":"","family":"Murray","given":"James A H","non-dr</w:instrText>
      </w:r>
      <w:r>
        <w:rPr>
          <w:rFonts w:ascii="Arial" w:eastAsia="Times New Roman" w:hAnsi="Arial" w:cs="Arial"/>
          <w:color w:val="000000"/>
          <w:lang w:val="en-US" w:eastAsia="de-DE"/>
        </w:rPr>
        <w:instrText>opping-particle":"","parse-names":false,"suffix":""}],"container-title":"Nature communications","id":"ITEM-1","issued":{"date-parts":[["2017","4","27"]]},"page":"15060","publisher":"Nature Publishing Group","title":"Cell-size dependent progression of the c</w:instrText>
      </w:r>
      <w:r>
        <w:rPr>
          <w:rFonts w:ascii="Arial" w:eastAsia="Times New Roman" w:hAnsi="Arial" w:cs="Arial"/>
          <w:color w:val="000000"/>
          <w:lang w:val="en-US" w:eastAsia="de-DE"/>
        </w:rPr>
        <w:instrText>ell cycle creates homeostasis and flexibility of plant cell size.","type":"article-journal","volume":"8"},"uris":["http://www.mendeley.com/documents/?uuid=6d62b9f3-2c90-300c-9364-0fa4477d521a"]},{"id":"ITEM-2","itemData":{"DOI":"10.1126/science.abb4348","I</w:instrText>
      </w:r>
      <w:r>
        <w:rPr>
          <w:rFonts w:ascii="Arial" w:eastAsia="Times New Roman" w:hAnsi="Arial" w:cs="Arial"/>
          <w:color w:val="000000"/>
          <w:lang w:val="en-US" w:eastAsia="de-DE"/>
        </w:rPr>
        <w:instrText>SSN":"0036-8075","abstract":"&lt;p&gt; How eukaryotic cells assess and maintain sizes specific for their species and cell type remains unclear. We show that in the &lt;italic&gt;Arabidopsis&lt;/italic&gt; shoot stem cell niche, cell size variability caused by asymmetric div</w:instrText>
      </w:r>
      <w:r>
        <w:rPr>
          <w:rFonts w:ascii="Arial" w:eastAsia="Times New Roman" w:hAnsi="Arial" w:cs="Arial"/>
          <w:color w:val="000000"/>
          <w:lang w:val="en-US" w:eastAsia="de-DE"/>
        </w:rPr>
        <w:instrText>isions is corrected by adjusting the growth period before DNA synthesis. KIP-related protein 4 (KRP4) inhibits progression to DNA synthesis and associates with mitotic chromosomes. The F BOX-LIKE 17 (FBL17) protein removes excess KRP4. Consequently, daught</w:instrText>
      </w:r>
      <w:r>
        <w:rPr>
          <w:rFonts w:ascii="Arial" w:eastAsia="Times New Roman" w:hAnsi="Arial" w:cs="Arial"/>
          <w:color w:val="000000"/>
          <w:lang w:val="en-US" w:eastAsia="de-DE"/>
        </w:rPr>
        <w:instrText>er cells are born with comparable amounts of KRP4. Inhibitor dilution models predicted that KRP4 inherited through chromatin would robustly regulate size, whereas inheritance of excess free KRP4 would disrupt size homeostasis, as confirmed by mutant analys</w:instrText>
      </w:r>
      <w:r>
        <w:rPr>
          <w:rFonts w:ascii="Arial" w:eastAsia="Times New Roman" w:hAnsi="Arial" w:cs="Arial"/>
          <w:color w:val="000000"/>
          <w:lang w:val="en-US" w:eastAsia="de-DE"/>
        </w:rPr>
        <w:instrText>es. We propose that a cell cycle regulator, stabilized by association with mitotic chromosomes, reads DNA content as a cell size–independent scale. &lt;/p&gt;","author":[{"dropping-particle":"","family":"D’Ario","given":"Marco","non-dropping-particle":"","parse-</w:instrText>
      </w:r>
      <w:r>
        <w:rPr>
          <w:rFonts w:ascii="Arial" w:eastAsia="Times New Roman" w:hAnsi="Arial" w:cs="Arial"/>
          <w:color w:val="000000"/>
          <w:lang w:val="en-US" w:eastAsia="de-DE"/>
        </w:rPr>
        <w:instrText>names":false,"suffix":""},{"dropping-particle":"","family":"Tavares","given":"Rafael","non-dropping-particle":"","parse-names":false,"suffix":""},{"dropping-particle":"","family":"Schiessl","given":"Katharina","non-dropping-particle":"","parse-names":false</w:instrText>
      </w:r>
      <w:r>
        <w:rPr>
          <w:rFonts w:ascii="Arial" w:eastAsia="Times New Roman" w:hAnsi="Arial" w:cs="Arial"/>
          <w:color w:val="000000"/>
          <w:lang w:val="en-US" w:eastAsia="de-DE"/>
        </w:rPr>
        <w:instrText>,"suffix":""},{"dropping-particle":"","family":"Desvoyes","given":"Bénédicte","non-dropping-particle":"","parse-names":false,"suffix":""},{"dropping-particle":"","family":"Gutierrez","given":"Crisanto","non-dropping-particle":"","parse-names":false,"suffix</w:instrText>
      </w:r>
      <w:r>
        <w:rPr>
          <w:rFonts w:ascii="Arial" w:eastAsia="Times New Roman" w:hAnsi="Arial" w:cs="Arial"/>
          <w:color w:val="000000"/>
          <w:lang w:val="en-US" w:eastAsia="de-DE"/>
        </w:rPr>
        <w:instrText>":""},{"dropping-particle":"","family":"Howard","given":"Martin","non-dropping-particle":"","parse-names":false,"suffix":""},{"dropping-particle":"","family":"Sablowski","given":"Robert","non-dropping-particle":"","parse-names":false,"suffix":""}],"contain</w:instrText>
      </w:r>
      <w:r>
        <w:rPr>
          <w:rFonts w:ascii="Arial" w:eastAsia="Times New Roman" w:hAnsi="Arial" w:cs="Arial"/>
          <w:color w:val="000000"/>
          <w:lang w:val="en-US" w:eastAsia="de-DE"/>
        </w:rPr>
        <w:instrText>er-title":"Science","id":"ITEM-2","issue":"6547","issued":{"date-parts":[["2021","6","11"]]},"page":"1176-1181","title":"Cell size controlled in plants using DNA content as an internal scale","type":"article-journal","volume":"372"},"uris":["http://www.men</w:instrText>
      </w:r>
      <w:r>
        <w:rPr>
          <w:rFonts w:ascii="Arial" w:eastAsia="Times New Roman" w:hAnsi="Arial" w:cs="Arial"/>
          <w:color w:val="000000"/>
          <w:lang w:val="en-US" w:eastAsia="de-DE"/>
        </w:rPr>
        <w:instrText>deley.com/documents/?uuid=c4b11d85-c00f-3f0d-96ef-8bd1aa86f3f6"]}],"mendeley":{"formattedCitation":"&lt;sup&gt;58,259&lt;/sup&gt;","plainTextFormattedCitation":"58,259","previouslyFormattedCitation":"&lt;sup&gt;58,259&lt;/sup&gt;"},"properties":{"noteIndex":0},"schema":"https://g</w:instrText>
      </w:r>
      <w:r>
        <w:rPr>
          <w:rFonts w:ascii="Arial" w:eastAsia="Times New Roman" w:hAnsi="Arial" w:cs="Arial"/>
          <w:color w:val="000000"/>
          <w:lang w:val="en-US" w:eastAsia="de-DE"/>
        </w:rPr>
        <w:instrText>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58,259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t>
      </w:r>
      <w:proofErr w:type="spellStart"/>
      <w:r>
        <w:rPr>
          <w:rFonts w:ascii="Arial" w:eastAsia="Times New Roman" w:hAnsi="Arial" w:cs="Arial"/>
          <w:color w:val="000000"/>
          <w:lang w:val="en-US" w:eastAsia="de-DE"/>
        </w:rPr>
        <w:t>D’Ario</w:t>
      </w:r>
      <w:proofErr w:type="spellEnd"/>
      <w:r>
        <w:rPr>
          <w:rFonts w:ascii="Arial" w:eastAsia="Times New Roman" w:hAnsi="Arial" w:cs="Arial"/>
          <w:color w:val="000000"/>
          <w:lang w:val="en-US" w:eastAsia="de-DE"/>
        </w:rPr>
        <w:t xml:space="preserve">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{"citationItems":[{"id":"ITEM-1","itemData":{"DOI":"10.1126/science.abb4348","ISSN":"0036-8075","abstract":"&lt;p&gt; How eukaryotic cells assess an</w:instrText>
      </w:r>
      <w:r>
        <w:rPr>
          <w:rFonts w:ascii="Arial" w:eastAsia="Times New Roman" w:hAnsi="Arial" w:cs="Arial"/>
          <w:color w:val="000000"/>
          <w:lang w:val="en-US" w:eastAsia="de-DE"/>
        </w:rPr>
        <w:instrText>d maintain sizes specific for their species and cell type remains unclear. We show that in the &lt;italic&gt;Arabidopsis&lt;/italic&gt; shoot stem cell niche, cell size variability caused by asymmetric divisions is corrected by adjusting the growth period before DNA s</w:instrText>
      </w:r>
      <w:r>
        <w:rPr>
          <w:rFonts w:ascii="Arial" w:eastAsia="Times New Roman" w:hAnsi="Arial" w:cs="Arial"/>
          <w:color w:val="000000"/>
          <w:lang w:val="en-US" w:eastAsia="de-DE"/>
        </w:rPr>
        <w:instrText>ynthesis. KIP-related protein 4 (KRP4) inhibits progression to DNA synthesis and associates with mitotic chromosomes. The F BOX-LIKE 17 (FBL17) protein removes excess KRP4. Consequently, daughter cells are born with comparable amounts of KRP4. Inhibitor di</w:instrText>
      </w:r>
      <w:r>
        <w:rPr>
          <w:rFonts w:ascii="Arial" w:eastAsia="Times New Roman" w:hAnsi="Arial" w:cs="Arial"/>
          <w:color w:val="000000"/>
          <w:lang w:val="en-US" w:eastAsia="de-DE"/>
        </w:rPr>
        <w:instrText>lution models predicted that KRP4 inherited through chromatin would robustly regulate size, whereas inheritance of excess free KRP4 would disrupt size homeostasis, as confirmed by mutant analyses. We propose that a cell cycle regulator, stabilized by assoc</w:instrText>
      </w:r>
      <w:r>
        <w:rPr>
          <w:rFonts w:ascii="Arial" w:eastAsia="Times New Roman" w:hAnsi="Arial" w:cs="Arial"/>
          <w:color w:val="000000"/>
          <w:lang w:val="en-US" w:eastAsia="de-DE"/>
        </w:rPr>
        <w:instrText>iation with mitotic chromosomes, reads DNA content as a cell size–independent scale. &lt;/p&gt;","author":[{"dropping-particle":"","family":"D’Ario","given":"Marco","non-dropping-particle":"","parse-names":false,"suffix":""},{"dropping-particle":"","family":"Tav</w:instrText>
      </w:r>
      <w:r>
        <w:rPr>
          <w:rFonts w:ascii="Arial" w:eastAsia="Times New Roman" w:hAnsi="Arial" w:cs="Arial"/>
          <w:color w:val="000000"/>
          <w:lang w:val="en-US" w:eastAsia="de-DE"/>
        </w:rPr>
        <w:instrText>ares","given":"Rafael","non-dropping-particle":"","parse-names":false,"suffix":""},{"dropping-particle":"","family":"Schiessl","given":"Katharina","non-dropping-particle":"","parse-names":false,"suffix":""},{"dropping-particle":"","family":"Desvoyes","give</w:instrText>
      </w:r>
      <w:r>
        <w:rPr>
          <w:rFonts w:ascii="Arial" w:eastAsia="Times New Roman" w:hAnsi="Arial" w:cs="Arial"/>
          <w:color w:val="000000"/>
          <w:lang w:val="en-US" w:eastAsia="de-DE"/>
        </w:rPr>
        <w:instrText>n":"Bénédicte","non-dropping-particle":"","parse-names":false,"suffix":""},{"dropping-particle":"","family":"Gutierrez","given":"Crisanto","non-dropping-particle":"","parse-names":false,"suffix":""},{"dropping-particle":"","family":"Howard","given":"Martin</w:instrText>
      </w:r>
      <w:r>
        <w:rPr>
          <w:rFonts w:ascii="Arial" w:eastAsia="Times New Roman" w:hAnsi="Arial" w:cs="Arial"/>
          <w:color w:val="000000"/>
          <w:lang w:val="en-US" w:eastAsia="de-DE"/>
        </w:rPr>
        <w:instrText>","non-dropping-particle":"","parse-names":false,"suffix":""},{"dropping-particle":"","family":"Sablowski","given":"Robert","non-dropping-particle":"","parse-names":false,"suffix":""}],"container-title":"Science","id":"ITEM-1","issue":"6547","issued":{"dat</w:instrText>
      </w:r>
      <w:r>
        <w:rPr>
          <w:rFonts w:ascii="Arial" w:eastAsia="Times New Roman" w:hAnsi="Arial" w:cs="Arial"/>
          <w:color w:val="000000"/>
          <w:lang w:val="en-US" w:eastAsia="de-DE"/>
        </w:rPr>
        <w:instrText>e-parts":[["2021","6","11"]]},"page":"1176-1181","title":"Cell size controlled in plants using DNA content as an internal scale","type":"article-journal","volume":"372"},"uris":["http://www.mendeley.com/documents/?uuid=c4b11d85-c00f-3f0d-96ef-8bd1aa86f3f6"</w:instrText>
      </w:r>
      <w:r>
        <w:rPr>
          <w:rFonts w:ascii="Arial" w:eastAsia="Times New Roman" w:hAnsi="Arial" w:cs="Arial"/>
          <w:color w:val="000000"/>
          <w:lang w:val="en-US" w:eastAsia="de-DE"/>
        </w:rPr>
        <w:instrText>]}],"mendeley":{"formattedCitation":"&lt;sup&gt;58&lt;/sup&gt;","plainTextFormattedCitation":"58","previouslyFormattedCitation":"&lt;sup&gt;58&lt;/sup&gt;"},"properties":{"noteIndex":0},"schema":"https://github.com/citation-style-language/schema/raw/master/csl-citation.json"}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propose that this G1/S size regulation is implemented through the size-based dilution of the KIP-related protein 4 (KRP4), a CYCD/CDKA inhibitor</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{"citationItems":[{"id":"ITEM-1","itemData":{"DOI":"10.1093/PLCELL/KOAB222","ISSN":"1040-46</w:instrText>
      </w:r>
      <w:r>
        <w:rPr>
          <w:rFonts w:ascii="Arial" w:eastAsia="Times New Roman" w:hAnsi="Arial" w:cs="Arial"/>
          <w:color w:val="000000"/>
          <w:lang w:val="en-US" w:eastAsia="de-DE"/>
        </w:rPr>
        <w:instrText xml:space="preserve">51","PMID":"34498091","abstract":"The reiterative organogenesis that drives plant growth relies on the constant production of new cells, which remain encased by interconnected cell walls. For these reasons, plant morphogenesis strictly depends on the rate </w:instrText>
      </w:r>
      <w:r>
        <w:rPr>
          <w:rFonts w:ascii="Arial" w:eastAsia="Times New Roman" w:hAnsi="Arial" w:cs="Arial"/>
          <w:color w:val="000000"/>
          <w:lang w:val="en-US" w:eastAsia="de-DE"/>
        </w:rPr>
        <w:instrText>and orientation of both cell division and cell growth. Important progress has been made in recent years in understanding how cell cycle progression and the orientation of cell divisions are coordinated with cell and organ growth and with the acquisition of</w:instrText>
      </w:r>
      <w:r>
        <w:rPr>
          <w:rFonts w:ascii="Arial" w:eastAsia="Times New Roman" w:hAnsi="Arial" w:cs="Arial"/>
          <w:color w:val="000000"/>
          <w:lang w:val="en-US" w:eastAsia="de-DE"/>
        </w:rPr>
        <w:instrText xml:space="preserve"> specialized cell fates. We review basic concepts and players in plant cell cycle and division, and then focus on their links to growth-related cues, such as metabolic state, cell size, cell geometry, and cell mechanics, and on how cell cycle progression a</w:instrText>
      </w:r>
      <w:r>
        <w:rPr>
          <w:rFonts w:ascii="Arial" w:eastAsia="Times New Roman" w:hAnsi="Arial" w:cs="Arial"/>
          <w:color w:val="000000"/>
          <w:lang w:val="en-US" w:eastAsia="de-DE"/>
        </w:rPr>
        <w:instrText>nd cell division are linked to specific cell fates. The retinoblastoma pathway has emerged as a major player in the coordination of the cell cycle with both growth and cell identity, while microtubule dynamics are central in the coordination of oriented ce</w:instrText>
      </w:r>
      <w:r>
        <w:rPr>
          <w:rFonts w:ascii="Arial" w:eastAsia="Times New Roman" w:hAnsi="Arial" w:cs="Arial"/>
          <w:color w:val="000000"/>
          <w:lang w:val="en-US" w:eastAsia="de-DE"/>
        </w:rPr>
        <w:instrText>ll divisions. Future challenges include clarifying feedbacks between growth and cell cycle progression, revealing the molecular basis of cell division orientation in response to mechanical and chemical signals, and probing the links between cell fate chang</w:instrText>
      </w:r>
      <w:r>
        <w:rPr>
          <w:rFonts w:ascii="Arial" w:eastAsia="Times New Roman" w:hAnsi="Arial" w:cs="Arial"/>
          <w:color w:val="000000"/>
          <w:lang w:val="en-US" w:eastAsia="de-DE"/>
        </w:rPr>
        <w:instrText>es and chromatin dynamics during the cell cycle.","author":[{"dropping-particle":"","family":"Sablowski","given":"Robert","non-dropping-particle":"","parse-names":false,"suffix":""},{"dropping-particle":"","family":"Gutierrez","given":"Crisanto","non-dropp</w:instrText>
      </w:r>
      <w:r>
        <w:rPr>
          <w:rFonts w:ascii="Arial" w:eastAsia="Times New Roman" w:hAnsi="Arial" w:cs="Arial"/>
          <w:color w:val="000000"/>
          <w:lang w:val="en-US" w:eastAsia="de-DE"/>
        </w:rPr>
        <w:instrText>ing-particle":"","parse-names":false,"suffix":""}],"container-title":"The Plant Cell","id":"ITEM-1","issue":"1","issued":{"date-parts":[["2022","1","20"]]},"page":"193-208","publisher":"Oxford Academic","title":"Cycling in a crowd: Coordination of plant ce</w:instrText>
      </w:r>
      <w:r>
        <w:rPr>
          <w:rFonts w:ascii="Arial" w:eastAsia="Times New Roman" w:hAnsi="Arial" w:cs="Arial"/>
          <w:color w:val="000000"/>
          <w:lang w:val="en-US" w:eastAsia="de-DE"/>
        </w:rPr>
        <w:instrText>ll division, growth, and cell fate","type":"article-journal","volume":"34"},"uris":["http://www.mendeley.com/documents/?uuid=2bab4301-9b5b-332a-b9b8-7ef6465276de"]}],"mendeley":{"formattedCitation":"&lt;sup&gt;260&lt;/sup&gt;","plainTextFormattedCitation":"260","previ</w:instrText>
      </w:r>
      <w:r>
        <w:rPr>
          <w:rFonts w:ascii="Arial" w:eastAsia="Times New Roman" w:hAnsi="Arial" w:cs="Arial"/>
          <w:color w:val="000000"/>
          <w:lang w:val="en-US" w:eastAsia="de-DE"/>
        </w:rPr>
        <w:instrText>ouslyFormattedCitation":"&lt;sup&gt;260&lt;/sup&gt;"},"properties":{"noteIndex":0},"schema":"https://github.com/citation-style-language/schema/raw/master/csl-citation.json"}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260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which indirectly inhibits the G1/S transition (Fig. 6g). In this scenario, KRP4 serves a</w:t>
      </w:r>
      <w:r>
        <w:rPr>
          <w:rFonts w:ascii="Arial" w:eastAsia="Times New Roman" w:hAnsi="Arial" w:cs="Arial"/>
          <w:color w:val="000000"/>
          <w:lang w:val="en-US" w:eastAsia="de-DE"/>
        </w:rPr>
        <w:t xml:space="preserve">s a </w:t>
      </w:r>
      <w:proofErr w:type="spellStart"/>
      <w:r>
        <w:rPr>
          <w:rFonts w:ascii="Arial" w:eastAsia="Times New Roman" w:hAnsi="Arial" w:cs="Arial"/>
          <w:color w:val="000000"/>
          <w:lang w:val="en-US" w:eastAsia="de-DE"/>
        </w:rPr>
        <w:t>subscaling</w:t>
      </w:r>
      <w:proofErr w:type="spellEnd"/>
      <w:r>
        <w:rPr>
          <w:rFonts w:ascii="Arial" w:eastAsia="Times New Roman" w:hAnsi="Arial" w:cs="Arial"/>
          <w:color w:val="000000"/>
          <w:lang w:val="en-US" w:eastAsia="de-DE"/>
        </w:rPr>
        <w:t xml:space="preserve"> reporter. Like Whi5 in budding yeast, KRP4 is partitioned equally between sister cells. This is likely due to its association with mitotic chromosomes. Consequently, cells that are born smaller have to grow more to dilute KRP4 enough to proc</w:t>
      </w:r>
      <w:r>
        <w:rPr>
          <w:rFonts w:ascii="Arial" w:eastAsia="Times New Roman" w:hAnsi="Arial" w:cs="Arial"/>
          <w:color w:val="000000"/>
          <w:lang w:val="en-US" w:eastAsia="de-DE"/>
        </w:rPr>
        <w:t>eed through the G1/S transition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{"citationItems":[{"id":"ITEM-1","itemData":{"DOI":"10.1126/science.abb4348","ISSN":"0036-8075","abstract":"&lt;p&gt; How eukaryotic cells assess and maintain sizes specific for their species and cell type remain</w:instrText>
      </w:r>
      <w:r>
        <w:rPr>
          <w:rFonts w:ascii="Arial" w:eastAsia="Times New Roman" w:hAnsi="Arial" w:cs="Arial"/>
          <w:color w:val="000000"/>
          <w:lang w:val="en-US" w:eastAsia="de-DE"/>
        </w:rPr>
        <w:instrText>s unclear. We show that in the &lt;italic&gt;Arabidopsis&lt;/italic&gt; shoot stem cell niche, cell size variability caused by asymmetric divisions is corrected by adjusting the growth period before DNA synthesis. KIP-related protein 4 (KRP4) inhibits progression to D</w:instrText>
      </w:r>
      <w:r>
        <w:rPr>
          <w:rFonts w:ascii="Arial" w:eastAsia="Times New Roman" w:hAnsi="Arial" w:cs="Arial"/>
          <w:color w:val="000000"/>
          <w:lang w:val="en-US" w:eastAsia="de-DE"/>
        </w:rPr>
        <w:instrText>NA synthesis and associates with mitotic chromosomes. The F BOX-LIKE 17 (FBL17) protein removes excess KRP4. Consequently, daughter cells are born with comparable amounts of KRP4. Inhibitor dilution models predicted that KRP4 inherited through chromatin wo</w:instrText>
      </w:r>
      <w:r>
        <w:rPr>
          <w:rFonts w:ascii="Arial" w:eastAsia="Times New Roman" w:hAnsi="Arial" w:cs="Arial"/>
          <w:color w:val="000000"/>
          <w:lang w:val="en-US" w:eastAsia="de-DE"/>
        </w:rPr>
        <w:instrText>uld robustly regulate size, whereas inheritance of excess free KRP4 would disrupt size homeostasis, as confirmed by mutant analyses. We propose that a cell cycle regulator, stabilized by association with mitotic chromosomes, reads DNA content as a cell siz</w:instrText>
      </w:r>
      <w:r>
        <w:rPr>
          <w:rFonts w:ascii="Arial" w:eastAsia="Times New Roman" w:hAnsi="Arial" w:cs="Arial"/>
          <w:color w:val="000000"/>
          <w:lang w:val="en-US" w:eastAsia="de-DE"/>
        </w:rPr>
        <w:instrText>e–independent scale. &lt;/p&gt;","author":[{"dropping-particle":"","family":"D’Ario","given":"Marco","non-dropping-particle":"","parse-names":false,"suffix":""},{"dropping-particle":"","family":"Tavares","given":"Rafael","non-dropping-particle":"","parse-names":</w:instrText>
      </w:r>
      <w:r>
        <w:rPr>
          <w:rFonts w:ascii="Arial" w:eastAsia="Times New Roman" w:hAnsi="Arial" w:cs="Arial"/>
          <w:color w:val="000000"/>
          <w:lang w:val="en-US" w:eastAsia="de-DE"/>
        </w:rPr>
        <w:instrText>false,"suffix":""},{"dropping-particle":"","family":"Schiessl","given":"Katharina","non-dropping-particle":"","parse-names":false,"suffix":""},{"dropping-particle":"","family":"Desvoyes","given":"Bénédicte","non-dropping-particle":"","parse-names":false,"s</w:instrText>
      </w:r>
      <w:r>
        <w:rPr>
          <w:rFonts w:ascii="Arial" w:eastAsia="Times New Roman" w:hAnsi="Arial" w:cs="Arial"/>
          <w:color w:val="000000"/>
          <w:lang w:val="en-US" w:eastAsia="de-DE"/>
        </w:rPr>
        <w:instrText>uffix":""},{"dropping-particle":"","family":"Gutierrez","given":"Crisanto","non-dropping-particle":"","parse-names":false,"suffix":""},{"dropping-particle":"","family":"Howard","given":"Martin","non-dropping-particle":"","parse-names":false,"suffix":""},{"</w:instrText>
      </w:r>
      <w:r>
        <w:rPr>
          <w:rFonts w:ascii="Arial" w:eastAsia="Times New Roman" w:hAnsi="Arial" w:cs="Arial"/>
          <w:color w:val="000000"/>
          <w:lang w:val="en-US" w:eastAsia="de-DE"/>
        </w:rPr>
        <w:instrText>dropping-particle":"","family":"Sablowski","given":"Robert","non-dropping-particle":"","parse-names":false,"suffix":""}],"container-title":"Science","id":"ITEM-1","issue":"6547","issued":{"date-parts":[["2021","6","11"]]},"page":"1176-1181","title":"Cell s</w:instrText>
      </w:r>
      <w:r>
        <w:rPr>
          <w:rFonts w:ascii="Arial" w:eastAsia="Times New Roman" w:hAnsi="Arial" w:cs="Arial"/>
          <w:color w:val="000000"/>
          <w:lang w:val="en-US" w:eastAsia="de-DE"/>
        </w:rPr>
        <w:instrText>ize controlled in plants using DNA content as an internal scale","type":"article-journal","volume":"372"},"uris":["http://www.mendeley.com/documents/?uuid=c4b11d85-c00f-3f0d-96ef-8bd1aa86f3f6"]}],"mendeley":{"formattedCitation":"&lt;sup&gt;58&lt;/sup&gt;","plainTextFo</w:instrText>
      </w:r>
      <w:r>
        <w:rPr>
          <w:rFonts w:ascii="Arial" w:eastAsia="Times New Roman" w:hAnsi="Arial" w:cs="Arial"/>
          <w:color w:val="000000"/>
          <w:lang w:val="en-US" w:eastAsia="de-DE"/>
        </w:rPr>
        <w:instrText>rmattedCitation":"58","previouslyFormattedCitation":"&lt;sup&gt;58&lt;/sup&gt;"},"properties":{"noteIndex":0},"schema":"https://github.com/citation-style-language/schema/raw/master/csl-citation.json"}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t>
      </w:r>
    </w:p>
    <w:p w14:paraId="61520CBD"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b/>
          <w:bCs/>
          <w:color w:val="000000" w:themeColor="text1"/>
          <w:lang w:val="en-US" w:eastAsia="de-DE"/>
        </w:rPr>
        <w:t xml:space="preserve">Animal cells </w:t>
      </w:r>
      <w:r>
        <w:rPr>
          <w:rFonts w:ascii="Arial" w:eastAsia="Times New Roman" w:hAnsi="Arial" w:cs="Arial"/>
          <w:color w:val="000000" w:themeColor="text1"/>
          <w:lang w:val="en-US" w:eastAsia="de-DE"/>
        </w:rPr>
        <w:t xml:space="preserve">also show </w:t>
      </w:r>
      <w:r>
        <w:rPr>
          <w:rFonts w:ascii="Arial" w:eastAsia="Times New Roman" w:hAnsi="Arial" w:cs="Arial"/>
          <w:color w:val="000000" w:themeColor="text1"/>
          <w:lang w:val="en-US" w:eastAsia="de-DE"/>
        </w:rPr>
        <w:t>birth-size-dependent growth during G1</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{"citationItems":[{"id":"ITEM-1","itemData":{"DOI":"10.1016/0014-4827(65)90285-5","ISSN":"0014-4827","PMID":"5838935","abstract":"The mass of cells entering interphase after cell division, initial mas</w:instrText>
      </w:r>
      <w:r>
        <w:rPr>
          <w:rFonts w:ascii="Arial" w:eastAsia="Times New Roman" w:hAnsi="Arial" w:cs="Arial"/>
          <w:color w:val="000000" w:themeColor="text1"/>
          <w:lang w:val="en-US" w:eastAsia="de-DE"/>
        </w:rPr>
        <w:instrText>s (mo), and the cell mass at the stage of initiation of DNA synthesis (mG1) were determined in 21 populations of mouse fibroblasts in vitro (L-cells) which exhibited different mo values. Cells in populations with low initial masses had to synthesize more m</w:instrText>
      </w:r>
      <w:r>
        <w:rPr>
          <w:rFonts w:ascii="Arial" w:eastAsia="Times New Roman" w:hAnsi="Arial" w:cs="Arial"/>
          <w:color w:val="000000" w:themeColor="text1"/>
          <w:lang w:val="en-US" w:eastAsia="de-DE"/>
        </w:rPr>
        <w:instrText>ass before the onset of DNA synthesis than cells in populations with high initial masses. In addition, these smaller cells required more time for this mass synthesis than the bigger cells. The generation times were found to be almost identical for the diff</w:instrText>
      </w:r>
      <w:r>
        <w:rPr>
          <w:rFonts w:ascii="Arial" w:eastAsia="Times New Roman" w:hAnsi="Arial" w:cs="Arial"/>
          <w:color w:val="000000" w:themeColor="text1"/>
          <w:lang w:val="en-US" w:eastAsia="de-DE"/>
        </w:rPr>
        <w:instrText>erent L-cell populations. Cells in populations with low initial masses therefore spent a relatively long time in the G1 and a relatively short time in the S + G2 phases of the cell cycle. The opposite applied when the cell populations had high initial mass</w:instrText>
      </w:r>
      <w:r>
        <w:rPr>
          <w:rFonts w:ascii="Arial" w:eastAsia="Times New Roman" w:hAnsi="Arial" w:cs="Arial"/>
          <w:color w:val="000000" w:themeColor="text1"/>
          <w:lang w:val="en-US" w:eastAsia="de-DE"/>
        </w:rPr>
        <w:instrText>es. These findings support the hypothesis that initiation of DNA synthesis is dependent on the cell mass. © 1965.","author":[{"dropping-particle":"","family":"Killander","given":"D.","non-dropping-particle":"","parse-names":false,"suffix":""},{"dropping-pa</w:instrText>
      </w:r>
      <w:r>
        <w:rPr>
          <w:rFonts w:ascii="Arial" w:eastAsia="Times New Roman" w:hAnsi="Arial" w:cs="Arial"/>
          <w:color w:val="000000" w:themeColor="text1"/>
          <w:lang w:val="en-US" w:eastAsia="de-DE"/>
        </w:rPr>
        <w:instrText>rticle":"","family":"Zetterberg","given":"A.","non-dropping-particle":"","parse-names":false,"suffix":""}],"container-title":"Experimental Cell Research","id":"ITEM-1","issue":"1","issued":{"date-parts":[["1965","10","1"]]},"page":"12-20","publisher":"Acad</w:instrText>
      </w:r>
      <w:r>
        <w:rPr>
          <w:rFonts w:ascii="Arial" w:eastAsia="Times New Roman" w:hAnsi="Arial" w:cs="Arial"/>
          <w:color w:val="000000" w:themeColor="text1"/>
          <w:lang w:val="en-US" w:eastAsia="de-DE"/>
        </w:rPr>
        <w:instrText>emic Press","title":"A quantitative cytochemical investigation of the relationship between cell mass and initiation of DNA synthesis in mouse fibroblasts in vitro","type":"article-journal","volume":"40"},"uris":["http://www.mendeley.com/documents/?uuid=970</w:instrText>
      </w:r>
      <w:r>
        <w:rPr>
          <w:rFonts w:ascii="Arial" w:eastAsia="Times New Roman" w:hAnsi="Arial" w:cs="Arial"/>
          <w:color w:val="000000" w:themeColor="text1"/>
          <w:lang w:val="en-US" w:eastAsia="de-DE"/>
        </w:rPr>
        <w:instrText>1f3ad-8862-329e-9d01-d6385ab361e7"]},{"id":"ITEM-2","itemData":{"DOI":"10.1038/ncb1166","ISSN":"1476-4679","PMID":"15322555","abstract":"Continuously proliferating cells exactly double their mass during each cell cycle. Here we have addressed the controver</w:instrText>
      </w:r>
      <w:r>
        <w:rPr>
          <w:rFonts w:ascii="Arial" w:eastAsia="Times New Roman" w:hAnsi="Arial" w:cs="Arial"/>
          <w:color w:val="000000" w:themeColor="text1"/>
          <w:lang w:val="en-US" w:eastAsia="de-DE"/>
        </w:rPr>
        <w:instrText>sial question of if and how cell size is sensed and regulated1,2,3,4. We used erythroblasts that proliferate under the control of a constitutively active oncogene (v-ErbB)5 or under the control of physiological cytokines (stem cell factor, erythropoietin a</w:instrText>
      </w:r>
      <w:r>
        <w:rPr>
          <w:rFonts w:ascii="Arial" w:eastAsia="Times New Roman" w:hAnsi="Arial" w:cs="Arial"/>
          <w:color w:val="000000" w:themeColor="text1"/>
          <w:lang w:val="en-US" w:eastAsia="de-DE"/>
        </w:rPr>
        <w:instrText>nd v-ErbB inhibitor6). The oncogene-driven cells proliferated 1.7 times faster and showed a 1.5-fold increase in cell volume. The two phenotypes could be converted into each other 24 h after altering growth factor signalling. The large cells had a higher r</w:instrText>
      </w:r>
      <w:r>
        <w:rPr>
          <w:rFonts w:ascii="Arial" w:eastAsia="Times New Roman" w:hAnsi="Arial" w:cs="Arial"/>
          <w:color w:val="000000" w:themeColor="text1"/>
          <w:lang w:val="en-US" w:eastAsia="de-DE"/>
        </w:rPr>
        <w:instrText>ate of protein synthesis, together with a shortened G1 phase. Additional experiments with chicken erythroblasts and mouse fibroblasts, synchronized by centrifugal elutriation, provided further evidence that vertebrate cells can respond to cell size alterat</w:instrText>
      </w:r>
      <w:r>
        <w:rPr>
          <w:rFonts w:ascii="Arial" w:eastAsia="Times New Roman" w:hAnsi="Arial" w:cs="Arial"/>
          <w:color w:val="000000" w:themeColor="text1"/>
          <w:lang w:val="en-US" w:eastAsia="de-DE"/>
        </w:rPr>
        <w:instrText>ions (induced either through different growth factor signalling or DNA synthesis inhibitors) by compensatory shortening of the subsequent G1 phase. Taken together, these data suggest that an active size threshold mechanism exists in G1, which induces adjus</w:instrText>
      </w:r>
      <w:r>
        <w:rPr>
          <w:rFonts w:ascii="Arial" w:eastAsia="Times New Roman" w:hAnsi="Arial" w:cs="Arial"/>
          <w:color w:val="000000" w:themeColor="text1"/>
          <w:lang w:val="en-US" w:eastAsia="de-DE"/>
        </w:rPr>
        <w:instrText>tment of cell-cycle length in the next cycle, thus ensuring maintenance of a proper balance between growth and proliferation rates in vertebrates.","author":[{"dropping-particle":"","family":"Dolznig","given":"Helmut","non-dropping-particle":"","parse-name</w:instrText>
      </w:r>
      <w:r>
        <w:rPr>
          <w:rFonts w:ascii="Arial" w:eastAsia="Times New Roman" w:hAnsi="Arial" w:cs="Arial"/>
          <w:color w:val="000000" w:themeColor="text1"/>
          <w:lang w:val="en-US" w:eastAsia="de-DE"/>
        </w:rPr>
        <w:instrText>s":false,"suffix":""},{"dropping-particle":"","family":"Grebien","given":"Florian","non-dropping-particle":"","parse-names":false,"suffix":""},{"dropping-particle":"","family":"Sauer","given":"Thomas","non-dropping-particle":"","parse-names":false,"suffix"</w:instrText>
      </w:r>
      <w:r>
        <w:rPr>
          <w:rFonts w:ascii="Arial" w:eastAsia="Times New Roman" w:hAnsi="Arial" w:cs="Arial"/>
          <w:color w:val="000000" w:themeColor="text1"/>
          <w:lang w:val="en-US" w:eastAsia="de-DE"/>
        </w:rPr>
        <w:instrText>:""},{"dropping-particle":"","family":"Beug","given":"Hartmut","non-dropping-particle":"","parse-names":false,"suffix":""},{"dropping-particle":"","family":"Müllner","given":"Ernst W.","non-dropping-particle":"","parse-names":false,"suffix":""}],"container</w:instrText>
      </w:r>
      <w:r>
        <w:rPr>
          <w:rFonts w:ascii="Arial" w:eastAsia="Times New Roman" w:hAnsi="Arial" w:cs="Arial"/>
          <w:color w:val="000000" w:themeColor="text1"/>
          <w:lang w:val="en-US" w:eastAsia="de-DE"/>
        </w:rPr>
        <w:instrText>-title":"Nature Cell Biology 2004 6:9","id":"ITEM-2","issue":"9","issued":{"date-parts":[["2004","8","22"]]},"page":"899-905","publisher":"Nature Publishing Group","title":"Evidence for a size-sensing mechanism in animal cells","type":"article-journal","vo</w:instrText>
      </w:r>
      <w:r>
        <w:rPr>
          <w:rFonts w:ascii="Arial" w:eastAsia="Times New Roman" w:hAnsi="Arial" w:cs="Arial"/>
          <w:color w:val="000000" w:themeColor="text1"/>
          <w:lang w:val="en-US" w:eastAsia="de-DE"/>
        </w:rPr>
        <w:instrText>lume":"6"},"uris":["http://www.mendeley.com/documents/?uuid=1bec5383-11f3-3e79-b7c7-212a97841263"]},{"id":"ITEM-3","itemData":{"DOI":"10.1038/nature11897","ISSN":"00280836","PMID":"23446419","abstract":"Biologists have long been concerned about what constr</w:instrText>
      </w:r>
      <w:r>
        <w:rPr>
          <w:rFonts w:ascii="Arial" w:eastAsia="Times New Roman" w:hAnsi="Arial" w:cs="Arial"/>
          <w:color w:val="000000" w:themeColor="text1"/>
          <w:lang w:val="en-US" w:eastAsia="de-DE"/>
        </w:rPr>
        <w:instrText>ains variation in cell size, but progress in this field has been slow and stymied by experimental limitations. Here we describe a new method, ergodic rate analysis (ERA), that uses single-cell measurements of fixed steady-state populations to accurately in</w:instrText>
      </w:r>
      <w:r>
        <w:rPr>
          <w:rFonts w:ascii="Arial" w:eastAsia="Times New Roman" w:hAnsi="Arial" w:cs="Arial"/>
          <w:color w:val="000000" w:themeColor="text1"/>
          <w:lang w:val="en-US" w:eastAsia="de-DE"/>
        </w:rPr>
        <w:instrText>fer the rates of molecular events, including rates of cell growth. ERA exploits the fact that the number of cells in a particular state is related to the average transit time through that state. With this method, it is possible to calculate full time traje</w:instrText>
      </w:r>
      <w:r>
        <w:rPr>
          <w:rFonts w:ascii="Arial" w:eastAsia="Times New Roman" w:hAnsi="Arial" w:cs="Arial"/>
          <w:color w:val="000000" w:themeColor="text1"/>
          <w:lang w:val="en-US" w:eastAsia="de-DE"/>
        </w:rPr>
        <w:instrText>ctories of any feature that can be labelled in fixed cells, for example levels of phosphoproteins or total cellular mass. Using ERA we find evidence for a size-discriminatory process at the G1/S transition that acts to decrease cell-to-cell size variation.</w:instrText>
      </w:r>
      <w:r>
        <w:rPr>
          <w:rFonts w:ascii="Arial" w:eastAsia="Times New Roman" w:hAnsi="Arial" w:cs="Arial"/>
          <w:color w:val="000000" w:themeColor="text1"/>
          <w:lang w:val="en-US" w:eastAsia="de-DE"/>
        </w:rPr>
        <w:instrText xml:space="preserve"> © 2013 Macmillan Publishers Limited. All rights reserved.","author":[{"dropping-particle":"","family":"Kafri","given":"Ran","non-dropping-particle":"","parse-names":false,"suffix":""},{"dropping-particle":"","family":"Levy","given":"Jason","non-dropping-p</w:instrText>
      </w:r>
      <w:r>
        <w:rPr>
          <w:rFonts w:ascii="Arial" w:eastAsia="Times New Roman" w:hAnsi="Arial" w:cs="Arial"/>
          <w:color w:val="000000" w:themeColor="text1"/>
          <w:lang w:val="en-US" w:eastAsia="de-DE"/>
        </w:rPr>
        <w:instrText>article":"","parse-names":false,"suffix":""},{"dropping-particle":"","family":"Ginzberg","given":"Miriam B","non-dropping-particle":"","parse-names":false,"suffix":""},{"dropping-particle":"","family":"Oh","given":"Seungeun","non-dropping-particle":"","par</w:instrText>
      </w:r>
      <w:r>
        <w:rPr>
          <w:rFonts w:ascii="Arial" w:eastAsia="Times New Roman" w:hAnsi="Arial" w:cs="Arial"/>
          <w:color w:val="000000" w:themeColor="text1"/>
          <w:lang w:val="en-US" w:eastAsia="de-DE"/>
        </w:rPr>
        <w:instrText>se-names":false,"suffix":""},{"dropping-particle":"","family":"Lahav","given":"Galit","non-dropping-particle":"","parse-names":false,"suffix":""},{"dropping-particle":"","family":"Kirschner","given":"Marc W","non-dropping-particle":"","parse-names":false,"</w:instrText>
      </w:r>
      <w:r>
        <w:rPr>
          <w:rFonts w:ascii="Arial" w:eastAsia="Times New Roman" w:hAnsi="Arial" w:cs="Arial"/>
          <w:color w:val="000000" w:themeColor="text1"/>
          <w:lang w:val="en-US" w:eastAsia="de-DE"/>
        </w:rPr>
        <w:instrText>suffix":""}],"container-title":"Nature","id":"ITEM-3","issue":"7438","issued":{"date-parts":[["2013","2","28"]]},"page":"480-483","title":"Dynamics extracted from fixed cells reveal feedback linking cell growth to cell cycle","type":"article-journal","volu</w:instrText>
      </w:r>
      <w:r>
        <w:rPr>
          <w:rFonts w:ascii="Arial" w:eastAsia="Times New Roman" w:hAnsi="Arial" w:cs="Arial"/>
          <w:color w:val="000000" w:themeColor="text1"/>
          <w:lang w:val="en-US" w:eastAsia="de-DE"/>
        </w:rPr>
        <w:instrText>me":"494"},"uris":["http://www.mendeley.com/documents/?uuid=7bf06da4-7341-3809-8e78-dc10ec233637"]},{"id":"ITEM-4","itemData":{"DOI":"10.7554/ELIFE.26947","ISSN":"2050084X","PMID":"29595474","abstract":"Animal cells within a tissue typically display a stri</w:instrText>
      </w:r>
      <w:r>
        <w:rPr>
          <w:rFonts w:ascii="Arial" w:eastAsia="Times New Roman" w:hAnsi="Arial" w:cs="Arial"/>
          <w:color w:val="000000" w:themeColor="text1"/>
          <w:lang w:val="en-US" w:eastAsia="de-DE"/>
        </w:rPr>
        <w:instrText xml:space="preserve">king regularity in their size. To date, the molecular mechanisms that control this uniformity are still unknown. We have previously shown that size uniformity in animal cells is promoted, in part, by size-dependent regulation of G1 length. To identify the </w:instrText>
      </w:r>
      <w:r>
        <w:rPr>
          <w:rFonts w:ascii="Arial" w:eastAsia="Times New Roman" w:hAnsi="Arial" w:cs="Arial"/>
          <w:color w:val="000000" w:themeColor="text1"/>
          <w:lang w:val="en-US" w:eastAsia="de-DE"/>
        </w:rPr>
        <w:instrText>molecular mechanisms underlying this process, we performed a large-scale small molecule screen and found that the p38 MAPK pathway is involved in coordinating cell size and cell cycle progression. Small cells display higher p38 activity and spend more time</w:instrText>
      </w:r>
      <w:r>
        <w:rPr>
          <w:rFonts w:ascii="Arial" w:eastAsia="Times New Roman" w:hAnsi="Arial" w:cs="Arial"/>
          <w:color w:val="000000" w:themeColor="text1"/>
          <w:lang w:val="en-US" w:eastAsia="de-DE"/>
        </w:rPr>
        <w:instrText xml:space="preserve"> in G1 than larger cells. Inhibition of p38 MAPK leads to loss of the compensatory G1 length extension in small cells, resulting in faster proliferation, smaller cell size and increased size heterogeneity. We propose a model wherein the p38 pathway respond</w:instrText>
      </w:r>
      <w:r>
        <w:rPr>
          <w:rFonts w:ascii="Arial" w:eastAsia="Times New Roman" w:hAnsi="Arial" w:cs="Arial"/>
          <w:color w:val="000000" w:themeColor="text1"/>
          <w:lang w:val="en-US" w:eastAsia="de-DE"/>
        </w:rPr>
        <w:instrText>s to changes in cell size and regulates G1 exit accordingly, to increase cell size uniformity.","author":[{"dropping-particle":"","family":"Liu","given":"Shixuan","non-dropping-particle":"","parse-names":false,"suffix":""},{"dropping-particle":"","family":</w:instrText>
      </w:r>
      <w:r>
        <w:rPr>
          <w:rFonts w:ascii="Arial" w:eastAsia="Times New Roman" w:hAnsi="Arial" w:cs="Arial"/>
          <w:color w:val="000000" w:themeColor="text1"/>
          <w:lang w:val="en-US" w:eastAsia="de-DE"/>
        </w:rPr>
        <w:instrText>"Ginzberg","given":"Miriam Bracha","non-dropping-particle":"","parse-names":false,"suffix":""},{"dropping-particle":"","family":"Patel","given":"Nish","non-dropping-particle":"","parse-names":false,"suffix":""},{"dropping-particle":"","family":"Hild","give</w:instrText>
      </w:r>
      <w:r>
        <w:rPr>
          <w:rFonts w:ascii="Arial" w:eastAsia="Times New Roman" w:hAnsi="Arial" w:cs="Arial"/>
          <w:color w:val="000000" w:themeColor="text1"/>
          <w:lang w:val="en-US" w:eastAsia="de-DE"/>
        </w:rPr>
        <w:instrText>n":"Marc","non-dropping-particle":"","parse-names":false,"suffix":""},{"dropping-particle":"","family":"Leung","given":"Bosco","non-dropping-particle":"","parse-names":false,"suffix":""},{"dropping-particle":"","family":"Li","given":"Zhengda","non-dropping</w:instrText>
      </w:r>
      <w:r>
        <w:rPr>
          <w:rFonts w:ascii="Arial" w:eastAsia="Times New Roman" w:hAnsi="Arial" w:cs="Arial"/>
          <w:color w:val="000000" w:themeColor="text1"/>
          <w:lang w:val="en-US" w:eastAsia="de-DE"/>
        </w:rPr>
        <w:instrText>-particle":"","parse-names":false,"suffix":""},{"dropping-particle":"","family":"Chen","given":"Yen Chi","non-dropping-particle":"","parse-names":false,"suffix":""},{"dropping-particle":"","family":"Chang","given":"Nancy","non-dropping-particle":"","parse-</w:instrText>
      </w:r>
      <w:r>
        <w:rPr>
          <w:rFonts w:ascii="Arial" w:eastAsia="Times New Roman" w:hAnsi="Arial" w:cs="Arial"/>
          <w:color w:val="000000" w:themeColor="text1"/>
          <w:lang w:val="en-US" w:eastAsia="de-DE"/>
        </w:rPr>
        <w:instrText>names":false,"suffix":""},{"dropping-particle":"","family":"Wang","given":"Yuan","non-dropping-particle":"","parse-names":false,"suffix":""},{"dropping-particle":"","family":"Tan","given":"Ceryl","non-dropping-particle":"","parse-names":false,"suffix":""},</w:instrText>
      </w:r>
      <w:r>
        <w:rPr>
          <w:rFonts w:ascii="Arial" w:eastAsia="Times New Roman" w:hAnsi="Arial" w:cs="Arial"/>
          <w:color w:val="000000" w:themeColor="text1"/>
          <w:lang w:val="en-US" w:eastAsia="de-DE"/>
        </w:rPr>
        <w:instrText>{"dropping-particle":"","family":"Diena","given":"Shulamit","non-dropping-particle":"","parse-names":false,"suffix":""},{"dropping-particle":"","family":"Trimble","given":"William","non-dropping-particle":"","parse-names":false,"suffix":""},{"dropping-part</w:instrText>
      </w:r>
      <w:r>
        <w:rPr>
          <w:rFonts w:ascii="Arial" w:eastAsia="Times New Roman" w:hAnsi="Arial" w:cs="Arial"/>
          <w:color w:val="000000" w:themeColor="text1"/>
          <w:lang w:val="en-US" w:eastAsia="de-DE"/>
        </w:rPr>
        <w:instrText>icle":"","family":"Wasserman","given":"Larry","non-dropping-particle":"","parse-names":false,"suffix":""},{"dropping-particle":"","family":"Jenkins","given":"Jeremy L.","non-dropping-particle":"","parse-names":false,"suffix":""},{"dropping-particle":"","fa</w:instrText>
      </w:r>
      <w:r>
        <w:rPr>
          <w:rFonts w:ascii="Arial" w:eastAsia="Times New Roman" w:hAnsi="Arial" w:cs="Arial"/>
          <w:color w:val="000000" w:themeColor="text1"/>
          <w:lang w:val="en-US" w:eastAsia="de-DE"/>
        </w:rPr>
        <w:instrText>mily":"Kirschner","given":"Marc W.","non-dropping-particle":"","parse-names":false,"suffix":""},{"dropping-particle":"","family":"Kafri","given":"Ran","non-dropping-particle":"","parse-names":false,"suffix":""}],"container-title":"eLife","id":"ITEM-4","iss</w:instrText>
      </w:r>
      <w:r>
        <w:rPr>
          <w:rFonts w:ascii="Arial" w:eastAsia="Times New Roman" w:hAnsi="Arial" w:cs="Arial"/>
          <w:color w:val="000000" w:themeColor="text1"/>
          <w:lang w:val="en-US" w:eastAsia="de-DE"/>
        </w:rPr>
        <w:instrText>ued":{"date-parts":[["2018","3","29"]]},"publisher":"eLife Sciences Publications Ltd","title":"Size uniformity of animal cells is actively maintained by a p38 MAPK-dependent regulation of G1-length","type":"article-journal","volume":"7"},"uris":["http://ww</w:instrText>
      </w:r>
      <w:r>
        <w:rPr>
          <w:rFonts w:ascii="Arial" w:eastAsia="Times New Roman" w:hAnsi="Arial" w:cs="Arial"/>
          <w:color w:val="000000" w:themeColor="text1"/>
          <w:lang w:val="en-US" w:eastAsia="de-DE"/>
        </w:rPr>
        <w:instrText>w.mendeley.com/documents/?uuid=a4b7dd16-4cb2-33bf-9c27-d1693621be3a"]},{"id":"ITEM-5","itemData":{"DOI":"10.7554/ELIFE.26957","ISSN":"2050084X","PMID":"29889021","abstract":"Cell size uniformity in healthy tissues suggests that control mechanisms might coo</w:instrText>
      </w:r>
      <w:r>
        <w:rPr>
          <w:rFonts w:ascii="Arial" w:eastAsia="Times New Roman" w:hAnsi="Arial" w:cs="Arial"/>
          <w:color w:val="000000" w:themeColor="text1"/>
          <w:lang w:val="en-US" w:eastAsia="de-DE"/>
        </w:rPr>
        <w:instrText>rdinate cell growth and division. We derived a method to assay whether cellular growth rates depend on cell size, by monitoring how variance in size changes as cells grow. Our data revealed that, twice during the cell cycle, growth rates are selectively in</w:instrText>
      </w:r>
      <w:r>
        <w:rPr>
          <w:rFonts w:ascii="Arial" w:eastAsia="Times New Roman" w:hAnsi="Arial" w:cs="Arial"/>
          <w:color w:val="000000" w:themeColor="text1"/>
          <w:lang w:val="en-US" w:eastAsia="de-DE"/>
        </w:rPr>
        <w:instrText>creased in small cells and reduced in large cells, ensuring cell size uniformity. This regulation was also observed directly by monitoring nuclear growth in live cells. We also detected cell-size-dependent adjustments of G1 length, which further reduce var</w:instrText>
      </w:r>
      <w:r>
        <w:rPr>
          <w:rFonts w:ascii="Arial" w:eastAsia="Times New Roman" w:hAnsi="Arial" w:cs="Arial"/>
          <w:color w:val="000000" w:themeColor="text1"/>
          <w:lang w:val="en-US" w:eastAsia="de-DE"/>
        </w:rPr>
        <w:instrText>iability. Combining our assays with chemical/genetic perturbations confirmed that cells employ two strategies, adjusting both cell cycle length and growth rate, to maintain the appropriate size. Additionally, although Rb signaling is not required for these</w:instrText>
      </w:r>
      <w:r>
        <w:rPr>
          <w:rFonts w:ascii="Arial" w:eastAsia="Times New Roman" w:hAnsi="Arial" w:cs="Arial"/>
          <w:color w:val="000000" w:themeColor="text1"/>
          <w:lang w:val="en-US" w:eastAsia="de-DE"/>
        </w:rPr>
        <w:instrText xml:space="preserve"> regulatory behaviors, perturbing Cdk4 activity still influences cell size, suggesting that the Cdk4 pathway may play a role in designating the cell’s target size.","author":[{"dropping-particle":"","family":"Ginzberg","given":"Miriam Bracha","non-dropping</w:instrText>
      </w:r>
      <w:r>
        <w:rPr>
          <w:rFonts w:ascii="Arial" w:eastAsia="Times New Roman" w:hAnsi="Arial" w:cs="Arial"/>
          <w:color w:val="000000" w:themeColor="text1"/>
          <w:lang w:val="en-US" w:eastAsia="de-DE"/>
        </w:rPr>
        <w:instrText>-particle":"","parse-names":false,"suffix":""},{"dropping-particle":"","family":"Chang","given":"Nancy","non-dropping-particle":"","parse-names":false,"suffix":""},{"dropping-particle":"","family":"D’souza","given":"Heather","non-dropping-particle":"","par</w:instrText>
      </w:r>
      <w:r>
        <w:rPr>
          <w:rFonts w:ascii="Arial" w:eastAsia="Times New Roman" w:hAnsi="Arial" w:cs="Arial"/>
          <w:color w:val="000000" w:themeColor="text1"/>
          <w:lang w:val="en-US" w:eastAsia="de-DE"/>
        </w:rPr>
        <w:instrText>se-names":false,"suffix":""},{"dropping-particle":"","family":"Patel","given":"Nish","non-dropping-particle":"","parse-names":false,"suffix":""},{"dropping-particle":"","family":"Kafri","given":"Ran","non-dropping-particle":"","parse-names":false,"suffix":</w:instrText>
      </w:r>
      <w:r>
        <w:rPr>
          <w:rFonts w:ascii="Arial" w:eastAsia="Times New Roman" w:hAnsi="Arial" w:cs="Arial"/>
          <w:color w:val="000000" w:themeColor="text1"/>
          <w:lang w:val="en-US" w:eastAsia="de-DE"/>
        </w:rPr>
        <w:instrText>""},{"dropping-particle":"","family":"Kirschner","given":"Marc W.","non-dropping-particle":"","parse-names":false,"suffix":""}],"container-title":"eLife","id":"ITEM-5","issued":{"date-parts":[["2018","6","11"]]},"publisher":"eLife Sciences Publications Ltd</w:instrText>
      </w:r>
      <w:r>
        <w:rPr>
          <w:rFonts w:ascii="Arial" w:eastAsia="Times New Roman" w:hAnsi="Arial" w:cs="Arial"/>
          <w:color w:val="000000" w:themeColor="text1"/>
          <w:lang w:val="en-US" w:eastAsia="de-DE"/>
        </w:rPr>
        <w:instrText>","title":"Cell size sensing in animal cells coordinates anabolic growth rates and cell cycle progression to maintain cell size uniformity","type":"article-journal","volume":"7"},"uris":["http://www.mendeley.com/documents/?uuid=b4771e41-0813-3842-891c-4c4d</w:instrText>
      </w:r>
      <w:r>
        <w:rPr>
          <w:rFonts w:ascii="Arial" w:eastAsia="Times New Roman" w:hAnsi="Arial" w:cs="Arial"/>
          <w:color w:val="000000" w:themeColor="text1"/>
          <w:lang w:val="en-US" w:eastAsia="de-DE"/>
        </w:rPr>
        <w:instrText>88eed7ec"]}],"mendeley":{"formattedCitation":"&lt;sup&gt;261–265&lt;/sup&gt;","plainTextFormattedCitation":"261–265","previouslyFormattedCitation":"&lt;sup&gt;261–265&lt;/sup&gt;"},"properties":{"noteIndex":0},"schema":"https://github.com/citation-style-language/schema/raw/master</w:instrText>
      </w:r>
      <w:r>
        <w:rPr>
          <w:rFonts w:ascii="Arial" w:eastAsia="Times New Roman" w:hAnsi="Arial" w:cs="Arial"/>
          <w:color w:val="000000" w:themeColor="text1"/>
          <w:lang w:val="en-US" w:eastAsia="de-DE"/>
        </w:rPr>
        <w:instrText>/csl-citation.json"}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261–265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which is mediated via a similar </w:t>
      </w:r>
      <w:r>
        <w:rPr>
          <w:rFonts w:ascii="Arial" w:eastAsia="Times New Roman" w:hAnsi="Arial" w:cs="Arial"/>
          <w:i/>
          <w:iCs/>
          <w:color w:val="000000" w:themeColor="text1"/>
          <w:lang w:val="en-US" w:eastAsia="de-DE"/>
        </w:rPr>
        <w:t>sizer</w:t>
      </w:r>
      <w:r>
        <w:rPr>
          <w:rFonts w:ascii="Arial" w:eastAsia="Times New Roman" w:hAnsi="Arial" w:cs="Arial"/>
          <w:color w:val="000000" w:themeColor="text1"/>
          <w:lang w:val="en-US" w:eastAsia="de-DE"/>
        </w:rPr>
        <w:t xml:space="preserve"> mechanism - a decrease in the concentration of the cell-cycle inhibitor protein Rb as G1 progresses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{"citationItems":[{"id":"ITEM-1","itemData":{"DOI":"10.1101/470013","</w:instrText>
      </w:r>
      <w:r>
        <w:rPr>
          <w:rFonts w:ascii="Arial" w:eastAsia="Times New Roman" w:hAnsi="Arial" w:cs="Arial"/>
          <w:color w:val="000000" w:themeColor="text1"/>
          <w:lang w:val="en-US" w:eastAsia="de-DE"/>
        </w:rPr>
        <w:instrText>abstract":"Cell size is fundamental to function in different cell types across the human body because it sets the scale of organelle structures, biosynthesis, and surface transport1,2. Tiny erythrocytes squeeze through capillaries to transport oxygen, whil</w:instrText>
      </w:r>
      <w:r>
        <w:rPr>
          <w:rFonts w:ascii="Arial" w:eastAsia="Times New Roman" w:hAnsi="Arial" w:cs="Arial"/>
          <w:color w:val="000000" w:themeColor="text1"/>
          <w:lang w:val="en-US" w:eastAsia="de-DE"/>
        </w:rPr>
        <w:instrText>e the million-fold larger oocyte divides without growth to form the ~100 cell pre-implantation embryo. Despite the vast size range across cell types, cells of a given type are typically uniform in size likely because cells are able to accurately couple cel</w:instrText>
      </w:r>
      <w:r>
        <w:rPr>
          <w:rFonts w:ascii="Arial" w:eastAsia="Times New Roman" w:hAnsi="Arial" w:cs="Arial"/>
          <w:color w:val="000000" w:themeColor="text1"/>
          <w:lang w:val="en-US" w:eastAsia="de-DE"/>
        </w:rPr>
        <w:instrText xml:space="preserve">l growth to division3–6. While some genes whose disruption in mammalian cells affects cell size have been identified, the molecular mechanisms through which cell growth drives cell division have remained elusive7–12. Here, we show that cell growth acts to </w:instrText>
      </w:r>
      <w:r>
        <w:rPr>
          <w:rFonts w:ascii="Arial" w:eastAsia="Times New Roman" w:hAnsi="Arial" w:cs="Arial"/>
          <w:color w:val="000000" w:themeColor="text1"/>
          <w:lang w:val="en-US" w:eastAsia="de-DE"/>
        </w:rPr>
        <w:instrText>dilute the cell cycle inhibitor Rb to drive cell cycle progression from G1 to S phase in human cells. In contrast, other G1/S regulators remained at nearly constant concentration. Rb is a stable protein that is synthesized during S and G2 phases in an amou</w:instrText>
      </w:r>
      <w:r>
        <w:rPr>
          <w:rFonts w:ascii="Arial" w:eastAsia="Times New Roman" w:hAnsi="Arial" w:cs="Arial"/>
          <w:color w:val="000000" w:themeColor="text1"/>
          <w:lang w:val="en-US" w:eastAsia="de-DE"/>
        </w:rPr>
        <w:instrText>nt that is independent of cell size. Equal partitioning to daughter cells of chromatin bound Rb then ensures that all cells at birth inherit a similar amount of Rb protein. RB overexpression increased cell size in tissue culture and a mouse cancer model, w</w:instrText>
      </w:r>
      <w:r>
        <w:rPr>
          <w:rFonts w:ascii="Arial" w:eastAsia="Times New Roman" w:hAnsi="Arial" w:cs="Arial"/>
          <w:color w:val="000000" w:themeColor="text1"/>
          <w:lang w:val="en-US" w:eastAsia="de-DE"/>
        </w:rPr>
        <w:instrText>hile RB deletion decreased cell size and removed the inverse correlation between cell size at birth and the duration of G1 phase. Thus, Rb-dilution by cell growth in G1 provides a long-sought cell autonomous molecular mechanism for cell size homeostasis.",</w:instrText>
      </w:r>
      <w:r>
        <w:rPr>
          <w:rFonts w:ascii="Arial" w:eastAsia="Times New Roman" w:hAnsi="Arial" w:cs="Arial"/>
          <w:color w:val="000000" w:themeColor="text1"/>
          <w:lang w:val="en-US" w:eastAsia="de-DE"/>
        </w:rPr>
        <w:instrText>"author":[{"dropping-particle":"","family":"Zatulovskiy","given":"Evgeny","non-dropping-particle":"","parse-names":false,"suffix":""},{"dropping-particle":"","family":"Zhang","given":"Shuyuan","non-dropping-particle":"","parse-names":false,"suffix":""},{"d</w:instrText>
      </w:r>
      <w:r>
        <w:rPr>
          <w:rFonts w:ascii="Arial" w:eastAsia="Times New Roman" w:hAnsi="Arial" w:cs="Arial"/>
          <w:color w:val="000000" w:themeColor="text1"/>
          <w:lang w:val="en-US" w:eastAsia="de-DE"/>
        </w:rPr>
        <w:instrText>ropping-particle":"","family":"Berenson","given":"Daniel F.","non-dropping-particle":"","parse-names":false,"suffix":""},{"dropping-particle":"","family":"Topacio","given":"Benjamin R.","non-dropping-particle":"","parse-names":false,"suffix":""},{"dropping</w:instrText>
      </w:r>
      <w:r>
        <w:rPr>
          <w:rFonts w:ascii="Arial" w:eastAsia="Times New Roman" w:hAnsi="Arial" w:cs="Arial"/>
          <w:color w:val="000000" w:themeColor="text1"/>
          <w:lang w:val="en-US" w:eastAsia="de-DE"/>
        </w:rPr>
        <w:instrText>-particle":"","family":"Skotheim","given":"Jan M.","non-dropping-particle":"","parse-names":false,"suffix":""}],"container-title":"Science","id":"ITEM-1","issue":"July","issued":{"date-parts":[["2020"]]},"page":"466-471","title":"Cell growth dilutes the ce</w:instrText>
      </w:r>
      <w:r>
        <w:rPr>
          <w:rFonts w:ascii="Arial" w:eastAsia="Times New Roman" w:hAnsi="Arial" w:cs="Arial"/>
          <w:color w:val="000000" w:themeColor="text1"/>
          <w:lang w:val="en-US" w:eastAsia="de-DE"/>
        </w:rPr>
        <w:instrText>ll cycle inhibitor Rb to trigger cell division","type":"article-journal","volume":"369"},"uris":["http://www.mendeley.com/documents/?uuid=fd17804b-2f06-401a-b1a1-621c816cbabe"]},{"id":"ITEM-2","itemData":{"DOI":"10.1101/2023.10.03.560768","abstract":"Mamma</w:instrText>
      </w:r>
      <w:r>
        <w:rPr>
          <w:rFonts w:ascii="Arial" w:eastAsia="Times New Roman" w:hAnsi="Arial" w:cs="Arial"/>
          <w:color w:val="000000" w:themeColor="text1"/>
          <w:lang w:val="en-US" w:eastAsia="de-DE"/>
        </w:rPr>
        <w:instrText>lian cells make the decision to divide at the G1/S transition in response to diverse signals impinging on the retinoblastoma protein Rb, a cell cycle inhibitor and tumor suppressor. Rb is inhibited by two parallel pathways. In the canonical pathway, cyclin</w:instrText>
      </w:r>
      <w:r>
        <w:rPr>
          <w:rFonts w:ascii="Arial" w:eastAsia="Times New Roman" w:hAnsi="Arial" w:cs="Arial"/>
          <w:color w:val="000000" w:themeColor="text1"/>
          <w:lang w:val="en-US" w:eastAsia="de-DE"/>
        </w:rPr>
        <w:instrText xml:space="preserve"> D-Cdk4/6 kinase complexes phosphorylate and inactivate Rb. In the second, recently discovered pathway, Rb’s concentration decreases during G1 through an unknown mechanism. Here, we found that regulated protein degradation via the E3 ubiquitin ligase UBR5 </w:instrText>
      </w:r>
      <w:r>
        <w:rPr>
          <w:rFonts w:ascii="Arial" w:eastAsia="Times New Roman" w:hAnsi="Arial" w:cs="Arial"/>
          <w:color w:val="000000" w:themeColor="text1"/>
          <w:lang w:val="en-US" w:eastAsia="de-DE"/>
        </w:rPr>
        <w:instrText>is responsible for Rb’s concentration drop in G1. UBR5 knockout cells have increased Rb concentration in early G1, exhibited a lower G1/S transition rate, and are more sensitive to inhibition of Cdk4/6. This last observation suggests that UBR5 inhibition c</w:instrText>
      </w:r>
      <w:r>
        <w:rPr>
          <w:rFonts w:ascii="Arial" w:eastAsia="Times New Roman" w:hAnsi="Arial" w:cs="Arial"/>
          <w:color w:val="000000" w:themeColor="text1"/>
          <w:lang w:val="en-US" w:eastAsia="de-DE"/>
        </w:rPr>
        <w:instrText>an strengthen the efficacy of Cdk4/6 inhibitor-based cancer therapies.\n\nOne-Sentence Summary The E3 ligase UBR5 progressively reduces the concentration of the retinoblastoma protein Rb during G1 to drive proliferation.\n\n### Competing Interest Statement</w:instrText>
      </w:r>
      <w:r>
        <w:rPr>
          <w:rFonts w:ascii="Arial" w:eastAsia="Times New Roman" w:hAnsi="Arial" w:cs="Arial"/>
          <w:color w:val="000000" w:themeColor="text1"/>
          <w:lang w:val="en-US" w:eastAsia="de-DE"/>
        </w:rPr>
        <w:instrText>\n\nThe authors have declared no competing interest.","author":[{"dropping-particle":"","family":"Zhang","given":"Shuyuan","non-dropping-particle":"","parse-names":false,"suffix":""},{"dropping-particle":"","family":"Valenzuela","given":"Lucas Fuentes","no</w:instrText>
      </w:r>
      <w:r>
        <w:rPr>
          <w:rFonts w:ascii="Arial" w:eastAsia="Times New Roman" w:hAnsi="Arial" w:cs="Arial"/>
          <w:color w:val="000000" w:themeColor="text1"/>
          <w:lang w:val="en-US" w:eastAsia="de-DE"/>
        </w:rPr>
        <w:instrText>n-dropping-particle":"","parse-names":false,"suffix":""},{"dropping-particle":"","family":"Zatulovskiy","given":"Evgeny","non-dropping-particle":"","parse-names":false,"suffix":""},{"dropping-particle":"","family":"Skotheim","given":"Jan M.","non-dropping-</w:instrText>
      </w:r>
      <w:r>
        <w:rPr>
          <w:rFonts w:ascii="Arial" w:eastAsia="Times New Roman" w:hAnsi="Arial" w:cs="Arial"/>
          <w:color w:val="000000" w:themeColor="text1"/>
          <w:lang w:val="en-US" w:eastAsia="de-DE"/>
        </w:rPr>
        <w:instrText>particle":"","parse-names":false,"suffix":""}],"container-title":"bioRxiv","id":"ITEM-2","issued":{"date-parts":[["2023","10","5"]]},"page":"2023.10.03.560768","publisher":"Cold Spring Harbor Laboratory","title":"The G1/S transition is promoted by Rb degra</w:instrText>
      </w:r>
      <w:r>
        <w:rPr>
          <w:rFonts w:ascii="Arial" w:eastAsia="Times New Roman" w:hAnsi="Arial" w:cs="Arial"/>
          <w:color w:val="000000" w:themeColor="text1"/>
          <w:lang w:val="en-US" w:eastAsia="de-DE"/>
        </w:rPr>
        <w:instrText>dation via the E3 ligase UBR5","type":"article-journal"},"uris":["http://www.mendeley.com/documents/?uuid=2368510e-b268-3b78-90f3-35966b2762c1"]}],"mendeley":{"formattedCitation":"&lt;sup&gt;55,57&lt;/sup&gt;","plainTextFormattedCitation":"55,57","previouslyFormattedC</w:instrText>
      </w:r>
      <w:r>
        <w:rPr>
          <w:rFonts w:ascii="Arial" w:eastAsia="Times New Roman" w:hAnsi="Arial" w:cs="Arial"/>
          <w:color w:val="000000" w:themeColor="text1"/>
          <w:lang w:val="en-US" w:eastAsia="de-DE"/>
        </w:rPr>
        <w:instrText>itation":"&lt;sup&gt;55,57&lt;/sup&gt;"},"properties":{"noteIndex":0},"schema":"https://github.com/citation-style-language/schema/raw/master/csl-citation.json"}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55,57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(Fig. 6e). Rb inhibits the G1/S transition by inhibiting E2F, the main G1/S transcription factor in</w:t>
      </w:r>
      <w:r>
        <w:rPr>
          <w:rFonts w:ascii="Arial" w:eastAsia="Times New Roman" w:hAnsi="Arial" w:cs="Arial"/>
          <w:color w:val="000000" w:themeColor="text1"/>
          <w:lang w:val="en-US" w:eastAsia="de-DE"/>
        </w:rPr>
        <w:t xml:space="preserve"> mammals. Rb serves as a </w:t>
      </w:r>
      <w:proofErr w:type="spellStart"/>
      <w:r>
        <w:rPr>
          <w:rFonts w:ascii="Arial" w:eastAsia="Times New Roman" w:hAnsi="Arial" w:cs="Arial"/>
          <w:color w:val="000000" w:themeColor="text1"/>
          <w:lang w:val="en-US" w:eastAsia="de-DE"/>
        </w:rPr>
        <w:t>subscaling</w:t>
      </w:r>
      <w:proofErr w:type="spellEnd"/>
      <w:r>
        <w:rPr>
          <w:rFonts w:ascii="Arial" w:eastAsia="Times New Roman" w:hAnsi="Arial" w:cs="Arial"/>
          <w:color w:val="000000" w:themeColor="text1"/>
          <w:lang w:val="en-US" w:eastAsia="de-DE"/>
        </w:rPr>
        <w:t xml:space="preserve"> reporter, and the decrease in its concentration during G1 is attributed to its degradation via the E3 ligase UBR5</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{"citationItems":[{"id":"ITEM-1","itemData":{"DOI":"10.1101/2023.10.03.560768","abstract</w:instrText>
      </w:r>
      <w:r>
        <w:rPr>
          <w:rFonts w:ascii="Arial" w:eastAsia="Times New Roman" w:hAnsi="Arial" w:cs="Arial"/>
          <w:color w:val="000000" w:themeColor="text1"/>
          <w:lang w:val="en-US" w:eastAsia="de-DE"/>
        </w:rPr>
        <w:instrText>":"Mammalian cells make the decision to divide at the G1/S transition in response to diverse signals impinging on the retinoblastoma protein Rb, a cell cycle inhibitor and tumor suppressor. Rb is inhibited by two parallel pathways. In the canonical pathway</w:instrText>
      </w:r>
      <w:r>
        <w:rPr>
          <w:rFonts w:ascii="Arial" w:eastAsia="Times New Roman" w:hAnsi="Arial" w:cs="Arial"/>
          <w:color w:val="000000" w:themeColor="text1"/>
          <w:lang w:val="en-US" w:eastAsia="de-DE"/>
        </w:rPr>
        <w:instrText>, cyclin D-Cdk4/6 kinase complexes phosphorylate and inactivate Rb. In the second, recently discovered pathway, Rb’s concentration decreases during G1 through an unknown mechanism. Here, we found that regulated protein degradation via the E3 ubiquitin liga</w:instrText>
      </w:r>
      <w:r>
        <w:rPr>
          <w:rFonts w:ascii="Arial" w:eastAsia="Times New Roman" w:hAnsi="Arial" w:cs="Arial"/>
          <w:color w:val="000000" w:themeColor="text1"/>
          <w:lang w:val="en-US" w:eastAsia="de-DE"/>
        </w:rPr>
        <w:instrText>se UBR5 is responsible for Rb’s concentration drop in G1. UBR5 knockout cells have increased Rb concentration in early G1, exhibited a lower G1/S transition rate, and are more sensitive to inhibition of Cdk4/6. This last observation suggests that UBR5 inhi</w:instrText>
      </w:r>
      <w:r>
        <w:rPr>
          <w:rFonts w:ascii="Arial" w:eastAsia="Times New Roman" w:hAnsi="Arial" w:cs="Arial"/>
          <w:color w:val="000000" w:themeColor="text1"/>
          <w:lang w:val="en-US" w:eastAsia="de-DE"/>
        </w:rPr>
        <w:instrText>bition can strengthen the efficacy of Cdk4/6 inhibitor-based cancer therapies.\n\nOne-Sentence Summary The E3 ligase UBR5 progressively reduces the concentration of the retinoblastoma protein Rb during G1 to drive proliferation.\n\n### Competing Interest S</w:instrText>
      </w:r>
      <w:r>
        <w:rPr>
          <w:rFonts w:ascii="Arial" w:eastAsia="Times New Roman" w:hAnsi="Arial" w:cs="Arial"/>
          <w:color w:val="000000" w:themeColor="text1"/>
          <w:lang w:val="en-US" w:eastAsia="de-DE"/>
        </w:rPr>
        <w:instrText>tatement\n\nThe authors have declared no competing interest.","author":[{"dropping-particle":"","family":"Zhang","given":"Shuyuan","non-dropping-particle":"","parse-names":false,"suffix":""},{"dropping-particle":"","family":"Valenzuela","given":"Lucas Fuen</w:instrText>
      </w:r>
      <w:r>
        <w:rPr>
          <w:rFonts w:ascii="Arial" w:eastAsia="Times New Roman" w:hAnsi="Arial" w:cs="Arial"/>
          <w:color w:val="000000" w:themeColor="text1"/>
          <w:lang w:val="en-US" w:eastAsia="de-DE"/>
        </w:rPr>
        <w:instrText>tes","non-dropping-particle":"","parse-names":false,"suffix":""},{"dropping-particle":"","family":"Zatulovskiy","given":"Evgeny","non-dropping-particle":"","parse-names":false,"suffix":""},{"dropping-particle":"","family":"Skotheim","given":"Jan M.","non-d</w:instrText>
      </w:r>
      <w:r>
        <w:rPr>
          <w:rFonts w:ascii="Arial" w:eastAsia="Times New Roman" w:hAnsi="Arial" w:cs="Arial"/>
          <w:color w:val="000000" w:themeColor="text1"/>
          <w:lang w:val="en-US" w:eastAsia="de-DE"/>
        </w:rPr>
        <w:instrText xml:space="preserve">ropping-particle":"","parse-names":false,"suffix":""}],"container-title":"bioRxiv","id":"ITEM-1","issued":{"date-parts":[["2023","10","5"]]},"page":"2023.10.03.560768","publisher":"Cold Spring Harbor Laboratory","title":"The G1/S transition is promoted by </w:instrText>
      </w:r>
      <w:r>
        <w:rPr>
          <w:rFonts w:ascii="Arial" w:eastAsia="Times New Roman" w:hAnsi="Arial" w:cs="Arial"/>
          <w:color w:val="000000" w:themeColor="text1"/>
          <w:lang w:val="en-US" w:eastAsia="de-DE"/>
        </w:rPr>
        <w:instrText>Rb degradation via the E3 ligase UBR5","type":"article-journal"},"uris":["http://www.mendeley.com/documents/?uuid=2368510e-b268-3b78-90f3-35966b2762c1"]}],"mendeley":{"formattedCitation":"&lt;sup&gt;57&lt;/sup&gt;","plainTextFormattedCitation":"57","previouslyFormatte</w:instrText>
      </w:r>
      <w:r>
        <w:rPr>
          <w:rFonts w:ascii="Arial" w:eastAsia="Times New Roman" w:hAnsi="Arial" w:cs="Arial"/>
          <w:color w:val="000000" w:themeColor="text1"/>
          <w:lang w:val="en-US" w:eastAsia="de-DE"/>
        </w:rPr>
        <w:instrText>dCitation":"&lt;sup&gt;57&lt;/sup&gt;"},"properties":{"noteIndex":0},"schema":"https://github.com/citation-style-language/schema/raw/master/csl-citation.json"}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57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Rb is phosphorylated by CyclinD-Cdk4/6, and at the commitment point, a positive feedback loop involvin</w:t>
      </w:r>
      <w:r>
        <w:rPr>
          <w:rFonts w:ascii="Arial" w:eastAsia="Times New Roman" w:hAnsi="Arial" w:cs="Arial"/>
          <w:color w:val="000000" w:themeColor="text1"/>
          <w:lang w:val="en-US" w:eastAsia="de-DE"/>
        </w:rPr>
        <w:t>g Cyclin E-Cdk2 leads to Rb hyperphosphorylation, enabling transition into S phase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{"citationItems":[{"id":"ITEM-1","itemData":{"DOI":"10.7554/ELIFE.02872","abstract":"The widely accepted model of G1 cell cycle progression proposes that c</w:instrText>
      </w:r>
      <w:r>
        <w:rPr>
          <w:rFonts w:ascii="Arial" w:eastAsia="Times New Roman" w:hAnsi="Arial" w:cs="Arial"/>
          <w:color w:val="000000" w:themeColor="text1"/>
          <w:lang w:val="en-US" w:eastAsia="de-DE"/>
        </w:rPr>
        <w:instrText>yclin D:Cdk4/6 inactivates the Rb tumor suppressor during early G1 phase by progressive multi-phosphorylation, termed hypo-phosphorylation, to release E2F transcription factors. However, this model remains unproven biochemically and the biologically active</w:instrText>
      </w:r>
      <w:r>
        <w:rPr>
          <w:rFonts w:ascii="Arial" w:eastAsia="Times New Roman" w:hAnsi="Arial" w:cs="Arial"/>
          <w:color w:val="000000" w:themeColor="text1"/>
          <w:lang w:val="en-US" w:eastAsia="de-DE"/>
        </w:rPr>
        <w:instrText xml:space="preserve"> form(s) of Rb remains unknown. In this study, we find that Rb is exclusively mono-phosphorylated in early G1 phase by cyclin D:Cdk4/6. Mono-phosphorylated Rb is composed of 14 independent isoforms that are all targeted by the E1a oncoprotein, but show pre</w:instrText>
      </w:r>
      <w:r>
        <w:rPr>
          <w:rFonts w:ascii="Arial" w:eastAsia="Times New Roman" w:hAnsi="Arial" w:cs="Arial"/>
          <w:color w:val="000000" w:themeColor="text1"/>
          <w:lang w:val="en-US" w:eastAsia="de-DE"/>
        </w:rPr>
        <w:instrText>ferential E2F binding patterns. At the late G1 Restriction Point, cyclin E:Cdk2 inactivates Rb by quantum hyper-phosphorylation. Cells undergoing a DNA damage response activate cyclin D:Cdk4/6 to generate mono-phosphorylated Rb that regulates global transc</w:instrText>
      </w:r>
      <w:r>
        <w:rPr>
          <w:rFonts w:ascii="Arial" w:eastAsia="Times New Roman" w:hAnsi="Arial" w:cs="Arial"/>
          <w:color w:val="000000" w:themeColor="text1"/>
          <w:lang w:val="en-US" w:eastAsia="de-DE"/>
        </w:rPr>
        <w:instrText>ription, whereas cells undergoing differentiation utilize un-phosphorylated Rb. These observations fundamentally change our understanding of G1 cell cycle progression and show that mono-phosphorylated Rb, generated by cyclin D:Cdk4/6, is the only Rb isofor</w:instrText>
      </w:r>
      <w:r>
        <w:rPr>
          <w:rFonts w:ascii="Arial" w:eastAsia="Times New Roman" w:hAnsi="Arial" w:cs="Arial"/>
          <w:color w:val="000000" w:themeColor="text1"/>
          <w:lang w:val="en-US" w:eastAsia="de-DE"/>
        </w:rPr>
        <w:instrText>m in early G1 phase.Cells go through a tightly controlled, multi-step procedure before they divide. This cell division program—the cell cycle—is necessary for preventing unrestrained cellular growth, which may lead to cancer. Proteins called cyclins contro</w:instrText>
      </w:r>
      <w:r>
        <w:rPr>
          <w:rFonts w:ascii="Arial" w:eastAsia="Times New Roman" w:hAnsi="Arial" w:cs="Arial"/>
          <w:color w:val="000000" w:themeColor="text1"/>
          <w:lang w:val="en-US" w:eastAsia="de-DE"/>
        </w:rPr>
        <w:instrText>l the progression through each of the phases of the cell cycle, with different cyclins working during different phases.During the G1 phase of the cell cycle, cells grow in size and produce the proteins that are required to copy DNA. Once a cell passes a ch</w:instrText>
      </w:r>
      <w:r>
        <w:rPr>
          <w:rFonts w:ascii="Arial" w:eastAsia="Times New Roman" w:hAnsi="Arial" w:cs="Arial"/>
          <w:color w:val="000000" w:themeColor="text1"/>
          <w:lang w:val="en-US" w:eastAsia="de-DE"/>
        </w:rPr>
        <w:instrText>eckpoint called the 'restriction point' at the end of the G1 phase, it is committed to dividing. It is therefore particularly important to keep events during G1 phase in check.The Retinoblastoma tumor suppresor protein (Rb) is a key player in regulating th</w:instrText>
      </w:r>
      <w:r>
        <w:rPr>
          <w:rFonts w:ascii="Arial" w:eastAsia="Times New Roman" w:hAnsi="Arial" w:cs="Arial"/>
          <w:color w:val="000000" w:themeColor="text1"/>
          <w:lang w:val="en-US" w:eastAsia="de-DE"/>
        </w:rPr>
        <w:instrText>e G1 phase. Rb sequesters transcription factors that are essential for the cell cycle to progress. Previously, it was thought that a complex called cyclin D added more and more phosphates to the Rb protein during the G1 phase. This process predicted a slow</w:instrText>
      </w:r>
      <w:r>
        <w:rPr>
          <w:rFonts w:ascii="Arial" w:eastAsia="Times New Roman" w:hAnsi="Arial" w:cs="Arial"/>
          <w:color w:val="000000" w:themeColor="text1"/>
          <w:lang w:val="en-US" w:eastAsia="de-DE"/>
        </w:rPr>
        <w:instrText xml:space="preserve"> release of transcription factors, which attach to DNA and start the process of DNA replication. While many studies have presented data that is consistent with this model, direct biochemical evidence of these events is lacking.Narasimha, Kaulich, Shapiro e</w:instrText>
      </w:r>
      <w:r>
        <w:rPr>
          <w:rFonts w:ascii="Arial" w:eastAsia="Times New Roman" w:hAnsi="Arial" w:cs="Arial"/>
          <w:color w:val="000000" w:themeColor="text1"/>
          <w:lang w:val="en-US" w:eastAsia="de-DE"/>
        </w:rPr>
        <w:instrText>t al. now present biochemical analyses of Rb proteins that show—completely unexpectedly—that the cyclin D complex adds just…","author":[{"dropping-particle":"","family":"Narasimha","given":"Anil M","non-dropping-particle":"","parse-names":false,"suffix":""</w:instrText>
      </w:r>
      <w:r>
        <w:rPr>
          <w:rFonts w:ascii="Arial" w:eastAsia="Times New Roman" w:hAnsi="Arial" w:cs="Arial"/>
          <w:color w:val="000000" w:themeColor="text1"/>
          <w:lang w:val="en-US" w:eastAsia="de-DE"/>
        </w:rPr>
        <w:instrText>},{"dropping-particle":"","family":"Kaulich","given":"Manuel","non-dropping-particle":"","parse-names":false,"suffix":""},{"dropping-particle":"","family":"Shapiro","given":"Gary S","non-dropping-particle":"","parse-names":false,"suffix":""},{"dropping-par</w:instrText>
      </w:r>
      <w:r>
        <w:rPr>
          <w:rFonts w:ascii="Arial" w:eastAsia="Times New Roman" w:hAnsi="Arial" w:cs="Arial"/>
          <w:color w:val="000000" w:themeColor="text1"/>
          <w:lang w:val="en-US" w:eastAsia="de-DE"/>
        </w:rPr>
        <w:instrText>ticle":"","family":"Choi","given":"Yoon J","non-dropping-particle":"","parse-names":false,"suffix":""},{"dropping-particle":"","family":"Sicinski","given":"Piotr","non-dropping-particle":"","parse-names":false,"suffix":""},{"dropping-particle":"","family":</w:instrText>
      </w:r>
      <w:r>
        <w:rPr>
          <w:rFonts w:ascii="Arial" w:eastAsia="Times New Roman" w:hAnsi="Arial" w:cs="Arial"/>
          <w:color w:val="000000" w:themeColor="text1"/>
          <w:lang w:val="en-US" w:eastAsia="de-DE"/>
        </w:rPr>
        <w:instrText>"Dowdy","given":"Steven F","non-dropping-particle":"","parse-names":false,"suffix":""}],"container-title":"eLife","id":"ITEM-1","issued":{"date-parts":[["2014","6","4"]]},"publisher":"eLife Sciences Publications, Ltd","title":"Cyclin D activates the Rb tum</w:instrText>
      </w:r>
      <w:r>
        <w:rPr>
          <w:rFonts w:ascii="Arial" w:eastAsia="Times New Roman" w:hAnsi="Arial" w:cs="Arial"/>
          <w:color w:val="000000" w:themeColor="text1"/>
          <w:lang w:val="en-US" w:eastAsia="de-DE"/>
        </w:rPr>
        <w:instrText>or suppressor by mono-phosphorylation","type":"article-journal","volume":"3"},"uris":["http://www.mendeley.com/documents/?uuid=4c5f7770-1bf1-31ab-b139-8ebfc62927c9"]},{"id":"ITEM-2","itemData":{"DOI":"10.1101/470013","abstract":"Cell size is fundamental to</w:instrText>
      </w:r>
      <w:r>
        <w:rPr>
          <w:rFonts w:ascii="Arial" w:eastAsia="Times New Roman" w:hAnsi="Arial" w:cs="Arial"/>
          <w:color w:val="000000" w:themeColor="text1"/>
          <w:lang w:val="en-US" w:eastAsia="de-DE"/>
        </w:rPr>
        <w:instrText xml:space="preserve"> function in different cell types across the human body because it sets the scale of organelle structures, biosynthesis, and surface transport1,2. Tiny erythrocytes squeeze through capillaries to transport oxygen, while the million-fold larger oocyte divid</w:instrText>
      </w:r>
      <w:r>
        <w:rPr>
          <w:rFonts w:ascii="Arial" w:eastAsia="Times New Roman" w:hAnsi="Arial" w:cs="Arial"/>
          <w:color w:val="000000" w:themeColor="text1"/>
          <w:lang w:val="en-US" w:eastAsia="de-DE"/>
        </w:rPr>
        <w:instrText>es without growth to form the ~100 cell pre-implantation embryo. Despite the vast size range across cell types, cells of a given type are typically uniform in size likely because cells are able to accurately couple cell growth to division3–6. While some ge</w:instrText>
      </w:r>
      <w:r>
        <w:rPr>
          <w:rFonts w:ascii="Arial" w:eastAsia="Times New Roman" w:hAnsi="Arial" w:cs="Arial"/>
          <w:color w:val="000000" w:themeColor="text1"/>
          <w:lang w:val="en-US" w:eastAsia="de-DE"/>
        </w:rPr>
        <w:instrText xml:space="preserve">nes whose disruption in mammalian cells affects cell size have been identified, the molecular mechanisms through which cell growth drives cell division have remained elusive7–12. Here, we show that cell growth acts to dilute the cell cycle inhibitor Rb to </w:instrText>
      </w:r>
      <w:r>
        <w:rPr>
          <w:rFonts w:ascii="Arial" w:eastAsia="Times New Roman" w:hAnsi="Arial" w:cs="Arial"/>
          <w:color w:val="000000" w:themeColor="text1"/>
          <w:lang w:val="en-US" w:eastAsia="de-DE"/>
        </w:rPr>
        <w:instrText>drive cell cycle progression from G1 to S phase in human cells. In contrast, other G1/S regulators remained at nearly constant concentration. Rb is a stable protein that is synthesized during S and G2 phases in an amount that is independent of cell size. E</w:instrText>
      </w:r>
      <w:r>
        <w:rPr>
          <w:rFonts w:ascii="Arial" w:eastAsia="Times New Roman" w:hAnsi="Arial" w:cs="Arial"/>
          <w:color w:val="000000" w:themeColor="text1"/>
          <w:lang w:val="en-US" w:eastAsia="de-DE"/>
        </w:rPr>
        <w:instrText>qual partitioning to daughter cells of chromatin bound Rb then ensures that all cells at birth inherit a similar amount of Rb protein. RB overexpression increased cell size in tissue culture and a mouse cancer model, while RB deletion decreased cell size a</w:instrText>
      </w:r>
      <w:r>
        <w:rPr>
          <w:rFonts w:ascii="Arial" w:eastAsia="Times New Roman" w:hAnsi="Arial" w:cs="Arial"/>
          <w:color w:val="000000" w:themeColor="text1"/>
          <w:lang w:val="en-US" w:eastAsia="de-DE"/>
        </w:rPr>
        <w:instrText>nd removed the inverse correlation between cell size at birth and the duration of G1 phase. Thus, Rb-dilution by cell growth in G1 provides a long-sought cell autonomous molecular mechanism for cell size homeostasis.","author":[{"dropping-particle":"","fam</w:instrText>
      </w:r>
      <w:r>
        <w:rPr>
          <w:rFonts w:ascii="Arial" w:eastAsia="Times New Roman" w:hAnsi="Arial" w:cs="Arial"/>
          <w:color w:val="000000" w:themeColor="text1"/>
          <w:lang w:val="en-US" w:eastAsia="de-DE"/>
        </w:rPr>
        <w:instrText>ily":"Zatulovskiy","given":"Evgeny","non-dropping-particle":"","parse-names":false,"suffix":""},{"dropping-particle":"","family":"Zhang","given":"Shuyuan","non-dropping-particle":"","parse-names":false,"suffix":""},{"dropping-particle":"","family":"Berenso</w:instrText>
      </w:r>
      <w:r>
        <w:rPr>
          <w:rFonts w:ascii="Arial" w:eastAsia="Times New Roman" w:hAnsi="Arial" w:cs="Arial"/>
          <w:color w:val="000000" w:themeColor="text1"/>
          <w:lang w:val="en-US" w:eastAsia="de-DE"/>
        </w:rPr>
        <w:instrText>n","given":"Daniel F.","non-dropping-particle":"","parse-names":false,"suffix":""},{"dropping-particle":"","family":"Topacio","given":"Benjamin R.","non-dropping-particle":"","parse-names":false,"suffix":""},{"dropping-particle":"","family":"Skotheim","giv</w:instrText>
      </w:r>
      <w:r>
        <w:rPr>
          <w:rFonts w:ascii="Arial" w:eastAsia="Times New Roman" w:hAnsi="Arial" w:cs="Arial"/>
          <w:color w:val="000000" w:themeColor="text1"/>
          <w:lang w:val="en-US" w:eastAsia="de-DE"/>
        </w:rPr>
        <w:instrText xml:space="preserve">en":"Jan M.","non-dropping-particle":"","parse-names":false,"suffix":""}],"container-title":"Science","id":"ITEM-2","issue":"July","issued":{"date-parts":[["2020"]]},"page":"466-471","title":"Cell growth dilutes the cell cycle inhibitor Rb to trigger cell </w:instrText>
      </w:r>
      <w:r>
        <w:rPr>
          <w:rFonts w:ascii="Arial" w:eastAsia="Times New Roman" w:hAnsi="Arial" w:cs="Arial"/>
          <w:color w:val="000000" w:themeColor="text1"/>
          <w:lang w:val="en-US" w:eastAsia="de-DE"/>
        </w:rPr>
        <w:instrText>division","type":"article-journal","volume":"369"},"uris":["http://www.mendeley.com/documents/?uuid=fd17804b-2f06-401a-b1a1-621c816cbabe"]},{"id":"ITEM-3","itemData":{"DOI":"10.1101/2023.10.03.560768","abstract":"Mammalian cells make the decision to divide</w:instrText>
      </w:r>
      <w:r>
        <w:rPr>
          <w:rFonts w:ascii="Arial" w:eastAsia="Times New Roman" w:hAnsi="Arial" w:cs="Arial"/>
          <w:color w:val="000000" w:themeColor="text1"/>
          <w:lang w:val="en-US" w:eastAsia="de-DE"/>
        </w:rPr>
        <w:instrText xml:space="preserve"> at the G1/S transition in response to diverse signals impinging on the retinoblastoma protein Rb, a cell cycle inhibitor and tumor suppressor. Rb is inhibited by two parallel pathways. In the canonical pathway, cyclin D-Cdk4/6 kinase complexes phosphoryla</w:instrText>
      </w:r>
      <w:r>
        <w:rPr>
          <w:rFonts w:ascii="Arial" w:eastAsia="Times New Roman" w:hAnsi="Arial" w:cs="Arial"/>
          <w:color w:val="000000" w:themeColor="text1"/>
          <w:lang w:val="en-US" w:eastAsia="de-DE"/>
        </w:rPr>
        <w:instrText xml:space="preserve">te and inactivate Rb. In the second, recently discovered pathway, Rb’s concentration decreases during G1 through an unknown mechanism. Here, we found that regulated protein degradation via the E3 ubiquitin ligase UBR5 is responsible for Rb’s concentration </w:instrText>
      </w:r>
      <w:r>
        <w:rPr>
          <w:rFonts w:ascii="Arial" w:eastAsia="Times New Roman" w:hAnsi="Arial" w:cs="Arial"/>
          <w:color w:val="000000" w:themeColor="text1"/>
          <w:lang w:val="en-US" w:eastAsia="de-DE"/>
        </w:rPr>
        <w:instrText>drop in G1. UBR5 knockout cells have increased Rb concentration in early G1, exhibited a lower G1/S transition rate, and are more sensitive to inhibition of Cdk4/6. This last observation suggests that UBR5 inhibition can strengthen the efficacy of Cdk4/6 i</w:instrText>
      </w:r>
      <w:r>
        <w:rPr>
          <w:rFonts w:ascii="Arial" w:eastAsia="Times New Roman" w:hAnsi="Arial" w:cs="Arial"/>
          <w:color w:val="000000" w:themeColor="text1"/>
          <w:lang w:val="en-US" w:eastAsia="de-DE"/>
        </w:rPr>
        <w:instrText>nhibitor-based cancer therapies.\n\nOne-Sentence Summary The E3 ligase UBR5 progressively reduces the concentration of the retinoblastoma protein Rb during G1 to drive proliferation.\n\n### Competing Interest Statement\n\nThe authors have declared no compe</w:instrText>
      </w:r>
      <w:r>
        <w:rPr>
          <w:rFonts w:ascii="Arial" w:eastAsia="Times New Roman" w:hAnsi="Arial" w:cs="Arial"/>
          <w:color w:val="000000" w:themeColor="text1"/>
          <w:lang w:val="en-US" w:eastAsia="de-DE"/>
        </w:rPr>
        <w:instrText>ting interest.","author":[{"dropping-particle":"","family":"Zhang","given":"Shuyuan","non-dropping-particle":"","parse-names":false,"suffix":""},{"dropping-particle":"","family":"Valenzuela","given":"Lucas Fuentes","non-dropping-particle":"","parse-names":</w:instrText>
      </w:r>
      <w:r>
        <w:rPr>
          <w:rFonts w:ascii="Arial" w:eastAsia="Times New Roman" w:hAnsi="Arial" w:cs="Arial"/>
          <w:color w:val="000000" w:themeColor="text1"/>
          <w:lang w:val="en-US" w:eastAsia="de-DE"/>
        </w:rPr>
        <w:instrText>false,"suffix":""},{"dropping-particle":"","family":"Zatulovskiy","given":"Evgeny","non-dropping-particle":"","parse-names":false,"suffix":""},{"dropping-particle":"","family":"Skotheim","given":"Jan M.","non-dropping-particle":"","parse-names":false,"suff</w:instrText>
      </w:r>
      <w:r>
        <w:rPr>
          <w:rFonts w:ascii="Arial" w:eastAsia="Times New Roman" w:hAnsi="Arial" w:cs="Arial"/>
          <w:color w:val="000000" w:themeColor="text1"/>
          <w:lang w:val="en-US" w:eastAsia="de-DE"/>
        </w:rPr>
        <w:instrText>ix":""}],"container-title":"bioRxiv","id":"ITEM-3","issued":{"date-parts":[["2023","10","5"]]},"page":"2023.10.03.560768","publisher":"Cold Spring Harbor Laboratory","title":"The G1/S transition is promoted by Rb degradation via the E3 ligase UBR5","type":</w:instrText>
      </w:r>
      <w:r>
        <w:rPr>
          <w:rFonts w:ascii="Arial" w:eastAsia="Times New Roman" w:hAnsi="Arial" w:cs="Arial"/>
          <w:color w:val="000000" w:themeColor="text1"/>
          <w:lang w:val="en-US" w:eastAsia="de-DE"/>
        </w:rPr>
        <w:instrText>"article-journal"},"uris":["http://www.mendeley.com/documents/?uuid=2368510e-b268-3b78-90f3-35966b2762c1"]}],"mendeley":{"formattedCitation":"&lt;sup&gt;55,57,266&lt;/sup&gt;","plainTextFormattedCitation":"55,57,266","previouslyFormattedCitation":"&lt;sup&gt;55,57,266&lt;/sup&gt;</w:instrText>
      </w:r>
      <w:r>
        <w:rPr>
          <w:rFonts w:ascii="Arial" w:eastAsia="Times New Roman" w:hAnsi="Arial" w:cs="Arial"/>
          <w:color w:val="000000" w:themeColor="text1"/>
          <w:lang w:val="en-US" w:eastAsia="de-DE"/>
        </w:rPr>
        <w:instrTex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55,57,266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w:t>
      </w:r>
    </w:p>
    <w:p w14:paraId="23BF97C9" w14:textId="77777777" w:rsidR="00066D11" w:rsidRDefault="00E55468">
      <w:pPr>
        <w:spacing w:before="240" w:after="240" w:line="240" w:lineRule="auto"/>
        <w:jc w:val="both"/>
        <w:rPr>
          <w:rFonts w:ascii="Arial" w:eastAsia="Times New Roman" w:hAnsi="Arial" w:cs="Arial"/>
          <w:color w:val="000000" w:themeColor="text1"/>
          <w:lang w:val="en-US" w:eastAsia="de-DE"/>
        </w:rPr>
      </w:pPr>
      <w:r>
        <w:rPr>
          <w:rFonts w:ascii="Arial" w:eastAsia="Times New Roman" w:hAnsi="Arial" w:cs="Arial"/>
          <w:color w:val="000000" w:themeColor="text1"/>
          <w:lang w:val="en-US" w:eastAsia="de-DE"/>
        </w:rPr>
        <w:t>Moreover, recent work in animal cells has shown that size homeostasis employs not only size-dependent modulation of cel</w:t>
      </w:r>
      <w:r>
        <w:rPr>
          <w:rFonts w:ascii="Arial" w:eastAsia="Times New Roman" w:hAnsi="Arial" w:cs="Arial"/>
          <w:color w:val="000000" w:themeColor="text1"/>
          <w:lang w:val="en-US" w:eastAsia="de-DE"/>
        </w:rPr>
        <w:t>l cycle phase durations, but also size-dependent modulation of growth rate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{"citationItems":[{"id":"ITEM-1","itemData":{"DOI":"10.1038/s41467-018-05393-0","ISSN":"2041-1723","abstract":"Despite decades of research, how mammalian cell size</w:instrText>
      </w:r>
      <w:r>
        <w:rPr>
          <w:rFonts w:ascii="Arial" w:eastAsia="Times New Roman" w:hAnsi="Arial" w:cs="Arial"/>
          <w:color w:val="000000" w:themeColor="text1"/>
          <w:lang w:val="en-US" w:eastAsia="de-DE"/>
        </w:rPr>
        <w:instrText xml:space="preserve"> is controlled remains unclear because of the difficulty of directly measuring growth at the single-cell level. Here we report direct measurements of single-cell volumes over entire cell cycles on various mammalian cell lines and primary human cells. We fi</w:instrText>
      </w:r>
      <w:r>
        <w:rPr>
          <w:rFonts w:ascii="Arial" w:eastAsia="Times New Roman" w:hAnsi="Arial" w:cs="Arial"/>
          <w:color w:val="000000" w:themeColor="text1"/>
          <w:lang w:val="en-US" w:eastAsia="de-DE"/>
        </w:rPr>
        <w:instrText>nd that, in a majority of cell types, the volume added across the cell cycle shows little or no correlation to cell birth size, a homeostatic behavior called “adder”. This behavior involves modulation of G1 or S-G2 duration and modulation of growth rate. T</w:instrText>
      </w:r>
      <w:r>
        <w:rPr>
          <w:rFonts w:ascii="Arial" w:eastAsia="Times New Roman" w:hAnsi="Arial" w:cs="Arial"/>
          <w:color w:val="000000" w:themeColor="text1"/>
          <w:lang w:val="en-US" w:eastAsia="de-DE"/>
        </w:rPr>
        <w:instrText>he precise combination of these mechanisms depends on the cell type and the growth condition. We have developed a mathematical framework to compare size homeostasis in datasets ranging from bacteria to mammalian cells. This reveals that a near-adder behavi</w:instrText>
      </w:r>
      <w:r>
        <w:rPr>
          <w:rFonts w:ascii="Arial" w:eastAsia="Times New Roman" w:hAnsi="Arial" w:cs="Arial"/>
          <w:color w:val="000000" w:themeColor="text1"/>
          <w:lang w:val="en-US" w:eastAsia="de-DE"/>
        </w:rPr>
        <w:instrText>or is the most common type of size control and highlights the importance of growth rate modulation to size control in mammalian cells.","author":[{"dropping-particle":"","family":"Cadart","given":"Clotilde","non-dropping-particle":"","parse-names":false,"s</w:instrText>
      </w:r>
      <w:r>
        <w:rPr>
          <w:rFonts w:ascii="Arial" w:eastAsia="Times New Roman" w:hAnsi="Arial" w:cs="Arial"/>
          <w:color w:val="000000" w:themeColor="text1"/>
          <w:lang w:val="en-US" w:eastAsia="de-DE"/>
        </w:rPr>
        <w:instrText>uffix":""},{"dropping-particle":"","family":"Monnier","given":"Sylvain","non-dropping-particle":"","parse-names":false,"suffix":""},{"dropping-particle":"","family":"Grilli","given":"Jacopo","non-dropping-particle":"","parse-names":false,"suffix":""},{"dro</w:instrText>
      </w:r>
      <w:r>
        <w:rPr>
          <w:rFonts w:ascii="Arial" w:eastAsia="Times New Roman" w:hAnsi="Arial" w:cs="Arial"/>
          <w:color w:val="000000" w:themeColor="text1"/>
          <w:lang w:val="en-US" w:eastAsia="de-DE"/>
        </w:rPr>
        <w:instrText>pping-particle":"","family":"Sáez","given":"Pablo J.","non-dropping-particle":"","parse-names":false,"suffix":""},{"dropping-particle":"","family":"Srivastava","given":"Nishit","non-dropping-particle":"","parse-names":false,"suffix":""},{"dropping-particle</w:instrText>
      </w:r>
      <w:r>
        <w:rPr>
          <w:rFonts w:ascii="Arial" w:eastAsia="Times New Roman" w:hAnsi="Arial" w:cs="Arial"/>
          <w:color w:val="000000" w:themeColor="text1"/>
          <w:lang w:val="en-US" w:eastAsia="de-DE"/>
        </w:rPr>
        <w:instrText>":"","family":"Attia","given":"Rafaele","non-dropping-particle":"","parse-names":false,"suffix":""},{"dropping-particle":"","family":"Terriac","given":"Emmanuel","non-dropping-particle":"","parse-names":false,"suffix":""},{"dropping-particle":"","family":"</w:instrText>
      </w:r>
      <w:r>
        <w:rPr>
          <w:rFonts w:ascii="Arial" w:eastAsia="Times New Roman" w:hAnsi="Arial" w:cs="Arial"/>
          <w:color w:val="000000" w:themeColor="text1"/>
          <w:lang w:val="en-US" w:eastAsia="de-DE"/>
        </w:rPr>
        <w:instrText>Baum","given":"Buzz","non-dropping-particle":"","parse-names":false,"suffix":""},{"dropping-particle":"","family":"Cosentino-Lagomarsino","given":"Marco","non-dropping-particle":"","parse-names":false,"suffix":""},{"dropping-particle":"","family":"Piel","g</w:instrText>
      </w:r>
      <w:r>
        <w:rPr>
          <w:rFonts w:ascii="Arial" w:eastAsia="Times New Roman" w:hAnsi="Arial" w:cs="Arial"/>
          <w:color w:val="000000" w:themeColor="text1"/>
          <w:lang w:val="en-US" w:eastAsia="de-DE"/>
        </w:rPr>
        <w:instrText>iven":"Matthieu","non-dropping-particle":"","parse-names":false,"suffix":""}],"container-title":"Nature Communications","id":"ITEM-1","issue":"1","issued":{"date-parts":[["2018","12","16"]]},"page":"3275","publisher":"Nature Publishing Group","title":"Size</w:instrText>
      </w:r>
      <w:r>
        <w:rPr>
          <w:rFonts w:ascii="Arial" w:eastAsia="Times New Roman" w:hAnsi="Arial" w:cs="Arial"/>
          <w:color w:val="000000" w:themeColor="text1"/>
          <w:lang w:val="en-US" w:eastAsia="de-DE"/>
        </w:rPr>
        <w:instrText xml:space="preserve"> control in mammalian cells involves modulation of both growth rate and cell cycle duration","type":"article-journal","volume":"9"},"uris":["http://www.mendeley.com/documents/?uuid=728e7d87-1026-3f9b-b588-fff8b5bafe30"]},{"id":"ITEM-2","itemData":{"DOI":"1</w:instrText>
      </w:r>
      <w:r>
        <w:rPr>
          <w:rFonts w:ascii="Arial" w:eastAsia="Times New Roman" w:hAnsi="Arial" w:cs="Arial"/>
          <w:color w:val="000000" w:themeColor="text1"/>
          <w:lang w:val="en-US" w:eastAsia="de-DE"/>
        </w:rPr>
        <w:instrText>0.7554/ELIFE.26957","ISSN":"2050084X","PMID":"29889021","abstract":"Cell size uniformity in healthy tissues suggests that control mechanisms might coordinate cell growth and division. We derived a method to assay whether cellular growth rates depend on cel</w:instrText>
      </w:r>
      <w:r>
        <w:rPr>
          <w:rFonts w:ascii="Arial" w:eastAsia="Times New Roman" w:hAnsi="Arial" w:cs="Arial"/>
          <w:color w:val="000000" w:themeColor="text1"/>
          <w:lang w:val="en-US" w:eastAsia="de-DE"/>
        </w:rPr>
        <w:instrText>l size, by monitoring how variance in size changes as cells grow. Our data revealed that, twice during the cell cycle, growth rates are selectively increased in small cells and reduced in large cells, ensuring cell size uniformity. This regulation was also</w:instrText>
      </w:r>
      <w:r>
        <w:rPr>
          <w:rFonts w:ascii="Arial" w:eastAsia="Times New Roman" w:hAnsi="Arial" w:cs="Arial"/>
          <w:color w:val="000000" w:themeColor="text1"/>
          <w:lang w:val="en-US" w:eastAsia="de-DE"/>
        </w:rPr>
        <w:instrText xml:space="preserve"> observed directly by monitoring nuclear growth in live cells. We also detected cell-size-dependent adjustments of G1 length, which further reduce variability. Combining our assays with chemical/genetic perturbations confirmed that cells employ two strateg</w:instrText>
      </w:r>
      <w:r>
        <w:rPr>
          <w:rFonts w:ascii="Arial" w:eastAsia="Times New Roman" w:hAnsi="Arial" w:cs="Arial"/>
          <w:color w:val="000000" w:themeColor="text1"/>
          <w:lang w:val="en-US" w:eastAsia="de-DE"/>
        </w:rPr>
        <w:instrText>ies, adjusting both cell cycle length and growth rate, to maintain the appropriate size. Additionally, although Rb signaling is not required for these regulatory behaviors, perturbing Cdk4 activity still influences cell size, suggesting that the Cdk4 pathw</w:instrText>
      </w:r>
      <w:r>
        <w:rPr>
          <w:rFonts w:ascii="Arial" w:eastAsia="Times New Roman" w:hAnsi="Arial" w:cs="Arial"/>
          <w:color w:val="000000" w:themeColor="text1"/>
          <w:lang w:val="en-US" w:eastAsia="de-DE"/>
        </w:rPr>
        <w:instrText>ay may play a role in designating the cell’s target size.","author":[{"dropping-particle":"","family":"Ginzberg","given":"Miriam Bracha","non-dropping-particle":"","parse-names":false,"suffix":""},{"dropping-particle":"","family":"Chang","given":"Nancy","n</w:instrText>
      </w:r>
      <w:r>
        <w:rPr>
          <w:rFonts w:ascii="Arial" w:eastAsia="Times New Roman" w:hAnsi="Arial" w:cs="Arial"/>
          <w:color w:val="000000" w:themeColor="text1"/>
          <w:lang w:val="en-US" w:eastAsia="de-DE"/>
        </w:rPr>
        <w:instrText>on-dropping-particle":"","parse-names":false,"suffix":""},{"dropping-particle":"","family":"D’souza","given":"Heather","non-dropping-particle":"","parse-names":false,"suffix":""},{"dropping-particle":"","family":"Patel","given":"Nish","non-dropping-particl</w:instrText>
      </w:r>
      <w:r>
        <w:rPr>
          <w:rFonts w:ascii="Arial" w:eastAsia="Times New Roman" w:hAnsi="Arial" w:cs="Arial"/>
          <w:color w:val="000000" w:themeColor="text1"/>
          <w:lang w:val="en-US" w:eastAsia="de-DE"/>
        </w:rPr>
        <w:instrText>e":"","parse-names":false,"suffix":""},{"dropping-particle":"","family":"Kafri","given":"Ran","non-dropping-particle":"","parse-names":false,"suffix":""},{"dropping-particle":"","family":"Kirschner","given":"Marc W.","non-dropping-particle":"","parse-names</w:instrText>
      </w:r>
      <w:r>
        <w:rPr>
          <w:rFonts w:ascii="Arial" w:eastAsia="Times New Roman" w:hAnsi="Arial" w:cs="Arial"/>
          <w:color w:val="000000" w:themeColor="text1"/>
          <w:lang w:val="en-US" w:eastAsia="de-DE"/>
        </w:rPr>
        <w:instrText xml:space="preserve">":false,"suffix":""}],"container-title":"eLife","id":"ITEM-2","issued":{"date-parts":[["2018","6","11"]]},"publisher":"eLife Sciences Publications Ltd","title":"Cell size sensing in animal cells coordinates anabolic growth rates and cell cycle progression </w:instrText>
      </w:r>
      <w:r>
        <w:rPr>
          <w:rFonts w:ascii="Arial" w:eastAsia="Times New Roman" w:hAnsi="Arial" w:cs="Arial"/>
          <w:color w:val="000000" w:themeColor="text1"/>
          <w:lang w:val="en-US" w:eastAsia="de-DE"/>
        </w:rPr>
        <w:instrText>to maintain cell size uniformity","type":"article-journal","volume":"7"},"uris":["http://www.mendeley.com/documents/?uuid=b4771e41-0813-3842-891c-4c4d88eed7ec"]}],"mendeley":{"formattedCitation":"&lt;sup&gt;253,265&lt;/sup&gt;","plainTextFormattedCitation":"253,265","</w:instrText>
      </w:r>
      <w:r>
        <w:rPr>
          <w:rFonts w:ascii="Arial" w:eastAsia="Times New Roman" w:hAnsi="Arial" w:cs="Arial"/>
          <w:color w:val="000000" w:themeColor="text1"/>
          <w:lang w:val="en-US" w:eastAsia="de-DE"/>
        </w:rPr>
        <w:instrText>previouslyFormattedCitation":"&lt;sup&gt;253,265&lt;/sup&gt;"},"properties":{"noteIndex":0},"schema":"https://github.com/citation-style-language/schema/raw/master/csl-citation.json"}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253,265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Specifically, </w:t>
      </w:r>
      <w:proofErr w:type="spellStart"/>
      <w:r>
        <w:rPr>
          <w:rFonts w:ascii="Arial" w:eastAsia="Times New Roman" w:hAnsi="Arial" w:cs="Arial"/>
          <w:color w:val="000000" w:themeColor="text1"/>
          <w:lang w:val="en-US" w:eastAsia="de-DE"/>
        </w:rPr>
        <w:t>Cadart</w:t>
      </w:r>
      <w:proofErr w:type="spellEnd"/>
      <w:r>
        <w:rPr>
          <w:rFonts w:ascii="Arial" w:eastAsia="Times New Roman" w:hAnsi="Arial" w:cs="Arial"/>
          <w:color w:val="000000" w:themeColor="text1"/>
          <w:lang w:val="en-US" w:eastAsia="de-DE"/>
        </w:rPr>
        <w:t xml:space="preserve"> et al.</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w:instrText>
      </w:r>
      <w:r>
        <w:rPr>
          <w:rFonts w:ascii="Arial" w:eastAsia="Times New Roman" w:hAnsi="Arial" w:cs="Arial"/>
          <w:color w:val="000000" w:themeColor="text1"/>
          <w:lang w:val="en-US" w:eastAsia="de-DE"/>
        </w:rPr>
        <w:instrText>M-1","itemData":{"DOI":"10.1038/s41467-018-05393-0","ISSN":"2041-1723","abstract":"Despite decades of research, how mammalian cell size is controlled remains unclear because of the difficulty of directly measuring growth at the single-cell level. Here we r</w:instrText>
      </w:r>
      <w:r>
        <w:rPr>
          <w:rFonts w:ascii="Arial" w:eastAsia="Times New Roman" w:hAnsi="Arial" w:cs="Arial"/>
          <w:color w:val="000000" w:themeColor="text1"/>
          <w:lang w:val="en-US" w:eastAsia="de-DE"/>
        </w:rPr>
        <w:instrText>eport direct measurements of single-cell volumes over entire cell cycles on various mammalian cell lines and primary human cells. We find that, in a majority of cell types, the volume added across the cell cycle shows little or no correlation to cell birth</w:instrText>
      </w:r>
      <w:r>
        <w:rPr>
          <w:rFonts w:ascii="Arial" w:eastAsia="Times New Roman" w:hAnsi="Arial" w:cs="Arial"/>
          <w:color w:val="000000" w:themeColor="text1"/>
          <w:lang w:val="en-US" w:eastAsia="de-DE"/>
        </w:rPr>
        <w:instrText xml:space="preserve"> size, a homeostatic behavior called “adder”. This behavior involves modulation of G1 or S-G2 duration and modulation of growth rate. The precise combination of these mechanisms depends on the cell type and the growth condition. We have developed a mathema</w:instrText>
      </w:r>
      <w:r>
        <w:rPr>
          <w:rFonts w:ascii="Arial" w:eastAsia="Times New Roman" w:hAnsi="Arial" w:cs="Arial"/>
          <w:color w:val="000000" w:themeColor="text1"/>
          <w:lang w:val="en-US" w:eastAsia="de-DE"/>
        </w:rPr>
        <w:instrText>tical framework to compare size homeostasis in datasets ranging from bacteria to mammalian cells. This reveals that a near-adder behavior is the most common type of size control and highlights the importance of growth rate modulation to size control in mam</w:instrText>
      </w:r>
      <w:r>
        <w:rPr>
          <w:rFonts w:ascii="Arial" w:eastAsia="Times New Roman" w:hAnsi="Arial" w:cs="Arial"/>
          <w:color w:val="000000" w:themeColor="text1"/>
          <w:lang w:val="en-US" w:eastAsia="de-DE"/>
        </w:rPr>
        <w:instrText>malian cells.","author":[{"dropping-particle":"","family":"Cadart","given":"Clotilde","non-dropping-particle":"","parse-names":false,"suffix":""},{"dropping-particle":"","family":"Monnier","given":"Sylvain","non-dropping-particle":"","parse-names":false,"s</w:instrText>
      </w:r>
      <w:r>
        <w:rPr>
          <w:rFonts w:ascii="Arial" w:eastAsia="Times New Roman" w:hAnsi="Arial" w:cs="Arial"/>
          <w:color w:val="000000" w:themeColor="text1"/>
          <w:lang w:val="en-US" w:eastAsia="de-DE"/>
        </w:rPr>
        <w:instrText>uffix":""},{"dropping-particle":"","family":"Grilli","given":"Jacopo","non-dropping-particle":"","parse-names":false,"suffix":""},{"dropping-particle":"","family":"Sáez","given":"Pablo J.","non-dropping-particle":"","parse-names":false,"suffix":""},{"dropp</w:instrText>
      </w:r>
      <w:r>
        <w:rPr>
          <w:rFonts w:ascii="Arial" w:eastAsia="Times New Roman" w:hAnsi="Arial" w:cs="Arial"/>
          <w:color w:val="000000" w:themeColor="text1"/>
          <w:lang w:val="en-US" w:eastAsia="de-DE"/>
        </w:rPr>
        <w:instrText>ing-particle":"","family":"Srivastava","given":"Nishit","non-dropping-particle":"","parse-names":false,"suffix":""},{"dropping-particle":"","family":"Attia","given":"Rafaele","non-dropping-particle":"","parse-names":false,"suffix":""},{"dropping-particle":</w:instrText>
      </w:r>
      <w:r>
        <w:rPr>
          <w:rFonts w:ascii="Arial" w:eastAsia="Times New Roman" w:hAnsi="Arial" w:cs="Arial"/>
          <w:color w:val="000000" w:themeColor="text1"/>
          <w:lang w:val="en-US" w:eastAsia="de-DE"/>
        </w:rPr>
        <w:instrText>"","family":"Terriac","given":"Emmanuel","non-dropping-particle":"","parse-names":false,"suffix":""},{"dropping-particle":"","family":"Baum","given":"Buzz","non-dropping-particle":"","parse-names":false,"suffix":""},{"dropping-particle":"","family":"Cosent</w:instrText>
      </w:r>
      <w:r>
        <w:rPr>
          <w:rFonts w:ascii="Arial" w:eastAsia="Times New Roman" w:hAnsi="Arial" w:cs="Arial"/>
          <w:color w:val="000000" w:themeColor="text1"/>
          <w:lang w:val="en-US" w:eastAsia="de-DE"/>
        </w:rPr>
        <w:instrText>ino-Lagomarsino","given":"Marco","non-dropping-particle":"","parse-names":false,"suffix":""},{"dropping-particle":"","family":"Piel","given":"Matthieu","non-dropping-particle":"","parse-names":false,"suffix":""}],"container-title":"Nature Communications","</w:instrText>
      </w:r>
      <w:r>
        <w:rPr>
          <w:rFonts w:ascii="Arial" w:eastAsia="Times New Roman" w:hAnsi="Arial" w:cs="Arial"/>
          <w:color w:val="000000" w:themeColor="text1"/>
          <w:lang w:val="en-US" w:eastAsia="de-DE"/>
        </w:rPr>
        <w:instrText>id":"ITEM-1","issue":"1","issued":{"date-parts":[["2018","12","16"]]},"page":"3275","publisher":"Nature Publishing Group","title":"Size control in mammalian cells involves modulation of both growth rate and cell cycle duration","type":"article-journal","vo</w:instrText>
      </w:r>
      <w:r>
        <w:rPr>
          <w:rFonts w:ascii="Arial" w:eastAsia="Times New Roman" w:hAnsi="Arial" w:cs="Arial"/>
          <w:color w:val="000000" w:themeColor="text1"/>
          <w:lang w:val="en-US" w:eastAsia="de-DE"/>
        </w:rPr>
        <w:instrText>lume":"9"},"uris":["http://www.mendeley.com/documents/?uuid=728e7d87-1026-3f9b-b588-fff8b5bafe30"]}],"mendeley":{"formattedCitation":"&lt;sup&gt;253&lt;/sup&gt;","plainTextFormattedCitation":"253","previouslyFormattedCitation":"&lt;sup&gt;253&lt;/sup&gt;"},"properties":{"noteInde</w:instrText>
      </w:r>
      <w:r>
        <w:rPr>
          <w:rFonts w:ascii="Arial" w:eastAsia="Times New Roman" w:hAnsi="Arial" w:cs="Arial"/>
          <w:color w:val="000000" w:themeColor="text1"/>
          <w:lang w:val="en-US" w:eastAsia="de-DE"/>
        </w:rPr>
        <w:instrText>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253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and Ginzberg et al.</w:t>
      </w:r>
      <w:r>
        <w:rPr>
          <w:rFonts w:ascii="Arial" w:eastAsia="Times New Roman" w:hAnsi="Arial" w:cs="Arial"/>
          <w:color w:val="000000" w:themeColor="text1"/>
          <w:lang w:eastAsia="de-DE"/>
        </w:rPr>
        <w:fldChar w:fldCharType="begin" w:fldLock="1"/>
      </w:r>
      <w:r>
        <w:rPr>
          <w:rFonts w:ascii="Arial" w:eastAsia="Times New Roman" w:hAnsi="Arial" w:cs="Arial"/>
          <w:color w:val="000000" w:themeColor="text1"/>
          <w:lang w:val="en-US" w:eastAsia="de-DE"/>
        </w:rPr>
        <w:instrText>ADDIN CSL_CITATION {"citationItems":[{"id":"ITEM-1","itemData":{"DOI":"10.7554/ELIFE.26957","ISSN":"2050084X","PMID":"29889021","abstr</w:instrText>
      </w:r>
      <w:r>
        <w:rPr>
          <w:rFonts w:ascii="Arial" w:eastAsia="Times New Roman" w:hAnsi="Arial" w:cs="Arial"/>
          <w:color w:val="000000" w:themeColor="text1"/>
          <w:lang w:val="en-US" w:eastAsia="de-DE"/>
        </w:rPr>
        <w:instrText>act":"Cell size uniformity in healthy tissues suggests that control mechanisms might coordinate cell growth and division. We derived a method to assay whether cellular growth rates depend on cell size, by monitoring how variance in size changes as cells gr</w:instrText>
      </w:r>
      <w:r>
        <w:rPr>
          <w:rFonts w:ascii="Arial" w:eastAsia="Times New Roman" w:hAnsi="Arial" w:cs="Arial"/>
          <w:color w:val="000000" w:themeColor="text1"/>
          <w:lang w:val="en-US" w:eastAsia="de-DE"/>
        </w:rPr>
        <w:instrText>ow. Our data revealed that, twice during the cell cycle, growth rates are selectively increased in small cells and reduced in large cells, ensuring cell size uniformity. This regulation was also observed directly by monitoring nuclear growth in live cells.</w:instrText>
      </w:r>
      <w:r>
        <w:rPr>
          <w:rFonts w:ascii="Arial" w:eastAsia="Times New Roman" w:hAnsi="Arial" w:cs="Arial"/>
          <w:color w:val="000000" w:themeColor="text1"/>
          <w:lang w:val="en-US" w:eastAsia="de-DE"/>
        </w:rPr>
        <w:instrText xml:space="preserve"> We also detected cell-size-dependent adjustments of G1 length, which further reduce variability. Combining our assays with chemical/genetic perturbations confirmed that cells employ two strategies, adjusting both cell cycle length and growth rate, to main</w:instrText>
      </w:r>
      <w:r>
        <w:rPr>
          <w:rFonts w:ascii="Arial" w:eastAsia="Times New Roman" w:hAnsi="Arial" w:cs="Arial"/>
          <w:color w:val="000000" w:themeColor="text1"/>
          <w:lang w:val="en-US" w:eastAsia="de-DE"/>
        </w:rPr>
        <w:instrText>tain the appropriate size. Additionally, although Rb signaling is not required for these regulatory behaviors, perturbing Cdk4 activity still influences cell size, suggesting that the Cdk4 pathway may play a role in designating the cell’s target size.","au</w:instrText>
      </w:r>
      <w:r>
        <w:rPr>
          <w:rFonts w:ascii="Arial" w:eastAsia="Times New Roman" w:hAnsi="Arial" w:cs="Arial"/>
          <w:color w:val="000000" w:themeColor="text1"/>
          <w:lang w:val="en-US" w:eastAsia="de-DE"/>
        </w:rPr>
        <w:instrText>thor":[{"dropping-particle":"","family":"Ginzberg","given":"Miriam Bracha","non-dropping-particle":"","parse-names":false,"suffix":""},{"dropping-particle":"","family":"Chang","given":"Nancy","non-dropping-particle":"","parse-names":false,"suffix":""},{"dr</w:instrText>
      </w:r>
      <w:r>
        <w:rPr>
          <w:rFonts w:ascii="Arial" w:eastAsia="Times New Roman" w:hAnsi="Arial" w:cs="Arial"/>
          <w:color w:val="000000" w:themeColor="text1"/>
          <w:lang w:val="en-US" w:eastAsia="de-DE"/>
        </w:rPr>
        <w:instrText>opping-particle":"","family":"D’souza","given":"Heather","non-dropping-particle":"","parse-names":false,"suffix":""},{"dropping-particle":"","family":"Patel","given":"Nish","non-dropping-particle":"","parse-names":false,"suffix":""},{"dropping-particle":""</w:instrText>
      </w:r>
      <w:r>
        <w:rPr>
          <w:rFonts w:ascii="Arial" w:eastAsia="Times New Roman" w:hAnsi="Arial" w:cs="Arial"/>
          <w:color w:val="000000" w:themeColor="text1"/>
          <w:lang w:val="en-US" w:eastAsia="de-DE"/>
        </w:rPr>
        <w:instrText>,"family":"Kafri","given":"Ran","non-dropping-particle":"","parse-names":false,"suffix":""},{"dropping-particle":"","family":"Kirschner","given":"Marc W.","non-dropping-particle":"","parse-names":false,"suffix":""}],"container-title":"eLife","id":"ITEM-1",</w:instrText>
      </w:r>
      <w:r>
        <w:rPr>
          <w:rFonts w:ascii="Arial" w:eastAsia="Times New Roman" w:hAnsi="Arial" w:cs="Arial"/>
          <w:color w:val="000000" w:themeColor="text1"/>
          <w:lang w:val="en-US" w:eastAsia="de-DE"/>
        </w:rPr>
        <w:instrText>"issued":{"date-parts":[["2018","6","11"]]},"publisher":"eLife Sciences Publications Ltd","title":"Cell size sensing in animal cells coordinates anabolic growth rates and cell cycle progression to maintain cell size uniformity","type":"article-journal","vo</w:instrText>
      </w:r>
      <w:r>
        <w:rPr>
          <w:rFonts w:ascii="Arial" w:eastAsia="Times New Roman" w:hAnsi="Arial" w:cs="Arial"/>
          <w:color w:val="000000" w:themeColor="text1"/>
          <w:lang w:val="en-US" w:eastAsia="de-DE"/>
        </w:rPr>
        <w:instrText>lume":"7"},"uris":["http://www.mendeley.com/documents/?uuid=b4771e41-0813-3842-891c-4c4d88eed7ec"]}],"mendeley":{"formattedCitation":"&lt;sup&gt;265&lt;/sup&gt;","plainTextFormattedCitation":"265","previouslyFormattedCitation":"&lt;sup&gt;265&lt;/sup&gt;"},"properties":{"noteInde</w:instrText>
      </w:r>
      <w:r>
        <w:rPr>
          <w:rFonts w:ascii="Arial" w:eastAsia="Times New Roman" w:hAnsi="Arial" w:cs="Arial"/>
          <w:color w:val="000000" w:themeColor="text1"/>
          <w:lang w:val="en-US" w:eastAsia="de-DE"/>
        </w:rPr>
        <w:instrText>x":0},"schema":"https://github.com/citation-style-language/schema/raw/master/csl-citation.json"}</w:instrText>
      </w:r>
      <w:r>
        <w:rPr>
          <w:rFonts w:ascii="Arial" w:eastAsia="Times New Roman" w:hAnsi="Arial" w:cs="Arial"/>
          <w:color w:val="000000" w:themeColor="text1"/>
          <w:lang w:eastAsia="de-DE"/>
        </w:rPr>
        <w:fldChar w:fldCharType="separate"/>
      </w:r>
      <w:r>
        <w:rPr>
          <w:rFonts w:ascii="Arial" w:eastAsia="Times New Roman" w:hAnsi="Arial" w:cs="Arial"/>
          <w:noProof/>
          <w:color w:val="000000" w:themeColor="text1"/>
          <w:vertAlign w:val="superscript"/>
          <w:lang w:val="en-US" w:eastAsia="de-DE"/>
        </w:rPr>
        <w:t>265</w:t>
      </w:r>
      <w:r>
        <w:rPr>
          <w:rFonts w:ascii="Arial" w:eastAsia="Times New Roman" w:hAnsi="Arial" w:cs="Arial"/>
          <w:color w:val="000000" w:themeColor="text1"/>
          <w:lang w:eastAsia="de-DE"/>
        </w:rPr>
        <w:fldChar w:fldCharType="end"/>
      </w:r>
      <w:r>
        <w:rPr>
          <w:rFonts w:ascii="Arial" w:eastAsia="Times New Roman" w:hAnsi="Arial" w:cs="Arial"/>
          <w:color w:val="000000" w:themeColor="text1"/>
          <w:lang w:val="en-US" w:eastAsia="de-DE"/>
        </w:rPr>
        <w:t xml:space="preserve"> showed that cell-to-cell variability and perturbations of cell size or cell cycle length can lead to compensatory changes in growth rates of animal cells</w:t>
      </w:r>
      <w:r>
        <w:rPr>
          <w:rFonts w:ascii="Arial" w:eastAsia="Times New Roman" w:hAnsi="Arial" w:cs="Arial"/>
          <w:color w:val="000000" w:themeColor="text1"/>
          <w:lang w:val="en-US" w:eastAsia="de-DE"/>
        </w:rPr>
        <w:t>. Liu et al.</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{"citationItems":[{"id":"ITEM-1","itemData":{"DOI":"10.1101/2021.11.09.467936","abstract":"Proliferating animal cells maintain a stable size distribution over generations despite fluctuations in cell growth and division size.</w:instrText>
      </w:r>
      <w:r>
        <w:rPr>
          <w:rFonts w:ascii="Arial" w:eastAsia="Times New Roman" w:hAnsi="Arial" w:cs="Arial"/>
          <w:color w:val="000000" w:themeColor="text1"/>
          <w:lang w:val="en-US" w:eastAsia="de-DE"/>
        </w:rPr>
        <w:instrText xml:space="preserve"> This tight control of cell size involves both cell size checkpoints (e.g., delaying cell cycle progression for small cells) and size-dependent compensation in rates of mass accumulation (e.g., slowdown of cellular growth in large cells). We previously ide</w:instrText>
      </w:r>
      <w:r>
        <w:rPr>
          <w:rFonts w:ascii="Arial" w:eastAsia="Times New Roman" w:hAnsi="Arial" w:cs="Arial"/>
          <w:color w:val="000000" w:themeColor="text1"/>
          <w:lang w:val="en-US" w:eastAsia="de-DE"/>
        </w:rPr>
        <w:instrText>ntified that the mammalian cell size checkpoint is mediated by a selective activation of the p38 MAPK pathway in small cells. However, mechanisms underlying the size-dependent compensation of cellular growth remain unknown. In this study, we quantified glo</w:instrText>
      </w:r>
      <w:r>
        <w:rPr>
          <w:rFonts w:ascii="Arial" w:eastAsia="Times New Roman" w:hAnsi="Arial" w:cs="Arial"/>
          <w:color w:val="000000" w:themeColor="text1"/>
          <w:lang w:val="en-US" w:eastAsia="de-DE"/>
        </w:rPr>
        <w:instrText>bal rates of protein synthesis and degradation in naturally large and small cells, as well as in conditions that trigger a size-dependent compensation in cellular growth. Rates of protein synthesis increase proportionally with cell size in both perturbed a</w:instrText>
      </w:r>
      <w:r>
        <w:rPr>
          <w:rFonts w:ascii="Arial" w:eastAsia="Times New Roman" w:hAnsi="Arial" w:cs="Arial"/>
          <w:color w:val="000000" w:themeColor="text1"/>
          <w:lang w:val="en-US" w:eastAsia="de-DE"/>
        </w:rPr>
        <w:instrText xml:space="preserve">nd unperturbed conditions, as well as across cell cycle stages. Additionally, large cells exhibit elevated rates of global protein degradation and increased levels of activated proteasomes. Conditions that trigger a large-size-induced slowdown of cellular </w:instrText>
      </w:r>
      <w:r>
        <w:rPr>
          <w:rFonts w:ascii="Arial" w:eastAsia="Times New Roman" w:hAnsi="Arial" w:cs="Arial"/>
          <w:color w:val="000000" w:themeColor="text1"/>
          <w:lang w:val="en-US" w:eastAsia="de-DE"/>
        </w:rPr>
        <w:instrText xml:space="preserve">growth also promote proteasome-mediated global protein degradation, which initiates only after growth rate compensation occurs. Interestingly, the elevated rates of global protein degradation in large cells were disproportionately higher than the increase </w:instrText>
      </w:r>
      <w:r>
        <w:rPr>
          <w:rFonts w:ascii="Arial" w:eastAsia="Times New Roman" w:hAnsi="Arial" w:cs="Arial"/>
          <w:color w:val="000000" w:themeColor="text1"/>
          <w:lang w:val="en-US" w:eastAsia="de-DE"/>
        </w:rPr>
        <w:instrText>in size, suggesting activation of protein degradation pathways. Large cells at the G1/S transition show hyperactivated levels of protein degradation, even higher than similarly sized or larger cells in S or G2, coinciding with the timing of the most string</w:instrText>
      </w:r>
      <w:r>
        <w:rPr>
          <w:rFonts w:ascii="Arial" w:eastAsia="Times New Roman" w:hAnsi="Arial" w:cs="Arial"/>
          <w:color w:val="000000" w:themeColor="text1"/>
          <w:lang w:val="en-US" w:eastAsia="de-DE"/>
        </w:rPr>
        <w:instrText>ent size control in animal cells. Together, these findings suggest that large cells maintain cell size homeostasis by activating global protein degradation to induce a compensatory slowdown of growth.\n\n### Competing Interest Statement\n\nThe authors have</w:instrText>
      </w:r>
      <w:r>
        <w:rPr>
          <w:rFonts w:ascii="Arial" w:eastAsia="Times New Roman" w:hAnsi="Arial" w:cs="Arial"/>
          <w:color w:val="000000" w:themeColor="text1"/>
          <w:lang w:val="en-US" w:eastAsia="de-DE"/>
        </w:rPr>
        <w:instrText xml:space="preserve"> declared no competing interest.","author":[{"dropping-particle":"","family":"Liu","given":"Shixuan","non-dropping-particle":"","parse-names":false,"suffix":""},{"dropping-particle":"","family":"Tan","given":"Ceryl","non-dropping-particle":"","parse-names"</w:instrText>
      </w:r>
      <w:r>
        <w:rPr>
          <w:rFonts w:ascii="Arial" w:eastAsia="Times New Roman" w:hAnsi="Arial" w:cs="Arial"/>
          <w:color w:val="000000" w:themeColor="text1"/>
          <w:lang w:val="en-US" w:eastAsia="de-DE"/>
        </w:rPr>
        <w:instrText>:false,"suffix":""},{"dropping-particle":"","family":"Melo-Gavin","given":"Chloe","non-dropping-particle":"","parse-names":false,"suffix":""},{"dropping-particle":"","family":"Mark","given":"Kevin G","non-dropping-particle":"","parse-names":false,"suffix":</w:instrText>
      </w:r>
      <w:r>
        <w:rPr>
          <w:rFonts w:ascii="Arial" w:eastAsia="Times New Roman" w:hAnsi="Arial" w:cs="Arial"/>
          <w:color w:val="000000" w:themeColor="text1"/>
          <w:lang w:val="en-US" w:eastAsia="de-DE"/>
        </w:rPr>
        <w:instrText>""},{"dropping-particle":"","family":"Ginzberg","given":"Miriam B","non-dropping-particle":"","parse-names":false,"suffix":""},{"dropping-particle":"","family":"Blutrich","given":"Ron","non-dropping-particle":"","parse-names":false,"suffix":""},{"dropping-</w:instrText>
      </w:r>
      <w:r>
        <w:rPr>
          <w:rFonts w:ascii="Arial" w:eastAsia="Times New Roman" w:hAnsi="Arial" w:cs="Arial"/>
          <w:color w:val="000000" w:themeColor="text1"/>
          <w:lang w:val="en-US" w:eastAsia="de-DE"/>
        </w:rPr>
        <w:instrText>particle":"","family":"Patel","given":"Nish","non-dropping-particle":"","parse-names":false,"suffix":""},{"dropping-particle":"","family":"Rape","given":"Michael","non-dropping-particle":"","parse-names":false,"suffix":""},{"dropping-particle":"","family":</w:instrText>
      </w:r>
      <w:r>
        <w:rPr>
          <w:rFonts w:ascii="Arial" w:eastAsia="Times New Roman" w:hAnsi="Arial" w:cs="Arial"/>
          <w:color w:val="000000" w:themeColor="text1"/>
          <w:lang w:val="en-US" w:eastAsia="de-DE"/>
        </w:rPr>
        <w:instrText>"Kafri","given":"Ran","non-dropping-particle":"","parse-names":false,"suffix":""},{"dropping-particle":"","family":"Affiliations","given":"#","non-dropping-particle":"","parse-names":false,"suffix":""}],"container-title":"bioRxiv","id":"ITEM-1","issued":{"</w:instrText>
      </w:r>
      <w:r>
        <w:rPr>
          <w:rFonts w:ascii="Arial" w:eastAsia="Times New Roman" w:hAnsi="Arial" w:cs="Arial"/>
          <w:color w:val="000000" w:themeColor="text1"/>
          <w:lang w:val="en-US" w:eastAsia="de-DE"/>
        </w:rPr>
        <w:instrText>date-parts":[["2021","11","11"]]},"page":"2021.11.09.467936","publisher":"Cold Spring Harbor Laboratory","title":"Large cells activate global protein degradation to maintain cell size homeostasis","type":"article-journal"},"uris":["http://www.mendeley.com/</w:instrText>
      </w:r>
      <w:r>
        <w:rPr>
          <w:rFonts w:ascii="Arial" w:eastAsia="Times New Roman" w:hAnsi="Arial" w:cs="Arial"/>
          <w:color w:val="000000" w:themeColor="text1"/>
          <w:lang w:val="en-US" w:eastAsia="de-DE"/>
        </w:rPr>
        <w:instrText>documents/?uuid=88284769-0fc3-3404-a299-fc23f9ec4676"]}],"mendeley":{"formattedCitation":"&lt;sup&gt;267&lt;/sup&gt;","plainTextFormattedCitation":"267","previouslyFormattedCitation":"&lt;sup&gt;267&lt;/sup&gt;"},"properties":{"noteIndex":0},"schema":"https://github.com/citation-</w:instrText>
      </w:r>
      <w:r>
        <w:rPr>
          <w:rFonts w:ascii="Arial" w:eastAsia="Times New Roman" w:hAnsi="Arial" w:cs="Arial"/>
          <w:color w:val="000000" w:themeColor="text1"/>
          <w:lang w:val="en-US" w:eastAsia="de-DE"/>
        </w:rPr>
        <w:instrText>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267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suggest that this size-dependent reduction of growth rates in large cells is executed through the activation of global protein degradation by proteasomes. Additional information can be found in a d</w:t>
      </w:r>
      <w:r>
        <w:rPr>
          <w:rFonts w:ascii="Arial" w:eastAsia="Times New Roman" w:hAnsi="Arial" w:cs="Arial"/>
          <w:color w:val="000000" w:themeColor="text1"/>
          <w:lang w:val="en-US" w:eastAsia="de-DE"/>
        </w:rPr>
        <w:t>etailed review by Liu et al.</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{"citationItems":[{"id":"ITEM-1","itemData":{"DOI":"10.3389/FCELL.2022.949382/BIBTEX","ISSN":"2296634X","abstract":"The human body is programmed with definite quantities, magnitudes, and proportions. At the mi</w:instrText>
      </w:r>
      <w:r>
        <w:rPr>
          <w:rFonts w:ascii="Arial" w:eastAsia="Times New Roman" w:hAnsi="Arial" w:cs="Arial"/>
          <w:color w:val="000000" w:themeColor="text1"/>
          <w:lang w:val="en-US" w:eastAsia="de-DE"/>
        </w:rPr>
        <w:instrText xml:space="preserve">croscopic level, such definite sizes manifest in individual cells - different cell types are characterized by distinct cell sizes whereas cells of the same type are highly uniform in size. How do cells in a population maintain uniformity in cell size, and </w:instrText>
      </w:r>
      <w:r>
        <w:rPr>
          <w:rFonts w:ascii="Arial" w:eastAsia="Times New Roman" w:hAnsi="Arial" w:cs="Arial"/>
          <w:color w:val="000000" w:themeColor="text1"/>
          <w:lang w:val="en-US" w:eastAsia="de-DE"/>
        </w:rPr>
        <w:instrText xml:space="preserve">how are changes in target size programmed? A convergence of recent and historical studies suggest - just as a thermostat maintains room temperature - the size of proliferating animal cells is similarly maintained by homeostatic mechanisms. In this review, </w:instrText>
      </w:r>
      <w:r>
        <w:rPr>
          <w:rFonts w:ascii="Arial" w:eastAsia="Times New Roman" w:hAnsi="Arial" w:cs="Arial"/>
          <w:color w:val="000000" w:themeColor="text1"/>
          <w:lang w:val="en-US" w:eastAsia="de-DE"/>
        </w:rPr>
        <w:instrText>we first summarize old and new literature on the existence of cell size checkpoints, then discuss additional advances in the study of size homeostasis that involve feedback regulation of cellular growth rate. We further discuss recent progress on the molec</w:instrText>
      </w:r>
      <w:r>
        <w:rPr>
          <w:rFonts w:ascii="Arial" w:eastAsia="Times New Roman" w:hAnsi="Arial" w:cs="Arial"/>
          <w:color w:val="000000" w:themeColor="text1"/>
          <w:lang w:val="en-US" w:eastAsia="de-DE"/>
        </w:rPr>
        <w:instrText>ules that underlie cell size checkpoints and mechanisms that specify target size setpoints. Lastly, we discuss a less-well explored teleological question: why does cell size matter and what is the functional importance of cell size control?","author":[{"dr</w:instrText>
      </w:r>
      <w:r>
        <w:rPr>
          <w:rFonts w:ascii="Arial" w:eastAsia="Times New Roman" w:hAnsi="Arial" w:cs="Arial"/>
          <w:color w:val="000000" w:themeColor="text1"/>
          <w:lang w:val="en-US" w:eastAsia="de-DE"/>
        </w:rPr>
        <w:instrText>opping-particle":"","family":"Liu","given":"Shixuan","non-dropping-particle":"","parse-names":false,"suffix":""},{"dropping-particle":"","family":"Tan","given":"Ceryl","non-dropping-particle":"","parse-names":false,"suffix":""},{"dropping-particle":"","fam</w:instrText>
      </w:r>
      <w:r>
        <w:rPr>
          <w:rFonts w:ascii="Arial" w:eastAsia="Times New Roman" w:hAnsi="Arial" w:cs="Arial"/>
          <w:color w:val="000000" w:themeColor="text1"/>
          <w:lang w:val="en-US" w:eastAsia="de-DE"/>
        </w:rPr>
        <w:instrText>ily":"Tyers","given":"Mike","non-dropping-particle":"","parse-names":false,"suffix":""},{"dropping-particle":"","family":"Zetterberg","given":"Anders","non-dropping-particle":"","parse-names":false,"suffix":""},{"dropping-particle":"","family":"Kafri","giv</w:instrText>
      </w:r>
      <w:r>
        <w:rPr>
          <w:rFonts w:ascii="Arial" w:eastAsia="Times New Roman" w:hAnsi="Arial" w:cs="Arial"/>
          <w:color w:val="000000" w:themeColor="text1"/>
          <w:lang w:val="en-US" w:eastAsia="de-DE"/>
        </w:rPr>
        <w:instrText>en":"Ran","non-dropping-particle":"","parse-names":false,"suffix":""}],"container-title":"Frontiers in Cell and Developmental Biology","id":"ITEM-1","issued":{"date-parts":[["2022","11","1"]]},"page":"949382","publisher":"Frontiers Media S.A.","title":"Wha</w:instrText>
      </w:r>
      <w:r>
        <w:rPr>
          <w:rFonts w:ascii="Arial" w:eastAsia="Times New Roman" w:hAnsi="Arial" w:cs="Arial"/>
          <w:color w:val="000000" w:themeColor="text1"/>
          <w:lang w:val="en-US" w:eastAsia="de-DE"/>
        </w:rPr>
        <w:instrText>t programs the size of animal cells?","type":"article-journal","volume":"10"},"uris":["http://www.mendeley.com/documents/?uuid=9c31cbbe-a90d-3eca-b3d8-9b0266a5b0f6"]}],"mendeley":{"formattedCitation":"&lt;sup&gt;249&lt;/sup&gt;","plainTextFormattedCitation":"249","pre</w:instrText>
      </w:r>
      <w:r>
        <w:rPr>
          <w:rFonts w:ascii="Arial" w:eastAsia="Times New Roman" w:hAnsi="Arial" w:cs="Arial"/>
          <w:color w:val="000000" w:themeColor="text1"/>
          <w:lang w:val="en-US" w:eastAsia="de-DE"/>
        </w:rPr>
        <w:instrText>viouslyFormattedCitation":"&lt;sup&gt;249&lt;/sup&gt;"},"properties":{"noteIndex":0},"schema":"https://github.com/citation-style-language/schema/raw/master/csl-citation.json"}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249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082ECDCB" w14:textId="77777777" w:rsidR="00066D11" w:rsidRDefault="00E55468">
      <w:pPr>
        <w:spacing w:before="240" w:after="240" w:line="240" w:lineRule="auto"/>
        <w:jc w:val="both"/>
        <w:rPr>
          <w:rFonts w:ascii="Arial" w:eastAsia="Times New Roman" w:hAnsi="Arial" w:cs="Arial"/>
          <w:i/>
          <w:iCs/>
          <w:color w:val="000000"/>
          <w:lang w:val="en-US" w:eastAsia="de-DE"/>
        </w:rPr>
      </w:pPr>
      <w:r>
        <w:rPr>
          <w:rFonts w:ascii="Arial" w:eastAsia="Times New Roman" w:hAnsi="Arial" w:cs="Arial"/>
          <w:color w:val="000000"/>
          <w:lang w:val="en-US" w:eastAsia="de-DE"/>
        </w:rPr>
        <w:lastRenderedPageBreak/>
        <w:t xml:space="preserve">It should be noted here that size control studies in mammalian cells have </w:t>
      </w:r>
      <w:r>
        <w:rPr>
          <w:rFonts w:ascii="Arial" w:eastAsia="Times New Roman" w:hAnsi="Arial" w:cs="Arial"/>
          <w:color w:val="000000"/>
          <w:lang w:val="en-US" w:eastAsia="de-DE"/>
        </w:rPr>
        <w:t>largely been performed in cultured cell lines. While the aforementioned sizer is observed in some cell lines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{"citationItems":[{"id":"ITEM-1","itemData":{"DOI":"10.1016/j.celrep.2017.06.057","ISSN":"22111247","author":[{"dropping-particle</w:instrText>
      </w:r>
      <w:r>
        <w:rPr>
          <w:rFonts w:ascii="Arial" w:eastAsia="Times New Roman" w:hAnsi="Arial" w:cs="Arial"/>
          <w:color w:val="000000"/>
          <w:lang w:val="en-US" w:eastAsia="de-DE"/>
        </w:rPr>
        <w:instrText>":"","family":"Varsano","given":"Giulia","non-dropping-particle":"","parse-names":false,"suffix":""},{"dropping-particle":"","family":"Wang","given":"Yuedi","non-dropping-particle":"","parse-names":false,"suffix":""},{"dropping-particle":"","family":"Wu","</w:instrText>
      </w:r>
      <w:r>
        <w:rPr>
          <w:rFonts w:ascii="Arial" w:eastAsia="Times New Roman" w:hAnsi="Arial" w:cs="Arial"/>
          <w:color w:val="000000"/>
          <w:lang w:val="en-US" w:eastAsia="de-DE"/>
        </w:rPr>
        <w:instrText>given":"Min","non-dropping-particle":"","parse-names":false,"suffix":""}],"container-title":"Cell Reports","id":"ITEM-1","issue":"2","issued":{"date-parts":[["2017","7"]]},"page":"397-410","title":"Probing Mammalian Cell Size Homeostasis by Channel-Assiste</w:instrText>
      </w:r>
      <w:r>
        <w:rPr>
          <w:rFonts w:ascii="Arial" w:eastAsia="Times New Roman" w:hAnsi="Arial" w:cs="Arial"/>
          <w:color w:val="000000"/>
          <w:lang w:val="en-US" w:eastAsia="de-DE"/>
        </w:rPr>
        <w:instrText>d Cell Reshaping","type":"article-journal","volume":"20"},"uris":["http://www.mendeley.com/documents/?uuid=b4e6bd8c-ed17-32f2-b5ba-fbf40666f4fb"]},{"id":"ITEM-2","itemData":{"DOI":"10.1101/470013","abstract":"Cell size is fundamental to function in differe</w:instrText>
      </w:r>
      <w:r>
        <w:rPr>
          <w:rFonts w:ascii="Arial" w:eastAsia="Times New Roman" w:hAnsi="Arial" w:cs="Arial"/>
          <w:color w:val="000000"/>
          <w:lang w:val="en-US" w:eastAsia="de-DE"/>
        </w:rPr>
        <w:instrText>nt cell types across the human body because it sets the scale of organelle structures, biosynthesis, and surface transport1,2. Tiny erythrocytes squeeze through capillaries to transport oxygen, while the million-fold larger oocyte divides without growth to</w:instrText>
      </w:r>
      <w:r>
        <w:rPr>
          <w:rFonts w:ascii="Arial" w:eastAsia="Times New Roman" w:hAnsi="Arial" w:cs="Arial"/>
          <w:color w:val="000000"/>
          <w:lang w:val="en-US" w:eastAsia="de-DE"/>
        </w:rPr>
        <w:instrText xml:space="preserve"> form the ~100 cell pre-implantation embryo. Despite the vast size range across cell types, cells of a given type are typically uniform in size likely because cells are able to accurately couple cell growth to division3–6. While some genes whose disruption</w:instrText>
      </w:r>
      <w:r>
        <w:rPr>
          <w:rFonts w:ascii="Arial" w:eastAsia="Times New Roman" w:hAnsi="Arial" w:cs="Arial"/>
          <w:color w:val="000000"/>
          <w:lang w:val="en-US" w:eastAsia="de-DE"/>
        </w:rPr>
        <w:instrText xml:space="preserve"> in mammalian cells affects cell size have been identified, the molecular mechanisms through which cell growth drives cell division have remained elusive7–12. Here, we show that cell growth acts to dilute the cell cycle inhibitor Rb to drive cell cycle pro</w:instrText>
      </w:r>
      <w:r>
        <w:rPr>
          <w:rFonts w:ascii="Arial" w:eastAsia="Times New Roman" w:hAnsi="Arial" w:cs="Arial"/>
          <w:color w:val="000000"/>
          <w:lang w:val="en-US" w:eastAsia="de-DE"/>
        </w:rPr>
        <w:instrText>gression from G1 to S phase in human cells. In contrast, other G1/S regulators remained at nearly constant concentration. Rb is a stable protein that is synthesized during S and G2 phases in an amount that is independent of cell size. Equal partitioning to</w:instrText>
      </w:r>
      <w:r>
        <w:rPr>
          <w:rFonts w:ascii="Arial" w:eastAsia="Times New Roman" w:hAnsi="Arial" w:cs="Arial"/>
          <w:color w:val="000000"/>
          <w:lang w:val="en-US" w:eastAsia="de-DE"/>
        </w:rPr>
        <w:instrText xml:space="preserve"> daughter cells of chromatin bound Rb then ensures that all cells at birth inherit a similar amount of Rb protein. RB overexpression increased cell size in tissue culture and a mouse cancer model, while RB deletion decreased cell size and removed the inver</w:instrText>
      </w:r>
      <w:r>
        <w:rPr>
          <w:rFonts w:ascii="Arial" w:eastAsia="Times New Roman" w:hAnsi="Arial" w:cs="Arial"/>
          <w:color w:val="000000"/>
          <w:lang w:val="en-US" w:eastAsia="de-DE"/>
        </w:rPr>
        <w:instrText>se correlation between cell size at birth and the duration of G1 phase. Thus, Rb-dilution by cell growth in G1 provides a long-sought cell autonomous molecular mechanism for cell size homeostasis.","author":[{"dropping-particle":"","family":"Zatulovskiy","</w:instrText>
      </w:r>
      <w:r>
        <w:rPr>
          <w:rFonts w:ascii="Arial" w:eastAsia="Times New Roman" w:hAnsi="Arial" w:cs="Arial"/>
          <w:color w:val="000000"/>
          <w:lang w:val="en-US" w:eastAsia="de-DE"/>
        </w:rPr>
        <w:instrText>given":"Evgeny","non-dropping-particle":"","parse-names":false,"suffix":""},{"dropping-particle":"","family":"Zhang","given":"Shuyuan","non-dropping-particle":"","parse-names":false,"suffix":""},{"dropping-particle":"","family":"Berenson","given":"Daniel F</w:instrText>
      </w:r>
      <w:r>
        <w:rPr>
          <w:rFonts w:ascii="Arial" w:eastAsia="Times New Roman" w:hAnsi="Arial" w:cs="Arial"/>
          <w:color w:val="000000"/>
          <w:lang w:val="en-US" w:eastAsia="de-DE"/>
        </w:rPr>
        <w:instrText>.","non-dropping-particle":"","parse-names":false,"suffix":""},{"dropping-particle":"","family":"Topacio","given":"Benjamin R.","non-dropping-particle":"","parse-names":false,"suffix":""},{"dropping-particle":"","family":"Skotheim","given":"Jan M.","non-dr</w:instrText>
      </w:r>
      <w:r>
        <w:rPr>
          <w:rFonts w:ascii="Arial" w:eastAsia="Times New Roman" w:hAnsi="Arial" w:cs="Arial"/>
          <w:color w:val="000000"/>
          <w:lang w:val="en-US" w:eastAsia="de-DE"/>
        </w:rPr>
        <w:instrText>opping-particle":"","parse-names":false,"suffix":""}],"container-title":"Science","id":"ITEM-2","issue":"July","issued":{"date-parts":[["2020"]]},"page":"466-471","title":"Cell growth dilutes the cell cycle inhibitor Rb to trigger cell division","type":"ar</w:instrText>
      </w:r>
      <w:r>
        <w:rPr>
          <w:rFonts w:ascii="Arial" w:eastAsia="Times New Roman" w:hAnsi="Arial" w:cs="Arial"/>
          <w:color w:val="000000"/>
          <w:lang w:val="en-US" w:eastAsia="de-DE"/>
        </w:rPr>
        <w:instrText>ticle-journal","volume":"369"},"uris":["http://www.mendeley.com/documents/?uuid=fd17804b-2f06-401a-b1a1-621c816cbabe"]}],"mendeley":{"formattedCitation":"&lt;sup&gt;55,268&lt;/sup&gt;","plainTextFormattedCitation":"55,268","previouslyFormattedCitation":"&lt;sup&gt;55,268&lt;/s</w:instrText>
      </w:r>
      <w:r>
        <w:rPr>
          <w:rFonts w:ascii="Arial" w:eastAsia="Times New Roman" w:hAnsi="Arial" w:cs="Arial"/>
          <w:color w:val="000000"/>
          <w:lang w:val="en-US" w:eastAsia="de-DE"/>
        </w:rPr>
        <w:instrText>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55,268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immortalized or primary cell lines often exhibit adders over the entire cell cycle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w:instrText>
      </w:r>
      <w:r>
        <w:rPr>
          <w:rFonts w:ascii="Arial" w:eastAsia="Times New Roman" w:hAnsi="Arial" w:cs="Arial"/>
          <w:color w:val="000000"/>
          <w:lang w:val="en-US" w:eastAsia="de-DE"/>
        </w:rPr>
        <w:instrText xml:space="preserve">"id":"ITEM-1","itemData":{"DOI":"10.1038/s41467-018-05393-0","ISSN":"2041-1723","abstract":"Despite decades of research, how mammalian cell size is controlled remains unclear because of the difficulty of directly measuring growth at the single-cell level. </w:instrText>
      </w:r>
      <w:r>
        <w:rPr>
          <w:rFonts w:ascii="Arial" w:eastAsia="Times New Roman" w:hAnsi="Arial" w:cs="Arial"/>
          <w:color w:val="000000"/>
          <w:lang w:val="en-US" w:eastAsia="de-DE"/>
        </w:rPr>
        <w:instrText>Here we report direct measurements of single-cell volumes over entire cell cycles on various mammalian cell lines and primary human cells. We find that, in a majority of cell types, the volume added across the cell cycle shows little or no correlation to c</w:instrText>
      </w:r>
      <w:r>
        <w:rPr>
          <w:rFonts w:ascii="Arial" w:eastAsia="Times New Roman" w:hAnsi="Arial" w:cs="Arial"/>
          <w:color w:val="000000"/>
          <w:lang w:val="en-US" w:eastAsia="de-DE"/>
        </w:rPr>
        <w:instrText xml:space="preserve">ell birth size, a homeostatic behavior called “adder”. This behavior involves modulation of G1 or S-G2 duration and modulation of growth rate. The precise combination of these mechanisms depends on the cell type and the growth condition. We have developed </w:instrText>
      </w:r>
      <w:r>
        <w:rPr>
          <w:rFonts w:ascii="Arial" w:eastAsia="Times New Roman" w:hAnsi="Arial" w:cs="Arial"/>
          <w:color w:val="000000"/>
          <w:lang w:val="en-US" w:eastAsia="de-DE"/>
        </w:rPr>
        <w:instrText>a mathematical framework to compare size homeostasis in datasets ranging from bacteria to mammalian cells. This reveals that a near-adder behavior is the most common type of size control and highlights the importance of growth rate modulation to size contr</w:instrText>
      </w:r>
      <w:r>
        <w:rPr>
          <w:rFonts w:ascii="Arial" w:eastAsia="Times New Roman" w:hAnsi="Arial" w:cs="Arial"/>
          <w:color w:val="000000"/>
          <w:lang w:val="en-US" w:eastAsia="de-DE"/>
        </w:rPr>
        <w:instrText>ol in mammalian cells.","author":[{"dropping-particle":"","family":"Cadart","given":"Clotilde","non-dropping-particle":"","parse-names":false,"suffix":""},{"dropping-particle":"","family":"Monnier","given":"Sylvain","non-dropping-particle":"","parse-names"</w:instrText>
      </w:r>
      <w:r>
        <w:rPr>
          <w:rFonts w:ascii="Arial" w:eastAsia="Times New Roman" w:hAnsi="Arial" w:cs="Arial"/>
          <w:color w:val="000000"/>
          <w:lang w:val="en-US" w:eastAsia="de-DE"/>
        </w:rPr>
        <w:instrText>:false,"suffix":""},{"dropping-particle":"","family":"Grilli","given":"Jacopo","non-dropping-particle":"","parse-names":false,"suffix":""},{"dropping-particle":"","family":"Sáez","given":"Pablo J.","non-dropping-particle":"","parse-names":false,"suffix":""</w:instrText>
      </w:r>
      <w:r>
        <w:rPr>
          <w:rFonts w:ascii="Arial" w:eastAsia="Times New Roman" w:hAnsi="Arial" w:cs="Arial"/>
          <w:color w:val="000000"/>
          <w:lang w:val="en-US" w:eastAsia="de-DE"/>
        </w:rPr>
        <w:instrText>},{"dropping-particle":"","family":"Srivastava","given":"Nishit","non-dropping-particle":"","parse-names":false,"suffix":""},{"dropping-particle":"","family":"Attia","given":"Rafaele","non-dropping-particle":"","parse-names":false,"suffix":""},{"dropping-p</w:instrText>
      </w:r>
      <w:r>
        <w:rPr>
          <w:rFonts w:ascii="Arial" w:eastAsia="Times New Roman" w:hAnsi="Arial" w:cs="Arial"/>
          <w:color w:val="000000"/>
          <w:lang w:val="en-US" w:eastAsia="de-DE"/>
        </w:rPr>
        <w:instrText>article":"","family":"Terriac","given":"Emmanuel","non-dropping-particle":"","parse-names":false,"suffix":""},{"dropping-particle":"","family":"Baum","given":"Buzz","non-dropping-particle":"","parse-names":false,"suffix":""},{"dropping-particle":"","family</w:instrText>
      </w:r>
      <w:r>
        <w:rPr>
          <w:rFonts w:ascii="Arial" w:eastAsia="Times New Roman" w:hAnsi="Arial" w:cs="Arial"/>
          <w:color w:val="000000"/>
          <w:lang w:val="en-US" w:eastAsia="de-DE"/>
        </w:rPr>
        <w:instrText>":"Cosentino-Lagomarsino","given":"Marco","non-dropping-particle":"","parse-names":false,"suffix":""},{"dropping-particle":"","family":"Piel","given":"Matthieu","non-dropping-particle":"","parse-names":false,"suffix":""}],"container-title":"Nature Communic</w:instrText>
      </w:r>
      <w:r>
        <w:rPr>
          <w:rFonts w:ascii="Arial" w:eastAsia="Times New Roman" w:hAnsi="Arial" w:cs="Arial"/>
          <w:color w:val="000000"/>
          <w:lang w:val="en-US" w:eastAsia="de-DE"/>
        </w:rPr>
        <w:instrText>ations","id":"ITEM-1","issue":"1","issued":{"date-parts":[["2018","12","16"]]},"page":"3275","publisher":"Nature Publishing Group","title":"Size control in mammalian cells involves modulation of both growth rate and cell cycle duration","type":"article-jou</w:instrText>
      </w:r>
      <w:r>
        <w:rPr>
          <w:rFonts w:ascii="Arial" w:eastAsia="Times New Roman" w:hAnsi="Arial" w:cs="Arial"/>
          <w:color w:val="000000"/>
          <w:lang w:val="en-US" w:eastAsia="de-DE"/>
        </w:rPr>
        <w:instrText>rnal","volume":"9"},"uris":["http://www.mendeley.com/documents/?uuid=728e7d87-1026-3f9b-b588-fff8b5bafe30"]}],"mendeley":{"formattedCitation":"&lt;sup&gt;253&lt;/sup&gt;","plainTextFormattedCitation":"253","previouslyFormattedCitation":"&lt;sup&gt;253&lt;/sup&gt;"},"properties":{</w:instrText>
      </w:r>
      <w:r>
        <w:rPr>
          <w:rFonts w:ascii="Arial" w:eastAsia="Times New Roman" w:hAnsi="Arial" w:cs="Arial"/>
          <w:color w:val="000000"/>
          <w:lang w:val="en-US" w:eastAsia="de-DE"/>
        </w:rPr>
        <w:instrText>"noteIndex":0},"schema":"https://github.com/citation-style-language/schema/raw/master/csl-citation.json"}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253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part this can be rationalized by the fact that many of these cultured cell lines carry cancer mutations, which disrupt the G1/S regulation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w:instrText>
      </w:r>
      <w:r>
        <w:rPr>
          <w:rFonts w:ascii="Arial" w:eastAsia="Times New Roman" w:hAnsi="Arial" w:cs="Arial"/>
          <w:color w:val="000000"/>
          <w:lang w:val="en-US" w:eastAsia="de-DE"/>
        </w:rPr>
        <w:instrText>DIN CSL_CITATION {"citationItems":[{"id":"ITEM-1","itemData":{"DOI":"10.1016/j.molcel.2017.12.017","abstract":"Graphical Abstract Highlights d Primary fibroblast cell-cycle commitment with respect to serum removal (R) is in G1 d Cultured immortal cell line</w:instrText>
      </w:r>
      <w:r>
        <w:rPr>
          <w:rFonts w:ascii="Arial" w:eastAsia="Times New Roman" w:hAnsi="Arial" w:cs="Arial"/>
          <w:color w:val="000000"/>
          <w:lang w:val="en-US" w:eastAsia="de-DE"/>
        </w:rPr>
        <w:instrText>s mostly commit to division in the previous cell cycle d R can be accurately predicted by measuring Cdk activity before serum removal d HDHB fragment senses Cdk2 and Cdk1 in complex with either cyclin E or A","author":[{"dropping-particle":"","family":"Sch</w:instrText>
      </w:r>
      <w:r>
        <w:rPr>
          <w:rFonts w:ascii="Arial" w:eastAsia="Times New Roman" w:hAnsi="Arial" w:cs="Arial"/>
          <w:color w:val="000000"/>
          <w:lang w:val="en-US" w:eastAsia="de-DE"/>
        </w:rPr>
        <w:instrText>warz","given":"Clayton","non-dropping-particle":"","parse-names":false,"suffix":""},{"dropping-particle":"","family":"Johnson","given":"Amy","non-dropping-particle":"","parse-names":false,"suffix":""},{"dropping-particle":"","family":"Kõ Ivom€ Agi","given"</w:instrText>
      </w:r>
      <w:r>
        <w:rPr>
          <w:rFonts w:ascii="Arial" w:eastAsia="Times New Roman" w:hAnsi="Arial" w:cs="Arial"/>
          <w:color w:val="000000"/>
          <w:lang w:val="en-US" w:eastAsia="de-DE"/>
        </w:rPr>
        <w:instrText>:"Mardo","non-dropping-particle":"","parse-names":false,"suffix":""},{"dropping-particle":"","family":"Zatulovskiy","given":"Evgeny","non-dropping-particle":"","parse-names":false,"suffix":""},{"dropping-particle":"","family":"Kravitz","given":"Carolyn J",</w:instrText>
      </w:r>
      <w:r>
        <w:rPr>
          <w:rFonts w:ascii="Arial" w:eastAsia="Times New Roman" w:hAnsi="Arial" w:cs="Arial"/>
          <w:color w:val="000000"/>
          <w:lang w:val="en-US" w:eastAsia="de-DE"/>
        </w:rPr>
        <w:instrText>"non-dropping-particle":"","parse-names":false,"suffix":""},{"dropping-particle":"","family":"Doncic","given":"Andreas","non-dropping-particle":"","parse-names":false,"suffix":""},{"dropping-particle":"","family":"Skotheim Correspondence","given":"Jan M","</w:instrText>
      </w:r>
      <w:r>
        <w:rPr>
          <w:rFonts w:ascii="Arial" w:eastAsia="Times New Roman" w:hAnsi="Arial" w:cs="Arial"/>
          <w:color w:val="000000"/>
          <w:lang w:val="en-US" w:eastAsia="de-DE"/>
        </w:rPr>
        <w:instrText>non-dropping-particle":"","parse-names":false,"suffix":""}],"id":"ITEM-1","issued":{"date-parts":[["2018"]]},"title":"A Precise Cdk Activity Threshold Determines Passage through the Restriction Point","type":"article-journal"},"uris":["http://www.mendeley.</w:instrText>
      </w:r>
      <w:r>
        <w:rPr>
          <w:rFonts w:ascii="Arial" w:eastAsia="Times New Roman" w:hAnsi="Arial" w:cs="Arial"/>
          <w:color w:val="000000"/>
          <w:lang w:val="en-US" w:eastAsia="de-DE"/>
        </w:rPr>
        <w:instrText>com/documents/?uuid=cd76b338-5196-3490-b8c6-cf1384d46261"]}],"mendeley":{"formattedCitation":"&lt;sup&gt;269&lt;/sup&gt;","plainTextFormattedCitation":"269","previouslyFormattedCitation":"&lt;sup&gt;269&lt;/sup&gt;"},"properties":{"noteIndex":0},"schema":"https://github.com/citat</w:instrText>
      </w:r>
      <w:r>
        <w:rPr>
          <w:rFonts w:ascii="Arial" w:eastAsia="Times New Roman" w:hAnsi="Arial" w:cs="Arial"/>
          <w:color w:val="000000"/>
          <w:lang w:val="en-US" w:eastAsia="de-DE"/>
        </w:rPr>
        <w:instrTex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269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thereby affect size control. In addition, how growing mammalian cells outside of their natural tissue environments affects cell size control can only now be answered thanks to the advent of</w:t>
      </w:r>
      <w:r>
        <w:rPr>
          <w:rFonts w:ascii="Arial" w:eastAsia="Times New Roman" w:hAnsi="Arial" w:cs="Arial"/>
          <w:color w:val="000000"/>
          <w:lang w:val="en-US" w:eastAsia="de-DE"/>
        </w:rPr>
        <w:t xml:space="preserve"> size control studies performed in intact tissues of living animals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{"citationItems":[{"id":"ITEM-1","itemData":{"DOI":"10.1016/j.stem.2018.09.005","abstract":"Graphical Abstract Highlights d Neighboring epidermal stem cells actively bala</w:instrText>
      </w:r>
      <w:r>
        <w:rPr>
          <w:rFonts w:ascii="Arial" w:eastAsia="Times New Roman" w:hAnsi="Arial" w:cs="Arial"/>
          <w:color w:val="000000"/>
          <w:lang w:val="en-US" w:eastAsia="de-DE"/>
        </w:rPr>
        <w:instrText xml:space="preserve">nce their fates over time d Stem cell division is triggered by demand for differentiated cells d Differentiation drives division by neighbor cell enlargement followed by S/G2 entry d Both forced and natural epidermal stem cell loss drive cell divisions In </w:instrText>
      </w:r>
      <w:r>
        <w:rPr>
          <w:rFonts w:ascii="Arial" w:eastAsia="Times New Roman" w:hAnsi="Arial" w:cs="Arial"/>
          <w:color w:val="000000"/>
          <w:lang w:val="en-US" w:eastAsia="de-DE"/>
        </w:rPr>
        <w:instrText>Brief By capturing all stem cell activity in large regions of the mouse epidermis, Mesa et al. report that stem cell self-renewal is induced by the differentiation of neighbors. This study identifies the physiological factors that drive stem cell self-rene</w:instrText>
      </w:r>
      <w:r>
        <w:rPr>
          <w:rFonts w:ascii="Arial" w:eastAsia="Times New Roman" w:hAnsi="Arial" w:cs="Arial"/>
          <w:color w:val="000000"/>
          <w:lang w:val="en-US" w:eastAsia="de-DE"/>
        </w:rPr>
        <w:instrText>wal, expanding the current understanding of epidermal homeostasis and regeneration.","author":[{"dropping-particle":"","family":"Mesa","given":"Kailin R","non-dropping-particle":"","parse-names":false,"suffix":""},{"dropping-particle":"","family":"Kawaguch</w:instrText>
      </w:r>
      <w:r>
        <w:rPr>
          <w:rFonts w:ascii="Arial" w:eastAsia="Times New Roman" w:hAnsi="Arial" w:cs="Arial"/>
          <w:color w:val="000000"/>
          <w:lang w:val="en-US" w:eastAsia="de-DE"/>
        </w:rPr>
        <w:instrText>i","given":"Kyogo","non-dropping-particle":"","parse-names":false,"suffix":""},{"dropping-particle":"","family":"Cockburn","given":"Katie","non-dropping-particle":"","parse-names":false,"suffix":""},{"dropping-particle":"","family":"Xin","given":"Tianchi",</w:instrText>
      </w:r>
      <w:r>
        <w:rPr>
          <w:rFonts w:ascii="Arial" w:eastAsia="Times New Roman" w:hAnsi="Arial" w:cs="Arial"/>
          <w:color w:val="000000"/>
          <w:lang w:val="en-US" w:eastAsia="de-DE"/>
        </w:rPr>
        <w:instrText>"non-dropping-particle":"","parse-names":false,"suffix":""},{"dropping-particle":"","family":"Klein","given":"Allon M","non-dropping-particle":"","parse-names":false,"suffix":""},{"dropping-particle":"","family":"Greco","given":"Valentina","non-dropping-pa</w:instrText>
      </w:r>
      <w:r>
        <w:rPr>
          <w:rFonts w:ascii="Arial" w:eastAsia="Times New Roman" w:hAnsi="Arial" w:cs="Arial"/>
          <w:color w:val="000000"/>
          <w:lang w:val="en-US" w:eastAsia="de-DE"/>
        </w:rPr>
        <w:instrText>rticle":"","parse-names":false,"suffix":""}],"container-title":"Cell Stem Cell","id":"ITEM-1","issued":{"date-parts":[["2018"]]},"page":"677-686","title":"Homeostatic Epidermal Stem Cell Self-Renewal Is Driven by Local Differentiation","type":"article-jour</w:instrText>
      </w:r>
      <w:r>
        <w:rPr>
          <w:rFonts w:ascii="Arial" w:eastAsia="Times New Roman" w:hAnsi="Arial" w:cs="Arial"/>
          <w:color w:val="000000"/>
          <w:lang w:val="en-US" w:eastAsia="de-DE"/>
        </w:rPr>
        <w:instrText>nal","volume":"23"},"uris":["http://www.mendeley.com/documents/?uuid=099c0f4f-410f-3101-86b9-bd7a03029633"]},{"id":"ITEM-2","itemData":{"DOI":"10.1016/j.cub.2019.12.062","abstract":"Graphical Abstract Highlights d Quantification of mammalian single-cell gr</w:instrText>
      </w:r>
      <w:r>
        <w:rPr>
          <w:rFonts w:ascii="Arial" w:eastAsia="Times New Roman" w:hAnsi="Arial" w:cs="Arial"/>
          <w:color w:val="000000"/>
          <w:lang w:val="en-US" w:eastAsia="de-DE"/>
        </w:rPr>
        <w:instrText>owth during tissue turnover over a week d Epidermal stem cell growth is faster than linear in vivo d Epidermal stem cells couple growth and cell-cycle progression using a G1 sizer Authors Shicong Xie, Jan M. Skotheim Correspondence skotheim@stanford.edu In</w:instrText>
      </w:r>
      <w:r>
        <w:rPr>
          <w:rFonts w:ascii="Arial" w:eastAsia="Times New Roman" w:hAnsi="Arial" w:cs="Arial"/>
          <w:color w:val="000000"/>
          <w:lang w:val="en-US" w:eastAsia="de-DE"/>
        </w:rPr>
        <w:instrText xml:space="preserve"> Brief Xie and Skotheim quantify single-cell growth from longitudinal imaging of mouse epidermal stem cells over 1 week. Epidermal stem cells grow faster than linearly in vivo and couple cell growth and cell-cycle progression using a G1 sizer.","author":[{</w:instrText>
      </w:r>
      <w:r>
        <w:rPr>
          <w:rFonts w:ascii="Arial" w:eastAsia="Times New Roman" w:hAnsi="Arial" w:cs="Arial"/>
          <w:color w:val="000000"/>
          <w:lang w:val="en-US" w:eastAsia="de-DE"/>
        </w:rPr>
        <w:instrText>"dropping-particle":"","family":"Xie","given":"Shicong","non-dropping-particle":"","parse-names":false,"suffix":""},{"dropping-particle":"","family":"Skotheim","given":"Jan M","non-dropping-particle":"","parse-names":false,"suffix":""}],"id":"ITEM-2","issu</w:instrText>
      </w:r>
      <w:r>
        <w:rPr>
          <w:rFonts w:ascii="Arial" w:eastAsia="Times New Roman" w:hAnsi="Arial" w:cs="Arial"/>
          <w:color w:val="000000"/>
          <w:lang w:val="en-US" w:eastAsia="de-DE"/>
        </w:rPr>
        <w:instrText>ed":{"date-parts":[["2020"]]},"title":"A G1 Sizer Coordinates Growth and Division in the Mouse Epidermis","type":"article-journal"},"uris":["http://www.mendeley.com/documents/?uuid=4265bd58-095a-3604-a4e2-19a24072ee4f"]},{"id":"ITEM-3","itemData":{"DOI":"1</w:instrText>
      </w:r>
      <w:r>
        <w:rPr>
          <w:rFonts w:ascii="Arial" w:eastAsia="Times New Roman" w:hAnsi="Arial" w:cs="Arial"/>
          <w:color w:val="000000"/>
          <w:lang w:val="en-US" w:eastAsia="de-DE"/>
        </w:rPr>
        <w:instrText>0.1101/2024.04.09.588781","abstract":"Cell growth and division must be coordinated to maintain a stable cell size, but how this coordination is implemented in multicellular tissues remains unclear. In unicellular eukaryotes, autonomous cell size control me</w:instrText>
      </w:r>
      <w:r>
        <w:rPr>
          <w:rFonts w:ascii="Arial" w:eastAsia="Times New Roman" w:hAnsi="Arial" w:cs="Arial"/>
          <w:color w:val="000000"/>
          <w:lang w:val="en-US" w:eastAsia="de-DE"/>
        </w:rPr>
        <w:instrText>chanisms couple cell growth and division with little extracellular input. However, in multicellular tissues we do not know if autonomous cell size control mechanisms operate the same way or whether cell growth and cell cycle progression are separately cont</w:instrText>
      </w:r>
      <w:r>
        <w:rPr>
          <w:rFonts w:ascii="Arial" w:eastAsia="Times New Roman" w:hAnsi="Arial" w:cs="Arial"/>
          <w:color w:val="000000"/>
          <w:lang w:val="en-US" w:eastAsia="de-DE"/>
        </w:rPr>
        <w:instrText>rolled by cell-extrinsic signals. Here, we address this question by tracking single epidermal stem cells growing in adult mice. We find that a cell-autonomous size control mechanism, dependent on the RB pathway, sets the timing of S phase entry based on th</w:instrText>
      </w:r>
      <w:r>
        <w:rPr>
          <w:rFonts w:ascii="Arial" w:eastAsia="Times New Roman" w:hAnsi="Arial" w:cs="Arial"/>
          <w:color w:val="000000"/>
          <w:lang w:val="en-US" w:eastAsia="de-DE"/>
        </w:rPr>
        <w:instrText>e cell’s current size. Cell-extrinsic variations in the cellular microenvironment affect cell growth rates but not this autonomous coupling. Our work reassesses long-standing models of cell cycle regulation within complex metazoan tissues and identifies ce</w:instrText>
      </w:r>
      <w:r>
        <w:rPr>
          <w:rFonts w:ascii="Arial" w:eastAsia="Times New Roman" w:hAnsi="Arial" w:cs="Arial"/>
          <w:color w:val="000000"/>
          <w:lang w:val="en-US" w:eastAsia="de-DE"/>
        </w:rPr>
        <w:instrText>ll-autonomous size control as a critical mechanism regulating cell divisions in vivo and thereby a major contributor to stem cell heterogeneity.\n\n### Competing Interest Statement\n\nThe authors have declared no competing interest.","author":[{"dropping-p</w:instrText>
      </w:r>
      <w:r>
        <w:rPr>
          <w:rFonts w:ascii="Arial" w:eastAsia="Times New Roman" w:hAnsi="Arial" w:cs="Arial"/>
          <w:color w:val="000000"/>
          <w:lang w:val="en-US" w:eastAsia="de-DE"/>
        </w:rPr>
        <w:instrText>article":"","family":"Xie","given":"Shicong","non-dropping-particle":"","parse-names":false,"suffix":""},{"dropping-particle":"","family":"Zhang","given":"Shuyuan","non-dropping-particle":"","parse-names":false,"suffix":""},{"dropping-particle":"de","famil</w:instrText>
      </w:r>
      <w:r>
        <w:rPr>
          <w:rFonts w:ascii="Arial" w:eastAsia="Times New Roman" w:hAnsi="Arial" w:cs="Arial"/>
          <w:color w:val="000000"/>
          <w:lang w:val="en-US" w:eastAsia="de-DE"/>
        </w:rPr>
        <w:instrText>y":"Medeiros","given":"Gustavo","non-dropping-particle":"","parse-names":false,"suffix":""},{"dropping-particle":"","family":"Liberali","given":"Prisca","non-dropping-particle":"","parse-names":false,"suffix":""},{"dropping-particle":"","family":"Skotheim"</w:instrText>
      </w:r>
      <w:r>
        <w:rPr>
          <w:rFonts w:ascii="Arial" w:eastAsia="Times New Roman" w:hAnsi="Arial" w:cs="Arial"/>
          <w:color w:val="000000"/>
          <w:lang w:val="en-US" w:eastAsia="de-DE"/>
        </w:rPr>
        <w:instrText>,"given":"Jan M.","non-dropping-particle":"","parse-names":false,"suffix":""}],"container-title":"bioRxiv","id":"ITEM-3","issued":{"date-parts":[["2024","4","11"]]},"page":"2024.04.09.588781","publisher":"Cold Spring Harbor Laboratory","title":"The G1/S tr</w:instrText>
      </w:r>
      <w:r>
        <w:rPr>
          <w:rFonts w:ascii="Arial" w:eastAsia="Times New Roman" w:hAnsi="Arial" w:cs="Arial"/>
          <w:color w:val="000000"/>
          <w:lang w:val="en-US" w:eastAsia="de-DE"/>
        </w:rPr>
        <w:instrText>ansition in mammalian stem cells in vivo is autonomously regulated by cell size","type":"article-journal"},"uris":["http://www.mendeley.com/documents/?uuid=544d8681-0e7b-3ddd-ad1d-1a38c6c7fb65"]}],"mendeley":{"formattedCitation":"&lt;sup&gt;270–272&lt;/sup&gt;","plain</w:instrText>
      </w:r>
      <w:r>
        <w:rPr>
          <w:rFonts w:ascii="Arial" w:eastAsia="Times New Roman" w:hAnsi="Arial" w:cs="Arial"/>
          <w:color w:val="000000"/>
          <w:lang w:val="en-US" w:eastAsia="de-DE"/>
        </w:rPr>
        <w:instrText>TextFormattedCitation":"270–272","previouslyFormattedCitation":"&lt;sup&gt;270–272&lt;/sup&gt;"},"properties":{"noteIndex":0},"schema":"https://github.com/citation-style-language/schema/raw/master/csl-citation.json"}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270–272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In-vivo mouse epidermis cells exhibit a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xml:space="preserve"> over the full cell cycle, which arises from Rb-dependent G1 size control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{"citationItems":[{"id":"ITEM-1","itemData":{"DOI":"10.1016/j.cub.2019.12.062","abstract":"Graphical Abstract Highlights d Quantification of mammalian single-c</w:instrText>
      </w:r>
      <w:r>
        <w:rPr>
          <w:rFonts w:ascii="Arial" w:eastAsia="Times New Roman" w:hAnsi="Arial" w:cs="Arial"/>
          <w:color w:val="000000"/>
          <w:lang w:val="en-US" w:eastAsia="de-DE"/>
        </w:rPr>
        <w:instrText>ell growth during tissue turnover over a week d Epidermal stem cell growth is faster than linear in vivo d Epidermal stem cells couple growth and cell-cycle progression using a G1 sizer Authors Shicong Xie, Jan M. Skotheim Correspondence skotheim@stanford.</w:instrText>
      </w:r>
      <w:r>
        <w:rPr>
          <w:rFonts w:ascii="Arial" w:eastAsia="Times New Roman" w:hAnsi="Arial" w:cs="Arial"/>
          <w:color w:val="000000"/>
          <w:lang w:val="en-US" w:eastAsia="de-DE"/>
        </w:rPr>
        <w:instrText>edu In Brief Xie and Skotheim quantify single-cell growth from longitudinal imaging of mouse epidermal stem cells over 1 week. Epidermal stem cells grow faster than linearly in vivo and couple cell growth and cell-cycle progression using a G1 sizer.","auth</w:instrText>
      </w:r>
      <w:r>
        <w:rPr>
          <w:rFonts w:ascii="Arial" w:eastAsia="Times New Roman" w:hAnsi="Arial" w:cs="Arial"/>
          <w:color w:val="000000"/>
          <w:lang w:val="en-US" w:eastAsia="de-DE"/>
        </w:rPr>
        <w:instrText>or":[{"dropping-particle":"","family":"Xie","given":"Shicong","non-dropping-particle":"","parse-names":false,"suffix":""},{"dropping-particle":"","family":"Skotheim","given":"Jan M","non-dropping-particle":"","parse-names":false,"suffix":""}],"id":"ITEM-1"</w:instrText>
      </w:r>
      <w:r>
        <w:rPr>
          <w:rFonts w:ascii="Arial" w:eastAsia="Times New Roman" w:hAnsi="Arial" w:cs="Arial"/>
          <w:color w:val="000000"/>
          <w:lang w:val="en-US" w:eastAsia="de-DE"/>
        </w:rPr>
        <w:instrText>,"issued":{"date-parts":[["2020"]]},"title":"A G1 Sizer Coordinates Growth and Division in the Mouse Epidermis","type":"article-journal"},"uris":["http://www.mendeley.com/documents/?uuid=4265bd58-095a-3604-a4e2-19a24072ee4f"]},{"id":"ITEM-2","itemData":{"D</w:instrText>
      </w:r>
      <w:r>
        <w:rPr>
          <w:rFonts w:ascii="Arial" w:eastAsia="Times New Roman" w:hAnsi="Arial" w:cs="Arial"/>
          <w:color w:val="000000"/>
          <w:lang w:val="en-US" w:eastAsia="de-DE"/>
        </w:rPr>
        <w:instrText>OI":"10.7554/ELIFE.79919","ISSN":"2050084X","abstract":"Cell size is controlled to be within a specific range to support physiological function. To control their size, cells use diverse mechanisms ranging from ‘sizers’, in which differences in cell size ar</w:instrText>
      </w:r>
      <w:r>
        <w:rPr>
          <w:rFonts w:ascii="Arial" w:eastAsia="Times New Roman" w:hAnsi="Arial" w:cs="Arial"/>
          <w:color w:val="000000"/>
          <w:lang w:val="en-US" w:eastAsia="de-DE"/>
        </w:rPr>
        <w:instrText>e compensated for in a single cell division cycle, to ‘adders’, in which a constant amount of cell growth occurs in each cell cycle. This diversity raises the question why a particular cell would implement one rather than another mechanism? To address this</w:instrText>
      </w:r>
      <w:r>
        <w:rPr>
          <w:rFonts w:ascii="Arial" w:eastAsia="Times New Roman" w:hAnsi="Arial" w:cs="Arial"/>
          <w:color w:val="000000"/>
          <w:lang w:val="en-US" w:eastAsia="de-DE"/>
        </w:rPr>
        <w:instrText xml:space="preserve"> question, we performed a series of simulations evolving cell size control networks. The size control mechanism that evolved was influenced by both cell cycle structure and specific selection pressures. Moreover, evolved networks recapitulated known size c</w:instrText>
      </w:r>
      <w:r>
        <w:rPr>
          <w:rFonts w:ascii="Arial" w:eastAsia="Times New Roman" w:hAnsi="Arial" w:cs="Arial"/>
          <w:color w:val="000000"/>
          <w:lang w:val="en-US" w:eastAsia="de-DE"/>
        </w:rPr>
        <w:instrText>ontrol properties of naturally occurring networks. If the mechanism is based on a G1 size control and an S/G2/M timer, as found for budding yeast and some human cells, adders likely evolve. But, if the G1 phase is significantly longer than the S/G2/M phase</w:instrText>
      </w:r>
      <w:r>
        <w:rPr>
          <w:rFonts w:ascii="Arial" w:eastAsia="Times New Roman" w:hAnsi="Arial" w:cs="Arial"/>
          <w:color w:val="000000"/>
          <w:lang w:val="en-US" w:eastAsia="de-DE"/>
        </w:rPr>
        <w:instrText>, as is often the case in mammalian cells in vivo, sizers become more likely. Sizers also evolve when the cell cycle structure is inverted so that G1 is a timer, while S/G2/M performs size control, as is the case for the fission yeast S. pombe. For some si</w:instrText>
      </w:r>
      <w:r>
        <w:rPr>
          <w:rFonts w:ascii="Arial" w:eastAsia="Times New Roman" w:hAnsi="Arial" w:cs="Arial"/>
          <w:color w:val="000000"/>
          <w:lang w:val="en-US" w:eastAsia="de-DE"/>
        </w:rPr>
        <w:instrText>ze control networks, cell size consistently decreases in each cycle until a burst of cell cycle inhibitor drives an extended G1 phase much like the cell division cycle of the green algae Chlamydomonas. That these size control networks evolved such self-org</w:instrText>
      </w:r>
      <w:r>
        <w:rPr>
          <w:rFonts w:ascii="Arial" w:eastAsia="Times New Roman" w:hAnsi="Arial" w:cs="Arial"/>
          <w:color w:val="000000"/>
          <w:lang w:val="en-US" w:eastAsia="de-DE"/>
        </w:rPr>
        <w:instrText>anized criticality shows how the evolution of complex systems can drive the emergence of critical processes.","author":[{"dropping-particle":"","family":"Proulx-Giraldeau","given":"Félix","non-dropping-particle":"","parse-names":false,"suffix":""},{"droppi</w:instrText>
      </w:r>
      <w:r>
        <w:rPr>
          <w:rFonts w:ascii="Arial" w:eastAsia="Times New Roman" w:hAnsi="Arial" w:cs="Arial"/>
          <w:color w:val="000000"/>
          <w:lang w:val="en-US" w:eastAsia="de-DE"/>
        </w:rPr>
        <w:instrText>ng-particle":"","family":"Skotheim","given":"Jan M.","non-dropping-particle":"","parse-names":false,"suffix":""},{"dropping-particle":"","family":"Francois","given":"Paul","non-dropping-particle":"","parse-names":false,"suffix":""}],"container-title":"eLif</w:instrText>
      </w:r>
      <w:r>
        <w:rPr>
          <w:rFonts w:ascii="Arial" w:eastAsia="Times New Roman" w:hAnsi="Arial" w:cs="Arial"/>
          <w:color w:val="000000"/>
          <w:lang w:val="en-US" w:eastAsia="de-DE"/>
        </w:rPr>
        <w:instrText>e","id":"ITEM-2","issued":{"date-parts":[["2022","9","1"]]},"publisher":"eLife Sciences Publications Ltd","title":"Evolution of cell size control is canalized towards adders or sizers by cell cycle structure and selective pressures","type":"article-journal</w:instrText>
      </w:r>
      <w:r>
        <w:rPr>
          <w:rFonts w:ascii="Arial" w:eastAsia="Times New Roman" w:hAnsi="Arial" w:cs="Arial"/>
          <w:color w:val="000000"/>
          <w:lang w:val="en-US" w:eastAsia="de-DE"/>
        </w:rPr>
        <w:instrText xml:space="preserve">","volume":"11"},"uris":["http://www.mendeley.com/documents/?uuid=e389467c-8414-33a5-bf95-173c9c77a8e7"]},{"id":"ITEM-3","itemData":{"DOI":"10.1101/2024.04.09.588781","abstract":"Cell growth and division must be coordinated to maintain a stable cell size, </w:instrText>
      </w:r>
      <w:r>
        <w:rPr>
          <w:rFonts w:ascii="Arial" w:eastAsia="Times New Roman" w:hAnsi="Arial" w:cs="Arial"/>
          <w:color w:val="000000"/>
          <w:lang w:val="en-US" w:eastAsia="de-DE"/>
        </w:rPr>
        <w:instrText>but how this coordination is implemented in multicellular tissues remains unclear. In unicellular eukaryotes, autonomous cell size control mechanisms couple cell growth and division with little extracellular input. However, in multicellular tissues we do n</w:instrText>
      </w:r>
      <w:r>
        <w:rPr>
          <w:rFonts w:ascii="Arial" w:eastAsia="Times New Roman" w:hAnsi="Arial" w:cs="Arial"/>
          <w:color w:val="000000"/>
          <w:lang w:val="en-US" w:eastAsia="de-DE"/>
        </w:rPr>
        <w:instrText>ot know if autonomous cell size control mechanisms operate the same way or whether cell growth and cell cycle progression are separately controlled by cell-extrinsic signals. Here, we address this question by tracking single epidermal stem cells growing in</w:instrText>
      </w:r>
      <w:r>
        <w:rPr>
          <w:rFonts w:ascii="Arial" w:eastAsia="Times New Roman" w:hAnsi="Arial" w:cs="Arial"/>
          <w:color w:val="000000"/>
          <w:lang w:val="en-US" w:eastAsia="de-DE"/>
        </w:rPr>
        <w:instrText xml:space="preserve"> adult mice. We find that a cell-autonomous size control mechanism, dependent on the RB pathway, sets the timing of S phase entry based on the cell’s current size. Cell-extrinsic variations in the cellular microenvironment affect cell growth rates but not </w:instrText>
      </w:r>
      <w:r>
        <w:rPr>
          <w:rFonts w:ascii="Arial" w:eastAsia="Times New Roman" w:hAnsi="Arial" w:cs="Arial"/>
          <w:color w:val="000000"/>
          <w:lang w:val="en-US" w:eastAsia="de-DE"/>
        </w:rPr>
        <w:instrText>this autonomous coupling. Our work reassesses long-standing models of cell cycle regulation within complex metazoan tissues and identifies cell-autonomous size control as a critical mechanism regulating cell divisions in vivo and thereby a major contributo</w:instrText>
      </w:r>
      <w:r>
        <w:rPr>
          <w:rFonts w:ascii="Arial" w:eastAsia="Times New Roman" w:hAnsi="Arial" w:cs="Arial"/>
          <w:color w:val="000000"/>
          <w:lang w:val="en-US" w:eastAsia="de-DE"/>
        </w:rPr>
        <w:instrText>r to stem cell heterogeneity.\n\n### Competing Interest Statement\n\nThe authors have declared no competing interest.","author":[{"dropping-particle":"","family":"Xie","given":"Shicong","non-dropping-particle":"","parse-names":false,"suffix":""},{"dropping</w:instrText>
      </w:r>
      <w:r>
        <w:rPr>
          <w:rFonts w:ascii="Arial" w:eastAsia="Times New Roman" w:hAnsi="Arial" w:cs="Arial"/>
          <w:color w:val="000000"/>
          <w:lang w:val="en-US" w:eastAsia="de-DE"/>
        </w:rPr>
        <w:instrText>-particle":"","family":"Zhang","given":"Shuyuan","non-dropping-particle":"","parse-names":false,"suffix":""},{"dropping-particle":"de","family":"Medeiros","given":"Gustavo","non-dropping-particle":"","parse-names":false,"suffix":""},{"dropping-particle":""</w:instrText>
      </w:r>
      <w:r>
        <w:rPr>
          <w:rFonts w:ascii="Arial" w:eastAsia="Times New Roman" w:hAnsi="Arial" w:cs="Arial"/>
          <w:color w:val="000000"/>
          <w:lang w:val="en-US" w:eastAsia="de-DE"/>
        </w:rPr>
        <w:instrText>,"family":"Liberali","given":"Prisca","non-dropping-particle":"","parse-names":false,"suffix":""},{"dropping-particle":"","family":"Skotheim","given":"Jan M.","non-dropping-particle":"","parse-names":false,"suffix":""}],"container-title":"bioRxiv","id":"IT</w:instrText>
      </w:r>
      <w:r>
        <w:rPr>
          <w:rFonts w:ascii="Arial" w:eastAsia="Times New Roman" w:hAnsi="Arial" w:cs="Arial"/>
          <w:color w:val="000000"/>
          <w:lang w:val="en-US" w:eastAsia="de-DE"/>
        </w:rPr>
        <w:instrText>EM-3","issued":{"date-parts":[["2024","4","11"]]},"page":"2024.04.09.588781","publisher":"Cold Spring Harbor Laboratory","title":"The G1/S transition in mammalian stem cells in vivo is autonomously regulated by cell size","type":"article-journal"},"uris":[</w:instrText>
      </w:r>
      <w:r>
        <w:rPr>
          <w:rFonts w:ascii="Arial" w:eastAsia="Times New Roman" w:hAnsi="Arial" w:cs="Arial"/>
          <w:color w:val="000000"/>
          <w:lang w:val="en-US" w:eastAsia="de-DE"/>
        </w:rPr>
        <w:instrText>"http://www.mendeley.com/documents/?uuid=544d8681-0e7b-3ddd-ad1d-1a38c6c7fb65"]}],"mendeley":{"formattedCitation":"&lt;sup&gt;271–273&lt;/sup&gt;","plainTextFormattedCitation":"271–273","previouslyFormattedCitation":"&lt;sup&gt;271–273&lt;/sup&gt;"},"properties":{"noteIndex":0},"</w:instrText>
      </w:r>
      <w:r>
        <w:rPr>
          <w:rFonts w:ascii="Arial" w:eastAsia="Times New Roman" w:hAnsi="Arial" w:cs="Arial"/>
          <w:color w:val="000000"/>
          <w:lang w:val="en-US" w:eastAsia="de-DE"/>
        </w:rPr>
        <w:instrText>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271–273</w:t>
      </w:r>
      <w:r>
        <w:rPr>
          <w:rFonts w:ascii="Arial" w:eastAsia="Times New Roman" w:hAnsi="Arial" w:cs="Arial"/>
          <w:color w:val="000000"/>
          <w:lang w:val="en-US" w:eastAsia="de-DE"/>
        </w:rPr>
        <w:fldChar w:fldCharType="end"/>
      </w:r>
      <w:r>
        <w:rPr>
          <w:rFonts w:ascii="Arial" w:eastAsia="Times New Roman" w:hAnsi="Arial" w:cs="Arial"/>
          <w:lang w:val="en-US" w:eastAsia="de-DE"/>
        </w:rPr>
        <w:t xml:space="preserve">. </w:t>
      </w:r>
      <w:r>
        <w:rPr>
          <w:rFonts w:ascii="Arial" w:eastAsia="Times New Roman" w:hAnsi="Arial" w:cs="Arial"/>
          <w:color w:val="000000"/>
          <w:lang w:val="en-US" w:eastAsia="de-DE"/>
        </w:rPr>
        <w:t>In-vivo, cells can have five-fold longer G1 than cultured cells, while showing comparable S/G2/M lengths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w:instrText>
      </w:r>
      <w:r>
        <w:rPr>
          <w:rFonts w:ascii="Arial" w:eastAsia="Times New Roman" w:hAnsi="Arial" w:cs="Arial"/>
          <w:color w:val="000000"/>
          <w:lang w:val="en-US" w:eastAsia="de-DE"/>
        </w:rPr>
        <w:instrText>,"itemData":{"DOI":"10.1038/s41467-018-05393-0","ISSN":"2041-1723","abstract":"Despite decades of research, how mammalian cell size is controlled remains unclear because of the difficulty of directly measuring growth at the single-cell level. Here we repor</w:instrText>
      </w:r>
      <w:r>
        <w:rPr>
          <w:rFonts w:ascii="Arial" w:eastAsia="Times New Roman" w:hAnsi="Arial" w:cs="Arial"/>
          <w:color w:val="000000"/>
          <w:lang w:val="en-US" w:eastAsia="de-DE"/>
        </w:rPr>
        <w:instrText>t direct measurements of single-cell volumes over entire cell cycles on various mammalian cell lines and primary human cells. We find that, in a majority of cell types, the volume added across the cell cycle shows little or no correlation to cell birth siz</w:instrText>
      </w:r>
      <w:r>
        <w:rPr>
          <w:rFonts w:ascii="Arial" w:eastAsia="Times New Roman" w:hAnsi="Arial" w:cs="Arial"/>
          <w:color w:val="000000"/>
          <w:lang w:val="en-US" w:eastAsia="de-DE"/>
        </w:rPr>
        <w:instrText>e, a homeostatic behavior called “adder”. This behavior involves modulation of G1 or S-G2 duration and modulation of growth rate. The precise combination of these mechanisms depends on the cell type and the growth condition. We have developed a mathematica</w:instrText>
      </w:r>
      <w:r>
        <w:rPr>
          <w:rFonts w:ascii="Arial" w:eastAsia="Times New Roman" w:hAnsi="Arial" w:cs="Arial"/>
          <w:color w:val="000000"/>
          <w:lang w:val="en-US" w:eastAsia="de-DE"/>
        </w:rPr>
        <w:instrText>l framework to compare size homeostasis in datasets ranging from bacteria to mammalian cells. This reveals that a near-adder behavior is the most common type of size control and highlights the importance of growth rate modulation to size control in mammali</w:instrText>
      </w:r>
      <w:r>
        <w:rPr>
          <w:rFonts w:ascii="Arial" w:eastAsia="Times New Roman" w:hAnsi="Arial" w:cs="Arial"/>
          <w:color w:val="000000"/>
          <w:lang w:val="en-US" w:eastAsia="de-DE"/>
        </w:rPr>
        <w:instrText>an cells.","author":[{"dropping-particle":"","family":"Cadart","given":"Clotilde","non-dropping-particle":"","parse-names":false,"suffix":""},{"dropping-particle":"","family":"Monnier","given":"Sylvain","non-dropping-particle":"","parse-names":false,"suffi</w:instrText>
      </w:r>
      <w:r>
        <w:rPr>
          <w:rFonts w:ascii="Arial" w:eastAsia="Times New Roman" w:hAnsi="Arial" w:cs="Arial"/>
          <w:color w:val="000000"/>
          <w:lang w:val="en-US" w:eastAsia="de-DE"/>
        </w:rPr>
        <w:instrText>x":""},{"dropping-particle":"","family":"Grilli","given":"Jacopo","non-dropping-particle":"","parse-names":false,"suffix":""},{"dropping-particle":"","family":"Sáez","given":"Pablo J.","non-dropping-particle":"","parse-names":false,"suffix":""},{"dropping-</w:instrText>
      </w:r>
      <w:r>
        <w:rPr>
          <w:rFonts w:ascii="Arial" w:eastAsia="Times New Roman" w:hAnsi="Arial" w:cs="Arial"/>
          <w:color w:val="000000"/>
          <w:lang w:val="en-US" w:eastAsia="de-DE"/>
        </w:rPr>
        <w:instrText>particle":"","family":"Srivastava","given":"Nishit","non-dropping-particle":"","parse-names":false,"suffix":""},{"dropping-particle":"","family":"Attia","given":"Rafaele","non-dropping-particle":"","parse-names":false,"suffix":""},{"dropping-particle":"","</w:instrText>
      </w:r>
      <w:r>
        <w:rPr>
          <w:rFonts w:ascii="Arial" w:eastAsia="Times New Roman" w:hAnsi="Arial" w:cs="Arial"/>
          <w:color w:val="000000"/>
          <w:lang w:val="en-US" w:eastAsia="de-DE"/>
        </w:rPr>
        <w:instrText>family":"Terriac","given":"Emmanuel","non-dropping-particle":"","parse-names":false,"suffix":""},{"dropping-particle":"","family":"Baum","given":"Buzz","non-dropping-particle":"","parse-names":false,"suffix":""},{"dropping-particle":"","family":"Cosentino-</w:instrText>
      </w:r>
      <w:r>
        <w:rPr>
          <w:rFonts w:ascii="Arial" w:eastAsia="Times New Roman" w:hAnsi="Arial" w:cs="Arial"/>
          <w:color w:val="000000"/>
          <w:lang w:val="en-US" w:eastAsia="de-DE"/>
        </w:rPr>
        <w:instrText>Lagomarsino","given":"Marco","non-dropping-particle":"","parse-names":false,"suffix":""},{"dropping-particle":"","family":"Piel","given":"Matthieu","non-dropping-particle":"","parse-names":false,"suffix":""}],"container-title":"Nature Communications","id":</w:instrText>
      </w:r>
      <w:r>
        <w:rPr>
          <w:rFonts w:ascii="Arial" w:eastAsia="Times New Roman" w:hAnsi="Arial" w:cs="Arial"/>
          <w:color w:val="000000"/>
          <w:lang w:val="en-US" w:eastAsia="de-DE"/>
        </w:rPr>
        <w:instrText>"ITEM-1","issue":"1","issued":{"date-parts":[["2018","12","16"]]},"page":"3275","publisher":"Nature Publishing Group","title":"Size control in mammalian cells involves modulation of both growth rate and cell cycle duration","type":"article-journal","volume</w:instrText>
      </w:r>
      <w:r>
        <w:rPr>
          <w:rFonts w:ascii="Arial" w:eastAsia="Times New Roman" w:hAnsi="Arial" w:cs="Arial"/>
          <w:color w:val="000000"/>
          <w:lang w:val="en-US" w:eastAsia="de-DE"/>
        </w:rPr>
        <w:instrText>":"9"},"uris":["http://www.mendeley.com/documents/?uuid=728e7d87-1026-3f9b-b588-fff8b5bafe30"]},{"id":"ITEM-2","itemData":{"DOI":"10.1016/j.cub.2019.12.062","abstract":"Graphical Abstract Highlights d Quantification of mammalian single-cell growth during t</w:instrText>
      </w:r>
      <w:r>
        <w:rPr>
          <w:rFonts w:ascii="Arial" w:eastAsia="Times New Roman" w:hAnsi="Arial" w:cs="Arial"/>
          <w:color w:val="000000"/>
          <w:lang w:val="en-US" w:eastAsia="de-DE"/>
        </w:rPr>
        <w:instrText>issue turnover over a week d Epidermal stem cell growth is faster than linear in vivo d Epidermal stem cells couple growth and cell-cycle progression using a G1 sizer Authors Shicong Xie, Jan M. Skotheim Correspondence skotheim@stanford.edu In Brief Xie an</w:instrText>
      </w:r>
      <w:r>
        <w:rPr>
          <w:rFonts w:ascii="Arial" w:eastAsia="Times New Roman" w:hAnsi="Arial" w:cs="Arial"/>
          <w:color w:val="000000"/>
          <w:lang w:val="en-US" w:eastAsia="de-DE"/>
        </w:rPr>
        <w:instrText>d Skotheim quantify single-cell growth from longitudinal imaging of mouse epidermal stem cells over 1 week. Epidermal stem cells grow faster than linearly in vivo and couple cell growth and cell-cycle progression using a G1 sizer.","author":[{"dropping-par</w:instrText>
      </w:r>
      <w:r>
        <w:rPr>
          <w:rFonts w:ascii="Arial" w:eastAsia="Times New Roman" w:hAnsi="Arial" w:cs="Arial"/>
          <w:color w:val="000000"/>
          <w:lang w:val="en-US" w:eastAsia="de-DE"/>
        </w:rPr>
        <w:instrText>ticle":"","family":"Xie","given":"Shicong","non-dropping-particle":"","parse-names":false,"suffix":""},{"dropping-particle":"","family":"Skotheim","given":"Jan M","non-dropping-particle":"","parse-names":false,"suffix":""}],"id":"ITEM-2","issued":{"date-pa</w:instrText>
      </w:r>
      <w:r>
        <w:rPr>
          <w:rFonts w:ascii="Arial" w:eastAsia="Times New Roman" w:hAnsi="Arial" w:cs="Arial"/>
          <w:color w:val="000000"/>
          <w:lang w:val="en-US" w:eastAsia="de-DE"/>
        </w:rPr>
        <w:instrText>rts":[["2020"]]},"title":"A G1 Sizer Coordinates Growth and Division in the Mouse Epidermis","type":"article-journal"},"uris":["http://www.mendeley.com/documents/?uuid=4265bd58-095a-3604-a4e2-19a24072ee4f"]},{"id":"ITEM-3","itemData":{"DOI":"10.7554/ELIFE.</w:instrText>
      </w:r>
      <w:r>
        <w:rPr>
          <w:rFonts w:ascii="Arial" w:eastAsia="Times New Roman" w:hAnsi="Arial" w:cs="Arial"/>
          <w:color w:val="000000"/>
          <w:lang w:val="en-US" w:eastAsia="de-DE"/>
        </w:rPr>
        <w:instrText>79919","ISSN":"2050084X","abstract":"Cell size is controlled to be within a specific range to support physiological function. To control their size, cells use diverse mechanisms ranging from ‘sizers’, in which differences in cell size are compensated for i</w:instrText>
      </w:r>
      <w:r>
        <w:rPr>
          <w:rFonts w:ascii="Arial" w:eastAsia="Times New Roman" w:hAnsi="Arial" w:cs="Arial"/>
          <w:color w:val="000000"/>
          <w:lang w:val="en-US" w:eastAsia="de-DE"/>
        </w:rPr>
        <w:instrText>n a single cell division cycle, to ‘adders’, in which a constant amount of cell growth occurs in each cell cycle. This diversity raises the question why a particular cell would implement one rather than another mechanism? To address this question, we perfo</w:instrText>
      </w:r>
      <w:r>
        <w:rPr>
          <w:rFonts w:ascii="Arial" w:eastAsia="Times New Roman" w:hAnsi="Arial" w:cs="Arial"/>
          <w:color w:val="000000"/>
          <w:lang w:val="en-US" w:eastAsia="de-DE"/>
        </w:rPr>
        <w:instrText>rmed a series of simulations evolving cell size control networks. The size control mechanism that evolved was influenced by both cell cycle structure and specific selection pressures. Moreover, evolved networks recapitulated known size control properties o</w:instrText>
      </w:r>
      <w:r>
        <w:rPr>
          <w:rFonts w:ascii="Arial" w:eastAsia="Times New Roman" w:hAnsi="Arial" w:cs="Arial"/>
          <w:color w:val="000000"/>
          <w:lang w:val="en-US" w:eastAsia="de-DE"/>
        </w:rPr>
        <w:instrText>f naturally occurring networks. If the mechanism is based on a G1 size control and an S/G2/M timer, as found for budding yeast and some human cells, adders likely evolve. But, if the G1 phase is significantly longer than the S/G2/M phase, as is often the c</w:instrText>
      </w:r>
      <w:r>
        <w:rPr>
          <w:rFonts w:ascii="Arial" w:eastAsia="Times New Roman" w:hAnsi="Arial" w:cs="Arial"/>
          <w:color w:val="000000"/>
          <w:lang w:val="en-US" w:eastAsia="de-DE"/>
        </w:rPr>
        <w:instrText>ase in mammalian cells in vivo, sizers become more likely. Sizers also evolve when the cell cycle structure is inverted so that G1 is a timer, while S/G2/M performs size control, as is the case for the fission yeast S. pombe. For some size control networks</w:instrText>
      </w:r>
      <w:r>
        <w:rPr>
          <w:rFonts w:ascii="Arial" w:eastAsia="Times New Roman" w:hAnsi="Arial" w:cs="Arial"/>
          <w:color w:val="000000"/>
          <w:lang w:val="en-US" w:eastAsia="de-DE"/>
        </w:rPr>
        <w:instrText xml:space="preserve">, cell size consistently decreases in each cycle until a burst of cell cycle inhibitor drives an extended G1 phase much like the cell division cycle of the green algae Chlamydomonas. That these size control networks evolved such self-organized criticality </w:instrText>
      </w:r>
      <w:r>
        <w:rPr>
          <w:rFonts w:ascii="Arial" w:eastAsia="Times New Roman" w:hAnsi="Arial" w:cs="Arial"/>
          <w:color w:val="000000"/>
          <w:lang w:val="en-US" w:eastAsia="de-DE"/>
        </w:rPr>
        <w:instrText>shows how the evolution of complex systems can drive the emergence of critical processes.","author":[{"dropping-particle":"","family":"Proulx-Giraldeau","given":"Félix","non-dropping-particle":"","parse-names":false,"suffix":""},{"dropping-particle":"","fa</w:instrText>
      </w:r>
      <w:r>
        <w:rPr>
          <w:rFonts w:ascii="Arial" w:eastAsia="Times New Roman" w:hAnsi="Arial" w:cs="Arial"/>
          <w:color w:val="000000"/>
          <w:lang w:val="en-US" w:eastAsia="de-DE"/>
        </w:rPr>
        <w:instrText>mily":"Skotheim","given":"Jan M.","non-dropping-particle":"","parse-names":false,"suffix":""},{"dropping-particle":"","family":"Francois","given":"Paul","non-dropping-particle":"","parse-names":false,"suffix":""}],"container-title":"eLife","id":"ITEM-3","i</w:instrText>
      </w:r>
      <w:r>
        <w:rPr>
          <w:rFonts w:ascii="Arial" w:eastAsia="Times New Roman" w:hAnsi="Arial" w:cs="Arial"/>
          <w:color w:val="000000"/>
          <w:lang w:val="en-US" w:eastAsia="de-DE"/>
        </w:rPr>
        <w:instrText>ssued":{"date-parts":[["2022","9","1"]]},"publisher":"eLife Sciences Publications Ltd","title":"Evolution of cell size control is canalized towards adders or sizers by cell cycle structure and selective pressures","type":"article-journal","volume":"11"},"u</w:instrText>
      </w:r>
      <w:r>
        <w:rPr>
          <w:rFonts w:ascii="Arial" w:eastAsia="Times New Roman" w:hAnsi="Arial" w:cs="Arial"/>
          <w:color w:val="000000"/>
          <w:lang w:val="en-US" w:eastAsia="de-DE"/>
        </w:rPr>
        <w:instrText>ris":["http://www.mendeley.com/documents/?uuid=e389467c-8414-33a5-bf95-173c9c77a8e7"]}],"mendeley":{"formattedCitation":"&lt;sup&gt;253,271,273&lt;/sup&gt;","plainTextFormattedCitation":"253,271,273","previouslyFormattedCitation":"&lt;sup&gt;253,271,273&lt;/sup&gt;"},"properties"</w:instrText>
      </w:r>
      <w:r>
        <w:rPr>
          <w:rFonts w:ascii="Arial" w:eastAsia="Times New Roman" w:hAnsi="Arial" w:cs="Arial"/>
          <w:color w:val="000000"/>
          <w:lang w:val="en-US" w:eastAsia="de-DE"/>
        </w:rPr>
        <w:instrText>:{"noteIndex":0},"schema":"https://github.com/citation-style-language/schema/raw/master/csl-citation.json"}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253,271,273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Proulx-</w:t>
      </w:r>
      <w:proofErr w:type="spellStart"/>
      <w:r>
        <w:rPr>
          <w:rFonts w:ascii="Arial" w:eastAsia="Times New Roman" w:hAnsi="Arial" w:cs="Arial"/>
          <w:color w:val="000000"/>
          <w:lang w:val="en-US" w:eastAsia="de-DE"/>
        </w:rPr>
        <w:t>Giraldeau</w:t>
      </w:r>
      <w:proofErr w:type="spellEnd"/>
      <w:r>
        <w:rPr>
          <w:rFonts w:ascii="Arial" w:eastAsia="Times New Roman" w:hAnsi="Arial" w:cs="Arial"/>
          <w:color w:val="000000"/>
          <w:lang w:val="en-US" w:eastAsia="de-DE"/>
        </w:rPr>
        <w:t xml:space="preserve">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{"citationItems":[{"id":"ITEM-1","itemData":{"DOI":"10.7554/ELIFE.79919","ISSN":"2050084X",</w:instrText>
      </w:r>
      <w:r>
        <w:rPr>
          <w:rFonts w:ascii="Arial" w:eastAsia="Times New Roman" w:hAnsi="Arial" w:cs="Arial"/>
          <w:color w:val="000000"/>
          <w:lang w:val="en-US" w:eastAsia="de-DE"/>
        </w:rPr>
        <w:instrText xml:space="preserve">"abstract":"Cell size is controlled to be within a specific range to support physiological function. To control their size, cells use diverse mechanisms ranging from ‘sizers’, in which differences in cell size are compensated for in a single cell division </w:instrText>
      </w:r>
      <w:r>
        <w:rPr>
          <w:rFonts w:ascii="Arial" w:eastAsia="Times New Roman" w:hAnsi="Arial" w:cs="Arial"/>
          <w:color w:val="000000"/>
          <w:lang w:val="en-US" w:eastAsia="de-DE"/>
        </w:rPr>
        <w:instrText>cycle, to ‘adders’, in which a constant amount of cell growth occurs in each cell cycle. This diversity raises the question why a particular cell would implement one rather than another mechanism? To address this question, we performed a series of simulati</w:instrText>
      </w:r>
      <w:r>
        <w:rPr>
          <w:rFonts w:ascii="Arial" w:eastAsia="Times New Roman" w:hAnsi="Arial" w:cs="Arial"/>
          <w:color w:val="000000"/>
          <w:lang w:val="en-US" w:eastAsia="de-DE"/>
        </w:rPr>
        <w:instrText>ons evolving cell size control networks. The size control mechanism that evolved was influenced by both cell cycle structure and specific selection pressures. Moreover, evolved networks recapitulated known size control properties of naturally occurring net</w:instrText>
      </w:r>
      <w:r>
        <w:rPr>
          <w:rFonts w:ascii="Arial" w:eastAsia="Times New Roman" w:hAnsi="Arial" w:cs="Arial"/>
          <w:color w:val="000000"/>
          <w:lang w:val="en-US" w:eastAsia="de-DE"/>
        </w:rPr>
        <w:instrText>works. If the mechanism is based on a G1 size control and an S/G2/M timer, as found for budding yeast and some human cells, adders likely evolve. But, if the G1 phase is significantly longer than the S/G2/M phase, as is often the case in mammalian cells in</w:instrText>
      </w:r>
      <w:r>
        <w:rPr>
          <w:rFonts w:ascii="Arial" w:eastAsia="Times New Roman" w:hAnsi="Arial" w:cs="Arial"/>
          <w:color w:val="000000"/>
          <w:lang w:val="en-US" w:eastAsia="de-DE"/>
        </w:rPr>
        <w:instrText xml:space="preserve"> vivo, sizers become more likely. Sizers also evolve when the cell cycle structure is inverted so that G1 is a timer, while S/G2/M performs size control, as is the case for the fission yeast S. pombe. For some size control networks, cell size consistently </w:instrText>
      </w:r>
      <w:r>
        <w:rPr>
          <w:rFonts w:ascii="Arial" w:eastAsia="Times New Roman" w:hAnsi="Arial" w:cs="Arial"/>
          <w:color w:val="000000"/>
          <w:lang w:val="en-US" w:eastAsia="de-DE"/>
        </w:rPr>
        <w:instrText>decreases in each cycle until a burst of cell cycle inhibitor drives an extended G1 phase much like the cell division cycle of the green algae Chlamydomonas. That these size control networks evolved such self-organized criticality shows how the evolution o</w:instrText>
      </w:r>
      <w:r>
        <w:rPr>
          <w:rFonts w:ascii="Arial" w:eastAsia="Times New Roman" w:hAnsi="Arial" w:cs="Arial"/>
          <w:color w:val="000000"/>
          <w:lang w:val="en-US" w:eastAsia="de-DE"/>
        </w:rPr>
        <w:instrText>f complex systems can drive the emergence of critical processes.","author":[{"dropping-particle":"","family":"Proulx-Giraldeau","given":"Félix","non-dropping-particle":"","parse-names":false,"suffix":""},{"dropping-particle":"","family":"Skotheim","given":</w:instrText>
      </w:r>
      <w:r>
        <w:rPr>
          <w:rFonts w:ascii="Arial" w:eastAsia="Times New Roman" w:hAnsi="Arial" w:cs="Arial"/>
          <w:color w:val="000000"/>
          <w:lang w:val="en-US" w:eastAsia="de-DE"/>
        </w:rPr>
        <w:instrText>"Jan M.","non-dropping-particle":"","parse-names":false,"suffix":""},{"dropping-particle":"","family":"Francois","given":"Paul","non-dropping-particle":"","parse-names":false,"suffix":""}],"container-title":"eLife","id":"ITEM-1","issued":{"date-parts":[["2</w:instrText>
      </w:r>
      <w:r>
        <w:rPr>
          <w:rFonts w:ascii="Arial" w:eastAsia="Times New Roman" w:hAnsi="Arial" w:cs="Arial"/>
          <w:color w:val="000000"/>
          <w:lang w:val="en-US" w:eastAsia="de-DE"/>
        </w:rPr>
        <w:instrText>022","9","1"]]},"publisher":"eLife Sciences Publications Ltd","title":"Evolution of cell size control is canalized towards adders or sizers by cell cycle structure and selective pressures","type":"article-journal","volume":"11"},"uris":["http://www.mendele</w:instrText>
      </w:r>
      <w:r>
        <w:rPr>
          <w:rFonts w:ascii="Arial" w:eastAsia="Times New Roman" w:hAnsi="Arial" w:cs="Arial"/>
          <w:color w:val="000000"/>
          <w:lang w:val="en-US" w:eastAsia="de-DE"/>
        </w:rPr>
        <w:instrText>y.com/documents/?uuid=e389467c-8414-33a5-bf95-173c9c77a8e7"]}],"mendeley":{"formattedCitation":"&lt;sup&gt;273&lt;/sup&gt;","plainTextFormattedCitation":"273","previouslyFormattedCitation":"&lt;sup&gt;273&lt;/sup&gt;"},"properties":{"noteIndex":0},"schema":"https://github.com/cit</w:instrText>
      </w:r>
      <w:r>
        <w:rPr>
          <w:rFonts w:ascii="Arial" w:eastAsia="Times New Roman" w:hAnsi="Arial" w:cs="Arial"/>
          <w:color w:val="000000"/>
          <w:lang w:val="en-US" w:eastAsia="de-DE"/>
        </w:rPr>
        <w:instrTex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hypothesize that the emergent size-control behavior over the complete cell cycle depends on the relative lengths of the sizer-G1-phase and the timer-S/G2/M-phase. Their model shows that the s</w:t>
      </w:r>
      <w:r>
        <w:rPr>
          <w:rFonts w:ascii="Arial" w:eastAsia="Times New Roman" w:hAnsi="Arial" w:cs="Arial"/>
          <w:color w:val="000000"/>
          <w:lang w:val="en-US" w:eastAsia="de-DE"/>
        </w:rPr>
        <w:t>ize control mechanism of the entire cell cycle is dominated by the size control mechanism observed in the longer cell-cycle phase</w:t>
      </w:r>
      <w:r>
        <w:rPr>
          <w:rFonts w:ascii="Arial" w:eastAsia="Times New Roman" w:hAnsi="Arial" w:cs="Arial"/>
          <w:i/>
          <w:iCs/>
          <w:color w:val="000000"/>
          <w:lang w:val="en-US" w:eastAsia="de-DE"/>
        </w:rPr>
        <w:t>. </w:t>
      </w:r>
    </w:p>
    <w:p w14:paraId="06999B13"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7.1.2 Accumulation of a reporter:</w:t>
      </w:r>
    </w:p>
    <w:p w14:paraId="4DDECF77" w14:textId="77777777" w:rsidR="00066D11" w:rsidRDefault="00E55468">
      <w:pPr>
        <w:spacing w:before="240" w:after="240" w:line="240" w:lineRule="auto"/>
        <w:jc w:val="both"/>
        <w:rPr>
          <w:rFonts w:ascii="Arial" w:eastAsia="Times New Roman" w:hAnsi="Arial" w:cs="Arial"/>
          <w:lang w:val="en-US" w:eastAsia="de-DE"/>
        </w:rPr>
      </w:pPr>
      <w:proofErr w:type="gramStart"/>
      <w:r>
        <w:rPr>
          <w:rFonts w:ascii="Arial" w:eastAsia="Times New Roman" w:hAnsi="Arial" w:cs="Arial"/>
          <w:color w:val="000000"/>
          <w:lang w:val="en-US" w:eastAsia="de-DE"/>
        </w:rPr>
        <w:t>Similar to</w:t>
      </w:r>
      <w:proofErr w:type="gramEnd"/>
      <w:r>
        <w:rPr>
          <w:rFonts w:ascii="Arial" w:eastAsia="Times New Roman" w:hAnsi="Arial" w:cs="Arial"/>
          <w:color w:val="000000"/>
          <w:lang w:val="en-US" w:eastAsia="de-DE"/>
        </w:rPr>
        <w:t xml:space="preserve"> </w:t>
      </w:r>
      <w:proofErr w:type="spellStart"/>
      <w:r>
        <w:rPr>
          <w:rFonts w:ascii="Arial" w:eastAsia="Times New Roman" w:hAnsi="Arial" w:cs="Arial"/>
          <w:color w:val="000000"/>
          <w:lang w:val="en-US" w:eastAsia="de-DE"/>
        </w:rPr>
        <w:t>subscaling</w:t>
      </w:r>
      <w:proofErr w:type="spellEnd"/>
      <w:r>
        <w:rPr>
          <w:rFonts w:ascii="Arial" w:eastAsia="Times New Roman" w:hAnsi="Arial" w:cs="Arial"/>
          <w:color w:val="000000"/>
          <w:lang w:val="en-US" w:eastAsia="de-DE"/>
        </w:rPr>
        <w:t xml:space="preserve"> inhibitors of cell cycle progression, also </w:t>
      </w:r>
      <w:proofErr w:type="spellStart"/>
      <w:r>
        <w:rPr>
          <w:rFonts w:ascii="Arial" w:eastAsia="Times New Roman" w:hAnsi="Arial" w:cs="Arial"/>
          <w:color w:val="000000"/>
          <w:lang w:val="en-US" w:eastAsia="de-DE"/>
        </w:rPr>
        <w:t>superscaling</w:t>
      </w:r>
      <w:proofErr w:type="spellEnd"/>
      <w:r>
        <w:rPr>
          <w:rFonts w:ascii="Arial" w:eastAsia="Times New Roman" w:hAnsi="Arial" w:cs="Arial"/>
          <w:color w:val="000000"/>
          <w:lang w:val="en-US" w:eastAsia="de-DE"/>
        </w:rPr>
        <w:t xml:space="preserve"> activators c</w:t>
      </w:r>
      <w:r>
        <w:rPr>
          <w:rFonts w:ascii="Arial" w:eastAsia="Times New Roman" w:hAnsi="Arial" w:cs="Arial"/>
          <w:color w:val="000000"/>
          <w:lang w:val="en-US" w:eastAsia="de-DE"/>
        </w:rPr>
        <w:t xml:space="preserve">an be reporters of cell size. In this case, a protein accumulates with cell growth and its increasing concentration serves as a readout of cell size. Such a strategy for size control has, for example, been observed in the single-celled </w:t>
      </w:r>
      <w:r>
        <w:rPr>
          <w:rFonts w:ascii="Arial" w:eastAsia="Times New Roman" w:hAnsi="Arial" w:cs="Arial"/>
          <w:b/>
          <w:bCs/>
          <w:color w:val="000000"/>
          <w:lang w:val="en-US" w:eastAsia="de-DE"/>
        </w:rPr>
        <w:t>alga</w:t>
      </w:r>
      <w:r>
        <w:rPr>
          <w:rFonts w:ascii="Arial" w:eastAsia="Times New Roman" w:hAnsi="Arial" w:cs="Arial"/>
          <w:color w:val="000000"/>
          <w:lang w:val="en-US" w:eastAsia="de-DE"/>
        </w:rPr>
        <w:t xml:space="preserve"> </w:t>
      </w:r>
      <w:r>
        <w:rPr>
          <w:rFonts w:ascii="Arial" w:eastAsia="Times New Roman" w:hAnsi="Arial" w:cs="Arial"/>
          <w:i/>
          <w:iCs/>
          <w:color w:val="000000"/>
          <w:lang w:val="en-US" w:eastAsia="de-DE"/>
        </w:rPr>
        <w:t>Chlamydomonas reinhardtii</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{"citationItems":[{"id":"ITEM-1","itemData":{"DOI":"10.7554/eLife.10767","ISSN":"2050-084X (Electronic)","PMID":"27015111","abstract":"Proliferating cells actively control their size by mechanisms that are poorly</w:instrText>
      </w:r>
      <w:r>
        <w:rPr>
          <w:rFonts w:ascii="Arial" w:eastAsia="Times New Roman" w:hAnsi="Arial" w:cs="Arial"/>
          <w:i/>
          <w:iCs/>
          <w:color w:val="000000"/>
          <w:lang w:val="en-US" w:eastAsia="de-DE"/>
        </w:rPr>
        <w:instrText xml:space="preserve"> understood. The unicellular green alga Chlamydomonas reinhardtii divides by multiple fission, wherein a 'counting' mechanism couples mother cell-size to cell division number allowing production of uniform-sized daughters. We identified a sizer protein, CD</w:instrText>
      </w:r>
      <w:r>
        <w:rPr>
          <w:rFonts w:ascii="Arial" w:eastAsia="Times New Roman" w:hAnsi="Arial" w:cs="Arial"/>
          <w:i/>
          <w:iCs/>
          <w:color w:val="000000"/>
          <w:lang w:val="en-US" w:eastAsia="de-DE"/>
        </w:rPr>
        <w:instrText>KG1, that acts through the retinoblastoma (RB) tumor suppressor pathway as a D-cyclin-dependent RB kinase to regulate mitotic counting. Loss of CDKG1 leads to fewer mitotic divisions and large daughters, while mis-expression of CDKG1 causes supernumerous m</w:instrText>
      </w:r>
      <w:r>
        <w:rPr>
          <w:rFonts w:ascii="Arial" w:eastAsia="Times New Roman" w:hAnsi="Arial" w:cs="Arial"/>
          <w:i/>
          <w:iCs/>
          <w:color w:val="000000"/>
          <w:lang w:val="en-US" w:eastAsia="de-DE"/>
        </w:rPr>
        <w:instrText>itotic divisions and small daughters. The concentration of nuclear-localized CDKG1 in pre-mitotic cells is set by mother cell size, and its progressive dilution and degradation with each round of cell division may provide a link between mother cell-size an</w:instrText>
      </w:r>
      <w:r>
        <w:rPr>
          <w:rFonts w:ascii="Arial" w:eastAsia="Times New Roman" w:hAnsi="Arial" w:cs="Arial"/>
          <w:i/>
          <w:iCs/>
          <w:color w:val="000000"/>
          <w:lang w:val="en-US" w:eastAsia="de-DE"/>
        </w:rPr>
        <w:instrText>d mitotic division number. Cell-size-dependent accumulation of limiting cell cycle regulators such as CDKG1 is a potentially general mechanism for size control.","author":[{"dropping-particle":"","family":"Li","given":"Yubing","non-dropping-particle":"","p</w:instrText>
      </w:r>
      <w:r>
        <w:rPr>
          <w:rFonts w:ascii="Arial" w:eastAsia="Times New Roman" w:hAnsi="Arial" w:cs="Arial"/>
          <w:i/>
          <w:iCs/>
          <w:color w:val="000000"/>
          <w:lang w:val="en-US" w:eastAsia="de-DE"/>
        </w:rPr>
        <w:instrText>arse-names":false,"suffix":""},{"dropping-particle":"","family":"Liu","given":"Dianyi","non-dropping-particle":"","parse-names":false,"suffix":""},{"dropping-particle":"","family":"Lopez-Paz","given":"Cristina","non-dropping-particle":"","parse-names":fals</w:instrText>
      </w:r>
      <w:r>
        <w:rPr>
          <w:rFonts w:ascii="Arial" w:eastAsia="Times New Roman" w:hAnsi="Arial" w:cs="Arial"/>
          <w:i/>
          <w:iCs/>
          <w:color w:val="000000"/>
          <w:lang w:val="en-US" w:eastAsia="de-DE"/>
        </w:rPr>
        <w:instrText>e,"suffix":""},{"dropping-particle":"","family":"Olson","given":"Bradley Jsc","non-dropping-particle":"","parse-names":false,"suffix":""},{"dropping-particle":"","family":"Umen","given":"James G","non-dropping-particle":"","parse-names":false,"suffix":""}]</w:instrText>
      </w:r>
      <w:r>
        <w:rPr>
          <w:rFonts w:ascii="Arial" w:eastAsia="Times New Roman" w:hAnsi="Arial" w:cs="Arial"/>
          <w:i/>
          <w:iCs/>
          <w:color w:val="000000"/>
          <w:lang w:val="en-US" w:eastAsia="de-DE"/>
        </w:rPr>
        <w:instrText>,"container-title":"eLife","id":"ITEM-1","issued":{"date-parts":[["2016"]]},"language":"eng","page":"e10767","publisher-place":"England","title":"A new class of cyclin dependent kinase in Chlamydomonas is required for coupling  cell size to cell division."</w:instrText>
      </w:r>
      <w:r>
        <w:rPr>
          <w:rFonts w:ascii="Arial" w:eastAsia="Times New Roman" w:hAnsi="Arial" w:cs="Arial"/>
          <w:i/>
          <w:iCs/>
          <w:color w:val="000000"/>
          <w:lang w:val="en-US" w:eastAsia="de-DE"/>
        </w:rPr>
        <w:instrText>,"type":"article-journal","volume":"5"},"uris":["http://www.mendeley.com/documents/?uuid=7a4bf017-f80a-446c-90dc-ef455c8d031f"]}],"mendeley":{"formattedCitation":"&lt;sup&gt;48&lt;/sup&gt;","plainTextFormattedCitation":"48","previouslyFormattedCitation":"&lt;sup&gt;48&lt;/sup&gt;</w:instrText>
      </w:r>
      <w:r>
        <w:rPr>
          <w:rFonts w:ascii="Arial" w:eastAsia="Times New Roman" w:hAnsi="Arial" w:cs="Arial"/>
          <w:i/>
          <w:iCs/>
          <w:color w:val="000000"/>
          <w:lang w:val="en-US" w:eastAsia="de-DE"/>
        </w:rPr>
        <w:instrText>"},"properties":{"noteIndex":0},"schema":"https://github.com/citation-style-language/schema/raw/master/csl-citation.json"}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48</w:t>
      </w:r>
      <w:r>
        <w:rPr>
          <w:rFonts w:ascii="Arial" w:eastAsia="Times New Roman" w:hAnsi="Arial" w:cs="Arial"/>
          <w:i/>
          <w:iCs/>
          <w:color w:val="000000"/>
          <w:lang w:val="en-US" w:eastAsia="de-DE"/>
        </w:rPr>
        <w:fldChar w:fldCharType="end"/>
      </w:r>
      <w:r>
        <w:rPr>
          <w:rFonts w:ascii="Arial" w:eastAsia="Times New Roman" w:hAnsi="Arial" w:cs="Arial"/>
          <w:i/>
          <w:iCs/>
          <w:color w:val="000000"/>
          <w:lang w:val="en-US" w:eastAsia="de-DE"/>
        </w:rPr>
        <w:t xml:space="preserve"> </w:t>
      </w:r>
      <w:r>
        <w:rPr>
          <w:rFonts w:ascii="Arial" w:eastAsia="Times New Roman" w:hAnsi="Arial" w:cs="Arial"/>
          <w:iCs/>
          <w:color w:val="000000"/>
          <w:lang w:val="en-US" w:eastAsia="de-DE"/>
        </w:rPr>
        <w:t>(Fig. 6f)</w:t>
      </w:r>
      <w:r>
        <w:rPr>
          <w:rFonts w:ascii="Arial" w:eastAsia="Times New Roman" w:hAnsi="Arial" w:cs="Arial"/>
          <w:color w:val="000000"/>
          <w:lang w:val="en-US" w:eastAsia="de-DE"/>
        </w:rPr>
        <w:t xml:space="preserve">. To understand how accumulation of a reporter is converted into a size signal in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color w:val="000000"/>
          <w:lang w:val="en-US" w:eastAsia="de-DE"/>
        </w:rPr>
        <w:t>, it is important to fi</w:t>
      </w:r>
      <w:r>
        <w:rPr>
          <w:rFonts w:ascii="Arial" w:eastAsia="Times New Roman" w:hAnsi="Arial" w:cs="Arial"/>
          <w:color w:val="000000"/>
          <w:lang w:val="en-US" w:eastAsia="de-DE"/>
        </w:rPr>
        <w:t>rst understand its unique multiple fission cell cycle. </w:t>
      </w:r>
    </w:p>
    <w:p w14:paraId="77C9DE78"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Given the alga’s photosynthetic abilities, its cell cycle can synchronize to a diurnal light cycle. If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i/>
          <w:iCs/>
          <w:color w:val="000000"/>
          <w:lang w:val="en-US" w:eastAsia="de-DE"/>
        </w:rPr>
        <w:t xml:space="preserve"> </w:t>
      </w:r>
      <w:r>
        <w:rPr>
          <w:rFonts w:ascii="Arial" w:eastAsia="Times New Roman" w:hAnsi="Arial" w:cs="Arial"/>
          <w:color w:val="000000"/>
          <w:lang w:val="en-US" w:eastAsia="de-DE"/>
        </w:rPr>
        <w:t>cells are grown in a cycle of, for example, 12 hours of light followed by 12 hours</w:t>
      </w:r>
      <w:r>
        <w:rPr>
          <w:rFonts w:ascii="Arial" w:eastAsia="Times New Roman" w:hAnsi="Arial" w:cs="Arial"/>
          <w:color w:val="000000"/>
          <w:lang w:val="en-US" w:eastAsia="de-DE"/>
        </w:rPr>
        <w:t xml:space="preserve"> of darkness, the growth phase (G1) occurs during the light phase and the division phase (S/M), also known as the multiple fission phase, occurs during the dark phase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{"citationItems":[{"id":"ITEM-1","itemData":{"DOI":"10.1111/TPJ.12795",</w:instrText>
      </w:r>
      <w:r>
        <w:rPr>
          <w:rFonts w:ascii="Arial" w:eastAsia="Times New Roman" w:hAnsi="Arial" w:cs="Arial"/>
          <w:color w:val="000000"/>
          <w:lang w:val="en-US" w:eastAsia="de-DE"/>
        </w:rPr>
        <w:instrText xml:space="preserve">"ISSN":"1365-313X","PMID":"25690512","abstract":"Summary The position of Chlamydomonas within the eukaryotic phylogeny makes it a unique model in at least two important ways: as a representative of the critically important, early-diverging lineage leading </w:instrText>
      </w:r>
      <w:r>
        <w:rPr>
          <w:rFonts w:ascii="Arial" w:eastAsia="Times New Roman" w:hAnsi="Arial" w:cs="Arial"/>
          <w:color w:val="000000"/>
          <w:lang w:val="en-US" w:eastAsia="de-DE"/>
        </w:rPr>
        <w:instrText>to plants; and as a microbe retaining important features of the last eukaryotic common ancestor (LECA) that has been lost in the highly studied yeast lineages. Its cell biology has been studied for many decades and it has well-developed experimental geneti</w:instrText>
      </w:r>
      <w:r>
        <w:rPr>
          <w:rFonts w:ascii="Arial" w:eastAsia="Times New Roman" w:hAnsi="Arial" w:cs="Arial"/>
          <w:color w:val="000000"/>
          <w:lang w:val="en-US" w:eastAsia="de-DE"/>
        </w:rPr>
        <w:instrText>c tools, both classical (Mendelian) and molecular. Unlike land plants, it is a haploid with very few gene duplicates, making it ideal for loss-of-function genetic studies. The Chlamydomonas cell cycle has a striking temporal and functional separation betwe</w:instrText>
      </w:r>
      <w:r>
        <w:rPr>
          <w:rFonts w:ascii="Arial" w:eastAsia="Times New Roman" w:hAnsi="Arial" w:cs="Arial"/>
          <w:color w:val="000000"/>
          <w:lang w:val="en-US" w:eastAsia="de-DE"/>
        </w:rPr>
        <w:instrText>en cell growth and rapid cell division, probably connected to the interplay between diurnal cycles that drive photosynthetic cell growth and the cell division cycle; it also exhibits a highly choreographed interaction between the cell cycle and its centrio</w:instrText>
      </w:r>
      <w:r>
        <w:rPr>
          <w:rFonts w:ascii="Arial" w:eastAsia="Times New Roman" w:hAnsi="Arial" w:cs="Arial"/>
          <w:color w:val="000000"/>
          <w:lang w:val="en-US" w:eastAsia="de-DE"/>
        </w:rPr>
        <w:instrText>le-basal body-flagellar cycle. Here, we review the current status of studies of the Chlamydomonas cell cycle. We begin with an overview of cell-cycle control in the well-studied yeast and animal systems, which has yielded a canonical, well-supported model.</w:instrText>
      </w:r>
      <w:r>
        <w:rPr>
          <w:rFonts w:ascii="Arial" w:eastAsia="Times New Roman" w:hAnsi="Arial" w:cs="Arial"/>
          <w:color w:val="000000"/>
          <w:lang w:val="en-US" w:eastAsia="de-DE"/>
        </w:rPr>
        <w:instrText xml:space="preserve"> We discuss briefly what is known about similarities and differences in plant cell-cycle control, compared with this model. We next review the cytology and cell biology of the multiple-fission cell cycle of Chlamydomonas. Lastly, we review recent genetic a</w:instrText>
      </w:r>
      <w:r>
        <w:rPr>
          <w:rFonts w:ascii="Arial" w:eastAsia="Times New Roman" w:hAnsi="Arial" w:cs="Arial"/>
          <w:color w:val="000000"/>
          <w:lang w:val="en-US" w:eastAsia="de-DE"/>
        </w:rPr>
        <w:instrText>pproaches and insights into Chlamydomonas cell-cycle regulation that have been enabled by a new generation of genomics-based tools. Significance Statement Chlamydomonas is an excellent model for many areas of eukaryotic biology, including the cell cycle. I</w:instrText>
      </w:r>
      <w:r>
        <w:rPr>
          <w:rFonts w:ascii="Arial" w:eastAsia="Times New Roman" w:hAnsi="Arial" w:cs="Arial"/>
          <w:color w:val="000000"/>
          <w:lang w:val="en-US" w:eastAsia="de-DE"/>
        </w:rPr>
        <w:instrText>ts phylogenetic position in the green lineage and its utility as a microbial genetic system give this organism great potential for addressing unanswered questions about eukaryotic cell cycle control and for defining new regulatory mechanisms that govern ce</w:instrText>
      </w:r>
      <w:r>
        <w:rPr>
          <w:rFonts w:ascii="Arial" w:eastAsia="Times New Roman" w:hAnsi="Arial" w:cs="Arial"/>
          <w:color w:val="000000"/>
          <w:lang w:val="en-US" w:eastAsia="de-DE"/>
        </w:rPr>
        <w:instrText>ll cycle progression.","author":[{"dropping-particle":"","family":"Cross","given":"Frederick R.","non-dropping-particle":"","parse-names":false,"suffix":""},{"dropping-particle":"","family":"Umen","given":"James G.","non-dropping-particle":"","parse-names"</w:instrText>
      </w:r>
      <w:r>
        <w:rPr>
          <w:rFonts w:ascii="Arial" w:eastAsia="Times New Roman" w:hAnsi="Arial" w:cs="Arial"/>
          <w:color w:val="000000"/>
          <w:lang w:val="en-US" w:eastAsia="de-DE"/>
        </w:rPr>
        <w:instrText>:false,"suffix":""}],"container-title":"The Plant Journal","id":"ITEM-1","issue":"3","issued":{"date-parts":[["2015","5","1"]]},"page":"370-392","publisher":"John Wiley &amp; Sons, Ltd","title":"The Chlamydomonas cell cycle","type":"article-journal","volume":"</w:instrText>
      </w:r>
      <w:r>
        <w:rPr>
          <w:rFonts w:ascii="Arial" w:eastAsia="Times New Roman" w:hAnsi="Arial" w:cs="Arial"/>
          <w:color w:val="000000"/>
          <w:lang w:val="en-US" w:eastAsia="de-DE"/>
        </w:rPr>
        <w:instrText>82"},"uris":["http://www.mendeley.com/documents/?uuid=25b6996f-7546-3aa3-822c-93901e4c50c3"]}],"mendeley":{"formattedCitation":"&lt;sup&gt;274&lt;/sup&gt;","plainTextFormattedCitation":"274","previouslyFormattedCitation":"&lt;sup&gt;274&lt;/sup&gt;"},"properties":{"noteIndex":0},</w:instrText>
      </w:r>
      <w:r>
        <w:rPr>
          <w:rFonts w:ascii="Arial" w:eastAsia="Times New Roman" w:hAnsi="Arial" w:cs="Arial"/>
          <w:color w:val="000000"/>
          <w:lang w:val="en-US" w:eastAsia="de-DE"/>
        </w:rPr>
        <w:instrText>"schema":"https://github.com/citation-style-language/schema/raw/master/csl-citation.json"}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Under favorable conditions,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color w:val="000000"/>
          <w:lang w:val="en-US" w:eastAsia="de-DE"/>
        </w:rPr>
        <w:t xml:space="preserve"> cells can grow more than 10 fold in size in a prolonged G1 phase of between 10 to 14 hours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w:instrText>
      </w:r>
      <w:r>
        <w:rPr>
          <w:rFonts w:ascii="Arial" w:eastAsia="Times New Roman" w:hAnsi="Arial" w:cs="Arial"/>
          <w:color w:val="000000"/>
          <w:lang w:val="en-US" w:eastAsia="de-DE"/>
        </w:rPr>
        <w:instrText>tionItems":[{"id":"ITEM-1","itemData":{"DOI":"10.1111/TPJ.12795","ISSN":"1365-313X","PMID":"25690512","abstract":"Summary The position of Chlamydomonas within the eukaryotic phylogeny makes it a unique model in at least two important ways: as a representat</w:instrText>
      </w:r>
      <w:r>
        <w:rPr>
          <w:rFonts w:ascii="Arial" w:eastAsia="Times New Roman" w:hAnsi="Arial" w:cs="Arial"/>
          <w:color w:val="000000"/>
          <w:lang w:val="en-US" w:eastAsia="de-DE"/>
        </w:rPr>
        <w:instrText>ive of the critically important, early-diverging lineage leading to plants; and as a microbe retaining important features of the last eukaryotic common ancestor (LECA) that has been lost in the highly studied yeast lineages. Its cell biology has been studi</w:instrText>
      </w:r>
      <w:r>
        <w:rPr>
          <w:rFonts w:ascii="Arial" w:eastAsia="Times New Roman" w:hAnsi="Arial" w:cs="Arial"/>
          <w:color w:val="000000"/>
          <w:lang w:val="en-US" w:eastAsia="de-DE"/>
        </w:rPr>
        <w:instrText>ed for many decades and it has well-developed experimental genetic tools, both classical (Mendelian) and molecular. Unlike land plants, it is a haploid with very few gene duplicates, making it ideal for loss-of-function genetic studies. The Chlamydomonas c</w:instrText>
      </w:r>
      <w:r>
        <w:rPr>
          <w:rFonts w:ascii="Arial" w:eastAsia="Times New Roman" w:hAnsi="Arial" w:cs="Arial"/>
          <w:color w:val="000000"/>
          <w:lang w:val="en-US" w:eastAsia="de-DE"/>
        </w:rPr>
        <w:instrText>ell cycle has a striking temporal and functional separation between cell growth and rapid cell division, probably connected to the interplay between diurnal cycles that drive photosynthetic cell growth and the cell division cycle; it also exhibits a highly</w:instrText>
      </w:r>
      <w:r>
        <w:rPr>
          <w:rFonts w:ascii="Arial" w:eastAsia="Times New Roman" w:hAnsi="Arial" w:cs="Arial"/>
          <w:color w:val="000000"/>
          <w:lang w:val="en-US" w:eastAsia="de-DE"/>
        </w:rPr>
        <w:instrText xml:space="preserve"> choreographed interaction between the cell cycle and its centriole-basal body-flagellar cycle. Here, we review the current status of studies of the Chlamydomonas cell cycle. We begin with an overview of cell-cycle control in the well-studied yeast and ani</w:instrText>
      </w:r>
      <w:r>
        <w:rPr>
          <w:rFonts w:ascii="Arial" w:eastAsia="Times New Roman" w:hAnsi="Arial" w:cs="Arial"/>
          <w:color w:val="000000"/>
          <w:lang w:val="en-US" w:eastAsia="de-DE"/>
        </w:rPr>
        <w:instrText>mal systems, which has yielded a canonical, well-supported model. We discuss briefly what is known about similarities and differences in plant cell-cycle control, compared with this model. We next review the cytology and cell biology of the multiple-fissio</w:instrText>
      </w:r>
      <w:r>
        <w:rPr>
          <w:rFonts w:ascii="Arial" w:eastAsia="Times New Roman" w:hAnsi="Arial" w:cs="Arial"/>
          <w:color w:val="000000"/>
          <w:lang w:val="en-US" w:eastAsia="de-DE"/>
        </w:rPr>
        <w:instrText xml:space="preserve">n cell cycle of Chlamydomonas. Lastly, we review recent genetic approaches and insights into Chlamydomonas cell-cycle regulation that have been enabled by a new generation of genomics-based tools. Significance Statement Chlamydomonas is an excellent model </w:instrText>
      </w:r>
      <w:r>
        <w:rPr>
          <w:rFonts w:ascii="Arial" w:eastAsia="Times New Roman" w:hAnsi="Arial" w:cs="Arial"/>
          <w:color w:val="000000"/>
          <w:lang w:val="en-US" w:eastAsia="de-DE"/>
        </w:rPr>
        <w:instrText xml:space="preserve">for many areas of eukaryotic biology, including the cell cycle. Its phylogenetic position in the green lineage and its utility as a microbial genetic system give this organism great potential for addressing unanswered questions about eukaryotic cell cycle </w:instrText>
      </w:r>
      <w:r>
        <w:rPr>
          <w:rFonts w:ascii="Arial" w:eastAsia="Times New Roman" w:hAnsi="Arial" w:cs="Arial"/>
          <w:color w:val="000000"/>
          <w:lang w:val="en-US" w:eastAsia="de-DE"/>
        </w:rPr>
        <w:instrText>control and for defining new regulatory mechanisms that govern cell cycle progression.","author":[{"dropping-particle":"","family":"Cross","given":"Frederick R.","non-dropping-particle":"","parse-names":false,"suffix":""},{"dropping-particle":"","family":"</w:instrText>
      </w:r>
      <w:r>
        <w:rPr>
          <w:rFonts w:ascii="Arial" w:eastAsia="Times New Roman" w:hAnsi="Arial" w:cs="Arial"/>
          <w:color w:val="000000"/>
          <w:lang w:val="en-US" w:eastAsia="de-DE"/>
        </w:rPr>
        <w:instrText>Umen","given":"James G.","non-dropping-particle":"","parse-names":false,"suffix":""}],"container-title":"The Plant Journal","id":"ITEM-1","issue":"3","issued":{"date-parts":[["2015","5","1"]]},"page":"370-392","publisher":"John Wiley &amp; Sons, Ltd","title":"</w:instrText>
      </w:r>
      <w:r>
        <w:rPr>
          <w:rFonts w:ascii="Arial" w:eastAsia="Times New Roman" w:hAnsi="Arial" w:cs="Arial"/>
          <w:color w:val="000000"/>
          <w:lang w:val="en-US" w:eastAsia="de-DE"/>
        </w:rPr>
        <w:instrText>The Chlamydomonas cell cycle","type":"article-journal","volume":"82"},"uris":["http://www.mendeley.com/documents/?uuid=25b6996f-7546-3aa3-822c-93901e4c50c3"]}],"mendeley":{"formattedCitation":"&lt;sup&gt;274&lt;/sup&gt;","plainTextFormattedCitation":"274","previouslyF</w:instrText>
      </w:r>
      <w:r>
        <w:rPr>
          <w:rFonts w:ascii="Arial" w:eastAsia="Times New Roman" w:hAnsi="Arial" w:cs="Arial"/>
          <w:color w:val="000000"/>
          <w:lang w:val="en-US" w:eastAsia="de-DE"/>
        </w:rPr>
        <w:instrText>ormattedCitation":"&lt;sup&gt;274&lt;/sup&gt;"},"properties":{"noteIndex":0},"schema":"https://github.com/citation-style-language/schema/raw/master/csl-citation.json"}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then undergo rapid successive S/M phases, each about 30 to 40 minutes long, to give rise t</w:t>
      </w:r>
      <w:r>
        <w:rPr>
          <w:rFonts w:ascii="Arial" w:eastAsia="Times New Roman" w:hAnsi="Arial" w:cs="Arial"/>
          <w:color w:val="000000"/>
          <w:lang w:val="en-US" w:eastAsia="de-DE"/>
        </w:rPr>
        <w:t>o multiple daughter cells. Daughter cell size is close to uniform. The number of divisions, and thus the number of daughters born, therefore depends on the growth of the mother cell in the elongated G1. This indicates the existence of two size thresholds i</w:t>
      </w:r>
      <w:r>
        <w:rPr>
          <w:rFonts w:ascii="Arial" w:eastAsia="Times New Roman" w:hAnsi="Arial" w:cs="Arial"/>
          <w:color w:val="000000"/>
          <w:lang w:val="en-US" w:eastAsia="de-DE"/>
        </w:rPr>
        <w:t xml:space="preserve">n the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color w:val="000000"/>
          <w:lang w:val="en-US" w:eastAsia="de-DE"/>
        </w:rPr>
        <w:t xml:space="preserve"> cell cycle - one that initiates the multiple fission and one that sets the size of daughter cells. The first threshold, also known as the ‘Commitment Point’, ensures that G1 cells achieve a certain size before entering a division-compet</w:t>
      </w:r>
      <w:r>
        <w:rPr>
          <w:rFonts w:ascii="Arial" w:eastAsia="Times New Roman" w:hAnsi="Arial" w:cs="Arial"/>
          <w:color w:val="000000"/>
          <w:lang w:val="en-US" w:eastAsia="de-DE"/>
        </w:rPr>
        <w:t>ent stage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{"citationItems":[{"id":"ITEM-1","itemData":{"DOI":"10.1083/JCB.85.1.136","ISBN":"15,00017,000","ISSN":"0021-9525","PMID":"6767730","abstract":"By growing cells in alternating periods of light and darkness, we have found that th</w:instrText>
      </w:r>
      <w:r>
        <w:rPr>
          <w:rFonts w:ascii="Arial" w:eastAsia="Times New Roman" w:hAnsi="Arial" w:cs="Arial"/>
          <w:color w:val="000000"/>
          <w:lang w:val="en-US" w:eastAsia="de-DE"/>
        </w:rPr>
        <w:instrText>e synchronization of phototrophically grown Chlamydomonas populations is regulated at two specific points in the cell cycle: the primary arrest (A) point, located in early G1, and the transition (T) point, located in mid-G1. At the A point, cell cycle prog</w:instrText>
      </w:r>
      <w:r>
        <w:rPr>
          <w:rFonts w:ascii="Arial" w:eastAsia="Times New Roman" w:hAnsi="Arial" w:cs="Arial"/>
          <w:color w:val="000000"/>
          <w:lang w:val="en-US" w:eastAsia="de-DE"/>
        </w:rPr>
        <w:instrText>ression becomes light dependent. At the T point, completion of the cycle becomes independent of light. Cells transferred from light to dark at cell cycle positions between the two regulatory points enter a reversible resting state in which they remain viab</w:instrText>
      </w:r>
      <w:r>
        <w:rPr>
          <w:rFonts w:ascii="Arial" w:eastAsia="Times New Roman" w:hAnsi="Arial" w:cs="Arial"/>
          <w:color w:val="000000"/>
          <w:lang w:val="en-US" w:eastAsia="de-DE"/>
        </w:rPr>
        <w:instrText>le and metabolically active, but do not progress through their cycles. The photosystem II inhibitor dichlorophenyldimethylurea (DCMU) mimics the A point block induced by darkness. This finding indicates that the A point block is mediated by a signal that o</w:instrText>
      </w:r>
      <w:r>
        <w:rPr>
          <w:rFonts w:ascii="Arial" w:eastAsia="Times New Roman" w:hAnsi="Arial" w:cs="Arial"/>
          <w:color w:val="000000"/>
          <w:lang w:val="en-US" w:eastAsia="de-DE"/>
        </w:rPr>
        <w:instrText>perates through photosynthetic electron transport. Cells short of the T point will arrest in darkness although they contain considerable carbohydrate reserves. After the T point, a sharp increase occurs in starch degradation and in the endogenous respirati</w:instrText>
      </w:r>
      <w:r>
        <w:rPr>
          <w:rFonts w:ascii="Arial" w:eastAsia="Times New Roman" w:hAnsi="Arial" w:cs="Arial"/>
          <w:color w:val="000000"/>
          <w:lang w:val="en-US" w:eastAsia="de-DE"/>
        </w:rPr>
        <w:instrText>on rate, indicating that some internal block to the availability of stored energy reserves has now been released, permitting cell cycle progression. © 1980, Rockefeller University Press., All rights reserved.","author":[{"dropping-particle":"","family":"Sp</w:instrText>
      </w:r>
      <w:r>
        <w:rPr>
          <w:rFonts w:ascii="Arial" w:eastAsia="Times New Roman" w:hAnsi="Arial" w:cs="Arial"/>
          <w:color w:val="000000"/>
          <w:lang w:val="en-US" w:eastAsia="de-DE"/>
        </w:rPr>
        <w:instrText>udich","given":"John L.","non-dropping-particle":"","parse-names":false,"suffix":""},{"dropping-particle":"","family":"Sager","given":"Ruth","non-dropping-particle":"","parse-names":false,"suffix":""}],"container-title":"Journal of Cell Biology","id":"ITEM</w:instrText>
      </w:r>
      <w:r>
        <w:rPr>
          <w:rFonts w:ascii="Arial" w:eastAsia="Times New Roman" w:hAnsi="Arial" w:cs="Arial"/>
          <w:color w:val="000000"/>
          <w:lang w:val="en-US" w:eastAsia="de-DE"/>
        </w:rPr>
        <w:instrText>-1","issue":"1","issued":{"date-parts":[["1980","4","1"]]},"page":"136-145","publisher":"The Rockefeller University Press","title":"Regulation of the Chlamydomonas cell cycle by light and dark.","type":"article-journal","volume":"85"},"uris":["http://www.m</w:instrText>
      </w:r>
      <w:r>
        <w:rPr>
          <w:rFonts w:ascii="Arial" w:eastAsia="Times New Roman" w:hAnsi="Arial" w:cs="Arial"/>
          <w:color w:val="000000"/>
          <w:lang w:val="en-US" w:eastAsia="de-DE"/>
        </w:rPr>
        <w:instrText>endeley.com/documents/?uuid=590d03c7-9551-36b4-8310-902bdb844079"]},{"id":"ITEM-2","itemData":{"DOI":"10.1242/jcs.54.1.173","ISSN":"00219533","abstract":"Chlamydomonas reinhardii divides by multiple fission to produce 2\" daughter cells per division burst,</w:instrText>
      </w:r>
      <w:r>
        <w:rPr>
          <w:rFonts w:ascii="Arial" w:eastAsia="Times New Roman" w:hAnsi="Arial" w:cs="Arial"/>
          <w:color w:val="000000"/>
          <w:lang w:val="en-US" w:eastAsia="de-DE"/>
        </w:rPr>
        <w:instrText xml:space="preserve"> where n is an integer. By separating predivision cells from synchronous cultures into fractions of differing mean cell volumes, and electronically measuring the numbers and volume distributions of the daughter cells produced by the subsequent division bur</w:instrText>
      </w:r>
      <w:r>
        <w:rPr>
          <w:rFonts w:ascii="Arial" w:eastAsia="Times New Roman" w:hAnsi="Arial" w:cs="Arial"/>
          <w:color w:val="000000"/>
          <w:lang w:val="en-US" w:eastAsia="de-DE"/>
        </w:rPr>
        <w:instrText>st, we have shown that n is determined by the volume of the parent cell. Control of n can occur simply, if after every cell division the daughter cells monitor their volume and divide again if, and only if, their volume is greater than a fixed minimum valu</w:instrText>
      </w:r>
      <w:r>
        <w:rPr>
          <w:rFonts w:ascii="Arial" w:eastAsia="Times New Roman" w:hAnsi="Arial" w:cs="Arial"/>
          <w:color w:val="000000"/>
          <w:lang w:val="en-US" w:eastAsia="de-DE"/>
        </w:rPr>
        <w:instrText>e. In cultures synchronized by 12-h light/12-h dark cycles, the larger parent cells divide earlier in the dark period than do smaller cells. This has been shown by two independent methods: (1) by separating cells into different size fractions by Percoll de</w:instrText>
      </w:r>
      <w:r>
        <w:rPr>
          <w:rFonts w:ascii="Arial" w:eastAsia="Times New Roman" w:hAnsi="Arial" w:cs="Arial"/>
          <w:color w:val="000000"/>
          <w:lang w:val="en-US" w:eastAsia="de-DE"/>
        </w:rPr>
        <w:instrText>nsity-gradient centrifugation and using the light microscope to see when they divide; and (2) by studying changes in the cell volume distribution of unfractioned cultures. Since daughter cells remain within the mother-cell wall for some hours after cell di</w:instrText>
      </w:r>
      <w:r>
        <w:rPr>
          <w:rFonts w:ascii="Arial" w:eastAsia="Times New Roman" w:hAnsi="Arial" w:cs="Arial"/>
          <w:color w:val="000000"/>
          <w:lang w:val="en-US" w:eastAsia="de-DE"/>
        </w:rPr>
        <w:instrText>vision, and cell division causes an overall swelling of the mother-cell wall, the timing of division can be determined electronically by measuring this increase in cell volume that occurs in the dark period in the absence of growth; we find that cells at t</w:instrText>
      </w:r>
      <w:r>
        <w:rPr>
          <w:rFonts w:ascii="Arial" w:eastAsia="Times New Roman" w:hAnsi="Arial" w:cs="Arial"/>
          <w:color w:val="000000"/>
          <w:lang w:val="en-US" w:eastAsia="de-DE"/>
        </w:rPr>
        <w:instrText>he large end of the size distribution range undergo this swelling first, and are then followed by successively smaller size fractions. A simple model embodying a sizer followed by a timer gives a good quantitative fit to these data for 12-h light/ 12-h dar</w:instrText>
      </w:r>
      <w:r>
        <w:rPr>
          <w:rFonts w:ascii="Arial" w:eastAsia="Times New Roman" w:hAnsi="Arial" w:cs="Arial"/>
          <w:color w:val="000000"/>
          <w:lang w:val="en-US" w:eastAsia="de-DE"/>
        </w:rPr>
        <w:instrText>k cycles if cell division occurs 12-h after attaining a critical volume of approximately 140 fitn'. However, this simple model is called into question by our finding that alterations in the length of the light period alter the rate of progress towards divi</w:instrText>
      </w:r>
      <w:r>
        <w:rPr>
          <w:rFonts w:ascii="Arial" w:eastAsia="Times New Roman" w:hAnsi="Arial" w:cs="Arial"/>
          <w:color w:val="000000"/>
          <w:lang w:val="en-US" w:eastAsia="de-DE"/>
        </w:rPr>
        <w:instrText>sion even of cells that have attained their critical volume. We discuss the relative roles of light and cell volume in the control of division timing in the Chlamydomonas cell cycle.","author":[{"dropping-particle":"","family":"Craigie","given":"R. A.","no</w:instrText>
      </w:r>
      <w:r>
        <w:rPr>
          <w:rFonts w:ascii="Arial" w:eastAsia="Times New Roman" w:hAnsi="Arial" w:cs="Arial"/>
          <w:color w:val="000000"/>
          <w:lang w:val="en-US" w:eastAsia="de-DE"/>
        </w:rPr>
        <w:instrText>n-dropping-particle":"","parse-names":false,"suffix":""},{"dropping-particle":"","family":"Cavalier-Smith","given":"T.","non-dropping-particle":"","parse-names":false,"suffix":""}],"container-title":"Journal of Cell Science","id":"ITEM-2","issue":"1","issu</w:instrText>
      </w:r>
      <w:r>
        <w:rPr>
          <w:rFonts w:ascii="Arial" w:eastAsia="Times New Roman" w:hAnsi="Arial" w:cs="Arial"/>
          <w:color w:val="000000"/>
          <w:lang w:val="en-US" w:eastAsia="de-DE"/>
        </w:rPr>
        <w:instrText>ed":{"date-parts":[["1982","4","1"]]},"page":"173-191","publisher":"The Company of Biologists","title":"Cell volume and the control of the Chlamydomonas cell cycle","type":"article-journal","volume":"Vol. 54"},"uris":["http://www.mendeley.com/documents/?uu</w:instrText>
      </w:r>
      <w:r>
        <w:rPr>
          <w:rFonts w:ascii="Arial" w:eastAsia="Times New Roman" w:hAnsi="Arial" w:cs="Arial"/>
          <w:color w:val="000000"/>
          <w:lang w:val="en-US" w:eastAsia="de-DE"/>
        </w:rPr>
        <w:instrText>id=b7beec56-6b85-3e81-a2d4-066decda82c2"]},{"id":"ITEM-3","itemData":{"DOI":"10.1016/j.cub.2019.12.026","abstract":"Graphical Abstract Highlights d G1 sizer and S/M oscillator can give rise to multiple fission in Chlamydomonas d A light-responsive bistable</w:instrText>
      </w:r>
      <w:r>
        <w:rPr>
          <w:rFonts w:ascii="Arial" w:eastAsia="Times New Roman" w:hAnsi="Arial" w:cs="Arial"/>
          <w:color w:val="000000"/>
          <w:lang w:val="en-US" w:eastAsia="de-DE"/>
        </w:rPr>
        <w:instrText xml:space="preserve"> switch could guard transitions between G1 and S/M cycles d Light exposure increases the S/M-entry threshold, causing multiple-fission cycles d Lower S/M-entry threshold in the dark allows small cells to execute fewer divisions In Brief Heldt et al. presen</w:instrText>
      </w:r>
      <w:r>
        <w:rPr>
          <w:rFonts w:ascii="Arial" w:eastAsia="Times New Roman" w:hAnsi="Arial" w:cs="Arial"/>
          <w:color w:val="000000"/>
          <w:lang w:val="en-US" w:eastAsia="de-DE"/>
        </w:rPr>
        <w:instrText>t a quantitative model for multiple-fission cycles in Chlamydomonas reinhardtii, suggesting that a bistable sizer mechanism controls entry into and exit from cell-cycle oscillations.","author":[{"dropping-particle":"","family":"Frank Heldt","given":"Author</w:instrText>
      </w:r>
      <w:r>
        <w:rPr>
          <w:rFonts w:ascii="Arial" w:eastAsia="Times New Roman" w:hAnsi="Arial" w:cs="Arial"/>
          <w:color w:val="000000"/>
          <w:lang w:val="en-US" w:eastAsia="de-DE"/>
        </w:rPr>
        <w:instrText>s S","non-dropping-particle":"","parse-names":false,"suffix":""},{"dropping-particle":"","family":"Tyson","given":"John J","non-dropping-particle":"","parse-names":false,"suffix":""},{"dropping-particle":"","family":"Cross","given":"Frederick R","non-dropp</w:instrText>
      </w:r>
      <w:r>
        <w:rPr>
          <w:rFonts w:ascii="Arial" w:eastAsia="Times New Roman" w:hAnsi="Arial" w:cs="Arial"/>
          <w:color w:val="000000"/>
          <w:lang w:val="en-US" w:eastAsia="de-DE"/>
        </w:rPr>
        <w:instrText>ing-particle":"","parse-names":false,"suffix":""},{"dropping-particle":"","family":"ela Nová Correspondence","given":"B","non-dropping-particle":"","parse-names":false,"suffix":""}],"container-title":"Current Biology","id":"ITEM-3","issued":{"date-parts":[</w:instrText>
      </w:r>
      <w:r>
        <w:rPr>
          <w:rFonts w:ascii="Arial" w:eastAsia="Times New Roman" w:hAnsi="Arial" w:cs="Arial"/>
          <w:color w:val="000000"/>
          <w:lang w:val="en-US" w:eastAsia="de-DE"/>
        </w:rPr>
        <w:instrText>["2020"]]},"page":"634-644.e7","title":"A Single Light-Responsive Sizer Can Control Multiple-Fission Cycles in Chlamydomonas","type":"article-journal","volume":"30"},"uris":["http://www.mendeley.com/documents/?uuid=d18eecf4-6e8c-38a3-bee8-bda444790ff4"]}],</w:instrText>
      </w:r>
      <w:r>
        <w:rPr>
          <w:rFonts w:ascii="Arial" w:eastAsia="Times New Roman" w:hAnsi="Arial" w:cs="Arial"/>
          <w:color w:val="000000"/>
          <w:lang w:val="en-US" w:eastAsia="de-DE"/>
        </w:rPr>
        <w:instrText>"mendeley":{"formattedCitation":"&lt;sup&gt;275–277&lt;/sup&gt;","plainTextFormattedCitation":"275–277","previouslyFormattedCitation":"&lt;sup&gt;275–277&lt;/sup&gt;"},"properties":{"noteIndex":0},"schema":"https://github.com/citation-style-language/schema/raw/master/csl-citation</w:instrText>
      </w:r>
      <w:r>
        <w:rPr>
          <w:rFonts w:ascii="Arial" w:eastAsia="Times New Roman" w:hAnsi="Arial" w:cs="Arial"/>
          <w:color w:val="000000"/>
          <w:lang w:val="en-US" w:eastAsia="de-DE"/>
        </w:rPr>
        <w:instrText>.json"}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275–277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second threshold sets the number of rapid division cycles that the committed cell will undergo to achieve a certain daughter cell size. In this manner, both size thresholds are implemented at the G1/S transition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w:instrText>
      </w:r>
      <w:r>
        <w:rPr>
          <w:rFonts w:ascii="Arial" w:eastAsia="Times New Roman" w:hAnsi="Arial" w:cs="Arial"/>
          <w:color w:val="000000"/>
          <w:lang w:val="en-US" w:eastAsia="de-DE"/>
        </w:rPr>
        <w:instrText>CSL_CITATION {"citationItems":[{"id":"ITEM-1","itemData":{"DOI":"10.1016/j.cub.2019.12.026","abstract":"Graphical Abstract Highlights d G1 sizer and S/M oscillator can give rise to multiple fission in Chlamydomonas d A light-responsive bistable switch coul</w:instrText>
      </w:r>
      <w:r>
        <w:rPr>
          <w:rFonts w:ascii="Arial" w:eastAsia="Times New Roman" w:hAnsi="Arial" w:cs="Arial"/>
          <w:color w:val="000000"/>
          <w:lang w:val="en-US" w:eastAsia="de-DE"/>
        </w:rPr>
        <w:instrText>d guard transitions between G1 and S/M cycles d Light exposure increases the S/M-entry threshold, causing multiple-fission cycles d Lower S/M-entry threshold in the dark allows small cells to execute fewer divisions In Brief Heldt et al. present a quantita</w:instrText>
      </w:r>
      <w:r>
        <w:rPr>
          <w:rFonts w:ascii="Arial" w:eastAsia="Times New Roman" w:hAnsi="Arial" w:cs="Arial"/>
          <w:color w:val="000000"/>
          <w:lang w:val="en-US" w:eastAsia="de-DE"/>
        </w:rPr>
        <w:instrText>tive model for multiple-fission cycles in Chlamydomonas reinhardtii, suggesting that a bistable sizer mechanism controls entry into and exit from cell-cycle oscillations.","author":[{"dropping-particle":"","family":"Frank Heldt","given":"Authors S","non-dr</w:instrText>
      </w:r>
      <w:r>
        <w:rPr>
          <w:rFonts w:ascii="Arial" w:eastAsia="Times New Roman" w:hAnsi="Arial" w:cs="Arial"/>
          <w:color w:val="000000"/>
          <w:lang w:val="en-US" w:eastAsia="de-DE"/>
        </w:rPr>
        <w:instrText>opping-particle":"","parse-names":false,"suffix":""},{"dropping-particle":"","family":"Tyson","given":"John J","non-dropping-particle":"","parse-names":false,"suffix":""},{"dropping-particle":"","family":"Cross","given":"Frederick R","non-dropping-particle</w:instrText>
      </w:r>
      <w:r>
        <w:rPr>
          <w:rFonts w:ascii="Arial" w:eastAsia="Times New Roman" w:hAnsi="Arial" w:cs="Arial"/>
          <w:color w:val="000000"/>
          <w:lang w:val="en-US" w:eastAsia="de-DE"/>
        </w:rPr>
        <w:instrText>":"","parse-names":false,"suffix":""},{"dropping-particle":"","family":"ela Nová Correspondence","given":"B","non-dropping-particle":"","parse-names":false,"suffix":""}],"container-title":"Current Biology","id":"ITEM-1","issued":{"date-parts":[["2020"]]},"</w:instrText>
      </w:r>
      <w:r>
        <w:rPr>
          <w:rFonts w:ascii="Arial" w:eastAsia="Times New Roman" w:hAnsi="Arial" w:cs="Arial"/>
          <w:color w:val="000000"/>
          <w:lang w:val="en-US" w:eastAsia="de-DE"/>
        </w:rPr>
        <w:instrText>page":"634-644.e7","title":"A Single Light-Responsive Sizer Can Control Multiple-Fission Cycles in Chlamydomonas","type":"article-journal","volume":"30"},"uris":["http://www.mendeley.com/documents/?uuid=d18eecf4-6e8c-38a3-bee8-bda444790ff4"]}],"mendeley":{</w:instrText>
      </w:r>
      <w:r>
        <w:rPr>
          <w:rFonts w:ascii="Arial" w:eastAsia="Times New Roman" w:hAnsi="Arial" w:cs="Arial"/>
          <w:color w:val="000000"/>
          <w:lang w:val="en-US" w:eastAsia="de-DE"/>
        </w:rPr>
        <w:instrText>"formattedCitation":"&lt;sup&gt;277&lt;/sup&gt;","plainTextFormattedCitation":"277","previouslyFormattedCitation":"&lt;sup&gt;277&lt;/sup&gt;"},"properties":{"noteIndex":0},"schema":"https://github.com/citation-style-language/schema/raw/master/csl-citation.json"}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Heldt and</w:t>
      </w:r>
      <w:r>
        <w:rPr>
          <w:rFonts w:ascii="Arial" w:eastAsia="Times New Roman" w:hAnsi="Arial" w:cs="Arial"/>
          <w:color w:val="000000"/>
          <w:lang w:val="en-US" w:eastAsia="de-DE"/>
        </w:rPr>
        <w:t xml:space="preserve"> Novak</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{"citationItems":[{"id":"ITEM-1","itemData":{"DOI":"10.1016/j.cub.2019.12.026","abstract":"Graphical Abstract Highlights d G1 sizer and S/M oscillator can give rise to multiple fission in Chlamydomonas d A light-responsive bistable</w:instrText>
      </w:r>
      <w:r>
        <w:rPr>
          <w:rFonts w:ascii="Arial" w:eastAsia="Times New Roman" w:hAnsi="Arial" w:cs="Arial"/>
          <w:color w:val="000000"/>
          <w:lang w:val="en-US" w:eastAsia="de-DE"/>
        </w:rPr>
        <w:instrText xml:space="preserve"> switch could guard transitions between G1 and S/M cycles d Light exposure increases the S/M-entry threshold, causing multiple-fission cycles d Lower S/M-entry threshold in the dark allows small cells to execute fewer divisions In Brief Heldt et al. presen</w:instrText>
      </w:r>
      <w:r>
        <w:rPr>
          <w:rFonts w:ascii="Arial" w:eastAsia="Times New Roman" w:hAnsi="Arial" w:cs="Arial"/>
          <w:color w:val="000000"/>
          <w:lang w:val="en-US" w:eastAsia="de-DE"/>
        </w:rPr>
        <w:instrText>t a quantitative model for multiple-fission cycles in Chlamydomonas reinhardtii, suggesting that a bistable sizer mechanism controls entry into and exit from cell-cycle oscillations.","author":[{"dropping-particle":"","family":"Frank Heldt","given":"Author</w:instrText>
      </w:r>
      <w:r>
        <w:rPr>
          <w:rFonts w:ascii="Arial" w:eastAsia="Times New Roman" w:hAnsi="Arial" w:cs="Arial"/>
          <w:color w:val="000000"/>
          <w:lang w:val="en-US" w:eastAsia="de-DE"/>
        </w:rPr>
        <w:instrText>s S","non-dropping-particle":"","parse-names":false,"suffix":""},{"dropping-particle":"","family":"Tyson","given":"John J","non-dropping-particle":"","parse-names":false,"suffix":""},{"dropping-particle":"","family":"Cross","given":"Frederick R","non-dropp</w:instrText>
      </w:r>
      <w:r>
        <w:rPr>
          <w:rFonts w:ascii="Arial" w:eastAsia="Times New Roman" w:hAnsi="Arial" w:cs="Arial"/>
          <w:color w:val="000000"/>
          <w:lang w:val="en-US" w:eastAsia="de-DE"/>
        </w:rPr>
        <w:instrText>ing-particle":"","parse-names":false,"suffix":""},{"dropping-particle":"","family":"ela Nová Correspondence","given":"B","non-dropping-particle":"","parse-names":false,"suffix":""}],"container-title":"Current Biology","id":"ITEM-1","issued":{"date-parts":[</w:instrText>
      </w:r>
      <w:r>
        <w:rPr>
          <w:rFonts w:ascii="Arial" w:eastAsia="Times New Roman" w:hAnsi="Arial" w:cs="Arial"/>
          <w:color w:val="000000"/>
          <w:lang w:val="en-US" w:eastAsia="de-DE"/>
        </w:rPr>
        <w:instrText>["2020"]]},"page":"634-644.e7","title":"A Single Light-Responsive Sizer Can Control Multiple-Fission Cycles in Chlamydomonas","type":"article-journal","volume":"30"},"uris":["http://www.mendeley.com/documents/?uuid=d18eecf4-6e8c-38a3-bee8-bda444790ff4"]}],</w:instrText>
      </w:r>
      <w:r>
        <w:rPr>
          <w:rFonts w:ascii="Arial" w:eastAsia="Times New Roman" w:hAnsi="Arial" w:cs="Arial"/>
          <w:color w:val="000000"/>
          <w:lang w:val="en-US" w:eastAsia="de-DE"/>
        </w:rPr>
        <w:instrText>"mendeley":{"formattedCitation":"&lt;sup&gt;277&lt;/sup&gt;","plainTextFormattedCitation":"277","previouslyFormattedCitation":"&lt;sup&gt;277&lt;/sup&gt;"},"properties":{"noteIndex":0},"schema":"https://github.com/citation-style-language/schema/raw/master/csl-citation.json"}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propose a model that suggests that both entry into and exit from the multiple fission phase of the cell cycle are controlled by a light-responsive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w:t>
      </w:r>
    </w:p>
    <w:p w14:paraId="1668A46C"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 xml:space="preserve">In the search for a protein that could facilitate this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an obvious candidate was MAT3, the Rb</w:t>
      </w:r>
      <w:r>
        <w:rPr>
          <w:rFonts w:ascii="Arial" w:eastAsia="Times New Roman" w:hAnsi="Arial" w:cs="Arial"/>
          <w:color w:val="000000"/>
          <w:lang w:val="en-US" w:eastAsia="de-DE"/>
        </w:rPr>
        <w:t xml:space="preserve"> homolog in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color w:val="000000"/>
          <w:lang w:val="en-US" w:eastAsia="de-DE"/>
        </w:rPr>
        <w:t>. While Fang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{"citationItems":[{"id":"ITEM-1","itemData":{"DOI":"10.1371/JOURNAL.PGEN.0020167","ISSN":"1553-7404","PMID":"17040130","abstract":"Size control is essential for all proliferating cells, and is</w:instrText>
      </w:r>
      <w:r>
        <w:rPr>
          <w:rFonts w:ascii="Arial" w:eastAsia="Times New Roman" w:hAnsi="Arial" w:cs="Arial"/>
          <w:color w:val="000000"/>
          <w:lang w:val="en-US" w:eastAsia="de-DE"/>
        </w:rPr>
        <w:instrText xml:space="preserve"> thought to be regulated by checkpoints that couple cell size to cell cycle progression. The aberrant cell-size phenotypes caused by mutations in the retinoblastoma (RB) tumor suppressor pathway are consistent with a role in size checkpoint control, but in</w:instrText>
      </w:r>
      <w:r>
        <w:rPr>
          <w:rFonts w:ascii="Arial" w:eastAsia="Times New Roman" w:hAnsi="Arial" w:cs="Arial"/>
          <w:color w:val="000000"/>
          <w:lang w:val="en-US" w:eastAsia="de-DE"/>
        </w:rPr>
        <w:instrText>direct effects on size caused by altered cell cycle kinetics are difficult to rule out. The multiple fission cell cycle of the unicellular alga Chlamydomonas reinhardtii uncouples growth from division, allowing direct assessment of the relationship between</w:instrText>
      </w:r>
      <w:r>
        <w:rPr>
          <w:rFonts w:ascii="Arial" w:eastAsia="Times New Roman" w:hAnsi="Arial" w:cs="Arial"/>
          <w:color w:val="000000"/>
          <w:lang w:val="en-US" w:eastAsia="de-DE"/>
        </w:rPr>
        <w:instrText xml:space="preserve"> size phenotypes and checkpoint function. Mutations in the C. reinhardtii RB homolog encoded by MAT3 cause supernumerous cell divisions and small cells, suggesting a role for MAT3 in size control. We identified suppressors of an mat3 null allele that had r</w:instrText>
      </w:r>
      <w:r>
        <w:rPr>
          <w:rFonts w:ascii="Arial" w:eastAsia="Times New Roman" w:hAnsi="Arial" w:cs="Arial"/>
          <w:color w:val="000000"/>
          <w:lang w:val="en-US" w:eastAsia="de-DE"/>
        </w:rPr>
        <w:instrText>ecessive mutations in DP1 or dominant mutations in E2F1, loci encoding homologs of a heterodimeric transcription factor that is targeted by RB-related proteins. Significantly, we determined that the dp1 and e2f1 phenotypes were caused by defects in size ch</w:instrText>
      </w:r>
      <w:r>
        <w:rPr>
          <w:rFonts w:ascii="Arial" w:eastAsia="Times New Roman" w:hAnsi="Arial" w:cs="Arial"/>
          <w:color w:val="000000"/>
          <w:lang w:val="en-US" w:eastAsia="de-DE"/>
        </w:rPr>
        <w:instrText>eckpoint control and were not due to a lengthened cell cycle. Despite their cell division defects, mat3, dp1, and e2f1 mutants showed almost no changes in periodic transcription of genes induced during S phase and mitosis, many of which are conserved targe</w:instrText>
      </w:r>
      <w:r>
        <w:rPr>
          <w:rFonts w:ascii="Arial" w:eastAsia="Times New Roman" w:hAnsi="Arial" w:cs="Arial"/>
          <w:color w:val="000000"/>
          <w:lang w:val="en-US" w:eastAsia="de-DE"/>
        </w:rPr>
        <w:instrText>ts of the RB pathway. Conversely, we found that regulation of cell size was unaffected when S phase and mitotic transcription were inhibited. Our data provide direct evidence that the RB pathway mediates cell size checkpoint control and suggest that such c</w:instrText>
      </w:r>
      <w:r>
        <w:rPr>
          <w:rFonts w:ascii="Arial" w:eastAsia="Times New Roman" w:hAnsi="Arial" w:cs="Arial"/>
          <w:color w:val="000000"/>
          <w:lang w:val="en-US" w:eastAsia="de-DE"/>
        </w:rPr>
        <w:instrText>ontrol is not directly coupled to the magnitude of periodic cell cycle transcription.","author":[{"dropping-particle":"","family":"Fang","given":"Su Chiung","non-dropping-particle":"","parse-names":false,"suffix":""},{"dropping-particle":"","family":"Los R</w:instrText>
      </w:r>
      <w:r>
        <w:rPr>
          <w:rFonts w:ascii="Arial" w:eastAsia="Times New Roman" w:hAnsi="Arial" w:cs="Arial"/>
          <w:color w:val="000000"/>
          <w:lang w:val="en-US" w:eastAsia="de-DE"/>
        </w:rPr>
        <w:instrText>eyes","given":"Chris","non-dropping-particle":"De","parse-names":false,"suffix":""},{"dropping-particle":"","family":"Umen","given":"James G.","non-dropping-particle":"","parse-names":false,"suffix":""}],"container-title":"PLOS Genetics","id":"ITEM-1","iss</w:instrText>
      </w:r>
      <w:r>
        <w:rPr>
          <w:rFonts w:ascii="Arial" w:eastAsia="Times New Roman" w:hAnsi="Arial" w:cs="Arial"/>
          <w:color w:val="000000"/>
          <w:lang w:val="en-US" w:eastAsia="de-DE"/>
        </w:rPr>
        <w:instrText>ue":"10","issued":{"date-parts":[["2006","10"]]},"page":"e167","publisher":"Public Library of Science","title":"Cell Size Checkpoint Control by the Retinoblastoma Tumor Suppressor Pathway","type":"article-journal","volume":"2"},"uris":["http://www.mendeley</w:instrText>
      </w:r>
      <w:r>
        <w:rPr>
          <w:rFonts w:ascii="Arial" w:eastAsia="Times New Roman" w:hAnsi="Arial" w:cs="Arial"/>
          <w:color w:val="000000"/>
          <w:lang w:val="en-US" w:eastAsia="de-DE"/>
        </w:rPr>
        <w:instrText>.com/documents/?uuid=32ec8b01-bb39-34d9-b1df-9184c07a9182"]}],"mendeley":{"formattedCitation":"&lt;sup&gt;278&lt;/sup&gt;","plainTextFormattedCitation":"278","previouslyFormattedCitation":"&lt;sup&gt;278&lt;/sup&gt;"},"properties":{"noteIndex":0},"schema":"https://github.com/cita</w:instrText>
      </w:r>
      <w:r>
        <w:rPr>
          <w:rFonts w:ascii="Arial" w:eastAsia="Times New Roman" w:hAnsi="Arial" w:cs="Arial"/>
          <w:color w:val="000000"/>
          <w:lang w:val="en-US" w:eastAsia="de-DE"/>
        </w:rPr>
        <w:instrText>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showed that a mutation of MAT3 leads to a smaller commitment size and a higher number of divisions post commitment, Olson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w:instrText>
      </w:r>
      <w:r>
        <w:rPr>
          <w:rFonts w:ascii="Arial" w:eastAsia="Times New Roman" w:hAnsi="Arial" w:cs="Arial"/>
          <w:color w:val="000000"/>
          <w:lang w:val="en-US" w:eastAsia="de-DE"/>
        </w:rPr>
        <w:instrText>"DOI":"10.1105/TPC.110.076067","ISSN":"1040-4651","abstract":"We examined the cell cycle dynamics of the retinoblastoma (RB) protein complex in the unicellular alga reinhardtii that has single homologs for each subunit-RB, E2F, and DP. We found that Chlamy</w:instrText>
      </w:r>
      <w:r>
        <w:rPr>
          <w:rFonts w:ascii="Arial" w:eastAsia="Times New Roman" w:hAnsi="Arial" w:cs="Arial"/>
          <w:color w:val="000000"/>
          <w:lang w:val="en-US" w:eastAsia="de-DE"/>
        </w:rPr>
        <w:instrText>domonas RB (encoded by MAT3) is a cell cycle-regulated phosphorprotein, that E2F1-DP1 can bind to a consensus E2F site, and that all three proteins interact in vivo to form complex that can be quantitatively immunopurified. Yeast two-hybrid assays revealed</w:instrText>
      </w:r>
      <w:r>
        <w:rPr>
          <w:rFonts w:ascii="Arial" w:eastAsia="Times New Roman" w:hAnsi="Arial" w:cs="Arial"/>
          <w:color w:val="000000"/>
          <w:lang w:val="en-US" w:eastAsia="de-DE"/>
        </w:rPr>
        <w:instrText xml:space="preserve"> the formation of a ternary complex between MAT3, DP1, and E2F1 that requires a C-terminal motif in E2F1 analogous to the RB binding domain of plant and animal E2Fs. We examined the abundance of MAT3/RB and E2F1-DP1 in highly synchronous cultures and found</w:instrText>
      </w:r>
      <w:r>
        <w:rPr>
          <w:rFonts w:ascii="Arial" w:eastAsia="Times New Roman" w:hAnsi="Arial" w:cs="Arial"/>
          <w:color w:val="000000"/>
          <w:lang w:val="en-US" w:eastAsia="de-DE"/>
        </w:rPr>
        <w:instrText xml:space="preserve"> that they are synthesized and remain stably associated throughout the cell cycle with no detectable fraction of free E2F1-DP1. Consistent with their stable association, MAT3/RB and DP1 are constitutively nuclear, and MAT3/ RB does not require DP1-E2F1 for</w:instrText>
      </w:r>
      <w:r>
        <w:rPr>
          <w:rFonts w:ascii="Arial" w:eastAsia="Times New Roman" w:hAnsi="Arial" w:cs="Arial"/>
          <w:color w:val="000000"/>
          <w:lang w:val="en-US" w:eastAsia="de-DE"/>
        </w:rPr>
        <w:instrText xml:space="preserve"> nuclear localization. In the nucleus, MAT3/RB remains bound to chromatin throughout the cell cycle, and its chromatin binding is mediated through E2F1-DP1. Together, our data show that E2F-DP complexes can regulate the cell cycle without dissociation of t</w:instrText>
      </w:r>
      <w:r>
        <w:rPr>
          <w:rFonts w:ascii="Arial" w:eastAsia="Times New Roman" w:hAnsi="Arial" w:cs="Arial"/>
          <w:color w:val="000000"/>
          <w:lang w:val="en-US" w:eastAsia="de-DE"/>
        </w:rPr>
        <w:instrText>heir RB-related subunit and that other changes may be sufficient to convert RB-E2F-DP from a cell cycle repressor to an activator. © 2010 American Society of Plant Biologists.","author":[{"dropping-particle":"","family":"Olson","given":"Bradley J.S.C.","no</w:instrText>
      </w:r>
      <w:r>
        <w:rPr>
          <w:rFonts w:ascii="Arial" w:eastAsia="Times New Roman" w:hAnsi="Arial" w:cs="Arial"/>
          <w:color w:val="000000"/>
          <w:lang w:val="en-US" w:eastAsia="de-DE"/>
        </w:rPr>
        <w:instrText>n-dropping-particle":"","parse-names":false,"suffix":""},{"dropping-particle":"","family":"Oberholzer","given":"Michael","non-dropping-particle":"","parse-names":false,"suffix":""},{"dropping-particle":"","family":"Li","given":"Yubing","non-dropping-partic</w:instrText>
      </w:r>
      <w:r>
        <w:rPr>
          <w:rFonts w:ascii="Arial" w:eastAsia="Times New Roman" w:hAnsi="Arial" w:cs="Arial"/>
          <w:color w:val="000000"/>
          <w:lang w:val="en-US" w:eastAsia="de-DE"/>
        </w:rPr>
        <w:instrText>le":"","parse-names":false,"suffix":""},{"dropping-particle":"","family":"Zones","given":"James M.","non-dropping-particle":"","parse-names":false,"suffix":""},{"dropping-particle":"","family":"Kohli","given":"Harjivan S.","non-dropping-particle":"","parse</w:instrText>
      </w:r>
      <w:r>
        <w:rPr>
          <w:rFonts w:ascii="Arial" w:eastAsia="Times New Roman" w:hAnsi="Arial" w:cs="Arial"/>
          <w:color w:val="000000"/>
          <w:lang w:val="en-US" w:eastAsia="de-DE"/>
        </w:rPr>
        <w:instrText>-names":false,"suffix":""},{"dropping-particle":"","family":"Bisova","given":"Katerina","non-dropping-particle":"","parse-names":false,"suffix":""},{"dropping-particle":"","family":"Fang","given":"Su Chiung","non-dropping-particle":"","parse-names":false,"</w:instrText>
      </w:r>
      <w:r>
        <w:rPr>
          <w:rFonts w:ascii="Arial" w:eastAsia="Times New Roman" w:hAnsi="Arial" w:cs="Arial"/>
          <w:color w:val="000000"/>
          <w:lang w:val="en-US" w:eastAsia="de-DE"/>
        </w:rPr>
        <w:instrText>suffix":""},{"dropping-particle":"","family":"Meisenhelder","given":"Jill","non-dropping-particle":"","parse-names":false,"suffix":""},{"dropping-particle":"","family":"Hunter","given":"Tony","non-dropping-particle":"","parse-names":false,"suffix":""},{"dr</w:instrText>
      </w:r>
      <w:r>
        <w:rPr>
          <w:rFonts w:ascii="Arial" w:eastAsia="Times New Roman" w:hAnsi="Arial" w:cs="Arial"/>
          <w:color w:val="000000"/>
          <w:lang w:val="en-US" w:eastAsia="de-DE"/>
        </w:rPr>
        <w:instrText>opping-particle":"","family":"Umena","given":"James G.","non-dropping-particle":"","parse-names":false,"suffix":""}],"container-title":"The Plant Cell","id":"ITEM-1","issue":"10","issued":{"date-parts":[["2010","11","24"]]},"page":"3331-3347","publisher":"</w:instrText>
      </w:r>
      <w:r>
        <w:rPr>
          <w:rFonts w:ascii="Arial" w:eastAsia="Times New Roman" w:hAnsi="Arial" w:cs="Arial"/>
          <w:color w:val="000000"/>
          <w:lang w:val="en-US" w:eastAsia="de-DE"/>
        </w:rPr>
        <w:instrText>Oxford Academic","title":"Regulation of the Chlamydomonas Cell Cycle by a Stable, Chromatin-Associated Retinoblastoma Tumor Suppressor Complex","type":"article-journal","volume":"22"},"uris":["http://www.mendeley.com/documents/?uuid=15553a44-68a2-372c-8cc9</w:instrText>
      </w:r>
      <w:r>
        <w:rPr>
          <w:rFonts w:ascii="Arial" w:eastAsia="Times New Roman" w:hAnsi="Arial" w:cs="Arial"/>
          <w:color w:val="000000"/>
          <w:lang w:val="en-US" w:eastAsia="de-DE"/>
        </w:rPr>
        <w:instrText>-fc1caab21417"]}],"mendeley":{"formattedCitation":"&lt;sup&gt;279&lt;/sup&gt;","plainTextFormattedCitation":"279","previouslyFormattedCitation":"&lt;sup&gt;279&lt;/sup&gt;"},"properties":{"noteIndex":0},"schema":"https://github.com/citation-style-language/schema/raw/master/csl-ci</w:instrText>
      </w:r>
      <w:r>
        <w:rPr>
          <w:rFonts w:ascii="Arial" w:eastAsia="Times New Roman" w:hAnsi="Arial" w:cs="Arial"/>
          <w:color w:val="000000"/>
          <w:lang w:val="en-US" w:eastAsia="de-DE"/>
        </w:rPr>
        <w:instrText>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279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showed that MAT3 concentration seems constant as the cell grows in size during G1. Another protein implicated in commitment size regulation is the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color w:val="000000"/>
          <w:lang w:val="en-US" w:eastAsia="de-DE"/>
        </w:rPr>
        <w:t xml:space="preserve"> homolog for CDK1, CDKA1</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w:instrText>
      </w:r>
      <w:r>
        <w:rPr>
          <w:rFonts w:ascii="Arial" w:eastAsia="Times New Roman" w:hAnsi="Arial" w:cs="Arial"/>
          <w:color w:val="000000"/>
          <w:lang w:val="en-US" w:eastAsia="de-DE"/>
        </w:rPr>
        <w:instrText>,"itemData":{"DOI":"10.1016/j.cub.2020.03.019","abstract":"Graphical Abstract Highlights d Chlamydomonas CDKA1/CDK1 controls cell-size-dependent commitment to division d CDKA1 and the E2F/DP1 transcription factor control division in distinct pathways d The</w:instrText>
      </w:r>
      <w:r>
        <w:rPr>
          <w:rFonts w:ascii="Arial" w:eastAsia="Times New Roman" w:hAnsi="Arial" w:cs="Arial"/>
          <w:color w:val="000000"/>
          <w:lang w:val="en-US" w:eastAsia="de-DE"/>
        </w:rPr>
        <w:instrText xml:space="preserve"> mitotic transcriptional regulon may define commitment to division","author":[{"dropping-particle":"","family":"Cross","given":"Frederick R","non-dropping-particle":"","parse-names":false,"suffix":""}],"container-title":"Current Biology","id":"ITEM-1","iss</w:instrText>
      </w:r>
      <w:r>
        <w:rPr>
          <w:rFonts w:ascii="Arial" w:eastAsia="Times New Roman" w:hAnsi="Arial" w:cs="Arial"/>
          <w:color w:val="000000"/>
          <w:lang w:val="en-US" w:eastAsia="de-DE"/>
        </w:rPr>
        <w:instrText>ued":{"date-parts":[["2020"]]},"page":"1855-1865.e4","title":"Regulation of Multiple Fission and Cell-Cycle-Dependent Gene Expression by CDKA1 and the Rb-E2F Pathway in Chlamydomonas","type":"article-journal","volume":"30"},"uris":["http://www.mendeley.com</w:instrText>
      </w:r>
      <w:r>
        <w:rPr>
          <w:rFonts w:ascii="Arial" w:eastAsia="Times New Roman" w:hAnsi="Arial" w:cs="Arial"/>
          <w:color w:val="000000"/>
          <w:lang w:val="en-US" w:eastAsia="de-DE"/>
        </w:rPr>
        <w:instrText>/documents/?uuid=daf09e44-9e7b-34ef-8dc5-3535ed35a696"]}],"mendeley":{"formattedCitation":"&lt;sup&gt;280&lt;/sup&gt;","plainTextFormattedCitation":"280","previouslyFormattedCitation":"&lt;sup&gt;280&lt;/sup&gt;"},"properties":{"noteIndex":0},"schema":"https://github.com/citation</w:instrText>
      </w:r>
      <w:r>
        <w:rPr>
          <w:rFonts w:ascii="Arial" w:eastAsia="Times New Roman" w:hAnsi="Arial" w:cs="Arial"/>
          <w:color w:val="000000"/>
          <w:lang w:val="en-US" w:eastAsia="de-DE"/>
        </w:rPr>
        <w:instrText>-style-language/schema/raw/master/csl-citation.json"}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Epistatic analyses show that both CDKA1 and MAT3 affect commitment via independent pathways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{"citationItems":[{"id":"ITEM-1","itemData":{"DOI":"10.1016/j.cub.2020.03.019","abstr</w:instrText>
      </w:r>
      <w:r>
        <w:rPr>
          <w:rFonts w:ascii="Arial" w:eastAsia="Times New Roman" w:hAnsi="Arial" w:cs="Arial"/>
          <w:color w:val="000000"/>
          <w:lang w:val="en-US" w:eastAsia="de-DE"/>
        </w:rPr>
        <w:instrText>act":"Graphical Abstract Highlights d Chlamydomonas CDKA1/CDK1 controls cell-size-dependent commitment to division d CDKA1 and the E2F/DP1 transcription factor control division in distinct pathways d The mitotic transcriptional regulon may define commitmen</w:instrText>
      </w:r>
      <w:r>
        <w:rPr>
          <w:rFonts w:ascii="Arial" w:eastAsia="Times New Roman" w:hAnsi="Arial" w:cs="Arial"/>
          <w:color w:val="000000"/>
          <w:lang w:val="en-US" w:eastAsia="de-DE"/>
        </w:rPr>
        <w:instrText>t to division","author":[{"dropping-particle":"","family":"Cross","given":"Frederick R","non-dropping-particle":"","parse-names":false,"suffix":""}],"container-title":"Current Biology","id":"ITEM-1","issued":{"date-parts":[["2020"]]},"page":"1855-1865.e4",</w:instrText>
      </w:r>
      <w:r>
        <w:rPr>
          <w:rFonts w:ascii="Arial" w:eastAsia="Times New Roman" w:hAnsi="Arial" w:cs="Arial"/>
          <w:color w:val="000000"/>
          <w:lang w:val="en-US" w:eastAsia="de-DE"/>
        </w:rPr>
        <w:instrText>"title":"Regulation of Multiple Fission and Cell-Cycle-Dependent Gene Expression by CDKA1 and the Rb-E2F Pathway in Chlamydomonas","type":"article-journal","volume":"30"},"uris":["http://www.mendeley.com/documents/?uuid=daf09e44-9e7b-34ef-8dc5-3535ed35a696</w:instrText>
      </w:r>
      <w:r>
        <w:rPr>
          <w:rFonts w:ascii="Arial" w:eastAsia="Times New Roman" w:hAnsi="Arial" w:cs="Arial"/>
          <w:color w:val="000000"/>
          <w:lang w:val="en-US" w:eastAsia="de-DE"/>
        </w:rPr>
        <w:instrText>"]}],"mendeley":{"formattedCitation":"&lt;sup&gt;280&lt;/sup&gt;","plainTextFormattedCitation":"280","previouslyFormattedCitation":"&lt;sup&gt;280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size reporter property for the commitment decision, however, remains elusive. The second threshold, which sets the number of rapid divisions, depends upon the accumulating size reporter CDKG1</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w:instrText>
      </w:r>
      <w:r>
        <w:rPr>
          <w:rFonts w:ascii="Arial" w:eastAsia="Times New Roman" w:hAnsi="Arial" w:cs="Arial"/>
          <w:color w:val="000000"/>
          <w:lang w:val="en-US" w:eastAsia="de-DE"/>
        </w:rPr>
        <w:instrText>itemData":{"DOI":"10.7554/eLife.10767","ISSN":"2050-084X (Electronic)","PMID":"27015111","abstract":"Proliferating cells actively control their size by mechanisms that are poorly understood. The unicellular green alga Chlamydomonas reinhardtii divides by m</w:instrText>
      </w:r>
      <w:r>
        <w:rPr>
          <w:rFonts w:ascii="Arial" w:eastAsia="Times New Roman" w:hAnsi="Arial" w:cs="Arial"/>
          <w:color w:val="000000"/>
          <w:lang w:val="en-US" w:eastAsia="de-DE"/>
        </w:rPr>
        <w:instrText>ultiple fission, wherein a 'counting' mechanism couples mother cell-size to cell division number allowing production of uniform-sized daughters. We identified a sizer protein, CDKG1, that acts through the retinoblastoma (RB) tumor suppressor pathway as a D</w:instrText>
      </w:r>
      <w:r>
        <w:rPr>
          <w:rFonts w:ascii="Arial" w:eastAsia="Times New Roman" w:hAnsi="Arial" w:cs="Arial"/>
          <w:color w:val="000000"/>
          <w:lang w:val="en-US" w:eastAsia="de-DE"/>
        </w:rPr>
        <w:instrText>-cyclin-dependent RB kinase to regulate mitotic counting. Loss of CDKG1 leads to fewer mitotic divisions and large daughters, while mis-expression of CDKG1 causes supernumerous mitotic divisions and small daughters. The concentration of nuclear-localized C</w:instrText>
      </w:r>
      <w:r>
        <w:rPr>
          <w:rFonts w:ascii="Arial" w:eastAsia="Times New Roman" w:hAnsi="Arial" w:cs="Arial"/>
          <w:color w:val="000000"/>
          <w:lang w:val="en-US" w:eastAsia="de-DE"/>
        </w:rPr>
        <w:instrText>DKG1 in pre-mitotic cells is set by mother cell size, and its progressive dilution and degradation with each round of cell division may provide a link between mother cell-size and mitotic division number. Cell-size-dependent accumulation of limiting cell c</w:instrText>
      </w:r>
      <w:r>
        <w:rPr>
          <w:rFonts w:ascii="Arial" w:eastAsia="Times New Roman" w:hAnsi="Arial" w:cs="Arial"/>
          <w:color w:val="000000"/>
          <w:lang w:val="en-US" w:eastAsia="de-DE"/>
        </w:rPr>
        <w:instrText>ycle regulators such as CDKG1 is a potentially general mechanism for size control.","author":[{"dropping-particle":"","family":"Li","given":"Yubing","non-dropping-particle":"","parse-names":false,"suffix":""},{"dropping-particle":"","family":"Liu","given":</w:instrText>
      </w:r>
      <w:r>
        <w:rPr>
          <w:rFonts w:ascii="Arial" w:eastAsia="Times New Roman" w:hAnsi="Arial" w:cs="Arial"/>
          <w:color w:val="000000"/>
          <w:lang w:val="en-US" w:eastAsia="de-DE"/>
        </w:rPr>
        <w:instrText>"Dianyi","non-dropping-particle":"","parse-names":false,"suffix":""},{"dropping-particle":"","family":"Lopez-Paz","given":"Cristina","non-dropping-particle":"","parse-names":false,"suffix":""},{"dropping-particle":"","family":"Olson","given":"Bradley Jsc",</w:instrText>
      </w:r>
      <w:r>
        <w:rPr>
          <w:rFonts w:ascii="Arial" w:eastAsia="Times New Roman" w:hAnsi="Arial" w:cs="Arial"/>
          <w:color w:val="000000"/>
          <w:lang w:val="en-US" w:eastAsia="de-DE"/>
        </w:rPr>
        <w:instrText>"non-dropping-particle":"","parse-names":false,"suffix":""},{"dropping-particle":"","family":"Umen","given":"James G","non-dropping-particle":"","parse-names":false,"suffix":""}],"container-title":"eLife","id":"ITEM-1","issued":{"date-parts":[["2016"]]},"l</w:instrText>
      </w:r>
      <w:r>
        <w:rPr>
          <w:rFonts w:ascii="Arial" w:eastAsia="Times New Roman" w:hAnsi="Arial" w:cs="Arial"/>
          <w:color w:val="000000"/>
          <w:lang w:val="en-US" w:eastAsia="de-DE"/>
        </w:rPr>
        <w:instrText>anguage":"eng","page":"e10767","publisher-place":"England","title":"A new class of cyclin dependent kinase in Chlamydomonas is required for coupling  cell size to cell division.","type":"article-journal","volume":"5"},"uris":["http://www.mendeley.com/docum</w:instrText>
      </w:r>
      <w:r>
        <w:rPr>
          <w:rFonts w:ascii="Arial" w:eastAsia="Times New Roman" w:hAnsi="Arial" w:cs="Arial"/>
          <w:color w:val="000000"/>
          <w:lang w:val="en-US" w:eastAsia="de-DE"/>
        </w:rPr>
        <w:instrText>ents/?uuid=7a4bf017-f80a-446c-90dc-ef455c8d031f"]}],"mendeley":{"formattedCitation":"&lt;sup&gt;48&lt;/sup&gt;","plainTextFormattedCitation":"48","previouslyFormattedCitation":"&lt;sup&gt;48&lt;/sup&gt;"},"properties":{"noteIndex":0},"schema":"https://github.com/citation-style-la</w:instrText>
      </w:r>
      <w:r>
        <w:rPr>
          <w:rFonts w:ascii="Arial" w:eastAsia="Times New Roman" w:hAnsi="Arial" w:cs="Arial"/>
          <w:color w:val="000000"/>
          <w:lang w:val="en-US" w:eastAsia="de-DE"/>
        </w:rPr>
        <w:instrText>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CDKG1 is a cyclin-dependent kinase that binds D-type cyclins and phosphorylates MAT3. CDKG1 was found to super-scale with mother size during late G1 and might convey size information to the pathways contro</w:t>
      </w:r>
      <w:r>
        <w:rPr>
          <w:rFonts w:ascii="Arial" w:eastAsia="Times New Roman" w:hAnsi="Arial" w:cs="Arial"/>
          <w:color w:val="000000"/>
          <w:lang w:val="en-US" w:eastAsia="de-DE"/>
        </w:rPr>
        <w:t>lling division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{"citationItems":[{"id":"ITEM-1","itemData":{"DOI":"10.7554/eLife.10767","ISSN":"2050-084X (Electronic)","PMID":"27015111","abstract":"Proliferating cells actively control their size by mechanisms that are poorly understood</w:instrText>
      </w:r>
      <w:r>
        <w:rPr>
          <w:rFonts w:ascii="Arial" w:eastAsia="Times New Roman" w:hAnsi="Arial" w:cs="Arial"/>
          <w:color w:val="000000"/>
          <w:lang w:val="en-US" w:eastAsia="de-DE"/>
        </w:rPr>
        <w:instrText>. The unicellular green alga Chlamydomonas reinhardtii divides by multiple fission, wherein a 'counting' mechanism couples mother cell-size to cell division number allowing production of uniform-sized daughters. We identified a sizer protein, CDKG1, that a</w:instrText>
      </w:r>
      <w:r>
        <w:rPr>
          <w:rFonts w:ascii="Arial" w:eastAsia="Times New Roman" w:hAnsi="Arial" w:cs="Arial"/>
          <w:color w:val="000000"/>
          <w:lang w:val="en-US" w:eastAsia="de-DE"/>
        </w:rPr>
        <w:instrText>cts through the retinoblastoma (RB) tumor suppressor pathway as a D-cyclin-dependent RB kinase to regulate mitotic counting. Loss of CDKG1 leads to fewer mitotic divisions and large daughters, while mis-expression of CDKG1 causes supernumerous mitotic divi</w:instrText>
      </w:r>
      <w:r>
        <w:rPr>
          <w:rFonts w:ascii="Arial" w:eastAsia="Times New Roman" w:hAnsi="Arial" w:cs="Arial"/>
          <w:color w:val="000000"/>
          <w:lang w:val="en-US" w:eastAsia="de-DE"/>
        </w:rPr>
        <w:instrText>sions and small daughters. The concentration of nuclear-localized CDKG1 in pre-mitotic cells is set by mother cell size, and its progressive dilution and degradation with each round of cell division may provide a link between mother cell-size and mitotic d</w:instrText>
      </w:r>
      <w:r>
        <w:rPr>
          <w:rFonts w:ascii="Arial" w:eastAsia="Times New Roman" w:hAnsi="Arial" w:cs="Arial"/>
          <w:color w:val="000000"/>
          <w:lang w:val="en-US" w:eastAsia="de-DE"/>
        </w:rPr>
        <w:instrText>ivision number. Cell-size-dependent accumulation of limiting cell cycle regulators such as CDKG1 is a potentially general mechanism for size control.","author":[{"dropping-particle":"","family":"Li","given":"Yubing","non-dropping-particle":"","parse-names"</w:instrText>
      </w:r>
      <w:r>
        <w:rPr>
          <w:rFonts w:ascii="Arial" w:eastAsia="Times New Roman" w:hAnsi="Arial" w:cs="Arial"/>
          <w:color w:val="000000"/>
          <w:lang w:val="en-US" w:eastAsia="de-DE"/>
        </w:rPr>
        <w:instrText>:false,"suffix":""},{"dropping-particle":"","family":"Liu","given":"Dianyi","non-dropping-particle":"","parse-names":false,"suffix":""},{"dropping-particle":"","family":"Lopez-Paz","given":"Cristina","non-dropping-particle":"","parse-names":false,"suffix":</w:instrText>
      </w:r>
      <w:r>
        <w:rPr>
          <w:rFonts w:ascii="Arial" w:eastAsia="Times New Roman" w:hAnsi="Arial" w:cs="Arial"/>
          <w:color w:val="000000"/>
          <w:lang w:val="en-US" w:eastAsia="de-DE"/>
        </w:rPr>
        <w:instrText>""},{"dropping-particle":"","family":"Olson","given":"Bradley Jsc","non-dropping-particle":"","parse-names":false,"suffix":""},{"dropping-particle":"","family":"Umen","given":"James G","non-dropping-particle":"","parse-names":false,"suffix":""}],"container</w:instrText>
      </w:r>
      <w:r>
        <w:rPr>
          <w:rFonts w:ascii="Arial" w:eastAsia="Times New Roman" w:hAnsi="Arial" w:cs="Arial"/>
          <w:color w:val="000000"/>
          <w:lang w:val="en-US" w:eastAsia="de-DE"/>
        </w:rPr>
        <w:instrText>-title":"eLife","id":"ITEM-1","issued":{"date-parts":[["2016"]]},"language":"eng","page":"e10767","publisher-place":"England","title":"A new class of cyclin dependent kinase in Chlamydomonas is required for coupling  cell size to cell division.","type":"ar</w:instrText>
      </w:r>
      <w:r>
        <w:rPr>
          <w:rFonts w:ascii="Arial" w:eastAsia="Times New Roman" w:hAnsi="Arial" w:cs="Arial"/>
          <w:color w:val="000000"/>
          <w:lang w:val="en-US" w:eastAsia="de-DE"/>
        </w:rPr>
        <w:instrText>ticle-journal","volume":"5"},"uris":["http://www.mendeley.com/documents/?uuid=7a4bf017-f80a-446c-90dc-ef455c8d031f"]},{"id":"ITEM-2","itemData":{"DOI":"10.1101/2022.11.02.514835","abstract":"Coordination of growth and division in eukaryotic cells is essent</w:instrText>
      </w:r>
      <w:r>
        <w:rPr>
          <w:rFonts w:ascii="Arial" w:eastAsia="Times New Roman" w:hAnsi="Arial" w:cs="Arial"/>
          <w:color w:val="000000"/>
          <w:lang w:val="en-US" w:eastAsia="de-DE"/>
        </w:rPr>
        <w:instrText>ial for populations of proliferating cells to maintain size homeostasis, but the underlying mechanisms that govern cell size have only been investigated in a few taxa. The green alga Chlamydomonas reinhardtii (Chlamydomonas) proliferates using a multiple f</w:instrText>
      </w:r>
      <w:r>
        <w:rPr>
          <w:rFonts w:ascii="Arial" w:eastAsia="Times New Roman" w:hAnsi="Arial" w:cs="Arial"/>
          <w:color w:val="000000"/>
          <w:lang w:val="en-US" w:eastAsia="de-DE"/>
        </w:rPr>
        <w:instrText>ission cell cycle that involves a long G1 phase followed by a rapid series of successive S and M phases (S/M) that produces 2n daughter cells. Two control points show cell-size dependence: Commitment in mid-G1 phase requires attainment of a minimum size to</w:instrText>
      </w:r>
      <w:r>
        <w:rPr>
          <w:rFonts w:ascii="Arial" w:eastAsia="Times New Roman" w:hAnsi="Arial" w:cs="Arial"/>
          <w:color w:val="000000"/>
          <w:lang w:val="en-US" w:eastAsia="de-DE"/>
        </w:rPr>
        <w:instrText xml:space="preserve"> enable at least one mitotic division during S/M, and the S/M control point where mother cell size governs cell division number (n), ensuring that daughter distributions are uniform. tny1 mutants pass Commitment at a smaller size than wild type and undergo</w:instrText>
      </w:r>
      <w:r>
        <w:rPr>
          <w:rFonts w:ascii="Arial" w:eastAsia="Times New Roman" w:hAnsi="Arial" w:cs="Arial"/>
          <w:color w:val="000000"/>
          <w:lang w:val="en-US" w:eastAsia="de-DE"/>
        </w:rPr>
        <w:instrText xml:space="preserve"> extra divisions during S/M phase to produce small daughters, indicating that TNY1 functions to inhibit size-dependent cell cycle progression. TNY1 encodes a cytosolic hnRNP A- related RNA binding protein and is produced once per cell cycle during S/M phas</w:instrText>
      </w:r>
      <w:r>
        <w:rPr>
          <w:rFonts w:ascii="Arial" w:eastAsia="Times New Roman" w:hAnsi="Arial" w:cs="Arial"/>
          <w:color w:val="000000"/>
          <w:lang w:val="en-US" w:eastAsia="de-DE"/>
        </w:rPr>
        <w:instrText>e where it is apportioned to daughter cells, and then remains at constant absolute abundance as cells grow, a property known as subscaling ([1][1]). Altering the dosage of TNY1 in heterozygous diploids or through overexpression increased Commitment cell si</w:instrText>
      </w:r>
      <w:r>
        <w:rPr>
          <w:rFonts w:ascii="Arial" w:eastAsia="Times New Roman" w:hAnsi="Arial" w:cs="Arial"/>
          <w:color w:val="000000"/>
          <w:lang w:val="en-US" w:eastAsia="de-DE"/>
        </w:rPr>
        <w:instrText>ze and daughter cell size, indicating that TNY1 is a limiting factor for both size control checkpoints. Epistasis placed TNY1 function upstream of the retinoblastoma tumor suppressor complex (RBC) and one of its regulators, Cyclin-Dependent Kinase G1 (CDKG</w:instrText>
      </w:r>
      <w:r>
        <w:rPr>
          <w:rFonts w:ascii="Arial" w:eastAsia="Times New Roman" w:hAnsi="Arial" w:cs="Arial"/>
          <w:color w:val="000000"/>
          <w:lang w:val="en-US" w:eastAsia="de-DE"/>
        </w:rPr>
        <w:instrText>1) ([2][2]). Moreover, CDKG1 protein and mRNA were found to over-accumulate in tny1 cells suggesting that CDKG1 may be a direct target of repression by TNY1. Our data expand the potential roles of subscaling proteins outside the nucleus and imply a control</w:instrText>
      </w:r>
      <w:r>
        <w:rPr>
          <w:rFonts w:ascii="Arial" w:eastAsia="Times New Roman" w:hAnsi="Arial" w:cs="Arial"/>
          <w:color w:val="000000"/>
          <w:lang w:val="en-US" w:eastAsia="de-DE"/>
        </w:rPr>
        <w:instrText xml:space="preserve"> mechanism that ties TNY1 accumulation to pre-division mother cell size.\n\nAuthor Summary Size control is a fundamental property of cells which requires balancing cell growth with cell division, but the mechanisms used by cells to achieve this balance are</w:instrText>
      </w:r>
      <w:r>
        <w:rPr>
          <w:rFonts w:ascii="Arial" w:eastAsia="Times New Roman" w:hAnsi="Arial" w:cs="Arial"/>
          <w:color w:val="000000"/>
          <w:lang w:val="en-US" w:eastAsia="de-DE"/>
        </w:rPr>
        <w:instrText xml:space="preserve"> only partly understood. The best-characterized mechanisms for size control to date involve fixed amounts of nuclear- DNA-bound inhibitory factors which repress cell division until cells grow past a minimum size threshold to overcome the inhibition. The un</w:instrText>
      </w:r>
      <w:r>
        <w:rPr>
          <w:rFonts w:ascii="Arial" w:eastAsia="Times New Roman" w:hAnsi="Arial" w:cs="Arial"/>
          <w:color w:val="000000"/>
          <w:lang w:val="en-US" w:eastAsia="de-DE"/>
        </w:rPr>
        <w:instrText>icellular green alga Chlamydomonas and many other algae and protists use a non-canonical cell cycle where cells can grow by many-f…","author":[{"dropping-particle":"","family":"Liu","given":"Dianyi","non-dropping-particle":"","parse-names":false,"suffix":"</w:instrText>
      </w:r>
      <w:r>
        <w:rPr>
          <w:rFonts w:ascii="Arial" w:eastAsia="Times New Roman" w:hAnsi="Arial" w:cs="Arial"/>
          <w:color w:val="000000"/>
          <w:lang w:val="en-US" w:eastAsia="de-DE"/>
        </w:rPr>
        <w:instrText>"},{"dropping-particle":"","family":"Lopez-Paz","given":"Cristina","non-dropping-particle":"","parse-names":false,"suffix":""},{"dropping-particle":"","family":"Li","given":"Yubing","non-dropping-particle":"","parse-names":false,"suffix":""},{"dropping-par</w:instrText>
      </w:r>
      <w:r>
        <w:rPr>
          <w:rFonts w:ascii="Arial" w:eastAsia="Times New Roman" w:hAnsi="Arial" w:cs="Arial"/>
          <w:color w:val="000000"/>
          <w:lang w:val="en-US" w:eastAsia="de-DE"/>
        </w:rPr>
        <w:instrText>ticle":"","family":"Zhuang","given":"Xiaohong","non-dropping-particle":"","parse-names":false,"suffix":""},{"dropping-particle":"","family":"Umen","given":"James G","non-dropping-particle":"","parse-names":false,"suffix":""},{"dropping-particle":"","family</w:instrText>
      </w:r>
      <w:r>
        <w:rPr>
          <w:rFonts w:ascii="Arial" w:eastAsia="Times New Roman" w:hAnsi="Arial" w:cs="Arial"/>
          <w:color w:val="000000"/>
          <w:lang w:val="en-US" w:eastAsia="de-DE"/>
        </w:rPr>
        <w:instrText>":"Danforth","given":"Donald","non-dropping-particle":"","parse-names":false,"suffix":""}],"container-title":"bioRxiv","id":"ITEM-2","issued":{"date-parts":[["2022","11","2"]]},"page":"2022.11.02.514835","publisher":"Cold Spring Harbor Laboratory","title":</w:instrText>
      </w:r>
      <w:r>
        <w:rPr>
          <w:rFonts w:ascii="Arial" w:eastAsia="Times New Roman" w:hAnsi="Arial" w:cs="Arial"/>
          <w:color w:val="000000"/>
          <w:lang w:val="en-US" w:eastAsia="de-DE"/>
        </w:rPr>
        <w:instrText>"Subscaling of a cytosolic RNA binding protein governs cell size homeostasis in the multiple fission alga Chlamydomonas","type":"article-journal"},"uris":["http://www.mendeley.com/documents/?uuid=b4e4fe95-b5f3-38c0-a0d4-75247fffdaa4"]}],"mendeley":{"format</w:instrText>
      </w:r>
      <w:r>
        <w:rPr>
          <w:rFonts w:ascii="Arial" w:eastAsia="Times New Roman" w:hAnsi="Arial" w:cs="Arial"/>
          <w:color w:val="000000"/>
          <w:lang w:val="en-US" w:eastAsia="de-DE"/>
        </w:rPr>
        <w:instrText>tedCitation":"&lt;sup&gt;48,281&lt;/sup&gt;","plainTextFormattedCitation":"48,281","previouslyFormattedCitation":"&lt;sup&gt;48,281&lt;/sup&gt;"},"properties":{"noteIndex":0},"schema":"https://github.com/citation-style-language/schema/raw/master/csl-citation.json"}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48,281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Addi</w:t>
      </w:r>
      <w:r>
        <w:rPr>
          <w:rFonts w:ascii="Arial" w:eastAsia="Times New Roman" w:hAnsi="Arial" w:cs="Arial"/>
          <w:color w:val="000000"/>
          <w:lang w:val="en-US" w:eastAsia="de-DE"/>
        </w:rPr>
        <w:t>tionally, a recent study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{"citationItems":[{"id":"ITEM-1","itemData":{"DOI":"10.1101/2022.11.02.514835","abstract":"Coordination of growth and division in eukaryotic cells is essential for populations of proliferating cells to maintain si</w:instrText>
      </w:r>
      <w:r>
        <w:rPr>
          <w:rFonts w:ascii="Arial" w:eastAsia="Times New Roman" w:hAnsi="Arial" w:cs="Arial"/>
          <w:color w:val="000000"/>
          <w:lang w:val="en-US" w:eastAsia="de-DE"/>
        </w:rPr>
        <w:instrText xml:space="preserve">ze homeostasis, but the underlying mechanisms that govern cell size have only been investigated in a few taxa. The green alga Chlamydomonas reinhardtii (Chlamydomonas) proliferates using a multiple fission cell cycle that involves a long G1 phase followed </w:instrText>
      </w:r>
      <w:r>
        <w:rPr>
          <w:rFonts w:ascii="Arial" w:eastAsia="Times New Roman" w:hAnsi="Arial" w:cs="Arial"/>
          <w:color w:val="000000"/>
          <w:lang w:val="en-US" w:eastAsia="de-DE"/>
        </w:rPr>
        <w:instrText>by a rapid series of successive S and M phases (S/M) that produces 2n daughter cells. Two control points show cell-size dependence: Commitment in mid-G1 phase requires attainment of a minimum size to enable at least one mitotic division during S/M, and the</w:instrText>
      </w:r>
      <w:r>
        <w:rPr>
          <w:rFonts w:ascii="Arial" w:eastAsia="Times New Roman" w:hAnsi="Arial" w:cs="Arial"/>
          <w:color w:val="000000"/>
          <w:lang w:val="en-US" w:eastAsia="de-DE"/>
        </w:rPr>
        <w:instrText xml:space="preserve"> S/M control point where mother cell size governs cell division number (n), ensuring that daughter distributions are uniform. tny1 mutants pass Commitment at a smaller size than wild type and undergo extra divisions during S/M phase to produce small daught</w:instrText>
      </w:r>
      <w:r>
        <w:rPr>
          <w:rFonts w:ascii="Arial" w:eastAsia="Times New Roman" w:hAnsi="Arial" w:cs="Arial"/>
          <w:color w:val="000000"/>
          <w:lang w:val="en-US" w:eastAsia="de-DE"/>
        </w:rPr>
        <w:instrText>ers, indicating that TNY1 functions to inhibit size-dependent cell cycle progression. TNY1 encodes a cytosolic hnRNP A- related RNA binding protein and is produced once per cell cycle during S/M phase where it is apportioned to daughter cells, and then rem</w:instrText>
      </w:r>
      <w:r>
        <w:rPr>
          <w:rFonts w:ascii="Arial" w:eastAsia="Times New Roman" w:hAnsi="Arial" w:cs="Arial"/>
          <w:color w:val="000000"/>
          <w:lang w:val="en-US" w:eastAsia="de-DE"/>
        </w:rPr>
        <w:instrText>ains at constant absolute abundance as cells grow, a property known as subscaling ([1][1]). Altering the dosage of TNY1 in heterozygous diploids or through overexpression increased Commitment cell size and daughter cell size, indicating that TNY1 is a limi</w:instrText>
      </w:r>
      <w:r>
        <w:rPr>
          <w:rFonts w:ascii="Arial" w:eastAsia="Times New Roman" w:hAnsi="Arial" w:cs="Arial"/>
          <w:color w:val="000000"/>
          <w:lang w:val="en-US" w:eastAsia="de-DE"/>
        </w:rPr>
        <w:instrText xml:space="preserve">ting factor for both size control checkpoints. Epistasis placed TNY1 function upstream of the retinoblastoma tumor suppressor complex (RBC) and one of its regulators, Cyclin-Dependent Kinase G1 (CDKG1) ([2][2]). Moreover, CDKG1 protein and mRNA were found </w:instrText>
      </w:r>
      <w:r>
        <w:rPr>
          <w:rFonts w:ascii="Arial" w:eastAsia="Times New Roman" w:hAnsi="Arial" w:cs="Arial"/>
          <w:color w:val="000000"/>
          <w:lang w:val="en-US" w:eastAsia="de-DE"/>
        </w:rPr>
        <w:instrText>to over-accumulate in tny1 cells suggesting that CDKG1 may be a direct target of repression by TNY1. Our data expand the potential roles of subscaling proteins outside the nucleus and imply a control mechanism that ties TNY1 accumulation to pre-division mo</w:instrText>
      </w:r>
      <w:r>
        <w:rPr>
          <w:rFonts w:ascii="Arial" w:eastAsia="Times New Roman" w:hAnsi="Arial" w:cs="Arial"/>
          <w:color w:val="000000"/>
          <w:lang w:val="en-US" w:eastAsia="de-DE"/>
        </w:rPr>
        <w:instrText>ther cell size.\n\nAuthor Summary Size control is a fundamental property of cells which requires balancing cell growth with cell division, but the mechanisms used by cells to achieve this balance are only partly understood. The best-characterized mechanism</w:instrText>
      </w:r>
      <w:r>
        <w:rPr>
          <w:rFonts w:ascii="Arial" w:eastAsia="Times New Roman" w:hAnsi="Arial" w:cs="Arial"/>
          <w:color w:val="000000"/>
          <w:lang w:val="en-US" w:eastAsia="de-DE"/>
        </w:rPr>
        <w:instrText>s for size control to date involve fixed amounts of nuclear- DNA-bound inhibitory factors which repress cell division until cells grow past a minimum size threshold to overcome the inhibition. The unicellular green alga Chlamydomonas and many other algae a</w:instrText>
      </w:r>
      <w:r>
        <w:rPr>
          <w:rFonts w:ascii="Arial" w:eastAsia="Times New Roman" w:hAnsi="Arial" w:cs="Arial"/>
          <w:color w:val="000000"/>
          <w:lang w:val="en-US" w:eastAsia="de-DE"/>
        </w:rPr>
        <w:instrText>nd protists use a non-canonical cell cycle where cells can grow by many-f…","author":[{"dropping-particle":"","family":"Liu","given":"Dianyi","non-dropping-particle":"","parse-names":false,"suffix":""},{"dropping-particle":"","family":"Lopez-Paz","given":"</w:instrText>
      </w:r>
      <w:r>
        <w:rPr>
          <w:rFonts w:ascii="Arial" w:eastAsia="Times New Roman" w:hAnsi="Arial" w:cs="Arial"/>
          <w:color w:val="000000"/>
          <w:lang w:val="en-US" w:eastAsia="de-DE"/>
        </w:rPr>
        <w:instrText>Cristina","non-dropping-particle":"","parse-names":false,"suffix":""},{"dropping-particle":"","family":"Li","given":"Yubing","non-dropping-particle":"","parse-names":false,"suffix":""},{"dropping-particle":"","family":"Zhuang","given":"Xiaohong","non-dropp</w:instrText>
      </w:r>
      <w:r>
        <w:rPr>
          <w:rFonts w:ascii="Arial" w:eastAsia="Times New Roman" w:hAnsi="Arial" w:cs="Arial"/>
          <w:color w:val="000000"/>
          <w:lang w:val="en-US" w:eastAsia="de-DE"/>
        </w:rPr>
        <w:instrText>ing-particle":"","parse-names":false,"suffix":""},{"dropping-particle":"","family":"Umen","given":"James G","non-dropping-particle":"","parse-names":false,"suffix":""},{"dropping-particle":"","family":"Danforth","given":"Donald","non-dropping-particle":"",</w:instrText>
      </w:r>
      <w:r>
        <w:rPr>
          <w:rFonts w:ascii="Arial" w:eastAsia="Times New Roman" w:hAnsi="Arial" w:cs="Arial"/>
          <w:color w:val="000000"/>
          <w:lang w:val="en-US" w:eastAsia="de-DE"/>
        </w:rPr>
        <w:instrText>"parse-names":false,"suffix":""}],"container-title":"bioRxiv","id":"ITEM-1","issued":{"date-parts":[["2022","11","2"]]},"page":"2022.11.02.514835","publisher":"Cold Spring Harbor Laboratory","title":"Subscaling of a cytosolic RNA binding protein governs ce</w:instrText>
      </w:r>
      <w:r>
        <w:rPr>
          <w:rFonts w:ascii="Arial" w:eastAsia="Times New Roman" w:hAnsi="Arial" w:cs="Arial"/>
          <w:color w:val="000000"/>
          <w:lang w:val="en-US" w:eastAsia="de-DE"/>
        </w:rPr>
        <w:instrText>ll size homeostasis in the multiple fission alga Chlamydomonas","type":"article-journal"},"uris":["http://www.mendeley.com/documents/?uuid=b4e4fe95-b5f3-38c0-a0d4-75247fffdaa4"]}],"mendeley":{"formattedCitation":"&lt;sup&gt;281&lt;/sup&gt;","plainTextFormattedCitation</w:instrText>
      </w:r>
      <w:r>
        <w:rPr>
          <w:rFonts w:ascii="Arial" w:eastAsia="Times New Roman" w:hAnsi="Arial" w:cs="Arial"/>
          <w:color w:val="000000"/>
          <w:lang w:val="en-US" w:eastAsia="de-DE"/>
        </w:rPr>
        <w:instrText>":"281","previouslyFormattedCitation":"&lt;sup&gt;281&lt;/sup&gt;"},"properties":{"noteIndex":0},"schema":"https://github.com/citation-style-language/schema/raw/master/csl-citation.json"}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has identified a cytoplasmic RNA-binding protein TNY1 that subscales durin</w:t>
      </w:r>
      <w:r>
        <w:rPr>
          <w:rFonts w:ascii="Arial" w:eastAsia="Times New Roman" w:hAnsi="Arial" w:cs="Arial"/>
          <w:color w:val="000000"/>
          <w:lang w:val="en-US" w:eastAsia="de-DE"/>
        </w:rPr>
        <w:t xml:space="preserve">g G1 and represses CDKG1, possibly by affecting CDKG1 RNA stability. </w:t>
      </w:r>
      <w:r>
        <w:rPr>
          <w:rFonts w:ascii="Arial" w:eastAsia="Times New Roman" w:hAnsi="Arial" w:cs="Arial"/>
          <w:color w:val="000000"/>
          <w:lang w:val="en-US" w:eastAsia="de-DE"/>
        </w:rPr>
        <w:lastRenderedPageBreak/>
        <w:t xml:space="preserve">Hence, the size control system in </w:t>
      </w:r>
      <w:r>
        <w:rPr>
          <w:rFonts w:ascii="Arial" w:eastAsia="Times New Roman" w:hAnsi="Arial" w:cs="Arial"/>
          <w:i/>
          <w:iCs/>
          <w:color w:val="000000"/>
          <w:lang w:val="en-US" w:eastAsia="de-DE"/>
        </w:rPr>
        <w:t xml:space="preserve">C. </w:t>
      </w:r>
      <w:proofErr w:type="spellStart"/>
      <w:r>
        <w:rPr>
          <w:rFonts w:ascii="Arial" w:eastAsia="Times New Roman" w:hAnsi="Arial" w:cs="Arial"/>
          <w:i/>
          <w:iCs/>
          <w:color w:val="000000"/>
          <w:lang w:val="en-US" w:eastAsia="de-DE"/>
        </w:rPr>
        <w:t>reinhardtii</w:t>
      </w:r>
      <w:proofErr w:type="spellEnd"/>
      <w:r>
        <w:rPr>
          <w:rFonts w:ascii="Arial" w:eastAsia="Times New Roman" w:hAnsi="Arial" w:cs="Arial"/>
          <w:color w:val="000000"/>
          <w:lang w:val="en-US" w:eastAsia="de-DE"/>
        </w:rPr>
        <w:t xml:space="preserve"> seems to employ both dilution and accumulation of reporters as size sensing strategies.</w:t>
      </w:r>
    </w:p>
    <w:p w14:paraId="47787C68"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Another organism where reporter accumulation is cl</w:t>
      </w:r>
      <w:r>
        <w:rPr>
          <w:rFonts w:ascii="Arial" w:eastAsia="Times New Roman" w:hAnsi="Arial" w:cs="Arial"/>
          <w:color w:val="000000"/>
          <w:lang w:val="en-US" w:eastAsia="de-DE"/>
        </w:rPr>
        <w:t xml:space="preserve">early employed as a size sensing strategy is the well-studied rod-shaped </w:t>
      </w:r>
      <w:r>
        <w:rPr>
          <w:rFonts w:ascii="Arial" w:eastAsia="Times New Roman" w:hAnsi="Arial" w:cs="Arial"/>
          <w:b/>
          <w:bCs/>
          <w:color w:val="000000"/>
          <w:lang w:val="en-US" w:eastAsia="de-DE"/>
        </w:rPr>
        <w:t>fission yeast</w:t>
      </w:r>
      <w:r>
        <w:rPr>
          <w:rFonts w:ascii="Arial" w:eastAsia="Times New Roman" w:hAnsi="Arial" w:cs="Arial"/>
          <w:color w:val="000000"/>
          <w:lang w:val="en-US" w:eastAsia="de-DE"/>
        </w:rPr>
        <w:t xml:space="preserve">, </w:t>
      </w:r>
      <w:proofErr w:type="spellStart"/>
      <w:r>
        <w:rPr>
          <w:rFonts w:ascii="Arial" w:eastAsia="Times New Roman" w:hAnsi="Arial" w:cs="Arial"/>
          <w:i/>
          <w:iCs/>
          <w:color w:val="000000"/>
          <w:lang w:val="en-US" w:eastAsia="de-DE"/>
        </w:rPr>
        <w:t>Schizosaccharomyces</w:t>
      </w:r>
      <w:proofErr w:type="spellEnd"/>
      <w:r>
        <w:rPr>
          <w:rFonts w:ascii="Arial" w:eastAsia="Times New Roman" w:hAnsi="Arial" w:cs="Arial"/>
          <w:i/>
          <w:iCs/>
          <w:color w:val="000000"/>
          <w:lang w:val="en-US" w:eastAsia="de-DE"/>
        </w:rPr>
        <w:t xml:space="preserve"> pombe</w:t>
      </w:r>
      <w:r>
        <w:rPr>
          <w:rFonts w:ascii="Arial" w:eastAsia="Times New Roman" w:hAnsi="Arial" w:cs="Arial"/>
          <w:iCs/>
          <w:color w:val="000000"/>
          <w:lang w:val="en-US" w:eastAsia="de-DE"/>
        </w:rPr>
        <w:t xml:space="preserve"> (Fig. 6d)</w:t>
      </w:r>
      <w:r>
        <w:rPr>
          <w:rFonts w:ascii="Arial" w:eastAsia="Times New Roman" w:hAnsi="Arial" w:cs="Arial"/>
          <w:color w:val="000000"/>
          <w:lang w:val="en-US" w:eastAsia="de-DE"/>
        </w:rPr>
        <w:t xml:space="preserve">. Fission yeast size control occurs mostly at the G2/M transition and comprises a sizer and a timer that integrate cell </w:t>
      </w:r>
      <w:r>
        <w:rPr>
          <w:rFonts w:ascii="Arial" w:eastAsia="Times New Roman" w:hAnsi="Arial" w:cs="Arial"/>
          <w:color w:val="000000"/>
          <w:lang w:val="en-US" w:eastAsia="de-DE"/>
        </w:rPr>
        <w:t>length, cell surface area, and time information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{"citationItems":[{"id":"ITEM-1","itemData":{"DOI":"10.1016/j.cub.2023.06.054","ISSN":"18790445","PMID":"37463585","abstract":"Eukaryotic cells tightly control their size, but the relevant a</w:instrText>
      </w:r>
      <w:r>
        <w:rPr>
          <w:rFonts w:ascii="Arial" w:eastAsia="Times New Roman" w:hAnsi="Arial" w:cs="Arial"/>
          <w:color w:val="000000"/>
          <w:lang w:val="en-US" w:eastAsia="de-DE"/>
        </w:rPr>
        <w:instrText>spect of size is unknown in most cases. Fission yeast divide at a threshold cell surface area (SA) due, in part, to the protein kinase Cdr2. We find that fission yeast cells only divide by SA under a size threshold. Mutants that divide at a larger size shi</w:instrText>
      </w:r>
      <w:r>
        <w:rPr>
          <w:rFonts w:ascii="Arial" w:eastAsia="Times New Roman" w:hAnsi="Arial" w:cs="Arial"/>
          <w:color w:val="000000"/>
          <w:lang w:val="en-US" w:eastAsia="de-DE"/>
        </w:rPr>
        <w:instrText>ft to volume-based divisions. Diploid cells divide at a larger size than haploid cells do, but they maintain SA-based divisions, and this indicates that the size threshold for changing from surface-area-based to volume-based control is set by ploidy. Withi</w:instrText>
      </w:r>
      <w:r>
        <w:rPr>
          <w:rFonts w:ascii="Arial" w:eastAsia="Times New Roman" w:hAnsi="Arial" w:cs="Arial"/>
          <w:color w:val="000000"/>
          <w:lang w:val="en-US" w:eastAsia="de-DE"/>
        </w:rPr>
        <w:instrText>n this size control system, we found that the mitotic activator Cdc25 accumulates like a volume-based sizer molecule, whereas the mitotic cyclin Cdc13 accumulates in the nucleus as a timer. We propose an integrated model for cell size control based on mult</w:instrText>
      </w:r>
      <w:r>
        <w:rPr>
          <w:rFonts w:ascii="Arial" w:eastAsia="Times New Roman" w:hAnsi="Arial" w:cs="Arial"/>
          <w:color w:val="000000"/>
          <w:lang w:val="en-US" w:eastAsia="de-DE"/>
        </w:rPr>
        <w:instrText>iple signaling pathways that report on distinct aspects of cell size and growth, including cell SA (Cdr2), cell volume (Cdc25), and time (Cdc13). Combined modeling and experiments show how this system can generate both sizer- and adder-like properties.","a</w:instrText>
      </w:r>
      <w:r>
        <w:rPr>
          <w:rFonts w:ascii="Arial" w:eastAsia="Times New Roman" w:hAnsi="Arial" w:cs="Arial"/>
          <w:color w:val="000000"/>
          <w:lang w:val="en-US" w:eastAsia="de-DE"/>
        </w:rPr>
        <w:instrText>uthor":[{"dropping-particle":"","family":"Miller","given":"Kristi E.","non-dropping-particle":"","parse-names":false,"suffix":""},{"dropping-particle":"","family":"Vargas-Garcia","given":"Cesar","non-dropping-particle":"","parse-names":false,"suffix":""},{</w:instrText>
      </w:r>
      <w:r>
        <w:rPr>
          <w:rFonts w:ascii="Arial" w:eastAsia="Times New Roman" w:hAnsi="Arial" w:cs="Arial"/>
          <w:color w:val="000000"/>
          <w:lang w:val="en-US" w:eastAsia="de-DE"/>
        </w:rPr>
        <w:instrText>"dropping-particle":"","family":"Singh","given":"Abhyudai","non-dropping-particle":"","parse-names":false,"suffix":""},{"dropping-particle":"","family":"Moseley","given":"James B.","non-dropping-particle":"","parse-names":false,"suffix":""}],"container-tit</w:instrText>
      </w:r>
      <w:r>
        <w:rPr>
          <w:rFonts w:ascii="Arial" w:eastAsia="Times New Roman" w:hAnsi="Arial" w:cs="Arial"/>
          <w:color w:val="000000"/>
          <w:lang w:val="en-US" w:eastAsia="de-DE"/>
        </w:rPr>
        <w:instrText>le":"Current Biology","id":"ITEM-1","issue":"16","issued":{"date-parts":[["2023","11","17"]]},"page":"3312-3324.e7","publisher":"Cold Spring Harbor Laboratory","title":"The fission yeast cell size control system integrates pathways measuring cell surface a</w:instrText>
      </w:r>
      <w:r>
        <w:rPr>
          <w:rFonts w:ascii="Arial" w:eastAsia="Times New Roman" w:hAnsi="Arial" w:cs="Arial"/>
          <w:color w:val="000000"/>
          <w:lang w:val="en-US" w:eastAsia="de-DE"/>
        </w:rPr>
        <w:instrText>rea, volume, and time","type":"article-journal","volume":"33"},"uris":["http://www.mendeley.com/documents/?uuid=81cdbf5c-8af3-3346-97a7-c923bb234ca6"]}],"mendeley":{"formattedCitation":"&lt;sup&gt;61&lt;/sup&gt;","plainTextFormattedCitation":"61","previouslyFormattedC</w:instrText>
      </w:r>
      <w:r>
        <w:rPr>
          <w:rFonts w:ascii="Arial" w:eastAsia="Times New Roman" w:hAnsi="Arial" w:cs="Arial"/>
          <w:color w:val="000000"/>
          <w:lang w:val="en-US" w:eastAsia="de-DE"/>
        </w:rPr>
        <w:instrText>itation":"&lt;sup&gt;61&lt;/sup&gt;"},"properties":{"noteIndex":0},"schema":"https://github.com/citation-style-language/schema/raw/master/csl-citation.json"}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61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The fission yeast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xml:space="preserve"> is one of the strongest size control mechanisms observed in eukaryotes, as it ca</w:t>
      </w:r>
      <w:r>
        <w:rPr>
          <w:rFonts w:ascii="Arial" w:eastAsia="Times New Roman" w:hAnsi="Arial" w:cs="Arial"/>
          <w:color w:val="000000"/>
          <w:lang w:val="en-US" w:eastAsia="de-DE"/>
        </w:rPr>
        <w:t>n correct most deviations from mean cell size in a single cell cycle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{"citationItems":[{"id":"ITEM-1","itemData":{"DOI":"10.1016/0014-4827(77)90359-7","author":[{"dropping-particle":"","family":"Fantes","given":"P","non-dropping-particle"</w:instrText>
      </w:r>
      <w:r>
        <w:rPr>
          <w:rFonts w:ascii="Arial" w:eastAsia="Times New Roman" w:hAnsi="Arial" w:cs="Arial"/>
          <w:color w:val="000000"/>
          <w:lang w:val="en-US" w:eastAsia="de-DE"/>
        </w:rPr>
        <w:instrText>:"","parse-names":false,"suffix":""},{"dropping-particle":"","family":"Nurse","given":"P","non-dropping-particle":"","parse-names":false,"suffix":""}],"container-title":"Exp Cell Res","id":"ITEM-1","issued":{"date-parts":[["1977"]]},"title":"Control of cel</w:instrText>
      </w:r>
      <w:r>
        <w:rPr>
          <w:rFonts w:ascii="Arial" w:eastAsia="Times New Roman" w:hAnsi="Arial" w:cs="Arial"/>
          <w:color w:val="000000"/>
          <w:lang w:val="en-US" w:eastAsia="de-DE"/>
        </w:rPr>
        <w:instrText>l size at division in fission yeast by a growth-modulated size control over nuclear division","type":"article-journal","volume":"107"},"uris":["http://www.mendeley.com/documents/?uuid=81df9842-e13b-4d8a-9534-a9b1c487a16a"]}],"mendeley":{"formattedCitation"</w:instrText>
      </w:r>
      <w:r>
        <w:rPr>
          <w:rFonts w:ascii="Arial" w:eastAsia="Times New Roman" w:hAnsi="Arial" w:cs="Arial"/>
          <w:color w:val="000000"/>
          <w:lang w:val="en-US" w:eastAsia="de-DE"/>
        </w:rPr>
        <w:instrText>:"&lt;sup&gt;217&lt;/sup&gt;","plainTextFormattedCitation":"217","previouslyFormattedCitation":"&lt;sup&gt;217&lt;/sup&gt;"},"properties":{"noteIndex":0},"schema":"https://github.com/citation-style-language/schema/raw/master/csl-citation.json"}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217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t>
      </w:r>
    </w:p>
    <w:p w14:paraId="74496BF5"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The G2/M transition in fiss</w:t>
      </w:r>
      <w:r>
        <w:rPr>
          <w:rFonts w:ascii="Arial" w:eastAsia="Times New Roman" w:hAnsi="Arial" w:cs="Arial"/>
          <w:color w:val="000000"/>
          <w:lang w:val="en-US" w:eastAsia="de-DE"/>
        </w:rPr>
        <w:t>ion yeast is initiated by the activation of the cyclin-dependent kinase Cdk1</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{"citationItems":[{"id":"ITEM-1","itemData":{"DOI":"10.1038/344503a0","ISSN":"1476-4687","PMID":"2138713","abstract":"The onset of M-phase is regulated by a mech</w:instrText>
      </w:r>
      <w:r>
        <w:rPr>
          <w:rFonts w:ascii="Arial" w:eastAsia="Times New Roman" w:hAnsi="Arial" w:cs="Arial"/>
          <w:color w:val="000000"/>
          <w:lang w:val="en-US" w:eastAsia="de-DE"/>
        </w:rPr>
        <w:instrText>anism common to all eukaryotic cells. Entry into M-phase is determined by activation of the p34cdc2 protein kinase which requires p34cdc2 dephosphorylation and association with cyclin.","author":[{"dropping-particle":"","family":"Nurse","given":"Paul","non</w:instrText>
      </w:r>
      <w:r>
        <w:rPr>
          <w:rFonts w:ascii="Arial" w:eastAsia="Times New Roman" w:hAnsi="Arial" w:cs="Arial"/>
          <w:color w:val="000000"/>
          <w:lang w:val="en-US" w:eastAsia="de-DE"/>
        </w:rPr>
        <w:instrText>-dropping-particle":"","parse-names":false,"suffix":""}],"container-title":"Nature 1990 344:6266","id":"ITEM-1","issue":"6266","issued":{"date-parts":[["1990"]]},"page":"503-508","publisher":"Nature Publishing Group","title":"Universal control mechanism re</w:instrText>
      </w:r>
      <w:r>
        <w:rPr>
          <w:rFonts w:ascii="Arial" w:eastAsia="Times New Roman" w:hAnsi="Arial" w:cs="Arial"/>
          <w:color w:val="000000"/>
          <w:lang w:val="en-US" w:eastAsia="de-DE"/>
        </w:rPr>
        <w:instrText>gulating onset of M-phase","type":"article-journal","volume":"344"},"uris":["http://www.mendeley.com/documents/?uuid=68ff369a-9b03-3d5a-a9ec-3747d7169280"]},{"id":"ITEM-2","itemData":{"DOI":"10.1038/nature02062","ISSN":"1476-4687","PMID":"14574415","abstra</w:instrText>
      </w:r>
      <w:r>
        <w:rPr>
          <w:rFonts w:ascii="Arial" w:eastAsia="Times New Roman" w:hAnsi="Arial" w:cs="Arial"/>
          <w:color w:val="000000"/>
          <w:lang w:val="en-US" w:eastAsia="de-DE"/>
        </w:rPr>
        <w:instrText>ct":"The events of cell reproduction are governed by oscillations in the activities of cyclin-dependent kinases (Cdks). Cdks control the cell cycle by catalysing the transfer of phosphate from ATP to specific protein substrates. Despite their importance in</w:instrText>
      </w:r>
      <w:r>
        <w:rPr>
          <w:rFonts w:ascii="Arial" w:eastAsia="Times New Roman" w:hAnsi="Arial" w:cs="Arial"/>
          <w:color w:val="000000"/>
          <w:lang w:val="en-US" w:eastAsia="de-DE"/>
        </w:rPr>
        <w:instrText xml:space="preserve"> cell-cycle control, few Cdk substrates have been identified. Here, we screened a budding yeast proteomic library for proteins that are directly phosphorylated by Cdk1 in whole-cell extracts. We identified about 200 Cdk1 substrates, several of which are ph</w:instrText>
      </w:r>
      <w:r>
        <w:rPr>
          <w:rFonts w:ascii="Arial" w:eastAsia="Times New Roman" w:hAnsi="Arial" w:cs="Arial"/>
          <w:color w:val="000000"/>
          <w:lang w:val="en-US" w:eastAsia="de-DE"/>
        </w:rPr>
        <w:instrText>osphorylated in vivo in a Cdk1-dependent manner. The identities of these substrates reveal that Cdk1 employs a global regulatory strategy involving phosphorylation of other regulatory molecules as well as phosphorylation of the molecular machines that driv</w:instrText>
      </w:r>
      <w:r>
        <w:rPr>
          <w:rFonts w:ascii="Arial" w:eastAsia="Times New Roman" w:hAnsi="Arial" w:cs="Arial"/>
          <w:color w:val="000000"/>
          <w:lang w:val="en-US" w:eastAsia="de-DE"/>
        </w:rPr>
        <w:instrText>e cell-cycle events. Detailed analysis of these substrates is likely to yield important insights into cell-cycle regulation.","author":[{"dropping-particle":"","family":"Ubersax","given":"Jeffrey A","non-dropping-particle":"","parse-names":false,"suffix":"</w:instrText>
      </w:r>
      <w:r>
        <w:rPr>
          <w:rFonts w:ascii="Arial" w:eastAsia="Times New Roman" w:hAnsi="Arial" w:cs="Arial"/>
          <w:color w:val="000000"/>
          <w:lang w:val="en-US" w:eastAsia="de-DE"/>
        </w:rPr>
        <w:instrText>"},{"dropping-particle":"","family":"Woodbury","given":"Erika L","non-dropping-particle":"","parse-names":false,"suffix":""},{"dropping-particle":"","family":"Quang","given":"Phuong N","non-dropping-particle":"","parse-names":false,"suffix":""},{"dropping-</w:instrText>
      </w:r>
      <w:r>
        <w:rPr>
          <w:rFonts w:ascii="Arial" w:eastAsia="Times New Roman" w:hAnsi="Arial" w:cs="Arial"/>
          <w:color w:val="000000"/>
          <w:lang w:val="en-US" w:eastAsia="de-DE"/>
        </w:rPr>
        <w:instrText>particle":"","family":"Paraz","given":"Maria","non-dropping-particle":"","parse-names":false,"suffix":""},{"dropping-particle":"","family":"Blethrow","given":"Justin D","non-dropping-particle":"","parse-names":false,"suffix":""},{"dropping-particle":"","fa</w:instrText>
      </w:r>
      <w:r>
        <w:rPr>
          <w:rFonts w:ascii="Arial" w:eastAsia="Times New Roman" w:hAnsi="Arial" w:cs="Arial"/>
          <w:color w:val="000000"/>
          <w:lang w:val="en-US" w:eastAsia="de-DE"/>
        </w:rPr>
        <w:instrText>mily":"Shah","given":"Kavita","non-dropping-particle":"","parse-names":false,"suffix":""},{"dropping-particle":"","family":"Shokat","given":"Kevan M","non-dropping-particle":"","parse-names":false,"suffix":""},{"dropping-particle":"","family":"Morgan","giv</w:instrText>
      </w:r>
      <w:r>
        <w:rPr>
          <w:rFonts w:ascii="Arial" w:eastAsia="Times New Roman" w:hAnsi="Arial" w:cs="Arial"/>
          <w:color w:val="000000"/>
          <w:lang w:val="en-US" w:eastAsia="de-DE"/>
        </w:rPr>
        <w:instrText>en":"David O","non-dropping-particle":"","parse-names":false,"suffix":""}],"container-title":"Nature","id":"ITEM-2","issue":"6960","issued":{"date-parts":[["2003","10","23"]]},"page":"859-64","title":"Targets of the cyclin-dependent kinase Cdk1.","title-sh</w:instrText>
      </w:r>
      <w:r>
        <w:rPr>
          <w:rFonts w:ascii="Arial" w:eastAsia="Times New Roman" w:hAnsi="Arial" w:cs="Arial"/>
          <w:color w:val="000000"/>
          <w:lang w:val="en-US" w:eastAsia="de-DE"/>
        </w:rPr>
        <w:instrText>ort":"Nature","type":"article-journal","volume":"425"},"uris":["http://www.mendeley.com/documents/?uuid=220028f4-dc3d-48f9-837b-184137d45fbb"]},{"id":"ITEM-3","itemData":{"DOI":"10.1038/nature08074","ISBN":"0028-0836","ISSN":"0028-0836","PMID":"19474789","</w:instrText>
      </w:r>
      <w:r>
        <w:rPr>
          <w:rFonts w:ascii="Arial" w:eastAsia="Times New Roman" w:hAnsi="Arial" w:cs="Arial"/>
          <w:color w:val="000000"/>
          <w:lang w:val="en-US" w:eastAsia="de-DE"/>
        </w:rPr>
        <w:instrText xml:space="preserve">abstract":"Many eukaryotic cell types undergo size-dependent cell cycle transitions controlled by the ubiquitous cyclin-dependent kinase Cdk1 (refs 1-4). The proteins that control Cdk1 activity are well described but their links with mechanisms monitoring </w:instrText>
      </w:r>
      <w:r>
        <w:rPr>
          <w:rFonts w:ascii="Arial" w:eastAsia="Times New Roman" w:hAnsi="Arial" w:cs="Arial"/>
          <w:color w:val="000000"/>
          <w:lang w:val="en-US" w:eastAsia="de-DE"/>
        </w:rPr>
        <w:instrText xml:space="preserve">cell size remain elusive. In the fission yeast Schizosaccharomyces pombe, cells enter mitosis and divide at a defined and reproducible size owing to the regulated activity of Cdk1 (refs 2, 3). Here we show that the cell polarity protein kinase Pom1, which </w:instrText>
      </w:r>
      <w:r>
        <w:rPr>
          <w:rFonts w:ascii="Arial" w:eastAsia="Times New Roman" w:hAnsi="Arial" w:cs="Arial"/>
          <w:color w:val="000000"/>
          <w:lang w:val="en-US" w:eastAsia="de-DE"/>
        </w:rPr>
        <w:instrText>localizes to cell ends, regulates a signalling network that contributes to the control of mitotic entry. This network is located at cortical nodes in the middle of interphase cells, and these nodes contain the Cdk1 inhibitor Wee1, the Wee1-inhibitory kinas</w:instrText>
      </w:r>
      <w:r>
        <w:rPr>
          <w:rFonts w:ascii="Arial" w:eastAsia="Times New Roman" w:hAnsi="Arial" w:cs="Arial"/>
          <w:color w:val="000000"/>
          <w:lang w:val="en-US" w:eastAsia="de-DE"/>
        </w:rPr>
        <w:instrText>es Cdr1 (also known as Nim1) and Cdr2, and the anillin-like protein Mid1. Cdr2 establishes the hierarchical localization of other proteins in the nodes, and receives negative regulatory signals from Pom1. Pom1 forms a polar gradient extending from the cell</w:instrText>
      </w:r>
      <w:r>
        <w:rPr>
          <w:rFonts w:ascii="Arial" w:eastAsia="Times New Roman" w:hAnsi="Arial" w:cs="Arial"/>
          <w:color w:val="000000"/>
          <w:lang w:val="en-US" w:eastAsia="de-DE"/>
        </w:rPr>
        <w:instrText xml:space="preserve"> ends towards the cell middle and acts as a dose-dependent inhibitor of mitotic entry, working through the Cdr2 pathway. As cells elongate, Pom1 levels decrease at the cell middle, leading to mitotic entry. We propose that the Pom1 polar gradient and the m</w:instrText>
      </w:r>
      <w:r>
        <w:rPr>
          <w:rFonts w:ascii="Arial" w:eastAsia="Times New Roman" w:hAnsi="Arial" w:cs="Arial"/>
          <w:color w:val="000000"/>
          <w:lang w:val="en-US" w:eastAsia="de-DE"/>
        </w:rPr>
        <w:instrText>edial cortical nodes generate information about cell size and coordinate this with mitotic entry by regulating Cdk1 through Pom1, Cdr2, Cdr1 and Wee1.","author":[{"dropping-particle":"","family":"Moseley","given":"James B","non-dropping-particle":"","parse</w:instrText>
      </w:r>
      <w:r>
        <w:rPr>
          <w:rFonts w:ascii="Arial" w:eastAsia="Times New Roman" w:hAnsi="Arial" w:cs="Arial"/>
          <w:color w:val="000000"/>
          <w:lang w:val="en-US" w:eastAsia="de-DE"/>
        </w:rPr>
        <w:instrText>-names":false,"suffix":""},{"dropping-particle":"","family":"Mayeux","given":"Adeline","non-dropping-particle":"","parse-names":false,"suffix":""},{"dropping-particle":"","family":"Paoletti","given":"Anne","non-dropping-particle":"","parse-names":false,"su</w:instrText>
      </w:r>
      <w:r>
        <w:rPr>
          <w:rFonts w:ascii="Arial" w:eastAsia="Times New Roman" w:hAnsi="Arial" w:cs="Arial"/>
          <w:color w:val="000000"/>
          <w:lang w:val="en-US" w:eastAsia="de-DE"/>
        </w:rPr>
        <w:instrText>ffix":""},{"dropping-particle":"","family":"Nurse","given":"Paul","non-dropping-particle":"","parse-names":false,"suffix":""}],"container-title":"Nature","id":"ITEM-3","issue":"7248","issued":{"date-parts":[["2009"]]},"page":"857-860","title":"A spatial gr</w:instrText>
      </w:r>
      <w:r>
        <w:rPr>
          <w:rFonts w:ascii="Arial" w:eastAsia="Times New Roman" w:hAnsi="Arial" w:cs="Arial"/>
          <w:color w:val="000000"/>
          <w:lang w:val="en-US" w:eastAsia="de-DE"/>
        </w:rPr>
        <w:instrText>adient coordinates cell size and mitotic entry in fission yeast.","type":"article-journal","volume":"459"},"uris":["http://www.mendeley.com/documents/?uuid=8e416946-0f90-4af3-a033-0b83a1988083"]}],"mendeley":{"formattedCitation":"&lt;sup&gt;282–284&lt;/sup&gt;","plain</w:instrText>
      </w:r>
      <w:r>
        <w:rPr>
          <w:rFonts w:ascii="Arial" w:eastAsia="Times New Roman" w:hAnsi="Arial" w:cs="Arial"/>
          <w:color w:val="000000"/>
          <w:lang w:val="en-US" w:eastAsia="de-DE"/>
        </w:rPr>
        <w:instrText>TextFormattedCitation":"282–284","previouslyFormattedCitation":"&lt;sup&gt;282–284&lt;/sup&gt;"},"properties":{"noteIndex":0},"schema":"https://github.com/citation-style-language/schema/raw/master/csl-citation.json"}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282–284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when it is in a complex with the B-type c</w:t>
      </w:r>
      <w:r>
        <w:rPr>
          <w:rFonts w:ascii="Arial" w:eastAsia="Times New Roman" w:hAnsi="Arial" w:cs="Arial"/>
          <w:color w:val="000000"/>
          <w:lang w:val="en-US" w:eastAsia="de-DE"/>
        </w:rPr>
        <w:t>yclin Cdc13</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{"citationItems":[{"id":"ITEM-1","itemData":{"DOI":"10.1016/1043-4682(95)90003-9","ISSN":"1043-4682","PMID":"7548845","abstract":"Five cyclin-like genes, cig1, cig2/cyc17, mcs2, puc1 and cdc13, have been discovered in S. pombe</w:instrText>
      </w:r>
      <w:r>
        <w:rPr>
          <w:rFonts w:ascii="Arial" w:eastAsia="Times New Roman" w:hAnsi="Arial" w:cs="Arial"/>
          <w:color w:val="000000"/>
          <w:lang w:val="en-US" w:eastAsia="de-DE"/>
        </w:rPr>
        <w:instrText xml:space="preserve"> to date. It is not yet clear what their functions are or even whether they are all involved with control of the cell cycle. Conflicting data for cig1 and cig2/cyc17 have obscured analysis of their function and cig1 remains largely uncharacterized, althoug</w:instrText>
      </w:r>
      <w:r>
        <w:rPr>
          <w:rFonts w:ascii="Arial" w:eastAsia="Times New Roman" w:hAnsi="Arial" w:cs="Arial"/>
          <w:color w:val="000000"/>
          <w:lang w:val="en-US" w:eastAsia="de-DE"/>
        </w:rPr>
        <w:instrText>h clues to the role of cig2/cyc17 have emerged. There is genetic data available for the more distant cyclin homologue mcs2, which has an essential although as yet unspecified role. Puc1 may be involved in regulation of exit from the cell cycle. The first c</w:instrText>
      </w:r>
      <w:r>
        <w:rPr>
          <w:rFonts w:ascii="Arial" w:eastAsia="Times New Roman" w:hAnsi="Arial" w:cs="Arial"/>
          <w:color w:val="000000"/>
          <w:lang w:val="en-US" w:eastAsia="de-DE"/>
        </w:rPr>
        <w:instrText>yclin to be discovered, and the best understood, is cdc13 which with cdc2 promotes mitosis. Studies of the roles of cdc2 and cdc13 in the overall ordering of the cell cycle suggest that cdc13 and probably other cyclins are key regulators, maintaining the o</w:instrText>
      </w:r>
      <w:r>
        <w:rPr>
          <w:rFonts w:ascii="Arial" w:eastAsia="Times New Roman" w:hAnsi="Arial" w:cs="Arial"/>
          <w:color w:val="000000"/>
          <w:lang w:val="en-US" w:eastAsia="de-DE"/>
        </w:rPr>
        <w:instrText>rder of S phase and mitosis during the cell cycle. © 1995.","author":[{"dropping-particle":"","family":"Fisher","given":"Daniel","non-dropping-particle":"","parse-names":false,"suffix":""},{"dropping-particle":"","family":"Nurse","given":"Paul","non-droppi</w:instrText>
      </w:r>
      <w:r>
        <w:rPr>
          <w:rFonts w:ascii="Arial" w:eastAsia="Times New Roman" w:hAnsi="Arial" w:cs="Arial"/>
          <w:color w:val="000000"/>
          <w:lang w:val="en-US" w:eastAsia="de-DE"/>
        </w:rPr>
        <w:instrText>ng-particle":"","parse-names":false,"suffix":""}],"container-title":"Seminars in cell biology","id":"ITEM-1","issue":"2","issued":{"date-parts":[["1995"]]},"page":"73-78","publisher":"Semin Cell Biol","title":"Cyclins of the fission yeast Schizosaccharomyc</w:instrText>
      </w:r>
      <w:r>
        <w:rPr>
          <w:rFonts w:ascii="Arial" w:eastAsia="Times New Roman" w:hAnsi="Arial" w:cs="Arial"/>
          <w:color w:val="000000"/>
          <w:lang w:val="en-US" w:eastAsia="de-DE"/>
        </w:rPr>
        <w:instrText>es pombe","type":"article-journal","volume":"6"},"uris":["http://www.mendeley.com/documents/?uuid=476a3a28-beaa-3550-bfc5-afa3a62077e2"]}],"mendeley":{"formattedCitation":"&lt;sup&gt;285&lt;/sup&gt;","plainTextFormattedCitation":"285","previouslyFormattedCitation":"&lt;s</w:instrText>
      </w:r>
      <w:r>
        <w:rPr>
          <w:rFonts w:ascii="Arial" w:eastAsia="Times New Roman" w:hAnsi="Arial" w:cs="Arial"/>
          <w:color w:val="000000"/>
          <w:lang w:val="en-US" w:eastAsia="de-DE"/>
        </w:rPr>
        <w:instrText>up&gt;285&lt;/sup&gt;"},"properties":{"noteIndex":0},"schema":"https://github.com/citation-style-language/schema/raw/master/csl-citation.json"}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Cdk1 is phosphorylated and inhibited by the protein kinase Wee1, and is dephosphorylated and activated by phosphat</w:t>
      </w:r>
      <w:r>
        <w:rPr>
          <w:rFonts w:ascii="Arial" w:eastAsia="Times New Roman" w:hAnsi="Arial" w:cs="Arial"/>
          <w:color w:val="000000"/>
          <w:lang w:val="en-US" w:eastAsia="de-DE"/>
        </w:rPr>
        <w:t>ase Cdc25</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{"citationItems":[{"id":"ITEM-1","itemData":{"DOI":"10.1038/344503a0","ISSN":"1476-4687","PMID":"2138713","abstract":"The onset of M-phase is regulated by a mechanism common to all eukaryotic cells. Entry into M-phase is determi</w:instrText>
      </w:r>
      <w:r>
        <w:rPr>
          <w:rFonts w:ascii="Arial" w:eastAsia="Times New Roman" w:hAnsi="Arial" w:cs="Arial"/>
          <w:color w:val="000000"/>
          <w:lang w:val="en-US" w:eastAsia="de-DE"/>
        </w:rPr>
        <w:instrText>ned by activation of the p34cdc2 protein kinase which requires p34cdc2 dephosphorylation and association with cyclin.","author":[{"dropping-particle":"","family":"Nurse","given":"Paul","non-dropping-particle":"","parse-names":false,"suffix":""}],"container</w:instrText>
      </w:r>
      <w:r>
        <w:rPr>
          <w:rFonts w:ascii="Arial" w:eastAsia="Times New Roman" w:hAnsi="Arial" w:cs="Arial"/>
          <w:color w:val="000000"/>
          <w:lang w:val="en-US" w:eastAsia="de-DE"/>
        </w:rPr>
        <w:instrText>-title":"Nature 1990 344:6266","id":"ITEM-1","issue":"6266","issued":{"date-parts":[["1990"]]},"page":"503-508","publisher":"Nature Publishing Group","title":"Universal control mechanism regulating onset of M-phase","type":"article-journal","volume":"344"}</w:instrText>
      </w:r>
      <w:r>
        <w:rPr>
          <w:rFonts w:ascii="Arial" w:eastAsia="Times New Roman" w:hAnsi="Arial" w:cs="Arial"/>
          <w:color w:val="000000"/>
          <w:lang w:val="en-US" w:eastAsia="de-DE"/>
        </w:rPr>
        <w:instrText>,"uris":["http://www.mendeley.com/documents/?uuid=68ff369a-9b03-3d5a-a9ec-3747d7169280"]},{"id":"ITEM-2","itemData":{"DOI":"10.1038/nature08054","ISSN":"1476-4687","PMID":"19474792","abstract":"Cells normally grow to a certain size before they enter mitosi</w:instrText>
      </w:r>
      <w:r>
        <w:rPr>
          <w:rFonts w:ascii="Arial" w:eastAsia="Times New Roman" w:hAnsi="Arial" w:cs="Arial"/>
          <w:color w:val="000000"/>
          <w:lang w:val="en-US" w:eastAsia="de-DE"/>
        </w:rPr>
        <w:instrText>s and divide. Entry into mitosis depends on the activity of Cdk1, which is inhibited by the Wee1 kinase and activated by the Cdc25 phosphatase. However, how cells sense their size for mitotic commitment remains unknown. Here we show that an intracellular g</w:instrText>
      </w:r>
      <w:r>
        <w:rPr>
          <w:rFonts w:ascii="Arial" w:eastAsia="Times New Roman" w:hAnsi="Arial" w:cs="Arial"/>
          <w:color w:val="000000"/>
          <w:lang w:val="en-US" w:eastAsia="de-DE"/>
        </w:rPr>
        <w:instrText>radient of the dual-specificity tyrosine-phosphorylation regulated kinase (DYRK) Pom1, which emanates from the ends of rod-shaped Schizosaccharomyces pombe cells, serves to measure cell length and control mitotic entry. Pom1 provides positional information</w:instrText>
      </w:r>
      <w:r>
        <w:rPr>
          <w:rFonts w:ascii="Arial" w:eastAsia="Times New Roman" w:hAnsi="Arial" w:cs="Arial"/>
          <w:color w:val="000000"/>
          <w:lang w:val="en-US" w:eastAsia="de-DE"/>
        </w:rPr>
        <w:instrText xml:space="preserve"> both for polarized growth and to inhibit cell division at cell ends. We discovered that Pom1 is also a dose-dependent G2-M inhibitor. Genetic analyses indicate that Pom1 negatively regulates Cdr1 and Cdr2, two previously described Wee1 inhibitors of the S</w:instrText>
      </w:r>
      <w:r>
        <w:rPr>
          <w:rFonts w:ascii="Arial" w:eastAsia="Times New Roman" w:hAnsi="Arial" w:cs="Arial"/>
          <w:color w:val="000000"/>
          <w:lang w:val="en-US" w:eastAsia="de-DE"/>
        </w:rPr>
        <w:instrText>AD kinase family. This inhibition may be direct, because in vivo and in vitro evidence suggest that Pom1 phosphorylates Cdr2. Whereas Cdr1 and Cdr2 localize to a medial cortical region, Pom1 forms concentration gradients from cell tips that overlap with Cd</w:instrText>
      </w:r>
      <w:r>
        <w:rPr>
          <w:rFonts w:ascii="Arial" w:eastAsia="Times New Roman" w:hAnsi="Arial" w:cs="Arial"/>
          <w:color w:val="000000"/>
          <w:lang w:val="en-US" w:eastAsia="de-DE"/>
        </w:rPr>
        <w:instrText xml:space="preserve">r1 and Cdr2 in short cells, but not in long cells. Disturbing these Pom1 gradients leads to Cdr2 phosphorylation and imposes a G2 delay. In short cells, Pom1 prevents precocious M-phase entry, suggesting that the higher medial Pom1 levels inhibit Cdr2 and </w:instrText>
      </w:r>
      <w:r>
        <w:rPr>
          <w:rFonts w:ascii="Arial" w:eastAsia="Times New Roman" w:hAnsi="Arial" w:cs="Arial"/>
          <w:color w:val="000000"/>
          <w:lang w:val="en-US" w:eastAsia="de-DE"/>
        </w:rPr>
        <w:instrText>promote a G2 delay. Thus, gradients of Pom1 from cell ends provide a measure of cell length to regulate M-phase entry.","author":[{"dropping-particle":"","family":"Martin","given":"Sophie G","non-dropping-particle":"","parse-names":false,"suffix":""},{"dro</w:instrText>
      </w:r>
      <w:r>
        <w:rPr>
          <w:rFonts w:ascii="Arial" w:eastAsia="Times New Roman" w:hAnsi="Arial" w:cs="Arial"/>
          <w:color w:val="000000"/>
          <w:lang w:val="en-US" w:eastAsia="de-DE"/>
        </w:rPr>
        <w:instrText>pping-particle":"","family":"Berthelot-Grosjean","given":"Martine","non-dropping-particle":"","parse-names":false,"suffix":""}],"container-title":"Nature","id":"ITEM-2","issue":"7248","issued":{"date-parts":[["2009","6","11"]]},"page":"852-6","publisher":"</w:instrText>
      </w:r>
      <w:r>
        <w:rPr>
          <w:rFonts w:ascii="Arial" w:eastAsia="Times New Roman" w:hAnsi="Arial" w:cs="Arial"/>
          <w:color w:val="000000"/>
          <w:lang w:val="en-US" w:eastAsia="de-DE"/>
        </w:rPr>
        <w:instrText>Macmillan Publishers Limited. All rights reserved","title":"Polar gradients of the DYRK-family kinase Pom1 couple cell length with the cell cycle.","title-short":"Nature","type":"article-journal","volume":"459"},"uris":["http://www.mendeley.com/documents/?</w:instrText>
      </w:r>
      <w:r>
        <w:rPr>
          <w:rFonts w:ascii="Arial" w:eastAsia="Times New Roman" w:hAnsi="Arial" w:cs="Arial"/>
          <w:color w:val="000000"/>
          <w:lang w:val="en-US" w:eastAsia="de-DE"/>
        </w:rPr>
        <w:instrText>uuid=9b0f7eaa-c8e6-469c-ad77-1ac636e7d5c0"]}],"mendeley":{"formattedCitation":"&lt;sup&gt;282,286&lt;/sup&gt;","plainTextFormattedCitation":"282,286","previouslyFormattedCitation":"&lt;sup&gt;282,286&lt;/sup&gt;"},"properties":{"noteIndex":0},"schema":"https://github.com/citation</w:instrText>
      </w:r>
      <w:r>
        <w:rPr>
          <w:rFonts w:ascii="Arial" w:eastAsia="Times New Roman" w:hAnsi="Arial" w:cs="Arial"/>
          <w:color w:val="000000"/>
          <w:lang w:val="en-US" w:eastAsia="de-DE"/>
        </w:rPr>
        <w:instrText>-style-language/schema/raw/master/csl-citation.json"}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282,286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Thus, the balance between Wee1 and Cdc25 tightly regulates Cdk1 activity. Wee1 is in turn inhibited by related kinases Cdr1 and Cdr2</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w:instrText>
      </w:r>
      <w:r>
        <w:rPr>
          <w:rFonts w:ascii="Arial" w:eastAsia="Times New Roman" w:hAnsi="Arial" w:cs="Arial"/>
          <w:color w:val="000000"/>
          <w:lang w:val="en-US" w:eastAsia="de-DE"/>
        </w:rPr>
        <w:instrText>ta":{"author":[{"dropping-particle":"","family":"Coleman","given":"Thomas R","non-dropping-particle":"","parse-names":false,"suffix":""},{"dropping-particle":"","family":"Tang","given":"Zhaohua","non-dropping-particle":"","parse-names":false,"suffix":""},{</w:instrText>
      </w:r>
      <w:r>
        <w:rPr>
          <w:rFonts w:ascii="Arial" w:eastAsia="Times New Roman" w:hAnsi="Arial" w:cs="Arial"/>
          <w:color w:val="000000"/>
          <w:lang w:val="en-US" w:eastAsia="de-DE"/>
        </w:rPr>
        <w:instrText>"dropping-particle":"","family":"Dunphy","given":"William G","non-dropping-particle":"","parse-names":false,"suffix":""}],"container-title":"Cell","id":"ITEM-1","issued":{"date-parts":[["1993"]]},"page":"919-929","title":"Negative Regulation of the Wee1 Pr</w:instrText>
      </w:r>
      <w:r>
        <w:rPr>
          <w:rFonts w:ascii="Arial" w:eastAsia="Times New Roman" w:hAnsi="Arial" w:cs="Arial"/>
          <w:color w:val="000000"/>
          <w:lang w:val="en-US" w:eastAsia="de-DE"/>
        </w:rPr>
        <w:instrText>otein Kinase by Direct Action of the Niml/Cdrl Mitotic Inducer","type":"article-journal","volume":"72"},"uris":["http://www.mendeley.com/documents/?uuid=c202ce2d-69f3-3076-8263-d737144bfb3f"]},{"id":"ITEM-2","itemData":{"DOI":"10.1038/363736a0","ISSN":"147</w:instrText>
      </w:r>
      <w:r>
        <w:rPr>
          <w:rFonts w:ascii="Arial" w:eastAsia="Times New Roman" w:hAnsi="Arial" w:cs="Arial"/>
          <w:color w:val="000000"/>
          <w:lang w:val="en-US" w:eastAsia="de-DE"/>
        </w:rPr>
        <w:instrText>6-4687","PMID":"8515817","abstract":"THE G2-M phase transition in eukaryotes is regulated by the synergistic and opposing activities of a cascade of distinct protein kinases and phosphatases. This cascade converges on Cdc2, a serine/threonine protein kinas</w:instrText>
      </w:r>
      <w:r>
        <w:rPr>
          <w:rFonts w:ascii="Arial" w:eastAsia="Times New Roman" w:hAnsi="Arial" w:cs="Arial"/>
          <w:color w:val="000000"/>
          <w:lang w:val="en-US" w:eastAsia="de-DE"/>
        </w:rPr>
        <w:instrText>e required for entry into mitosis (reviewed in ref. 1). In the fission yeast Schizosaccharomyces pombe, inactivation of the Cdc2/cyclin B complex is achieved by phosphorylation of tyrosine 15 by Weel (refs 2, 3). The action of the Weel kinase is opposed by</w:instrText>
      </w:r>
      <w:r>
        <w:rPr>
          <w:rFonts w:ascii="Arial" w:eastAsia="Times New Roman" w:hAnsi="Arial" w:cs="Arial"/>
          <w:color w:val="000000"/>
          <w:lang w:val="en-US" w:eastAsia="de-DE"/>
        </w:rPr>
        <w:instrText xml:space="preserve"> the action of the Cdc25 phosphatase, which dephosphorylates Cdc2 on tyrosine 15, thereby activating the Cdc2/cyclin B complex4–9. Much less is known about the regulatory signals upstream of cdc25 and wee1. Genetics indicate that the mitotic inducer nim1/c</w:instrText>
      </w:r>
      <w:r>
        <w:rPr>
          <w:rFonts w:ascii="Arial" w:eastAsia="Times New Roman" w:hAnsi="Arial" w:cs="Arial"/>
          <w:color w:val="000000"/>
          <w:lang w:val="en-US" w:eastAsia="de-DE"/>
        </w:rPr>
        <w:instrText>dr1 acts upstream of wee1, possibly as a negative regulator of wee1 (refs 10, 11). To characterize the nim1/cdr1 protein (Nim1), we have overproduced it in both bacterial and baculoviral expression systems. We report that Nim1 possesses intrinsic serine-ki</w:instrText>
      </w:r>
      <w:r>
        <w:rPr>
          <w:rFonts w:ascii="Arial" w:eastAsia="Times New Roman" w:hAnsi="Arial" w:cs="Arial"/>
          <w:color w:val="000000"/>
          <w:lang w:val="en-US" w:eastAsia="de-DE"/>
        </w:rPr>
        <w:instrText>nase, threonine-kinase and tyrosine-kinase activities. Co-expression of the Nim1 and Wee1 kinases in insect cells results in the phosphorylation of Weel and therefore a shift in its electrophoretic mobility on SDS–polyacrylamide gels. When Weel is phosphor</w:instrText>
      </w:r>
      <w:r>
        <w:rPr>
          <w:rFonts w:ascii="Arial" w:eastAsia="Times New Roman" w:hAnsi="Arial" w:cs="Arial"/>
          <w:color w:val="000000"/>
          <w:lang w:val="en-US" w:eastAsia="de-DE"/>
        </w:rPr>
        <w:instrText>ylated, its ability to phosphorylate Cdc2 on tyrosine 15 is inhibited; treatment with phosphatase restores this kinase activity. Furthermore, purified bacterially produced Nim1 kinase directly phosphorylates and inactivates Weel in vitro. These results sho</w:instrText>
      </w:r>
      <w:r>
        <w:rPr>
          <w:rFonts w:ascii="Arial" w:eastAsia="Times New Roman" w:hAnsi="Arial" w:cs="Arial"/>
          <w:color w:val="000000"/>
          <w:lang w:val="en-US" w:eastAsia="de-DE"/>
        </w:rPr>
        <w:instrText>w that nim1/cdr1 functions as a positive regulator of mitosis by directly phosphorylating and inactivating the mitotic inhibitor Weel.","author":[{"dropping-particle":"","family":"Parker","given":"Laura L.","non-dropping-particle":"","parse-names":false,"s</w:instrText>
      </w:r>
      <w:r>
        <w:rPr>
          <w:rFonts w:ascii="Arial" w:eastAsia="Times New Roman" w:hAnsi="Arial" w:cs="Arial"/>
          <w:color w:val="000000"/>
          <w:lang w:val="en-US" w:eastAsia="de-DE"/>
        </w:rPr>
        <w:instrText>uffix":""},{"dropping-particle":"","family":"Walter","given":"Sarah A.","non-dropping-particle":"","parse-names":false,"suffix":""},{"dropping-particle":"","family":"Young","given":"Paul G.","non-dropping-particle":"","parse-names":false,"suffix":""},{"dro</w:instrText>
      </w:r>
      <w:r>
        <w:rPr>
          <w:rFonts w:ascii="Arial" w:eastAsia="Times New Roman" w:hAnsi="Arial" w:cs="Arial"/>
          <w:color w:val="000000"/>
          <w:lang w:val="en-US" w:eastAsia="de-DE"/>
        </w:rPr>
        <w:instrText>pping-particle":"","family":"Piwnica-Worms","given":"Helen","non-dropping-particle":"","parse-names":false,"suffix":""}],"container-title":"Nature 1993 363:6431","id":"ITEM-2","issue":"6431","issued":{"date-parts":[["1993","6","24"]]},"page":"736-738","pub</w:instrText>
      </w:r>
      <w:r>
        <w:rPr>
          <w:rFonts w:ascii="Arial" w:eastAsia="Times New Roman" w:hAnsi="Arial" w:cs="Arial"/>
          <w:color w:val="000000"/>
          <w:lang w:val="en-US" w:eastAsia="de-DE"/>
        </w:rPr>
        <w:instrText>lisher":"Nature Publishing Group","title":"Phosphorylation and inactivation of the mitotic inhibitor Weel by the nim1/cdr1 kinase","type":"article-journal","volume":"363"},"uris":["http://www.mendeley.com/documents/?uuid=7b8497ba-554c-3760-a82a-d14d4f51228</w:instrText>
      </w:r>
      <w:r>
        <w:rPr>
          <w:rFonts w:ascii="Arial" w:eastAsia="Times New Roman" w:hAnsi="Arial" w:cs="Arial"/>
          <w:color w:val="000000"/>
          <w:lang w:val="en-US" w:eastAsia="de-DE"/>
        </w:rPr>
        <w:instrText>d"]},{"id":"ITEM-3","itemData":{"DOI":"10.1038/363738a0","ISSN":"1476-4687","PMID":"8515818","abstract":"IN most species, including the fission yeast Schizosaccharomyces pombe, the Cdc2/cyclin B mitosis-inducing kinase is maintained in an inhibited state d</w:instrText>
      </w:r>
      <w:r>
        <w:rPr>
          <w:rFonts w:ascii="Arial" w:eastAsia="Times New Roman" w:hAnsi="Arial" w:cs="Arial"/>
          <w:color w:val="000000"/>
          <w:lang w:val="en-US" w:eastAsia="de-DE"/>
        </w:rPr>
        <w:instrText xml:space="preserve">uring interphase as a result of phosphorylation of a tyrosine residue in the ATP-binding region of Cdc2 (refs 1–3). This site is phosphorylated by Wee1 kinase4–9 and dephosphorylated by Cdc25 phosphatase10–15. In fission yeast an additional element of the </w:instrText>
      </w:r>
      <w:r>
        <w:rPr>
          <w:rFonts w:ascii="Arial" w:eastAsia="Times New Roman" w:hAnsi="Arial" w:cs="Arial"/>
          <w:color w:val="000000"/>
          <w:lang w:val="en-US" w:eastAsia="de-DE"/>
        </w:rPr>
        <w:instrText>G2/M control Nim1/Cdr1 kinase, has been identified which functions as a potent mitotic inducer16,17. These studies suggested that Nim1 acts by inhibiting Wee1, perhaps by direct phosphorylation. Consistent with this model, we report here that Wee1 is hyper</w:instrText>
      </w:r>
      <w:r>
        <w:rPr>
          <w:rFonts w:ascii="Arial" w:eastAsia="Times New Roman" w:hAnsi="Arial" w:cs="Arial"/>
          <w:color w:val="000000"/>
          <w:lang w:val="en-US" w:eastAsia="de-DE"/>
        </w:rPr>
        <w:instrText>phosphorylated in cells that overproduce Nim1. Likewise, Wee1 phosphorylation is reduced in nim1− cells. Highly purified Nim1 kinase phosphorylates Wee1 in vitro, resulting in strong inhibition of Wee1 kinase. These observations show that Nim1 promotes the</w:instrText>
      </w:r>
      <w:r>
        <w:rPr>
          <w:rFonts w:ascii="Arial" w:eastAsia="Times New Roman" w:hAnsi="Arial" w:cs="Arial"/>
          <w:color w:val="000000"/>
          <w:lang w:val="en-US" w:eastAsia="de-DE"/>
        </w:rPr>
        <w:instrText xml:space="preserve"> onset of mitosis by inhibiting Wee1.","author":[{"dropping-particle":"","family":"Wu","given":"Lin","non-dropping-particle":"","parse-names":false,"suffix":""},{"dropping-particle":"","family":"Russell","given":"Paul","non-dropping-particle":"","parse-nam</w:instrText>
      </w:r>
      <w:r>
        <w:rPr>
          <w:rFonts w:ascii="Arial" w:eastAsia="Times New Roman" w:hAnsi="Arial" w:cs="Arial"/>
          <w:color w:val="000000"/>
          <w:lang w:val="en-US" w:eastAsia="de-DE"/>
        </w:rPr>
        <w:instrText>es":false,"suffix":""}],"container-title":"Nature 1993 363:6431","id":"ITEM-3","issue":"6431","issued":{"date-parts":[["1993","6","24"]]},"page":"738-741","publisher":"Nature Publishing Group","title":"Nim1 kinase promotes mitosis by inactivating Wee1 tyro</w:instrText>
      </w:r>
      <w:r>
        <w:rPr>
          <w:rFonts w:ascii="Arial" w:eastAsia="Times New Roman" w:hAnsi="Arial" w:cs="Arial"/>
          <w:color w:val="000000"/>
          <w:lang w:val="en-US" w:eastAsia="de-DE"/>
        </w:rPr>
        <w:instrText>sine kinase","type":"article-journal","volume":"363"},"uris":["http://www.mendeley.com/documents/?uuid=095e8599-415e-3bd1-a7a6-bfeb65ba4f50"]},{"id":"ITEM-4","itemData":{"DOI":"10.1091/MBC.9.12.3399/ASSET/IMAGES/LARGE/MK1280753008.JPEG","ISSN":"10591524","</w:instrText>
      </w:r>
      <w:r>
        <w:rPr>
          <w:rFonts w:ascii="Arial" w:eastAsia="Times New Roman" w:hAnsi="Arial" w:cs="Arial"/>
          <w:color w:val="000000"/>
          <w:lang w:val="en-US" w:eastAsia="de-DE"/>
        </w:rPr>
        <w:instrText>PMID":"9843577","abstract":"Schizosaccharomyces pombe cells respond to nutrient deprivation by altering G2/M cell size control. The G2/M transition is controlled by activation of the cyclin-dependent kinase Cdc2p. Cdc2p activation is regulated both positiv</w:instrText>
      </w:r>
      <w:r>
        <w:rPr>
          <w:rFonts w:ascii="Arial" w:eastAsia="Times New Roman" w:hAnsi="Arial" w:cs="Arial"/>
          <w:color w:val="000000"/>
          <w:lang w:val="en-US" w:eastAsia="de-DE"/>
        </w:rPr>
        <w:instrText>ely and negatively. cdr2+ was identified in a screen for regulators of mitotic control during nutrient deprivation. We have cloned cdr2+ and have found that it encodes a putative serine-threonine protein kinase that is related to Saccharomyces cerevisiae G</w:instrText>
      </w:r>
      <w:r>
        <w:rPr>
          <w:rFonts w:ascii="Arial" w:eastAsia="Times New Roman" w:hAnsi="Arial" w:cs="Arial"/>
          <w:color w:val="000000"/>
          <w:lang w:val="en-US" w:eastAsia="de-DE"/>
        </w:rPr>
        <w:instrText>in4p and S. pombe Cdr1p/Nim1p. cdr2+ is not essential for viability, but cells lacking cdr2+ are elongated relative to wild-type cells, spending a longer period of time in G2. Because of this property, upon nitrogen deprivation cdr2+ routants do not arrest</w:instrText>
      </w:r>
      <w:r>
        <w:rPr>
          <w:rFonts w:ascii="Arial" w:eastAsia="Times New Roman" w:hAnsi="Arial" w:cs="Arial"/>
          <w:color w:val="000000"/>
          <w:lang w:val="en-US" w:eastAsia="de-DE"/>
        </w:rPr>
        <w:instrText xml:space="preserve"> in G1, but rather undergo another round of S phase and arrest in G2 from which they are able to enter a state of quiescence. Genetic evidence suggests that cdr2+ acts as a mitotic inducer, functioning through wee1+, and is also important for the completio</w:instrText>
      </w:r>
      <w:r>
        <w:rPr>
          <w:rFonts w:ascii="Arial" w:eastAsia="Times New Roman" w:hAnsi="Arial" w:cs="Arial"/>
          <w:color w:val="000000"/>
          <w:lang w:val="en-US" w:eastAsia="de-DE"/>
        </w:rPr>
        <w:instrText>n of cytokinesis at 36°C. Defects in cytokinesis are also generated by the overproduction of Cdr2p, but these defects are independent of wee1+, suggesting that cdr2+ encodes a second activity involved in cytokinesis.","author":[{"dropping-particle":"","fam</w:instrText>
      </w:r>
      <w:r>
        <w:rPr>
          <w:rFonts w:ascii="Arial" w:eastAsia="Times New Roman" w:hAnsi="Arial" w:cs="Arial"/>
          <w:color w:val="000000"/>
          <w:lang w:val="en-US" w:eastAsia="de-DE"/>
        </w:rPr>
        <w:instrText>ily":"Breeding","given":"Connie S.","non-dropping-particle":"","parse-names":false,"suffix":""},{"dropping-particle":"","family":"Hudson","given":"James","non-dropping-particle":"","parse-names":false,"suffix":""},{"dropping-particle":"","family":"Balasubr</w:instrText>
      </w:r>
      <w:r>
        <w:rPr>
          <w:rFonts w:ascii="Arial" w:eastAsia="Times New Roman" w:hAnsi="Arial" w:cs="Arial"/>
          <w:color w:val="000000"/>
          <w:lang w:val="en-US" w:eastAsia="de-DE"/>
        </w:rPr>
        <w:instrText>amanian","given":"Mohan K.","non-dropping-particle":"","parse-names":false,"suffix":""},{"dropping-particle":"","family":"Hemmingsen","given":"Sean M.","non-dropping-particle":"","parse-names":false,"suffix":""},{"dropping-particle":"","family":"Young","gi</w:instrText>
      </w:r>
      <w:r>
        <w:rPr>
          <w:rFonts w:ascii="Arial" w:eastAsia="Times New Roman" w:hAnsi="Arial" w:cs="Arial"/>
          <w:color w:val="000000"/>
          <w:lang w:val="en-US" w:eastAsia="de-DE"/>
        </w:rPr>
        <w:instrText>ven":"Paul G.","non-dropping-particle":"","parse-names":false,"suffix":""},{"dropping-particle":"","family":"Gould","given":"Kathleen L.","non-dropping-particle":"","parse-names":false,"suffix":""}],"container-title":"Molecular Biology of the Cell","id":"I</w:instrText>
      </w:r>
      <w:r>
        <w:rPr>
          <w:rFonts w:ascii="Arial" w:eastAsia="Times New Roman" w:hAnsi="Arial" w:cs="Arial"/>
          <w:color w:val="000000"/>
          <w:lang w:val="en-US" w:eastAsia="de-DE"/>
        </w:rPr>
        <w:instrText>TEM-4","issue":"12","issued":{"date-parts":[["1998","10","13"]]},"page":"3399-3415","publisher":"American Society for Cell Biology","title":"The cdr2+ gene encodes a regulator of G2/M progression and cytokinesis in Schizosaccharomyces pombe","type":"articl</w:instrText>
      </w:r>
      <w:r>
        <w:rPr>
          <w:rFonts w:ascii="Arial" w:eastAsia="Times New Roman" w:hAnsi="Arial" w:cs="Arial"/>
          <w:color w:val="000000"/>
          <w:lang w:val="en-US" w:eastAsia="de-DE"/>
        </w:rPr>
        <w:instrText>e-journal","volume":"9"},"uris":["http://www.mendeley.com/documents/?uuid=84478be1-3ade-35b7-8d7e-63dc5b2be951"]},{"id":"ITEM-5","itemData":{"DOI":"10.1091/MBC.9.12.3321/ASSET/IMAGES/LARGE/MK1280746010.JPEG","ISSN":"10591524","PMID":"9843572","abstract":"C</w:instrText>
      </w:r>
      <w:r>
        <w:rPr>
          <w:rFonts w:ascii="Arial" w:eastAsia="Times New Roman" w:hAnsi="Arial" w:cs="Arial"/>
          <w:color w:val="000000"/>
          <w:lang w:val="en-US" w:eastAsia="de-DE"/>
        </w:rPr>
        <w:instrText>dc2-Cyclin B, the protein kinase that catalyzes the onset of mitosis, is subject to multiple forms of regulation. In the fission yeast Schizosaccharomyces pombe and most other species, a key mode of Cdc2-Cyclin B regulation is the inhibitory phosphorylatio</w:instrText>
      </w:r>
      <w:r>
        <w:rPr>
          <w:rFonts w:ascii="Arial" w:eastAsia="Times New Roman" w:hAnsi="Arial" w:cs="Arial"/>
          <w:color w:val="000000"/>
          <w:lang w:val="en-US" w:eastAsia="de-DE"/>
        </w:rPr>
        <w:instrText>n of Cdc2 on tyrosine-15. This phosphorylation is catalyzed by the protein kinases Wee1 and Mik1 and removed by the phosphatase Cdc25. These proteins are also regulated, a notable example being the inhibition of Wee1 by the protein kinase Nim1/Cdr1. The te</w:instrText>
      </w:r>
      <w:r>
        <w:rPr>
          <w:rFonts w:ascii="Arial" w:eastAsia="Times New Roman" w:hAnsi="Arial" w:cs="Arial"/>
          <w:color w:val="000000"/>
          <w:lang w:val="en-US" w:eastAsia="de-DE"/>
        </w:rPr>
        <w:instrText xml:space="preserve">mperature-sensitive mutation cdc25-22 is synthetic lethal with nim1/cdr1 mutations, suggesting that a synthetic lethal genetic screen could be used to identify novel mitotic regulators. Here we describe that such a screen has identified cdr2+, a gene that </w:instrText>
      </w:r>
      <w:r>
        <w:rPr>
          <w:rFonts w:ascii="Arial" w:eastAsia="Times New Roman" w:hAnsi="Arial" w:cs="Arial"/>
          <w:color w:val="000000"/>
          <w:lang w:val="en-US" w:eastAsia="de-DE"/>
        </w:rPr>
        <w:instrText>has an important role in the mitotic control. Cdr2 is a 775 amino acid protein kinase that is closely related to Nim1 and mitotic control proteins in budding yeast. Deletion of cdr2 causes a G2-M delay that is more severe than that caused by nim1/cdr1 muta</w:instrText>
      </w:r>
      <w:r>
        <w:rPr>
          <w:rFonts w:ascii="Arial" w:eastAsia="Times New Roman" w:hAnsi="Arial" w:cs="Arial"/>
          <w:color w:val="000000"/>
          <w:lang w:val="en-US" w:eastAsia="de-DE"/>
        </w:rPr>
        <w:instrText xml:space="preserve">tions. Genetic studies are consistent with a model in which Cdr2 negatively regulates Wee1. This model is supported by experiments showing that Cdr2 associates with the N-terminal regulatory domain of Wee1 in cell lysates and phosphorylates Wee1 in vitro. </w:instrText>
      </w:r>
      <w:r>
        <w:rPr>
          <w:rFonts w:ascii="Arial" w:eastAsia="Times New Roman" w:hAnsi="Arial" w:cs="Arial"/>
          <w:color w:val="000000"/>
          <w:lang w:val="en-US" w:eastAsia="de-DE"/>
        </w:rPr>
        <w:instrText>Thus, Cdr2 is a novel mitotic control protein that appears to regulate Wee1.","author":[{"dropping-particle":"","family":"Kanoh","given":"Junko","non-dropping-particle":"","parse-names":false,"suffix":""},{"dropping-particle":"","family":"Russell","given":</w:instrText>
      </w:r>
      <w:r>
        <w:rPr>
          <w:rFonts w:ascii="Arial" w:eastAsia="Times New Roman" w:hAnsi="Arial" w:cs="Arial"/>
          <w:color w:val="000000"/>
          <w:lang w:val="en-US" w:eastAsia="de-DE"/>
        </w:rPr>
        <w:instrText>"Paul","non-dropping-particle":"","parse-names":false,"suffix":""}],"container-title":"Molecular Biology of the Cell","id":"ITEM-5","issue":"12","issued":{"date-parts":[["1998","10","13"]]},"page":"3321-3334","publisher":"American Society for Cell Biology"</w:instrText>
      </w:r>
      <w:r>
        <w:rPr>
          <w:rFonts w:ascii="Arial" w:eastAsia="Times New Roman" w:hAnsi="Arial" w:cs="Arial"/>
          <w:color w:val="000000"/>
          <w:lang w:val="en-US" w:eastAsia="de-DE"/>
        </w:rPr>
        <w:instrText>,"title":"The protein kinase Cdr2, related to Nim1/Cdr1 mitotic inducer, regulates the onset of mitosis in fission yeast","type":"article-journal","volume":"9"},"uris":["http://www.mendeley.com/documents/?uuid=e0d679d8-6406-32d2-8c45-37b7f4b6dbac"]}],"mend</w:instrText>
      </w:r>
      <w:r>
        <w:rPr>
          <w:rFonts w:ascii="Arial" w:eastAsia="Times New Roman" w:hAnsi="Arial" w:cs="Arial"/>
          <w:color w:val="000000"/>
          <w:lang w:val="en-US" w:eastAsia="de-DE"/>
        </w:rPr>
        <w:instrText>eley":{"formattedCitation":"&lt;sup&gt;287–291&lt;/sup&gt;","plainTextFormattedCitation":"287–291","previouslyFormattedCitation":"&lt;sup&gt;287–291&lt;/sup&gt;"},"properties":{"noteIndex":0},"schema":"https://github.com/citation-style-language/schema/raw/master/csl-citation.json</w:instrText>
      </w:r>
      <w:r>
        <w:rPr>
          <w:rFonts w:ascii="Arial" w:eastAsia="Times New Roman" w:hAnsi="Arial" w:cs="Arial"/>
          <w:color w:val="000000"/>
          <w:lang w:val="en-US" w:eastAsia="de-DE"/>
        </w:rPr>
        <w:instrText>"}</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287–291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Cdr2 is inhibited by the protein kinase Pom1</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{"citationItems":[{"id":"ITEM-1","itemData":{"DOI":"10.1038/nature08054","ISSN":"1476-4687","PMID":"19474792","abstract":"Cells normally grow to a certain size before they enter m</w:instrText>
      </w:r>
      <w:r>
        <w:rPr>
          <w:rFonts w:ascii="Arial" w:eastAsia="Times New Roman" w:hAnsi="Arial" w:cs="Arial"/>
          <w:color w:val="000000"/>
          <w:lang w:val="en-US" w:eastAsia="de-DE"/>
        </w:rPr>
        <w:instrText>itosis and divide. Entry into mitosis depends on the activity of Cdk1, which is inhibited by the Wee1 kinase and activated by the Cdc25 phosphatase. However, how cells sense their size for mitotic commitment remains unknown. Here we show that an intracellu</w:instrText>
      </w:r>
      <w:r>
        <w:rPr>
          <w:rFonts w:ascii="Arial" w:eastAsia="Times New Roman" w:hAnsi="Arial" w:cs="Arial"/>
          <w:color w:val="000000"/>
          <w:lang w:val="en-US" w:eastAsia="de-DE"/>
        </w:rPr>
        <w:instrText>lar gradient of the dual-specificity tyrosine-phosphorylation regulated kinase (DYRK) Pom1, which emanates from the ends of rod-shaped Schizosaccharomyces pombe cells, serves to measure cell length and control mitotic entry. Pom1 provides positional inform</w:instrText>
      </w:r>
      <w:r>
        <w:rPr>
          <w:rFonts w:ascii="Arial" w:eastAsia="Times New Roman" w:hAnsi="Arial" w:cs="Arial"/>
          <w:color w:val="000000"/>
          <w:lang w:val="en-US" w:eastAsia="de-DE"/>
        </w:rPr>
        <w:instrText xml:space="preserve">ation both for polarized growth and to inhibit cell division at cell ends. We discovered that Pom1 is also a dose-dependent G2-M inhibitor. Genetic analyses indicate that Pom1 negatively regulates Cdr1 and Cdr2, two previously described Wee1 inhibitors of </w:instrText>
      </w:r>
      <w:r>
        <w:rPr>
          <w:rFonts w:ascii="Arial" w:eastAsia="Times New Roman" w:hAnsi="Arial" w:cs="Arial"/>
          <w:color w:val="000000"/>
          <w:lang w:val="en-US" w:eastAsia="de-DE"/>
        </w:rPr>
        <w:instrText>the SAD kinase family. This inhibition may be direct, because in vivo and in vitro evidence suggest that Pom1 phosphorylates Cdr2. Whereas Cdr1 and Cdr2 localize to a medial cortical region, Pom1 forms concentration gradients from cell tips that overlap wi</w:instrText>
      </w:r>
      <w:r>
        <w:rPr>
          <w:rFonts w:ascii="Arial" w:eastAsia="Times New Roman" w:hAnsi="Arial" w:cs="Arial"/>
          <w:color w:val="000000"/>
          <w:lang w:val="en-US" w:eastAsia="de-DE"/>
        </w:rPr>
        <w:instrText>th Cdr1 and Cdr2 in short cells, but not in long cells. Disturbing these Pom1 gradients leads to Cdr2 phosphorylation and imposes a G2 delay. In short cells, Pom1 prevents precocious M-phase entry, suggesting that the higher medial Pom1 levels inhibit Cdr2</w:instrText>
      </w:r>
      <w:r>
        <w:rPr>
          <w:rFonts w:ascii="Arial" w:eastAsia="Times New Roman" w:hAnsi="Arial" w:cs="Arial"/>
          <w:color w:val="000000"/>
          <w:lang w:val="en-US" w:eastAsia="de-DE"/>
        </w:rPr>
        <w:instrText xml:space="preserve"> and promote a G2 delay. Thus, gradients of Pom1 from cell ends provide a measure of cell length to regulate M-phase entry.","author":[{"dropping-particle":"","family":"Martin","given":"Sophie G","non-dropping-particle":"","parse-names":false,"suffix":""},</w:instrText>
      </w:r>
      <w:r>
        <w:rPr>
          <w:rFonts w:ascii="Arial" w:eastAsia="Times New Roman" w:hAnsi="Arial" w:cs="Arial"/>
          <w:color w:val="000000"/>
          <w:lang w:val="en-US" w:eastAsia="de-DE"/>
        </w:rPr>
        <w:instrText>{"dropping-particle":"","family":"Berthelot-Grosjean","given":"Martine","non-dropping-particle":"","parse-names":false,"suffix":""}],"container-title":"Nature","id":"ITEM-1","issue":"7248","issued":{"date-parts":[["2009","6","11"]]},"page":"852-6","publish</w:instrText>
      </w:r>
      <w:r>
        <w:rPr>
          <w:rFonts w:ascii="Arial" w:eastAsia="Times New Roman" w:hAnsi="Arial" w:cs="Arial"/>
          <w:color w:val="000000"/>
          <w:lang w:val="en-US" w:eastAsia="de-DE"/>
        </w:rPr>
        <w:instrText>er":"Macmillan Publishers Limited. All rights reserved","title":"Polar gradients of the DYRK-family kinase Pom1 couple cell length with the cell cycle.","title-short":"Nature","type":"article-journal","volume":"459"},"uris":["http://www.mendeley.com/docume</w:instrText>
      </w:r>
      <w:r>
        <w:rPr>
          <w:rFonts w:ascii="Arial" w:eastAsia="Times New Roman" w:hAnsi="Arial" w:cs="Arial"/>
          <w:color w:val="000000"/>
          <w:lang w:val="en-US" w:eastAsia="de-DE"/>
        </w:rPr>
        <w:instrText>nts/?uuid=9b0f7eaa-c8e6-469c-ad77-1ac636e7d5c0"]},{"id":"ITEM-2","itemData":{"DOI":"10.1038/nature08074","ISBN":"0028-0836","ISSN":"0028-0836","PMID":"19474789","abstract":"Many eukaryotic cell types undergo size-dependent cell cycle transitions controlled</w:instrText>
      </w:r>
      <w:r>
        <w:rPr>
          <w:rFonts w:ascii="Arial" w:eastAsia="Times New Roman" w:hAnsi="Arial" w:cs="Arial"/>
          <w:color w:val="000000"/>
          <w:lang w:val="en-US" w:eastAsia="de-DE"/>
        </w:rPr>
        <w:instrText xml:space="preserve"> by the ubiquitous cyclin-dependent kinase Cdk1 (refs 1-4). The proteins that control Cdk1 activity are well described but their links with mechanisms monitoring cell size remain elusive. In the fission yeast Schizosaccharomyces pombe, cells enter mitosis </w:instrText>
      </w:r>
      <w:r>
        <w:rPr>
          <w:rFonts w:ascii="Arial" w:eastAsia="Times New Roman" w:hAnsi="Arial" w:cs="Arial"/>
          <w:color w:val="000000"/>
          <w:lang w:val="en-US" w:eastAsia="de-DE"/>
        </w:rPr>
        <w:instrText>and divide at a defined and reproducible size owing to the regulated activity of Cdk1 (refs 2, 3). Here we show that the cell polarity protein kinase Pom1, which localizes to cell ends, regulates a signalling network that contributes to the control of mito</w:instrText>
      </w:r>
      <w:r>
        <w:rPr>
          <w:rFonts w:ascii="Arial" w:eastAsia="Times New Roman" w:hAnsi="Arial" w:cs="Arial"/>
          <w:color w:val="000000"/>
          <w:lang w:val="en-US" w:eastAsia="de-DE"/>
        </w:rPr>
        <w:instrText>tic entry. This network is located at cortical nodes in the middle of interphase cells, and these nodes contain the Cdk1 inhibitor Wee1, the Wee1-inhibitory kinases Cdr1 (also known as Nim1) and Cdr2, and the anillin-like protein Mid1. Cdr2 establishes the</w:instrText>
      </w:r>
      <w:r>
        <w:rPr>
          <w:rFonts w:ascii="Arial" w:eastAsia="Times New Roman" w:hAnsi="Arial" w:cs="Arial"/>
          <w:color w:val="000000"/>
          <w:lang w:val="en-US" w:eastAsia="de-DE"/>
        </w:rPr>
        <w:instrText xml:space="preserve"> hierarchical localization of other proteins in the nodes, and receives negative regulatory signals from Pom1. Pom1 forms a polar gradient extending from the cell ends towards the cell middle and acts as a dose-dependent inhibitor of mitotic entry, working</w:instrText>
      </w:r>
      <w:r>
        <w:rPr>
          <w:rFonts w:ascii="Arial" w:eastAsia="Times New Roman" w:hAnsi="Arial" w:cs="Arial"/>
          <w:color w:val="000000"/>
          <w:lang w:val="en-US" w:eastAsia="de-DE"/>
        </w:rPr>
        <w:instrText xml:space="preserve"> through the Cdr2 pathway. As cells elongate, Pom1 levels decrease at the cell middle, leading to mitotic entry. We propose that the Pom1 polar gradient and the medial cortical nodes generate information about cell size and coordinate this with mitotic ent</w:instrText>
      </w:r>
      <w:r>
        <w:rPr>
          <w:rFonts w:ascii="Arial" w:eastAsia="Times New Roman" w:hAnsi="Arial" w:cs="Arial"/>
          <w:color w:val="000000"/>
          <w:lang w:val="en-US" w:eastAsia="de-DE"/>
        </w:rPr>
        <w:instrText>ry by regulating Cdk1 through Pom1, Cdr2, Cdr1 and Wee1.","author":[{"dropping-particle":"","family":"Moseley","given":"James B","non-dropping-particle":"","parse-names":false,"suffix":""},{"dropping-particle":"","family":"Mayeux","given":"Adeline","non-dr</w:instrText>
      </w:r>
      <w:r>
        <w:rPr>
          <w:rFonts w:ascii="Arial" w:eastAsia="Times New Roman" w:hAnsi="Arial" w:cs="Arial"/>
          <w:color w:val="000000"/>
          <w:lang w:val="en-US" w:eastAsia="de-DE"/>
        </w:rPr>
        <w:instrText>opping-particle":"","parse-names":false,"suffix":""},{"dropping-particle":"","family":"Paoletti","given":"Anne","non-dropping-particle":"","parse-names":false,"suffix":""},{"dropping-particle":"","family":"Nurse","given":"Paul","non-dropping-particle":"","</w:instrText>
      </w:r>
      <w:r>
        <w:rPr>
          <w:rFonts w:ascii="Arial" w:eastAsia="Times New Roman" w:hAnsi="Arial" w:cs="Arial"/>
          <w:color w:val="000000"/>
          <w:lang w:val="en-US" w:eastAsia="de-DE"/>
        </w:rPr>
        <w:instrText>parse-names":false,"suffix":""}],"container-title":"Nature","id":"ITEM-2","issue":"7248","issued":{"date-parts":[["2009"]]},"page":"857-860","title":"A spatial gradient coordinates cell size and mitotic entry in fission yeast.","type":"article-journal","vo</w:instrText>
      </w:r>
      <w:r>
        <w:rPr>
          <w:rFonts w:ascii="Arial" w:eastAsia="Times New Roman" w:hAnsi="Arial" w:cs="Arial"/>
          <w:color w:val="000000"/>
          <w:lang w:val="en-US" w:eastAsia="de-DE"/>
        </w:rPr>
        <w:instrText>lume":"459"},"uris":["http://www.mendeley.com/documents/?uuid=8e416946-0f90-4af3-a033-0b83a1988083"]}],"mendeley":{"formattedCitation":"&lt;sup&gt;284,286&lt;/sup&gt;","plainTextFormattedCitation":"284,286","previouslyFormattedCitation":"&lt;sup&gt;284,286&lt;/sup&gt;"},"properti</w:instrText>
      </w:r>
      <w:r>
        <w:rPr>
          <w:rFonts w:ascii="Arial" w:eastAsia="Times New Roman" w:hAnsi="Arial" w:cs="Arial"/>
          <w:color w:val="000000"/>
          <w:lang w:val="en-US" w:eastAsia="de-DE"/>
        </w:rPr>
        <w:instrText>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284,286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.There are at least three size-dependent signals in the fission yeast cell size control system. Cdr2 forms cortical nodes, which are pla</w:t>
      </w:r>
      <w:r>
        <w:rPr>
          <w:rFonts w:ascii="Arial" w:eastAsia="Times New Roman" w:hAnsi="Arial" w:cs="Arial"/>
          <w:color w:val="000000"/>
          <w:lang w:val="en-US" w:eastAsia="de-DE"/>
        </w:rPr>
        <w:t>sma-membrane-bound multiprotein assemblies concentrated in the central part of the cell, around the nucleus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{"citationItems":[{"id":"ITEM-1","itemData":{"DOI":"10.1242/JCS.01409","ISSN":"0021-9533","PMID":"15454577","abstract":"Two relati</w:instrText>
      </w:r>
      <w:r>
        <w:rPr>
          <w:rFonts w:ascii="Arial" w:eastAsia="Times New Roman" w:hAnsi="Arial" w:cs="Arial"/>
          <w:color w:val="000000"/>
          <w:lang w:val="en-US" w:eastAsia="de-DE"/>
        </w:rPr>
        <w:instrText>ves of the GIN4 protein kinase family, Cdr1p and Cdr2p, exist in the yeast Schizosaccharomyces pombe. Although in Saccharomyces cerevisiae GIN4-related kinases influence septin ring organization and septin rings influence the localization and function of G</w:instrText>
      </w:r>
      <w:r>
        <w:rPr>
          <w:rFonts w:ascii="Arial" w:eastAsia="Times New Roman" w:hAnsi="Arial" w:cs="Arial"/>
          <w:color w:val="000000"/>
          <w:lang w:val="en-US" w:eastAsia="de-DE"/>
        </w:rPr>
        <w:instrText>IN4-related protein kinases, it is unknown whether this relationship is conserved in S. pombe. Here, we have probed the relationship between Cdr2p activity and septins and find that Cdr2p and septins are functionally independent. Cdr2p localizes in a corti</w:instrText>
      </w:r>
      <w:r>
        <w:rPr>
          <w:rFonts w:ascii="Arial" w:eastAsia="Times New Roman" w:hAnsi="Arial" w:cs="Arial"/>
          <w:color w:val="000000"/>
          <w:lang w:val="en-US" w:eastAsia="de-DE"/>
        </w:rPr>
        <w:instrText>cal band overlying the nucleus during interphase, whose dimension is proportional to cell length, and to a medial ring structure in late mitosis. Both localizations are septin-independent and disrupted by treatment with filipin. Structure/function analysis</w:instrText>
      </w:r>
      <w:r>
        <w:rPr>
          <w:rFonts w:ascii="Arial" w:eastAsia="Times New Roman" w:hAnsi="Arial" w:cs="Arial"/>
          <w:color w:val="000000"/>
          <w:lang w:val="en-US" w:eastAsia="de-DE"/>
        </w:rPr>
        <w:instrText xml:space="preserve"> indicates that the intracellular targeting domain of Cdr2p is largely contained within its non-catalytic C-terminus. Cdr2 protein kinase activity, while unimportant for its localization, is critical for its cell cycle function. Our data indicate that Cdr2</w:instrText>
      </w:r>
      <w:r>
        <w:rPr>
          <w:rFonts w:ascii="Arial" w:eastAsia="Times New Roman" w:hAnsi="Arial" w:cs="Arial"/>
          <w:color w:val="000000"/>
          <w:lang w:val="en-US" w:eastAsia="de-DE"/>
        </w:rPr>
        <w:instrText>p functions at two positions within the cell at discrete cell cycle stages to influence the timing of mitotic entry and cytokinesis, respectively.","author":[{"dropping-particle":"","family":"Morrell","given":"Jennifer L.","non-dropping-particle":"","parse</w:instrText>
      </w:r>
      <w:r>
        <w:rPr>
          <w:rFonts w:ascii="Arial" w:eastAsia="Times New Roman" w:hAnsi="Arial" w:cs="Arial"/>
          <w:color w:val="000000"/>
          <w:lang w:val="en-US" w:eastAsia="de-DE"/>
        </w:rPr>
        <w:instrText>-names":false,"suffix":""},{"dropping-particle":"","family":"Nichols","given":"Connie B.","non-dropping-particle":"","parse-names":false,"suffix":""},{"dropping-particle":"","family":"Gould","given":"Kathleen L.","non-dropping-particle":"","parse-names":fa</w:instrText>
      </w:r>
      <w:r>
        <w:rPr>
          <w:rFonts w:ascii="Arial" w:eastAsia="Times New Roman" w:hAnsi="Arial" w:cs="Arial"/>
          <w:color w:val="000000"/>
          <w:lang w:val="en-US" w:eastAsia="de-DE"/>
        </w:rPr>
        <w:instrText>lse,"suffix":""}],"container-title":"Journal of Cell Science","id":"ITEM-1","issue":"22","issued":{"date-parts":[["2004","10","15"]]},"page":"5293-5302","publisher":"The Company of Biologists","title":"The GIN4 family kinase, Cdr2p, acts independently of s</w:instrText>
      </w:r>
      <w:r>
        <w:rPr>
          <w:rFonts w:ascii="Arial" w:eastAsia="Times New Roman" w:hAnsi="Arial" w:cs="Arial"/>
          <w:color w:val="000000"/>
          <w:lang w:val="en-US" w:eastAsia="de-DE"/>
        </w:rPr>
        <w:instrText>eptins in fission yeast","type":"article-journal","volume":"117"},"uris":["http://www.mendeley.com/documents/?uuid=2d5a8b35-77c5-38c9-b114-6cf0c58a38f5"]},{"id":"ITEM-2","itemData":{"DOI":"10.1038/nature08074","ISBN":"0028-0836","ISSN":"0028-0836","PMID":"</w:instrText>
      </w:r>
      <w:r>
        <w:rPr>
          <w:rFonts w:ascii="Arial" w:eastAsia="Times New Roman" w:hAnsi="Arial" w:cs="Arial"/>
          <w:color w:val="000000"/>
          <w:lang w:val="en-US" w:eastAsia="de-DE"/>
        </w:rPr>
        <w:instrText xml:space="preserve">19474789","abstract":"Many eukaryotic cell types undergo size-dependent cell cycle transitions controlled by the ubiquitous cyclin-dependent kinase Cdk1 (refs 1-4). The proteins that control Cdk1 activity are well described but their links with mechanisms </w:instrText>
      </w:r>
      <w:r>
        <w:rPr>
          <w:rFonts w:ascii="Arial" w:eastAsia="Times New Roman" w:hAnsi="Arial" w:cs="Arial"/>
          <w:color w:val="000000"/>
          <w:lang w:val="en-US" w:eastAsia="de-DE"/>
        </w:rPr>
        <w:instrText>monitoring cell size remain elusive. In the fission yeast Schizosaccharomyces pombe, cells enter mitosis and divide at a defined and reproducible size owing to the regulated activity of Cdk1 (refs 2, 3). Here we show that the cell polarity protein kinase P</w:instrText>
      </w:r>
      <w:r>
        <w:rPr>
          <w:rFonts w:ascii="Arial" w:eastAsia="Times New Roman" w:hAnsi="Arial" w:cs="Arial"/>
          <w:color w:val="000000"/>
          <w:lang w:val="en-US" w:eastAsia="de-DE"/>
        </w:rPr>
        <w:instrText>om1, which localizes to cell ends, regulates a signalling network that contributes to the control of mitotic entry. This network is located at cortical nodes in the middle of interphase cells, and these nodes contain the Cdk1 inhibitor Wee1, the Wee1-inhib</w:instrText>
      </w:r>
      <w:r>
        <w:rPr>
          <w:rFonts w:ascii="Arial" w:eastAsia="Times New Roman" w:hAnsi="Arial" w:cs="Arial"/>
          <w:color w:val="000000"/>
          <w:lang w:val="en-US" w:eastAsia="de-DE"/>
        </w:rPr>
        <w:instrText>itory kinases Cdr1 (also known as Nim1) and Cdr2, and the anillin-like protein Mid1. Cdr2 establishes the hierarchical localization of other proteins in the nodes, and receives negative regulatory signals from Pom1. Pom1 forms a polar gradient extending fr</w:instrText>
      </w:r>
      <w:r>
        <w:rPr>
          <w:rFonts w:ascii="Arial" w:eastAsia="Times New Roman" w:hAnsi="Arial" w:cs="Arial"/>
          <w:color w:val="000000"/>
          <w:lang w:val="en-US" w:eastAsia="de-DE"/>
        </w:rPr>
        <w:instrText>om the cell ends towards the cell middle and acts as a dose-dependent inhibitor of mitotic entry, working through the Cdr2 pathway. As cells elongate, Pom1 levels decrease at the cell middle, leading to mitotic entry. We propose that the Pom1 polar gradien</w:instrText>
      </w:r>
      <w:r>
        <w:rPr>
          <w:rFonts w:ascii="Arial" w:eastAsia="Times New Roman" w:hAnsi="Arial" w:cs="Arial"/>
          <w:color w:val="000000"/>
          <w:lang w:val="en-US" w:eastAsia="de-DE"/>
        </w:rPr>
        <w:instrText>t and the medial cortical nodes generate information about cell size and coordinate this with mitotic entry by regulating Cdk1 through Pom1, Cdr2, Cdr1 and Wee1.","author":[{"dropping-particle":"","family":"Moseley","given":"James B","non-dropping-particle</w:instrText>
      </w:r>
      <w:r>
        <w:rPr>
          <w:rFonts w:ascii="Arial" w:eastAsia="Times New Roman" w:hAnsi="Arial" w:cs="Arial"/>
          <w:color w:val="000000"/>
          <w:lang w:val="en-US" w:eastAsia="de-DE"/>
        </w:rPr>
        <w:instrText>":"","parse-names":false,"suffix":""},{"dropping-particle":"","family":"Mayeux","given":"Adeline","non-dropping-particle":"","parse-names":false,"suffix":""},{"dropping-particle":"","family":"Paoletti","given":"Anne","non-dropping-particle":"","parse-names</w:instrText>
      </w:r>
      <w:r>
        <w:rPr>
          <w:rFonts w:ascii="Arial" w:eastAsia="Times New Roman" w:hAnsi="Arial" w:cs="Arial"/>
          <w:color w:val="000000"/>
          <w:lang w:val="en-US" w:eastAsia="de-DE"/>
        </w:rPr>
        <w:instrText>":false,"suffix":""},{"dropping-particle":"","family":"Nurse","given":"Paul","non-dropping-particle":"","parse-names":false,"suffix":""}],"container-title":"Nature","id":"ITEM-2","issue":"7248","issued":{"date-parts":[["2009"]]},"page":"857-860","title":"A</w:instrText>
      </w:r>
      <w:r>
        <w:rPr>
          <w:rFonts w:ascii="Arial" w:eastAsia="Times New Roman" w:hAnsi="Arial" w:cs="Arial"/>
          <w:color w:val="000000"/>
          <w:lang w:val="en-US" w:eastAsia="de-DE"/>
        </w:rPr>
        <w:instrText xml:space="preserve"> spatial gradient coordinates cell size and mitotic entry in fission yeast.","type":"article-journal","volume":"459"},"uris":["http://www.mendeley.com/documents/?uuid=8e416946-0f90-4af3-a033-0b83a1988083"]},{"id":"ITEM-3","itemData":{"DOI":"10.1091/MBC.E16</w:instrText>
      </w:r>
      <w:r>
        <w:rPr>
          <w:rFonts w:ascii="Arial" w:eastAsia="Times New Roman" w:hAnsi="Arial" w:cs="Arial"/>
          <w:color w:val="000000"/>
          <w:lang w:val="en-US" w:eastAsia="de-DE"/>
        </w:rPr>
        <w:instrText>-07-0522/ASSET/IMAGES/LARGE/3203FIG4.TIF.GZ.JPEG","ISSN":"19394586","PMID":"28539404","abstract":"We used quantitative confocal microscopy and FPALM superresolution microscopy of live fission yeast to investigate the structures and assembly of two types of</w:instrText>
      </w:r>
      <w:r>
        <w:rPr>
          <w:rFonts w:ascii="Arial" w:eastAsia="Times New Roman" w:hAnsi="Arial" w:cs="Arial"/>
          <w:color w:val="000000"/>
          <w:lang w:val="en-US" w:eastAsia="de-DE"/>
        </w:rPr>
        <w:instrText xml:space="preserve"> interphase nodes-multiprotein complexes associated with the plasma membrane that merge together and mature into the precursors of the cytokinetic contractile ring. During the long G2 phase of the cell cycle, seven different interphase node proteins mainta</w:instrText>
      </w:r>
      <w:r>
        <w:rPr>
          <w:rFonts w:ascii="Arial" w:eastAsia="Times New Roman" w:hAnsi="Arial" w:cs="Arial"/>
          <w:color w:val="000000"/>
          <w:lang w:val="en-US" w:eastAsia="de-DE"/>
        </w:rPr>
        <w:instrText>in constant concentrations as they accumulate in proportion to cell volume. During mitosis, the total numbers of type 1 node proteins (cell cycle kinases Cdr1p, Cdr2p, Wee1p, and anillin Mid1p) are constant even when the nodes disassemble. Quantitative mea</w:instrText>
      </w:r>
      <w:r>
        <w:rPr>
          <w:rFonts w:ascii="Arial" w:eastAsia="Times New Roman" w:hAnsi="Arial" w:cs="Arial"/>
          <w:color w:val="000000"/>
          <w:lang w:val="en-US" w:eastAsia="de-DE"/>
        </w:rPr>
        <w:instrText>surements provide strong evidence that both types of nodes have defined sizes and numbers of constituent proteins, as observed for cytokinesis nodes. Type 1 nodes assemble in two phases-A burst at the end of mitosis, followed by steady increase during inte</w:instrText>
      </w:r>
      <w:r>
        <w:rPr>
          <w:rFonts w:ascii="Arial" w:eastAsia="Times New Roman" w:hAnsi="Arial" w:cs="Arial"/>
          <w:color w:val="000000"/>
          <w:lang w:val="en-US" w:eastAsia="de-DE"/>
        </w:rPr>
        <w:instrText>rphase to double the initial number. Type 2 nodes containing Blt1p, Rho-GEF Gef2p, and kinesin Klp8p remain intact throughout the cell cycle and are constituents of the contractile ring. They are released from the contractile ring as it disassembles and th</w:instrText>
      </w:r>
      <w:r>
        <w:rPr>
          <w:rFonts w:ascii="Arial" w:eastAsia="Times New Roman" w:hAnsi="Arial" w:cs="Arial"/>
          <w:color w:val="000000"/>
          <w:lang w:val="en-US" w:eastAsia="de-DE"/>
        </w:rPr>
        <w:instrText>en associate with type 1 nodes around the equator of the cell during interphase.","author":[{"dropping-particle":"","family":"Akamatsu","given":"Matthew","non-dropping-particle":"","parse-names":false,"suffix":""},{"dropping-particle":"","family":"Lin","gi</w:instrText>
      </w:r>
      <w:r>
        <w:rPr>
          <w:rFonts w:ascii="Arial" w:eastAsia="Times New Roman" w:hAnsi="Arial" w:cs="Arial"/>
          <w:color w:val="000000"/>
          <w:lang w:val="en-US" w:eastAsia="de-DE"/>
        </w:rPr>
        <w:instrText>ven":"Yu","non-dropping-particle":"","parse-names":false,"suffix":""},{"dropping-particle":"","family":"Bewersdorf","given":"Joerg","non-dropping-particle":"","parse-names":false,"suffix":""},{"dropping-particle":"","family":"Pollard","given":"Thomas D.","</w:instrText>
      </w:r>
      <w:r>
        <w:rPr>
          <w:rFonts w:ascii="Arial" w:eastAsia="Times New Roman" w:hAnsi="Arial" w:cs="Arial"/>
          <w:color w:val="000000"/>
          <w:lang w:val="en-US" w:eastAsia="de-DE"/>
        </w:rPr>
        <w:instrText>non-dropping-particle":"","parse-names":false,"suffix":""}],"container-title":"Molecular Biology of the Cell","id":"ITEM-3","issue":"23","issued":{"date-parts":[["2017","11","7"]]},"page":"3203-3214","publisher":"American Society for Cell Biology","title":</w:instrText>
      </w:r>
      <w:r>
        <w:rPr>
          <w:rFonts w:ascii="Arial" w:eastAsia="Times New Roman" w:hAnsi="Arial" w:cs="Arial"/>
          <w:color w:val="000000"/>
          <w:lang w:val="en-US" w:eastAsia="de-DE"/>
        </w:rPr>
        <w:instrText>"Analysis of interphase node proteins in fission yeast by quantitative and superresolution fluorescence microscopy","type":"article-journal","volume":"28"},"uris":["http://www.mendeley.com/documents/?uuid=f3c73940-ec89-39ac-9259-31d501811fc1"]}],"mendeley"</w:instrText>
      </w:r>
      <w:r>
        <w:rPr>
          <w:rFonts w:ascii="Arial" w:eastAsia="Times New Roman" w:hAnsi="Arial" w:cs="Arial"/>
          <w:color w:val="000000"/>
          <w:lang w:val="en-US" w:eastAsia="de-DE"/>
        </w:rPr>
        <w:instrText>:{"formattedCitation":"&lt;sup&gt;284,292,293&lt;/sup&gt;","plainTextFormattedCitation":"284,292,293","previouslyFormattedCitation":"&lt;sup&gt;284,292,293&lt;/sup&gt;"},"properties":{"noteIndex":0},"schema":"https://github.com/citation-style-language/schema/raw/master/csl-citati</w:instrText>
      </w:r>
      <w:r>
        <w:rPr>
          <w:rFonts w:ascii="Arial" w:eastAsia="Times New Roman" w:hAnsi="Arial" w:cs="Arial"/>
          <w:color w:val="000000"/>
          <w:lang w:val="en-US" w:eastAsia="de-DE"/>
        </w:rPr>
        <w:instrText>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284,292,293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As the cell </w:t>
      </w:r>
      <w:proofErr w:type="gramStart"/>
      <w:r>
        <w:rPr>
          <w:rFonts w:ascii="Arial" w:eastAsia="Times New Roman" w:hAnsi="Arial" w:cs="Arial"/>
          <w:color w:val="000000"/>
          <w:lang w:val="en-US" w:eastAsia="de-DE"/>
        </w:rPr>
        <w:t>grows in size</w:t>
      </w:r>
      <w:proofErr w:type="gramEnd"/>
      <w:r>
        <w:rPr>
          <w:rFonts w:ascii="Arial" w:eastAsia="Times New Roman" w:hAnsi="Arial" w:cs="Arial"/>
          <w:color w:val="000000"/>
          <w:lang w:val="en-US" w:eastAsia="de-DE"/>
        </w:rPr>
        <w:t>, the number of nodes in the central band increases, leading to a higher concentration of nodes. This increase in local Cdr2 node density is coupled to the increase in cellular surface area and integrates c</w:t>
      </w:r>
      <w:r>
        <w:rPr>
          <w:rFonts w:ascii="Arial" w:eastAsia="Times New Roman" w:hAnsi="Arial" w:cs="Arial"/>
          <w:color w:val="000000"/>
          <w:lang w:val="en-US" w:eastAsia="de-DE"/>
        </w:rPr>
        <w:t>ell-surface-area information into the mitotic entry decision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{"citationItems":[{"id":"ITEM-1","itemData":{"DOI":"10.7554/eLife.02040","ISSN":"2050084X","PMID":"24642412","abstract":"Cells can, in principle, control their size by growing t</w:instrText>
      </w:r>
      <w:r>
        <w:rPr>
          <w:rFonts w:ascii="Arial" w:eastAsia="Times New Roman" w:hAnsi="Arial" w:cs="Arial"/>
          <w:color w:val="000000"/>
          <w:lang w:val="en-US" w:eastAsia="de-DE"/>
        </w:rPr>
        <w:instrText xml:space="preserve">o a specified size before commencing cell division. How any cell actually senses its own size remains poorly understood. The fission yeast Schizosaccharomyces pombe are rod-shaped cells that grow to </w:instrText>
      </w:r>
      <w:r>
        <w:rPr>
          <w:rFonts w:ascii="Cambria Math" w:eastAsia="Times New Roman" w:hAnsi="Cambria Math" w:cs="Cambria Math"/>
          <w:color w:val="000000"/>
          <w:lang w:val="en-US" w:eastAsia="de-DE"/>
        </w:rPr>
        <w:instrText>∼</w:instrText>
      </w:r>
      <w:r>
        <w:rPr>
          <w:rFonts w:ascii="Arial" w:eastAsia="Times New Roman" w:hAnsi="Arial" w:cs="Arial"/>
          <w:color w:val="000000"/>
          <w:lang w:val="en-US" w:eastAsia="de-DE"/>
        </w:rPr>
        <w:instrText xml:space="preserve">14 µm in length before entering mitosis. In this study, </w:instrText>
      </w:r>
      <w:r>
        <w:rPr>
          <w:rFonts w:ascii="Arial" w:eastAsia="Times New Roman" w:hAnsi="Arial" w:cs="Arial"/>
          <w:color w:val="000000"/>
          <w:lang w:val="en-US" w:eastAsia="de-DE"/>
        </w:rPr>
        <w:instrText>we provide evidence that these cells sense their surface area as part of this size control mechanism. We show that cells enter mitosis at a certain surface area, as opposed to a certain volume or length. A peripheral membrane protein kinase cdr2p has prope</w:instrText>
      </w:r>
      <w:r>
        <w:rPr>
          <w:rFonts w:ascii="Arial" w:eastAsia="Times New Roman" w:hAnsi="Arial" w:cs="Arial"/>
          <w:color w:val="000000"/>
          <w:lang w:val="en-US" w:eastAsia="de-DE"/>
        </w:rPr>
        <w:instrText>rties of a dose-dependent 'sizer' that controls mitotic entry. As cells grow, the local cdr2p concentration in nodes at the medial cortex accumulates as a measure of cell surface area. Our findings, which challenge a previously proposed pom1p gradient mode</w:instrText>
      </w:r>
      <w:r>
        <w:rPr>
          <w:rFonts w:ascii="Arial" w:eastAsia="Times New Roman" w:hAnsi="Arial" w:cs="Arial"/>
          <w:color w:val="000000"/>
          <w:lang w:val="en-US" w:eastAsia="de-DE"/>
        </w:rPr>
        <w:instrText>l, lead to a new model in which cells sense their size by using cdr2p to probe the surface area over the whole cell and relay this information to the medial cortex. DOI: http://dx.doi.org/10.7554/eLife.02040.001.","author":[{"dropping-particle":"","family"</w:instrText>
      </w:r>
      <w:r>
        <w:rPr>
          <w:rFonts w:ascii="Arial" w:eastAsia="Times New Roman" w:hAnsi="Arial" w:cs="Arial"/>
          <w:color w:val="000000"/>
          <w:lang w:val="en-US" w:eastAsia="de-DE"/>
        </w:rPr>
        <w:instrText>:"Pan","given":"Kally Z.","non-dropping-particle":"","parse-names":false,"suffix":""},{"dropping-particle":"","family":"Saunders","given":"Timothy E.","non-dropping-particle":"","parse-names":false,"suffix":""},{"dropping-particle":"","family":"Flor-Parra"</w:instrText>
      </w:r>
      <w:r>
        <w:rPr>
          <w:rFonts w:ascii="Arial" w:eastAsia="Times New Roman" w:hAnsi="Arial" w:cs="Arial"/>
          <w:color w:val="000000"/>
          <w:lang w:val="en-US" w:eastAsia="de-DE"/>
        </w:rPr>
        <w:instrText>,"given":"Ignacio","non-dropping-particle":"","parse-names":false,"suffix":""},{"dropping-particle":"","family":"Howard","given":"Martin","non-dropping-particle":"","parse-names":false,"suffix":""},{"dropping-particle":"","family":"Chang","given":"Fred","n</w:instrText>
      </w:r>
      <w:r>
        <w:rPr>
          <w:rFonts w:ascii="Arial" w:eastAsia="Times New Roman" w:hAnsi="Arial" w:cs="Arial"/>
          <w:color w:val="000000"/>
          <w:lang w:val="en-US" w:eastAsia="de-DE"/>
        </w:rPr>
        <w:instrText>on-dropping-particle":"","parse-names":false,"suffix":""}],"container-title":"eLife","id":"ITEM-1","issue":"3","issued":{"date-parts":[["2014"]]},"title":"Cortical regulation of cell size by a sizer cdr2p","type":"article-journal","volume":"2014"},"uris":[</w:instrText>
      </w:r>
      <w:r>
        <w:rPr>
          <w:rFonts w:ascii="Arial" w:eastAsia="Times New Roman" w:hAnsi="Arial" w:cs="Arial"/>
          <w:color w:val="000000"/>
          <w:lang w:val="en-US" w:eastAsia="de-DE"/>
        </w:rPr>
        <w:instrText>"http://www.mendeley.com/documents/?uuid=5f50be8d-7b06-400d-8810-d5a51ecb5729"]},{"id":"ITEM-2","itemData":{"DOI":"10.1016/J.CUB.2018.12.017","ISSN":"0960-9822","PMID":"30639107","abstract":"By using cells of different widths, Facchetti et al. show that fi</w:instrText>
      </w:r>
      <w:r>
        <w:rPr>
          <w:rFonts w:ascii="Arial" w:eastAsia="Times New Roman" w:hAnsi="Arial" w:cs="Arial"/>
          <w:color w:val="000000"/>
          <w:lang w:val="en-US" w:eastAsia="de-DE"/>
        </w:rPr>
        <w:instrText xml:space="preserve">ssion yeast size homeostasis is based on cell surface area as registered by Cdr2 nodal density. A mathematical model allows reprogramming of this Cdr2-based size regulation from area to length. Secondary size control in a cdr2 mutant more closely based on </w:instrText>
      </w:r>
      <w:r>
        <w:rPr>
          <w:rFonts w:ascii="Arial" w:eastAsia="Times New Roman" w:hAnsi="Arial" w:cs="Arial"/>
          <w:color w:val="000000"/>
          <w:lang w:val="en-US" w:eastAsia="de-DE"/>
        </w:rPr>
        <w:instrText>volume is also uncovered.","author":[{"dropping-particle":"","family":"Facchetti","given":"Giuseppe","non-dropping-particle":"","parse-names":false,"suffix":""},{"dropping-particle":"","family":"Knapp","given":"Benjamin","non-dropping-particle":"","parse-n</w:instrText>
      </w:r>
      <w:r>
        <w:rPr>
          <w:rFonts w:ascii="Arial" w:eastAsia="Times New Roman" w:hAnsi="Arial" w:cs="Arial"/>
          <w:color w:val="000000"/>
          <w:lang w:val="en-US" w:eastAsia="de-DE"/>
        </w:rPr>
        <w:instrText>ames":false,"suffix":""},{"dropping-particle":"","family":"Flor-Parra","given":"Ignacio","non-dropping-particle":"","parse-names":false,"suffix":""},{"dropping-particle":"","family":"Chang","given":"Fred","non-dropping-particle":"","parse-names":false,"suf</w:instrText>
      </w:r>
      <w:r>
        <w:rPr>
          <w:rFonts w:ascii="Arial" w:eastAsia="Times New Roman" w:hAnsi="Arial" w:cs="Arial"/>
          <w:color w:val="000000"/>
          <w:lang w:val="en-US" w:eastAsia="de-DE"/>
        </w:rPr>
        <w:instrText>fix":""},{"dropping-particle":"","family":"Howard","given":"Martin","non-dropping-particle":"","parse-names":false,"suffix":""}],"container-title":"Current Biology","id":"ITEM-2","issue":"2","issued":{"date-parts":[["2019","1","21"]]},"page":"350-358.e4","</w:instrText>
      </w:r>
      <w:r>
        <w:rPr>
          <w:rFonts w:ascii="Arial" w:eastAsia="Times New Roman" w:hAnsi="Arial" w:cs="Arial"/>
          <w:color w:val="000000"/>
          <w:lang w:val="en-US" w:eastAsia="de-DE"/>
        </w:rPr>
        <w:instrText>publisher":"Cell Press","title":"Reprogramming Cdr2-Dependent Geometry-Based Cell Size Control in Fission Yeast","type":"article-journal","volume":"29"},"uris":["http://www.mendeley.com/documents/?uuid=07f24b89-ed02-394b-8ac6-9eb7da591b9d"]}],"mendeley":{"</w:instrText>
      </w:r>
      <w:r>
        <w:rPr>
          <w:rFonts w:ascii="Arial" w:eastAsia="Times New Roman" w:hAnsi="Arial" w:cs="Arial"/>
          <w:color w:val="000000"/>
          <w:lang w:val="en-US" w:eastAsia="de-DE"/>
        </w:rPr>
        <w:instrText>formattedCitation":"&lt;sup&gt;252,294&lt;/sup&gt;","plainTextFormattedCitation":"252,294","previouslyFormattedCitation":"&lt;sup&gt;252,294&lt;/sup&gt;"},"properties":{"noteIndex":0},"schema":"https://github.com/citation-style-language/schema/raw/master/csl-citation.json"}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252,29</w:t>
      </w:r>
      <w:r>
        <w:rPr>
          <w:rFonts w:ascii="Arial" w:eastAsia="Times New Roman" w:hAnsi="Arial" w:cs="Arial"/>
          <w:noProof/>
          <w:color w:val="000000"/>
          <w:vertAlign w:val="superscript"/>
          <w:lang w:val="en-US" w:eastAsia="de-DE"/>
        </w:rPr>
        <w:t>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second accumulating reporter is Cdc25. Cdc25 synthesis is coupled to cell volume, leading to higher Cdc25 concentrations in larger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{"citationItems":[{"id":"ITEM-1","itemData":{"DOI":"10.1038/344549a0","ISSN":"1476-4687","P</w:instrText>
      </w:r>
      <w:r>
        <w:rPr>
          <w:rFonts w:ascii="Arial" w:eastAsia="Times New Roman" w:hAnsi="Arial" w:cs="Arial"/>
          <w:color w:val="000000"/>
          <w:lang w:val="en-US" w:eastAsia="de-DE"/>
        </w:rPr>
        <w:instrText>MID":"2320127","abstract":"THE coordination of somatic cell division with cell size must be accomplished by the accumulation of mitotic inducers or the dilution, in the course of cell growth, of mitotic inhibitors. In fission yeast (Schizosaccharomyces pom</w:instrText>
      </w:r>
      <w:r>
        <w:rPr>
          <w:rFonts w:ascii="Arial" w:eastAsia="Times New Roman" w:hAnsi="Arial" w:cs="Arial"/>
          <w:color w:val="000000"/>
          <w:lang w:val="en-US" w:eastAsia="de-DE"/>
        </w:rPr>
        <w:instrText>be), cell size at mitosis is determined by expression of the cdc25+ and nim1+ inducer genes and of the inhibitor gene weel+, which between them regulate the M-phase protein kinase p34cdc2 (refs 1–7). We now report that both the phosphoprotein product of cd</w:instrText>
      </w:r>
      <w:r>
        <w:rPr>
          <w:rFonts w:ascii="Arial" w:eastAsia="Times New Roman" w:hAnsi="Arial" w:cs="Arial"/>
          <w:color w:val="000000"/>
          <w:lang w:val="en-US" w:eastAsia="de-DE"/>
        </w:rPr>
        <w:instrText>c25+ (p80cdc25, with apparent relative molecular mass 80,000) and the corresponding messenger RN A increase in concentration as cells proceed through interphase, peaking at mitosis. We propose that the cell-cycle timing of mitosis in somatic cells is regul</w:instrText>
      </w:r>
      <w:r>
        <w:rPr>
          <w:rFonts w:ascii="Arial" w:eastAsia="Times New Roman" w:hAnsi="Arial" w:cs="Arial"/>
          <w:color w:val="000000"/>
          <w:lang w:val="en-US" w:eastAsia="de-DE"/>
        </w:rPr>
        <w:instrText>ated by the cyclic accumulation of the cdc25 mitotic inducer, which on reaching a critical level results in activation of p34cdc2 protein kinase. Accumulation of this inducer could play a part in coordinating cell division with growth.","author":[{"droppin</w:instrText>
      </w:r>
      <w:r>
        <w:rPr>
          <w:rFonts w:ascii="Arial" w:eastAsia="Times New Roman" w:hAnsi="Arial" w:cs="Arial"/>
          <w:color w:val="000000"/>
          <w:lang w:val="en-US" w:eastAsia="de-DE"/>
        </w:rPr>
        <w:instrText>g-particle":"","family":"Moreno","given":"Sergio","non-dropping-particle":"","parse-names":false,"suffix":""},{"dropping-particle":"","family":"Nurse","given":"Paul","non-dropping-particle":"","parse-names":false,"suffix":""},{"dropping-particle":"","famil</w:instrText>
      </w:r>
      <w:r>
        <w:rPr>
          <w:rFonts w:ascii="Arial" w:eastAsia="Times New Roman" w:hAnsi="Arial" w:cs="Arial"/>
          <w:color w:val="000000"/>
          <w:lang w:val="en-US" w:eastAsia="de-DE"/>
        </w:rPr>
        <w:instrText>y":"Russell","given":"Paul","non-dropping-particle":"","parse-names":false,"suffix":""}],"container-title":"Nature 1990 344:6266","id":"ITEM-1","issue":"6266","issued":{"date-parts":[["1990"]]},"page":"549-552","publisher":"Nature Publishing Group","title"</w:instrText>
      </w:r>
      <w:r>
        <w:rPr>
          <w:rFonts w:ascii="Arial" w:eastAsia="Times New Roman" w:hAnsi="Arial" w:cs="Arial"/>
          <w:color w:val="000000"/>
          <w:lang w:val="en-US" w:eastAsia="de-DE"/>
        </w:rPr>
        <w:instrText>:"Regulation of mitosis by cyclic accumulation of p80cdc25 mitotic inducer in fission yeast","type":"article-journal","volume":"344"},"uris":["http://www.mendeley.com/documents/?uuid=17519039-12b8-318d-bf62-c136cf9622ef"]},{"id":"ITEM-2","itemData":{"DOI":</w:instrText>
      </w:r>
      <w:r>
        <w:rPr>
          <w:rFonts w:ascii="Arial" w:eastAsia="Times New Roman" w:hAnsi="Arial" w:cs="Arial"/>
          <w:color w:val="000000"/>
          <w:lang w:val="en-US" w:eastAsia="de-DE"/>
        </w:rPr>
        <w:instrText>"10.1016/j.cub.2017.04.016","ISSN":"09609822","PMID":"28479325","abstract":"Proper cell size is essential for cellular function. Nonetheless, despite more than 100 years of work on the subject, the mechanisms that maintain cell-size homeostasis are largely</w:instrText>
      </w:r>
      <w:r>
        <w:rPr>
          <w:rFonts w:ascii="Arial" w:eastAsia="Times New Roman" w:hAnsi="Arial" w:cs="Arial"/>
          <w:color w:val="000000"/>
          <w:lang w:val="en-US" w:eastAsia="de-DE"/>
        </w:rPr>
        <w:instrText xml:space="preserve"> mysterious [1]. Cells in growing populations maintain cell size within a narrow range by coordinating growth and division. Bacterial and eukaryotic cells both demonstrate homeostatic size control, which maintains population-level variation in cell size wi</w:instrText>
      </w:r>
      <w:r>
        <w:rPr>
          <w:rFonts w:ascii="Arial" w:eastAsia="Times New Roman" w:hAnsi="Arial" w:cs="Arial"/>
          <w:color w:val="000000"/>
          <w:lang w:val="en-US" w:eastAsia="de-DE"/>
        </w:rPr>
        <w:instrText>thin a certain range and returns the population average to that range if it is perturbed [1, 2]. Recent work has proposed two different strategies for size control: budding yeast has been proposed to use an inhibitor-dilution strategy to regulate size at t</w:instrText>
      </w:r>
      <w:r>
        <w:rPr>
          <w:rFonts w:ascii="Arial" w:eastAsia="Times New Roman" w:hAnsi="Arial" w:cs="Arial"/>
          <w:color w:val="000000"/>
          <w:lang w:val="en-US" w:eastAsia="de-DE"/>
        </w:rPr>
        <w:instrText>he G1/S transition [3], whereas bacteria appear to use an adder strategy, in which a fixed amount of growth each generation causes cell size to converge on a stable average [4–6]. Here we present evidence that cell size in the fission yeast Schizosaccharom</w:instrText>
      </w:r>
      <w:r>
        <w:rPr>
          <w:rFonts w:ascii="Arial" w:eastAsia="Times New Roman" w:hAnsi="Arial" w:cs="Arial"/>
          <w:color w:val="000000"/>
          <w:lang w:val="en-US" w:eastAsia="de-DE"/>
        </w:rPr>
        <w:instrText>yces pombe is regulated by a third strategy: the size-dependent expression of the mitotic activator Cdc25. cdc25 transcript levels are regulated such that smaller cells express less Cdc25 and larger cells express more Cdc25, creating an increasing concentr</w:instrText>
      </w:r>
      <w:r>
        <w:rPr>
          <w:rFonts w:ascii="Arial" w:eastAsia="Times New Roman" w:hAnsi="Arial" w:cs="Arial"/>
          <w:color w:val="000000"/>
          <w:lang w:val="en-US" w:eastAsia="de-DE"/>
        </w:rPr>
        <w:instrText>ation of Cdc25 as cells grow and providing a mechanism for cells to trigger cell division when they reach a threshold concentration of Cdc25. Because regulation of mitotic entry by Cdc25 is well conserved, this mechanism may provide a widespread solution t</w:instrText>
      </w:r>
      <w:r>
        <w:rPr>
          <w:rFonts w:ascii="Arial" w:eastAsia="Times New Roman" w:hAnsi="Arial" w:cs="Arial"/>
          <w:color w:val="000000"/>
          <w:lang w:val="en-US" w:eastAsia="de-DE"/>
        </w:rPr>
        <w:instrText>o the problem of size control in eukaryotes.","author":[{"dropping-particle":"","family":"Keifenheim","given":"Daniel","non-dropping-particle":"","parse-names":false,"suffix":""},{"dropping-particle":"","family":"Sun","given":"Xi Ming","non-dropping-partic</w:instrText>
      </w:r>
      <w:r>
        <w:rPr>
          <w:rFonts w:ascii="Arial" w:eastAsia="Times New Roman" w:hAnsi="Arial" w:cs="Arial"/>
          <w:color w:val="000000"/>
          <w:lang w:val="en-US" w:eastAsia="de-DE"/>
        </w:rPr>
        <w:instrText>le":"","parse-names":false,"suffix":""},{"dropping-particle":"","family":"D'Souza","given":"Edridge","non-dropping-particle":"","parse-names":false,"suffix":""},{"dropping-particle":"","family":"Ohira","given":"Makoto J.","non-dropping-particle":"","parse-</w:instrText>
      </w:r>
      <w:r>
        <w:rPr>
          <w:rFonts w:ascii="Arial" w:eastAsia="Times New Roman" w:hAnsi="Arial" w:cs="Arial"/>
          <w:color w:val="000000"/>
          <w:lang w:val="en-US" w:eastAsia="de-DE"/>
        </w:rPr>
        <w:instrText>names":false,"suffix":""},{"dropping-particle":"","family":"Magner","given":"Mira","non-dropping-particle":"","parse-names":false,"suffix":""},{"dropping-particle":"","family":"Mayhew","given":"Michael B.","non-dropping-particle":"","parse-names":false,"su</w:instrText>
      </w:r>
      <w:r>
        <w:rPr>
          <w:rFonts w:ascii="Arial" w:eastAsia="Times New Roman" w:hAnsi="Arial" w:cs="Arial"/>
          <w:color w:val="000000"/>
          <w:lang w:val="en-US" w:eastAsia="de-DE"/>
        </w:rPr>
        <w:instrText>ffix":""},{"dropping-particle":"","family":"Marguerat","given":"Samuel","non-dropping-particle":"","parse-names":false,"suffix":""},{"dropping-particle":"","family":"Rhind","given":"Nicholas","non-dropping-particle":"","parse-names":false,"suffix":""}],"co</w:instrText>
      </w:r>
      <w:r>
        <w:rPr>
          <w:rFonts w:ascii="Arial" w:eastAsia="Times New Roman" w:hAnsi="Arial" w:cs="Arial"/>
          <w:color w:val="000000"/>
          <w:lang w:val="en-US" w:eastAsia="de-DE"/>
        </w:rPr>
        <w:instrText>ntainer-title":"Current Biology","id":"ITEM-2","issue":"10","issued":{"date-parts":[["2017"]]},"page":"1491-1497.e4","title":"Size-Dependent Expression of the Mitotic Activator Cdc25 Suggests a Mechanism of Size Control in Fission Yeast","type":"article-jo</w:instrText>
      </w:r>
      <w:r>
        <w:rPr>
          <w:rFonts w:ascii="Arial" w:eastAsia="Times New Roman" w:hAnsi="Arial" w:cs="Arial"/>
          <w:color w:val="000000"/>
          <w:lang w:val="en-US" w:eastAsia="de-DE"/>
        </w:rPr>
        <w:instrText>urnal","volume":"27"},"uris":["http://www.mendeley.com/documents/?uuid=b54a884d-4894-3c71-ab98-f84739652d77"]},{"id":"ITEM-3","itemData":{"DOI":"10.1073/PNAS.2206172119/SUPPL_FILE/PNAS.2206172119.SAPP.PDF","ISSN":"10916490","PMID":"36037351","abstract":"We</w:instrText>
      </w:r>
      <w:r>
        <w:rPr>
          <w:rFonts w:ascii="Arial" w:eastAsia="Times New Roman" w:hAnsi="Arial" w:cs="Arial"/>
          <w:color w:val="000000"/>
          <w:lang w:val="en-US" w:eastAsia="de-DE"/>
        </w:rPr>
        <w:instrText xml:space="preserve"> have carried out a systems-level analysis of the spatial and temporal dynamics of cell cycle regulators in the fission yeast Schizosaccharomyces pombe. In a comprehensive single-cell analysis, we have precisely quantified the levels of 38 proteins previou</w:instrText>
      </w:r>
      <w:r>
        <w:rPr>
          <w:rFonts w:ascii="Arial" w:eastAsia="Times New Roman" w:hAnsi="Arial" w:cs="Arial"/>
          <w:color w:val="000000"/>
          <w:lang w:val="en-US" w:eastAsia="de-DE"/>
        </w:rPr>
        <w:instrText>sly identified as regulators of the G2 to mitosis transition and of 7 proteins acting at the G1- to S-phase transition. Only 2 of the 38 mitotic regulators exhibit changes in concentration at the whole-cell level: the mitotic B-type cyclin Cdc13, which acc</w:instrText>
      </w:r>
      <w:r>
        <w:rPr>
          <w:rFonts w:ascii="Arial" w:eastAsia="Times New Roman" w:hAnsi="Arial" w:cs="Arial"/>
          <w:color w:val="000000"/>
          <w:lang w:val="en-US" w:eastAsia="de-DE"/>
        </w:rPr>
        <w:instrText>umulates continually throughout the cell cycle, and the regulatory phosphatase Cdc25, which exhibits a complex cell cycle pattern. Both proteins show similar patterns of change within the nucleus as in the whole cell but at higher concentrations. In additi</w:instrText>
      </w:r>
      <w:r>
        <w:rPr>
          <w:rFonts w:ascii="Arial" w:eastAsia="Times New Roman" w:hAnsi="Arial" w:cs="Arial"/>
          <w:color w:val="000000"/>
          <w:lang w:val="en-US" w:eastAsia="de-DE"/>
        </w:rPr>
        <w:instrText>on, the concentrations of the major fission yeast cyclin-dependent kinase (CDK) Cdc2, the CDK regulator Suc1, and the inhibitory kinase Wee1 also increase in the nucleus, peaking at mitotic onset, but are constant in the whole cell. The significant increas</w:instrText>
      </w:r>
      <w:r>
        <w:rPr>
          <w:rFonts w:ascii="Arial" w:eastAsia="Times New Roman" w:hAnsi="Arial" w:cs="Arial"/>
          <w:color w:val="000000"/>
          <w:lang w:val="en-US" w:eastAsia="de-DE"/>
        </w:rPr>
        <w:instrText>e in concentration with size for Cdc13 supports the view that mitotic B-type cyclin accumulation could act as a cell size sensor. We propose a two-step process for the control of mitosis. First, Cdc13 accumulates in a size-dependent manner, which drives in</w:instrText>
      </w:r>
      <w:r>
        <w:rPr>
          <w:rFonts w:ascii="Arial" w:eastAsia="Times New Roman" w:hAnsi="Arial" w:cs="Arial"/>
          <w:color w:val="000000"/>
          <w:lang w:val="en-US" w:eastAsia="de-DE"/>
        </w:rPr>
        <w:instrText>creasing CDK activity. Second, from mid-G2, the increasing nuclear accumulation of Cdc25 and the counteracting Wee1 introduce a bistability switch that results in a rapid rise of CDK activity at the end of G2 and thus, brings about an orderly progression i</w:instrText>
      </w:r>
      <w:r>
        <w:rPr>
          <w:rFonts w:ascii="Arial" w:eastAsia="Times New Roman" w:hAnsi="Arial" w:cs="Arial"/>
          <w:color w:val="000000"/>
          <w:lang w:val="en-US" w:eastAsia="de-DE"/>
        </w:rPr>
        <w:instrText>nto mitosis.","author":[{"dropping-particle":"","family":"Curran","given":"Scott","non-dropping-particle":"","parse-names":false,"suffix":""},{"dropping-particle":"","family":"Dey","given":"Gautam","non-dropping-particle":"","parse-names":false,"suffix":""</w:instrText>
      </w:r>
      <w:r>
        <w:rPr>
          <w:rFonts w:ascii="Arial" w:eastAsia="Times New Roman" w:hAnsi="Arial" w:cs="Arial"/>
          <w:color w:val="000000"/>
          <w:lang w:val="en-US" w:eastAsia="de-DE"/>
        </w:rPr>
        <w:instrText>},{"dropping-particle":"","family":"Rees","given":"Paul","non-dropping-particle":"","parse-names":false,"suffix":""},{"dropping-particle":"","family":"Nurse","given":"Paul","non-dropping-particle":"","parse-names":false,"suffix":""}],"container-title":"Pro</w:instrText>
      </w:r>
      <w:r>
        <w:rPr>
          <w:rFonts w:ascii="Arial" w:eastAsia="Times New Roman" w:hAnsi="Arial" w:cs="Arial"/>
          <w:color w:val="000000"/>
          <w:lang w:val="en-US" w:eastAsia="de-DE"/>
        </w:rPr>
        <w:instrText>ceedings of the National Academy of Sciences of the United States of America","id":"ITEM-3","issue":"36","issued":{"date-parts":[["2022","9","6"]]},"page":"e2206172119","publisher":"National Academy of Sciences","title":"A quantitative and spatial analysis</w:instrText>
      </w:r>
      <w:r>
        <w:rPr>
          <w:rFonts w:ascii="Arial" w:eastAsia="Times New Roman" w:hAnsi="Arial" w:cs="Arial"/>
          <w:color w:val="000000"/>
          <w:lang w:val="en-US" w:eastAsia="de-DE"/>
        </w:rPr>
        <w:instrText xml:space="preserve"> of cell cycle regulators during the fission yeast cycle","type":"article-journal","volume":"119"},"uris":["http://www.mendeley.com/documents/?uuid=f540fd3c-6fb3-39d6-8063-38d115e9227f"]},{"id":"ITEM-4","itemData":{"DOI":"10.1016/j.cub.2023.06.054","ISSN":</w:instrText>
      </w:r>
      <w:r>
        <w:rPr>
          <w:rFonts w:ascii="Arial" w:eastAsia="Times New Roman" w:hAnsi="Arial" w:cs="Arial"/>
          <w:color w:val="000000"/>
          <w:lang w:val="en-US" w:eastAsia="de-DE"/>
        </w:rPr>
        <w:instrText>"18790445","PMID":"37463585","abstract":"Eukaryotic cells tightly control their size, but the relevant aspect of size is unknown in most cases. Fission yeast divide at a threshold cell surface area (SA) due, in part, to the protein kinase Cdr2. We find tha</w:instrText>
      </w:r>
      <w:r>
        <w:rPr>
          <w:rFonts w:ascii="Arial" w:eastAsia="Times New Roman" w:hAnsi="Arial" w:cs="Arial"/>
          <w:color w:val="000000"/>
          <w:lang w:val="en-US" w:eastAsia="de-DE"/>
        </w:rPr>
        <w:instrText>t fission yeast cells only divide by SA under a size threshold. Mutants that divide at a larger size shift to volume-based divisions. Diploid cells divide at a larger size than haploid cells do, but they maintain SA-based divisions, and this indicates that</w:instrText>
      </w:r>
      <w:r>
        <w:rPr>
          <w:rFonts w:ascii="Arial" w:eastAsia="Times New Roman" w:hAnsi="Arial" w:cs="Arial"/>
          <w:color w:val="000000"/>
          <w:lang w:val="en-US" w:eastAsia="de-DE"/>
        </w:rPr>
        <w:instrText xml:space="preserve"> the size threshold for changing from surface-area-based to volume-based control is set by ploidy. Within this size control system, we found that the mitotic activator Cdc25 accumulates like a volume-based sizer molecule, whereas the mitotic cyclin Cdc13 a</w:instrText>
      </w:r>
      <w:r>
        <w:rPr>
          <w:rFonts w:ascii="Arial" w:eastAsia="Times New Roman" w:hAnsi="Arial" w:cs="Arial"/>
          <w:color w:val="000000"/>
          <w:lang w:val="en-US" w:eastAsia="de-DE"/>
        </w:rPr>
        <w:instrText>ccumulates in the nucleus as a timer. We propose an integrated model for cell size control based on multiple signaling pathways that report on distinct aspects of cell size and growth, including cell SA (Cdr2), cell volume (Cdc25), and time (Cdc13). Combin</w:instrText>
      </w:r>
      <w:r>
        <w:rPr>
          <w:rFonts w:ascii="Arial" w:eastAsia="Times New Roman" w:hAnsi="Arial" w:cs="Arial"/>
          <w:color w:val="000000"/>
          <w:lang w:val="en-US" w:eastAsia="de-DE"/>
        </w:rPr>
        <w:instrText>ed modeling and experiments show how this system can generate both sizer- and adder-like properties.","author":[{"dropping-particle":"","family":"Miller","given":"Kristi E.","non-dropping-particle":"","parse-names":false,"suffix":""},{"dropping-particle":"</w:instrText>
      </w:r>
      <w:r>
        <w:rPr>
          <w:rFonts w:ascii="Arial" w:eastAsia="Times New Roman" w:hAnsi="Arial" w:cs="Arial"/>
          <w:color w:val="000000"/>
          <w:lang w:val="en-US" w:eastAsia="de-DE"/>
        </w:rPr>
        <w:instrText>","family":"Vargas-Garcia","given":"Cesar","non-dropping-particle":"","parse-names":false,"suffix":""},{"dropping-particle":"","family":"Singh","given":"Abhyudai","non-dropping-particle":"","parse-names":false,"suffix":""},{"dropping-particle":"","family":</w:instrText>
      </w:r>
      <w:r>
        <w:rPr>
          <w:rFonts w:ascii="Arial" w:eastAsia="Times New Roman" w:hAnsi="Arial" w:cs="Arial"/>
          <w:color w:val="000000"/>
          <w:lang w:val="en-US" w:eastAsia="de-DE"/>
        </w:rPr>
        <w:instrText>"Moseley","given":"James B.","non-dropping-particle":"","parse-names":false,"suffix":""}],"container-title":"Current Biology","id":"ITEM-4","issue":"16","issued":{"date-parts":[["2023","11","17"]]},"page":"3312-3324.e7","publisher":"Cold Spring Harbor Labo</w:instrText>
      </w:r>
      <w:r>
        <w:rPr>
          <w:rFonts w:ascii="Arial" w:eastAsia="Times New Roman" w:hAnsi="Arial" w:cs="Arial"/>
          <w:color w:val="000000"/>
          <w:lang w:val="en-US" w:eastAsia="de-DE"/>
        </w:rPr>
        <w:instrText>ratory","title":"The fission yeast cell size control system integrates pathways measuring cell surface area, volume, and time","type":"article-journal","volume":"33"},"uris":["http://www.mendeley.com/documents/?uuid=81cdbf5c-8af3-3346-97a7-c923bb234ca6"]}]</w:instrText>
      </w:r>
      <w:r>
        <w:rPr>
          <w:rFonts w:ascii="Arial" w:eastAsia="Times New Roman" w:hAnsi="Arial" w:cs="Arial"/>
          <w:color w:val="000000"/>
          <w:lang w:val="en-US" w:eastAsia="de-DE"/>
        </w:rPr>
        <w:instrText>,"mendeley":{"formattedCitation":"&lt;sup&gt;59–61,295&lt;/sup&gt;","plainTextFormattedCitation":"59–61,295","previouslyFormattedCitation":"&lt;sup&gt;59–61,295&lt;/sup&gt;"},"properties":{"noteIndex":0},"schema":"https://github.com/citation-style-language/schema/raw/master/csl-c</w:instrText>
      </w:r>
      <w:r>
        <w:rPr>
          <w:rFonts w:ascii="Arial" w:eastAsia="Times New Roman" w:hAnsi="Arial" w:cs="Arial"/>
          <w:color w:val="000000"/>
          <w:lang w:val="en-US" w:eastAsia="de-DE"/>
        </w:rPr>
        <w:instrText>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59–61,295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Similar to Cdc25, Cdc13, the fission yeast mitotic B-type cyclin, also </w:t>
      </w:r>
      <w:proofErr w:type="spellStart"/>
      <w:r>
        <w:rPr>
          <w:rFonts w:ascii="Arial" w:eastAsia="Times New Roman" w:hAnsi="Arial" w:cs="Arial"/>
          <w:color w:val="000000"/>
          <w:lang w:val="en-US" w:eastAsia="de-DE"/>
        </w:rPr>
        <w:t>superscales</w:t>
      </w:r>
      <w:proofErr w:type="spellEnd"/>
      <w:r>
        <w:rPr>
          <w:rFonts w:ascii="Arial" w:eastAsia="Times New Roman" w:hAnsi="Arial" w:cs="Arial"/>
          <w:color w:val="000000"/>
          <w:lang w:val="en-US" w:eastAsia="de-DE"/>
        </w:rPr>
        <w:t xml:space="preserve"> with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{"citationItems":[{"id":"ITEM-1","itemData":{"DOI":"10.1073/PNAS.2206172119/SUPPL_FILE/PNAS.2206172119.SAPP.PDF","ISSN":"10916490","PMID":"36037351","abstract":"We have carried out a systems-level analysis of the spatial and temporal dynamics of cell cycle</w:instrText>
      </w:r>
      <w:r>
        <w:rPr>
          <w:rFonts w:ascii="Arial" w:eastAsia="Times New Roman" w:hAnsi="Arial" w:cs="Arial"/>
          <w:color w:val="000000"/>
          <w:lang w:val="en-US" w:eastAsia="de-DE"/>
        </w:rPr>
        <w:instrText xml:space="preserve"> regulators in the fission yeast Schizosaccharomyces pombe. In a comprehensive single-cell analysis, we have precisely quantified the levels of 38 proteins previously identified as regulators of the G2 to mitosis transition and of 7 proteins acting at the </w:instrText>
      </w:r>
      <w:r>
        <w:rPr>
          <w:rFonts w:ascii="Arial" w:eastAsia="Times New Roman" w:hAnsi="Arial" w:cs="Arial"/>
          <w:color w:val="000000"/>
          <w:lang w:val="en-US" w:eastAsia="de-DE"/>
        </w:rPr>
        <w:instrText>G1- to S-phase transition. Only 2 of the 38 mitotic regulators exhibit changes in concentration at the whole-cell level: the mitotic B-type cyclin Cdc13, which accumulates continually throughout the cell cycle, and the regulatory phosphatase Cdc25, which e</w:instrText>
      </w:r>
      <w:r>
        <w:rPr>
          <w:rFonts w:ascii="Arial" w:eastAsia="Times New Roman" w:hAnsi="Arial" w:cs="Arial"/>
          <w:color w:val="000000"/>
          <w:lang w:val="en-US" w:eastAsia="de-DE"/>
        </w:rPr>
        <w:instrText>xhibits a complex cell cycle pattern. Both proteins show similar patterns of change within the nucleus as in the whole cell but at higher concentrations. In addition, the concentrations of the major fission yeast cyclin-dependent kinase (CDK) Cdc2, the CDK</w:instrText>
      </w:r>
      <w:r>
        <w:rPr>
          <w:rFonts w:ascii="Arial" w:eastAsia="Times New Roman" w:hAnsi="Arial" w:cs="Arial"/>
          <w:color w:val="000000"/>
          <w:lang w:val="en-US" w:eastAsia="de-DE"/>
        </w:rPr>
        <w:instrText xml:space="preserve"> regulator Suc1, and the inhibitory kinase Wee1 also increase in the nucleus, peaking at mitotic onset, but are constant in the whole cell. The significant increase in concentration with size for Cdc13 supports the view that mitotic B-type cyclin accumulat</w:instrText>
      </w:r>
      <w:r>
        <w:rPr>
          <w:rFonts w:ascii="Arial" w:eastAsia="Times New Roman" w:hAnsi="Arial" w:cs="Arial"/>
          <w:color w:val="000000"/>
          <w:lang w:val="en-US" w:eastAsia="de-DE"/>
        </w:rPr>
        <w:instrText xml:space="preserve">ion could act as a cell size sensor. We propose a two-step process for the control of mitosis. First, Cdc13 accumulates in a size-dependent manner, which drives increasing CDK activity. Second, from mid-G2, the increasing nuclear accumulation of Cdc25 and </w:instrText>
      </w:r>
      <w:r>
        <w:rPr>
          <w:rFonts w:ascii="Arial" w:eastAsia="Times New Roman" w:hAnsi="Arial" w:cs="Arial"/>
          <w:color w:val="000000"/>
          <w:lang w:val="en-US" w:eastAsia="de-DE"/>
        </w:rPr>
        <w:instrText>the counteracting Wee1 introduce a bistability switch that results in a rapid rise of CDK activity at the end of G2 and thus, brings about an orderly progression into mitosis.","author":[{"dropping-particle":"","family":"Curran","given":"Scott","non-droppi</w:instrText>
      </w:r>
      <w:r>
        <w:rPr>
          <w:rFonts w:ascii="Arial" w:eastAsia="Times New Roman" w:hAnsi="Arial" w:cs="Arial"/>
          <w:color w:val="000000"/>
          <w:lang w:val="en-US" w:eastAsia="de-DE"/>
        </w:rPr>
        <w:instrText>ng-particle":"","parse-names":false,"suffix":""},{"dropping-particle":"","family":"Dey","given":"Gautam","non-dropping-particle":"","parse-names":false,"suffix":""},{"dropping-particle":"","family":"Rees","given":"Paul","non-dropping-particle":"","parse-na</w:instrText>
      </w:r>
      <w:r>
        <w:rPr>
          <w:rFonts w:ascii="Arial" w:eastAsia="Times New Roman" w:hAnsi="Arial" w:cs="Arial"/>
          <w:color w:val="000000"/>
          <w:lang w:val="en-US" w:eastAsia="de-DE"/>
        </w:rPr>
        <w:instrText>mes":false,"suffix":""},{"dropping-particle":"","family":"Nurse","given":"Paul","non-dropping-particle":"","parse-names":false,"suffix":""}],"container-title":"Proceedings of the National Academy of Sciences of the United States of America","id":"ITEM-1","</w:instrText>
      </w:r>
      <w:r>
        <w:rPr>
          <w:rFonts w:ascii="Arial" w:eastAsia="Times New Roman" w:hAnsi="Arial" w:cs="Arial"/>
          <w:color w:val="000000"/>
          <w:lang w:val="en-US" w:eastAsia="de-DE"/>
        </w:rPr>
        <w:instrText>issue":"36","issued":{"date-parts":[["2022","9","6"]]},"page":"e2206172119","publisher":"National Academy of Sciences","title":"A quantitative and spatial analysis of cell cycle regulators during the fission yeast cycle","type":"article-journal","volume":"</w:instrText>
      </w:r>
      <w:r>
        <w:rPr>
          <w:rFonts w:ascii="Arial" w:eastAsia="Times New Roman" w:hAnsi="Arial" w:cs="Arial"/>
          <w:color w:val="000000"/>
          <w:lang w:val="en-US" w:eastAsia="de-DE"/>
        </w:rPr>
        <w:instrText>119"},"uris":["http://www.mendeley.com/documents/?uuid=f540fd3c-6fb3-39d6-8063-38d115e9227f"]}],"mendeley":{"formattedCitation":"&lt;sup&gt;60&lt;/sup&gt;","plainTextFormattedCitation":"60","previouslyFormattedCitation":"&lt;sup&gt;60&lt;/sup&gt;"},"properties":{"noteIndex":0},"s</w:instrText>
      </w:r>
      <w:r>
        <w:rPr>
          <w:rFonts w:ascii="Arial" w:eastAsia="Times New Roman" w:hAnsi="Arial" w:cs="Arial"/>
          <w:color w:val="000000"/>
          <w:lang w:val="en-US" w:eastAsia="de-DE"/>
        </w:rPr>
        <w:instrText>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60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but Cdc13 concentration has been found to be coupled to time rather than directly to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w:instrText>
      </w:r>
      <w:r>
        <w:rPr>
          <w:rFonts w:ascii="Arial" w:eastAsia="Times New Roman" w:hAnsi="Arial" w:cs="Arial"/>
          <w:color w:val="000000"/>
          <w:lang w:val="en-US" w:eastAsia="de-DE"/>
        </w:rPr>
        <w:instrText>I":"10.1016/j.cub.2023.06.054","ISSN":"18790445","PMID":"37463585","abstract":"Eukaryotic cells tightly control their size, but the relevant aspect of size is unknown in most cases. Fission yeast divide at a threshold cell surface area (SA) due, in part, t</w:instrText>
      </w:r>
      <w:r>
        <w:rPr>
          <w:rFonts w:ascii="Arial" w:eastAsia="Times New Roman" w:hAnsi="Arial" w:cs="Arial"/>
          <w:color w:val="000000"/>
          <w:lang w:val="en-US" w:eastAsia="de-DE"/>
        </w:rPr>
        <w:instrText>o the protein kinase Cdr2. We find that fission yeast cells only divide by SA under a size threshold. Mutants that divide at a larger size shift to volume-based divisions. Diploid cells divide at a larger size than haploid cells do, but they maintain SA-ba</w:instrText>
      </w:r>
      <w:r>
        <w:rPr>
          <w:rFonts w:ascii="Arial" w:eastAsia="Times New Roman" w:hAnsi="Arial" w:cs="Arial"/>
          <w:color w:val="000000"/>
          <w:lang w:val="en-US" w:eastAsia="de-DE"/>
        </w:rPr>
        <w:instrText>sed divisions, and this indicates that the size threshold for changing from surface-area-based to volume-based control is set by ploidy. Within this size control system, we found that the mitotic activator Cdc25 accumulates like a volume-based sizer molecu</w:instrText>
      </w:r>
      <w:r>
        <w:rPr>
          <w:rFonts w:ascii="Arial" w:eastAsia="Times New Roman" w:hAnsi="Arial" w:cs="Arial"/>
          <w:color w:val="000000"/>
          <w:lang w:val="en-US" w:eastAsia="de-DE"/>
        </w:rPr>
        <w:instrText>le, whereas the mitotic cyclin Cdc13 accumulates in the nucleus as a timer. We propose an integrated model for cell size control based on multiple signaling pathways that report on distinct aspects of cell size and growth, including cell SA (Cdr2), cell vo</w:instrText>
      </w:r>
      <w:r>
        <w:rPr>
          <w:rFonts w:ascii="Arial" w:eastAsia="Times New Roman" w:hAnsi="Arial" w:cs="Arial"/>
          <w:color w:val="000000"/>
          <w:lang w:val="en-US" w:eastAsia="de-DE"/>
        </w:rPr>
        <w:instrText>lume (Cdc25), and time (Cdc13). Combined modeling and experiments show how this system can generate both sizer- and adder-like properties.","author":[{"dropping-particle":"","family":"Miller","given":"Kristi E.","non-dropping-particle":"","parse-names":fal</w:instrText>
      </w:r>
      <w:r>
        <w:rPr>
          <w:rFonts w:ascii="Arial" w:eastAsia="Times New Roman" w:hAnsi="Arial" w:cs="Arial"/>
          <w:color w:val="000000"/>
          <w:lang w:val="en-US" w:eastAsia="de-DE"/>
        </w:rPr>
        <w:instrText>se,"suffix":""},{"dropping-particle":"","family":"Vargas-Garcia","given":"Cesar","non-dropping-particle":"","parse-names":false,"suffix":""},{"dropping-particle":"","family":"Singh","given":"Abhyudai","non-dropping-particle":"","parse-names":false,"suffix"</w:instrText>
      </w:r>
      <w:r>
        <w:rPr>
          <w:rFonts w:ascii="Arial" w:eastAsia="Times New Roman" w:hAnsi="Arial" w:cs="Arial"/>
          <w:color w:val="000000"/>
          <w:lang w:val="en-US" w:eastAsia="de-DE"/>
        </w:rPr>
        <w:instrText>:""},{"dropping-particle":"","family":"Moseley","given":"James B.","non-dropping-particle":"","parse-names":false,"suffix":""}],"container-title":"Current Biology","id":"ITEM-1","issue":"16","issued":{"date-parts":[["2023","11","17"]]},"page":"3312-3324.e7</w:instrText>
      </w:r>
      <w:r>
        <w:rPr>
          <w:rFonts w:ascii="Arial" w:eastAsia="Times New Roman" w:hAnsi="Arial" w:cs="Arial"/>
          <w:color w:val="000000"/>
          <w:lang w:val="en-US" w:eastAsia="de-DE"/>
        </w:rPr>
        <w:instrText>","publisher":"Cold Spring Harbor Laboratory","title":"The fission yeast cell size control system integrates pathways measuring cell surface area, volume, and time","type":"article-journal","volume":"33"},"uris":["http://www.mendeley.com/documents/?uuid=81</w:instrText>
      </w:r>
      <w:r>
        <w:rPr>
          <w:rFonts w:ascii="Arial" w:eastAsia="Times New Roman" w:hAnsi="Arial" w:cs="Arial"/>
          <w:color w:val="000000"/>
          <w:lang w:val="en-US" w:eastAsia="de-DE"/>
        </w:rPr>
        <w:instrText>cdbf5c-8af3-3346-97a7-c923bb234ca6"]}],"mendeley":{"formattedCitation":"&lt;sup&gt;61&lt;/sup&gt;","plainTextFormattedCitation":"61","previouslyFormattedCitation":"&lt;sup&gt;61&lt;/sup&gt;"},"properties":{"noteIndex":0},"schema":"https://github.com/citation-style-language/schema</w:instrText>
      </w:r>
      <w:r>
        <w:rPr>
          <w:rFonts w:ascii="Arial" w:eastAsia="Times New Roman" w:hAnsi="Arial" w:cs="Arial"/>
          <w:color w:val="000000"/>
          <w:lang w:val="en-US" w:eastAsia="de-DE"/>
        </w:rPr>
        <w:instrText>/raw/master/csl-citation.json"}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61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Together, Cdc25, Cdr2, and Cdc13 input cell volume, cell surface area and time information into the fission yeast size control system, respectively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w:instrText>
      </w:r>
      <w:r>
        <w:rPr>
          <w:rFonts w:ascii="Arial" w:eastAsia="Times New Roman" w:hAnsi="Arial" w:cs="Arial"/>
          <w:color w:val="000000"/>
          <w:lang w:val="en-US" w:eastAsia="de-DE"/>
        </w:rPr>
        <w:instrText>10.1016/j.cub.2023.06.054","ISSN":"18790445","PMID":"37463585","abstract":"Eukaryotic cells tightly control their size, but the relevant aspect of size is unknown in most cases. Fission yeast divide at a threshold cell surface area (SA) due, in part, to th</w:instrText>
      </w:r>
      <w:r>
        <w:rPr>
          <w:rFonts w:ascii="Arial" w:eastAsia="Times New Roman" w:hAnsi="Arial" w:cs="Arial"/>
          <w:color w:val="000000"/>
          <w:lang w:val="en-US" w:eastAsia="de-DE"/>
        </w:rPr>
        <w:instrText xml:space="preserve">e protein kinase Cdr2. We find that fission yeast cells only divide by SA under a size threshold. Mutants that divide at a larger size shift to volume-based divisions. Diploid cells divide at a larger size than haploid cells do, but they maintain SA-based </w:instrText>
      </w:r>
      <w:r>
        <w:rPr>
          <w:rFonts w:ascii="Arial" w:eastAsia="Times New Roman" w:hAnsi="Arial" w:cs="Arial"/>
          <w:color w:val="000000"/>
          <w:lang w:val="en-US" w:eastAsia="de-DE"/>
        </w:rPr>
        <w:instrText xml:space="preserve">divisions, and this indicates that the size threshold for changing from surface-area-based to volume-based control is set by ploidy. Within this size control system, we found that the mitotic activator Cdc25 accumulates like a volume-based sizer molecule, </w:instrText>
      </w:r>
      <w:r>
        <w:rPr>
          <w:rFonts w:ascii="Arial" w:eastAsia="Times New Roman" w:hAnsi="Arial" w:cs="Arial"/>
          <w:color w:val="000000"/>
          <w:lang w:val="en-US" w:eastAsia="de-DE"/>
        </w:rPr>
        <w:instrText>whereas the mitotic cyclin Cdc13 accumulates in the nucleus as a timer. We propose an integrated model for cell size control based on multiple signaling pathways that report on distinct aspects of cell size and growth, including cell SA (Cdr2), cell volume</w:instrText>
      </w:r>
      <w:r>
        <w:rPr>
          <w:rFonts w:ascii="Arial" w:eastAsia="Times New Roman" w:hAnsi="Arial" w:cs="Arial"/>
          <w:color w:val="000000"/>
          <w:lang w:val="en-US" w:eastAsia="de-DE"/>
        </w:rPr>
        <w:instrText xml:space="preserve"> (Cdc25), and time (Cdc13). Combined modeling and experiments show how this system can generate both sizer- and adder-like properties.","author":[{"dropping-particle":"","family":"Miller","given":"Kristi E.","non-dropping-particle":"","parse-names":false,"</w:instrText>
      </w:r>
      <w:r>
        <w:rPr>
          <w:rFonts w:ascii="Arial" w:eastAsia="Times New Roman" w:hAnsi="Arial" w:cs="Arial"/>
          <w:color w:val="000000"/>
          <w:lang w:val="en-US" w:eastAsia="de-DE"/>
        </w:rPr>
        <w:instrText>suffix":""},{"dropping-particle":"","family":"Vargas-Garcia","given":"Cesar","non-dropping-particle":"","parse-names":false,"suffix":""},{"dropping-particle":"","family":"Singh","given":"Abhyudai","non-dropping-particle":"","parse-names":false,"suffix":""}</w:instrText>
      </w:r>
      <w:r>
        <w:rPr>
          <w:rFonts w:ascii="Arial" w:eastAsia="Times New Roman" w:hAnsi="Arial" w:cs="Arial"/>
          <w:color w:val="000000"/>
          <w:lang w:val="en-US" w:eastAsia="de-DE"/>
        </w:rPr>
        <w:instrText>,{"dropping-particle":"","family":"Moseley","given":"James B.","non-dropping-particle":"","parse-names":false,"suffix":""}],"container-title":"Current Biology","id":"ITEM-1","issue":"16","issued":{"date-parts":[["2023","11","17"]]},"page":"3312-3324.e7","p</w:instrText>
      </w:r>
      <w:r>
        <w:rPr>
          <w:rFonts w:ascii="Arial" w:eastAsia="Times New Roman" w:hAnsi="Arial" w:cs="Arial"/>
          <w:color w:val="000000"/>
          <w:lang w:val="en-US" w:eastAsia="de-DE"/>
        </w:rPr>
        <w:instrText>ublisher":"Cold Spring Harbor Laboratory","title":"The fission yeast cell size control system integrates pathways measuring cell surface area, volume, and time","type":"article-journal","volume":"33"},"uris":["http://www.mendeley.com/documents/?uuid=81cdbf</w:instrText>
      </w:r>
      <w:r>
        <w:rPr>
          <w:rFonts w:ascii="Arial" w:eastAsia="Times New Roman" w:hAnsi="Arial" w:cs="Arial"/>
          <w:color w:val="000000"/>
          <w:lang w:val="en-US" w:eastAsia="de-DE"/>
        </w:rPr>
        <w:instrText>5c-8af3-3346-97a7-c923bb234ca6"]}],"mendeley":{"formattedCitation":"&lt;sup&gt;61&lt;/sup&gt;","plainTextFormattedCitation":"61","previouslyFormattedCitation":"&lt;sup&gt;61&lt;/sup&gt;"},"properties":{"noteIndex":0},"schema":"https://github.com/citation-style-language/schema/raw</w:instrText>
      </w:r>
      <w:r>
        <w:rPr>
          <w:rFonts w:ascii="Arial" w:eastAsia="Times New Roman" w:hAnsi="Arial" w:cs="Arial"/>
          <w:color w:val="000000"/>
          <w:lang w:val="en-US" w:eastAsia="de-DE"/>
        </w:rPr>
        <w:instrText>/master/csl-citation.json"}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61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spatial restriction of Cdr2 nodes is regulated partly by the mitotic inhibitor Pom1, discussed in the next section on cell-geometry based gradients.</w:t>
      </w:r>
    </w:p>
    <w:p w14:paraId="3FBF8F77"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7.1.3 Cell geometry-based gradients</w:t>
      </w:r>
    </w:p>
    <w:p w14:paraId="32EF8CA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In this kind of </w:t>
      </w:r>
      <w:r>
        <w:rPr>
          <w:rFonts w:ascii="Arial" w:eastAsia="Times New Roman" w:hAnsi="Arial" w:cs="Arial"/>
          <w:color w:val="000000"/>
          <w:lang w:val="en-US" w:eastAsia="de-DE"/>
        </w:rPr>
        <w:t xml:space="preserve">size-sensing, the distribution of a reporter with respect to the geometry of a cell changes as the cell </w:t>
      </w:r>
      <w:proofErr w:type="gramStart"/>
      <w:r>
        <w:rPr>
          <w:rFonts w:ascii="Arial" w:eastAsia="Times New Roman" w:hAnsi="Arial" w:cs="Arial"/>
          <w:color w:val="000000"/>
          <w:lang w:val="en-US" w:eastAsia="de-DE"/>
        </w:rPr>
        <w:t>grows in size</w:t>
      </w:r>
      <w:proofErr w:type="gramEnd"/>
      <w:r>
        <w:rPr>
          <w:rFonts w:ascii="Arial" w:eastAsia="Times New Roman" w:hAnsi="Arial" w:cs="Arial"/>
          <w:color w:val="000000"/>
          <w:lang w:val="en-US" w:eastAsia="de-DE"/>
        </w:rPr>
        <w:t>. A well-studied example is that of the fission yeast mitotic inhibitor Pom1, which localizes at the two ends of the rod-shaped cell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w:instrText>
      </w:r>
      <w:r>
        <w:rPr>
          <w:rFonts w:ascii="Arial" w:eastAsia="Times New Roman" w:hAnsi="Arial" w:cs="Arial"/>
          <w:color w:val="000000"/>
          <w:lang w:val="en-US" w:eastAsia="de-DE"/>
        </w:rPr>
        <w:instrText xml:space="preserve">SL_CITATION {"citationItems":[{"id":"ITEM-1","itemData":{"DOI":"10.1038/nature08054","ISSN":"1476-4687","PMID":"19474792","abstract":"Cells normally grow to a certain size before they enter mitosis and divide. Entry into mitosis depends on the activity of </w:instrText>
      </w:r>
      <w:r>
        <w:rPr>
          <w:rFonts w:ascii="Arial" w:eastAsia="Times New Roman" w:hAnsi="Arial" w:cs="Arial"/>
          <w:color w:val="000000"/>
          <w:lang w:val="en-US" w:eastAsia="de-DE"/>
        </w:rPr>
        <w:instrText>Cdk1, which is inhibited by the Wee1 kinase and activated by the Cdc25 phosphatase. However, how cells sense their size for mitotic commitment remains unknown. Here we show that an intracellular gradient of the dual-specificity tyrosine-phosphorylation reg</w:instrText>
      </w:r>
      <w:r>
        <w:rPr>
          <w:rFonts w:ascii="Arial" w:eastAsia="Times New Roman" w:hAnsi="Arial" w:cs="Arial"/>
          <w:color w:val="000000"/>
          <w:lang w:val="en-US" w:eastAsia="de-DE"/>
        </w:rPr>
        <w:instrText>ulated kinase (DYRK) Pom1, which emanates from the ends of rod-shaped Schizosaccharomyces pombe cells, serves to measure cell length and control mitotic entry. Pom1 provides positional information both for polarized growth and to inhibit cell division at c</w:instrText>
      </w:r>
      <w:r>
        <w:rPr>
          <w:rFonts w:ascii="Arial" w:eastAsia="Times New Roman" w:hAnsi="Arial" w:cs="Arial"/>
          <w:color w:val="000000"/>
          <w:lang w:val="en-US" w:eastAsia="de-DE"/>
        </w:rPr>
        <w:instrText xml:space="preserve">ell ends. We discovered that Pom1 is also a dose-dependent G2-M inhibitor. Genetic analyses indicate that Pom1 negatively regulates Cdr1 and Cdr2, two previously described Wee1 inhibitors of the SAD kinase family. This inhibition may be direct, because in </w:instrText>
      </w:r>
      <w:r>
        <w:rPr>
          <w:rFonts w:ascii="Arial" w:eastAsia="Times New Roman" w:hAnsi="Arial" w:cs="Arial"/>
          <w:color w:val="000000"/>
          <w:lang w:val="en-US" w:eastAsia="de-DE"/>
        </w:rPr>
        <w:instrText>vivo and in vitro evidence suggest that Pom1 phosphorylates Cdr2. Whereas Cdr1 and Cdr2 localize to a medial cortical region, Pom1 forms concentration gradients from cell tips that overlap with Cdr1 and Cdr2 in short cells, but not in long cells. Disturbin</w:instrText>
      </w:r>
      <w:r>
        <w:rPr>
          <w:rFonts w:ascii="Arial" w:eastAsia="Times New Roman" w:hAnsi="Arial" w:cs="Arial"/>
          <w:color w:val="000000"/>
          <w:lang w:val="en-US" w:eastAsia="de-DE"/>
        </w:rPr>
        <w:instrText>g these Pom1 gradients leads to Cdr2 phosphorylation and imposes a G2 delay. In short cells, Pom1 prevents precocious M-phase entry, suggesting that the higher medial Pom1 levels inhibit Cdr2 and promote a G2 delay. Thus, gradients of Pom1 from cell ends p</w:instrText>
      </w:r>
      <w:r>
        <w:rPr>
          <w:rFonts w:ascii="Arial" w:eastAsia="Times New Roman" w:hAnsi="Arial" w:cs="Arial"/>
          <w:color w:val="000000"/>
          <w:lang w:val="en-US" w:eastAsia="de-DE"/>
        </w:rPr>
        <w:instrText>rovide a measure of cell length to regulate M-phase entry.","author":[{"dropping-particle":"","family":"Martin","given":"Sophie G","non-dropping-particle":"","parse-names":false,"suffix":""},{"dropping-particle":"","family":"Berthelot-Grosjean","given":"Ma</w:instrText>
      </w:r>
      <w:r>
        <w:rPr>
          <w:rFonts w:ascii="Arial" w:eastAsia="Times New Roman" w:hAnsi="Arial" w:cs="Arial"/>
          <w:color w:val="000000"/>
          <w:lang w:val="en-US" w:eastAsia="de-DE"/>
        </w:rPr>
        <w:instrText>rtine","non-dropping-particle":"","parse-names":false,"suffix":""}],"container-title":"Nature","id":"ITEM-1","issue":"7248","issued":{"date-parts":[["2009","6","11"]]},"page":"852-6","publisher":"Macmillan Publishers Limited. All rights reserved","title":"</w:instrText>
      </w:r>
      <w:r>
        <w:rPr>
          <w:rFonts w:ascii="Arial" w:eastAsia="Times New Roman" w:hAnsi="Arial" w:cs="Arial"/>
          <w:color w:val="000000"/>
          <w:lang w:val="en-US" w:eastAsia="de-DE"/>
        </w:rPr>
        <w:instrText>Polar gradients of the DYRK-family kinase Pom1 couple cell length with the cell cycle.","title-short":"Nature","type":"article-journal","volume":"459"},"uris":["http://www.mendeley.com/documents/?uuid=9b0f7eaa-c8e6-469c-ad77-1ac636e7d5c0"]},{"id":"ITEM-2",</w:instrText>
      </w:r>
      <w:r>
        <w:rPr>
          <w:rFonts w:ascii="Arial" w:eastAsia="Times New Roman" w:hAnsi="Arial" w:cs="Arial"/>
          <w:color w:val="000000"/>
          <w:lang w:val="en-US" w:eastAsia="de-DE"/>
        </w:rPr>
        <w:instrText>"itemData":{"DOI":"10.1038/nature08074","ISBN":"0028-0836","ISSN":"0028-0836","PMID":"19474789","abstract":"Many eukaryotic cell types undergo size-dependent cell cycle transitions controlled by the ubiquitous cyclin-dependent kinase Cdk1 (refs 1-4). The p</w:instrText>
      </w:r>
      <w:r>
        <w:rPr>
          <w:rFonts w:ascii="Arial" w:eastAsia="Times New Roman" w:hAnsi="Arial" w:cs="Arial"/>
          <w:color w:val="000000"/>
          <w:lang w:val="en-US" w:eastAsia="de-DE"/>
        </w:rPr>
        <w:instrText>roteins that control Cdk1 activity are well described but their links with mechanisms monitoring cell size remain elusive. In the fission yeast Schizosaccharomyces pombe, cells enter mitosis and divide at a defined and reproducible size owing to the regula</w:instrText>
      </w:r>
      <w:r>
        <w:rPr>
          <w:rFonts w:ascii="Arial" w:eastAsia="Times New Roman" w:hAnsi="Arial" w:cs="Arial"/>
          <w:color w:val="000000"/>
          <w:lang w:val="en-US" w:eastAsia="de-DE"/>
        </w:rPr>
        <w:instrText>ted activity of Cdk1 (refs 2, 3). Here we show that the cell polarity protein kinase Pom1, which localizes to cell ends, regulates a signalling network that contributes to the control of mitotic entry. This network is located at cortical nodes in the middl</w:instrText>
      </w:r>
      <w:r>
        <w:rPr>
          <w:rFonts w:ascii="Arial" w:eastAsia="Times New Roman" w:hAnsi="Arial" w:cs="Arial"/>
          <w:color w:val="000000"/>
          <w:lang w:val="en-US" w:eastAsia="de-DE"/>
        </w:rPr>
        <w:instrText>e of interphase cells, and these nodes contain the Cdk1 inhibitor Wee1, the Wee1-inhibitory kinases Cdr1 (also known as Nim1) and Cdr2, and the anillin-like protein Mid1. Cdr2 establishes the hierarchical localization of other proteins in the nodes, and re</w:instrText>
      </w:r>
      <w:r>
        <w:rPr>
          <w:rFonts w:ascii="Arial" w:eastAsia="Times New Roman" w:hAnsi="Arial" w:cs="Arial"/>
          <w:color w:val="000000"/>
          <w:lang w:val="en-US" w:eastAsia="de-DE"/>
        </w:rPr>
        <w:instrText>ceives negative regulatory signals from Pom1. Pom1 forms a polar gradient extending from the cell ends towards the cell middle and acts as a dose-dependent inhibitor of mitotic entry, working through the Cdr2 pathway. As cells elongate, Pom1 levels decreas</w:instrText>
      </w:r>
      <w:r>
        <w:rPr>
          <w:rFonts w:ascii="Arial" w:eastAsia="Times New Roman" w:hAnsi="Arial" w:cs="Arial"/>
          <w:color w:val="000000"/>
          <w:lang w:val="en-US" w:eastAsia="de-DE"/>
        </w:rPr>
        <w:instrText>e at the cell middle, leading to mitotic entry. We propose that the Pom1 polar gradient and the medial cortical nodes generate information about cell size and coordinate this with mitotic entry by regulating Cdk1 through Pom1, Cdr2, Cdr1 and Wee1.","author</w:instrText>
      </w:r>
      <w:r>
        <w:rPr>
          <w:rFonts w:ascii="Arial" w:eastAsia="Times New Roman" w:hAnsi="Arial" w:cs="Arial"/>
          <w:color w:val="000000"/>
          <w:lang w:val="en-US" w:eastAsia="de-DE"/>
        </w:rPr>
        <w:instrText>":[{"dropping-particle":"","family":"Moseley","given":"James B","non-dropping-particle":"","parse-names":false,"suffix":""},{"dropping-particle":"","family":"Mayeux","given":"Adeline","non-dropping-particle":"","parse-names":false,"suffix":""},{"dropping-p</w:instrText>
      </w:r>
      <w:r>
        <w:rPr>
          <w:rFonts w:ascii="Arial" w:eastAsia="Times New Roman" w:hAnsi="Arial" w:cs="Arial"/>
          <w:color w:val="000000"/>
          <w:lang w:val="en-US" w:eastAsia="de-DE"/>
        </w:rPr>
        <w:instrText>article":"","family":"Paoletti","given":"Anne","non-dropping-particle":"","parse-names":false,"suffix":""},{"dropping-particle":"","family":"Nurse","given":"Paul","non-dropping-particle":"","parse-names":false,"suffix":""}],"container-title":"Nature","id":</w:instrText>
      </w:r>
      <w:r>
        <w:rPr>
          <w:rFonts w:ascii="Arial" w:eastAsia="Times New Roman" w:hAnsi="Arial" w:cs="Arial"/>
          <w:color w:val="000000"/>
          <w:lang w:val="en-US" w:eastAsia="de-DE"/>
        </w:rPr>
        <w:instrText>"ITEM-2","issue":"7248","issued":{"date-parts":[["2009"]]},"page":"857-860","title":"A spatial gradient coordinates cell size and mitotic entry in fission yeast.","type":"article-journal","volume":"459"},"uris":["http://www.mendeley.com/documents/?uuid=8e4</w:instrText>
      </w:r>
      <w:r>
        <w:rPr>
          <w:rFonts w:ascii="Arial" w:eastAsia="Times New Roman" w:hAnsi="Arial" w:cs="Arial"/>
          <w:color w:val="000000"/>
          <w:lang w:val="en-US" w:eastAsia="de-DE"/>
        </w:rPr>
        <w:instrText>16946-0f90-4af3-a033-0b83a1988083"]}],"mendeley":{"formattedCitation":"&lt;sup&gt;284,286&lt;/sup&gt;","plainTextFormattedCitation":"284,286","previouslyFormattedCitation":"&lt;sup&gt;284,286&lt;/sup&gt;"},"properties":{"noteIndex":0},"schema":"https://github.com/citation-style-l</w:instrText>
      </w:r>
      <w:r>
        <w:rPr>
          <w:rFonts w:ascii="Arial" w:eastAsia="Times New Roman" w:hAnsi="Arial" w:cs="Arial"/>
          <w:color w:val="000000"/>
          <w:lang w:val="en-US" w:eastAsia="de-DE"/>
        </w:rPr>
        <w:instrText>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284,286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2AF34333"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Since Pom1 is a cell polarity protein, its concentration is higher at the cell tips and lower in the</w:t>
      </w:r>
      <w:r>
        <w:rPr>
          <w:rFonts w:ascii="Arial" w:eastAsia="Times New Roman" w:hAnsi="Arial" w:cs="Arial"/>
          <w:i/>
          <w:iCs/>
          <w:color w:val="000000"/>
          <w:lang w:val="en-US" w:eastAsia="de-DE"/>
        </w:rPr>
        <w:t xml:space="preserve"> </w:t>
      </w:r>
      <w:r>
        <w:rPr>
          <w:rFonts w:ascii="Arial" w:eastAsia="Times New Roman" w:hAnsi="Arial" w:cs="Arial"/>
          <w:color w:val="000000"/>
          <w:lang w:val="en-US" w:eastAsia="de-DE"/>
        </w:rPr>
        <w:t>cell center, forming a spatial gradient in its concentration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w:instrText>
      </w:r>
      <w:r>
        <w:rPr>
          <w:rFonts w:ascii="Arial" w:eastAsia="Times New Roman" w:hAnsi="Arial" w:cs="Arial"/>
          <w:color w:val="000000"/>
          <w:lang w:val="en-US" w:eastAsia="de-DE"/>
        </w:rPr>
        <w:instrText>"id":"ITEM-1","itemData":{"DOI":"10.1101/GAD.12.9.1356","ISSN":"0890-9369","PMID":"9573052","abstract":"Schizosaccharomyces pombe cells have a well-defined pattern of polarized growth at the cell ends during interphase and divide symmetrically into two equ</w:instrText>
      </w:r>
      <w:r>
        <w:rPr>
          <w:rFonts w:ascii="Arial" w:eastAsia="Times New Roman" w:hAnsi="Arial" w:cs="Arial"/>
          <w:color w:val="000000"/>
          <w:lang w:val="en-US" w:eastAsia="de-DE"/>
        </w:rPr>
        <w:instrText>al-sized daughter cells. We identified a gene, pom1, that provides positional information for both growth and division in S. pombe. pom1 mutants form functioning growth zones and division septa but show several abnormalities: (1) After division, cells init</w:instrText>
      </w:r>
      <w:r>
        <w:rPr>
          <w:rFonts w:ascii="Arial" w:eastAsia="Times New Roman" w:hAnsi="Arial" w:cs="Arial"/>
          <w:color w:val="000000"/>
          <w:lang w:val="en-US" w:eastAsia="de-DE"/>
        </w:rPr>
        <w:instrText xml:space="preserve">iate growth with equal frequencies from either the old or the new end; (2) most cells never switch to bipolar growth but instead grow exclusively at the randomly chosen end; (3) some cells mislocalize their growth axis altogether, leading to the formation </w:instrText>
      </w:r>
      <w:r>
        <w:rPr>
          <w:rFonts w:ascii="Arial" w:eastAsia="Times New Roman" w:hAnsi="Arial" w:cs="Arial"/>
          <w:color w:val="000000"/>
          <w:lang w:val="en-US" w:eastAsia="de-DE"/>
        </w:rPr>
        <w:instrText>of angled and branched cells; and (4) many cells misplace and/or misorient their septa, leading to asymmetric cell division. pom1 encodes a putative protein kinase that is concentrated at the new cell end during interphase, at both cell ends during mitosis</w:instrText>
      </w:r>
      <w:r>
        <w:rPr>
          <w:rFonts w:ascii="Arial" w:eastAsia="Times New Roman" w:hAnsi="Arial" w:cs="Arial"/>
          <w:color w:val="000000"/>
          <w:lang w:val="en-US" w:eastAsia="de-DE"/>
        </w:rPr>
        <w:instrText xml:space="preserve">, and at the septation site after mitosis. Small amounts of Pom1p are also found at the old cell end during interphase and associated with the actin ring during mitosis. Pom1p localization to the cell ends is independent of actin but requires microtubules </w:instrText>
      </w:r>
      <w:r>
        <w:rPr>
          <w:rFonts w:ascii="Arial" w:eastAsia="Times New Roman" w:hAnsi="Arial" w:cs="Arial"/>
          <w:color w:val="000000"/>
          <w:lang w:val="en-US" w:eastAsia="de-DE"/>
        </w:rPr>
        <w:instrText>and Tea1p. pom1 mutations are synthetically lethal with several other mutations that affect cytokinesis and/or the actin or microtubule cytoskeleton. Thus, Pom1p may position the growth and cytokinesis machineries by interaction with both the actin and mic</w:instrText>
      </w:r>
      <w:r>
        <w:rPr>
          <w:rFonts w:ascii="Arial" w:eastAsia="Times New Roman" w:hAnsi="Arial" w:cs="Arial"/>
          <w:color w:val="000000"/>
          <w:lang w:val="en-US" w:eastAsia="de-DE"/>
        </w:rPr>
        <w:instrText>rotubule cytoskeletons.","author":[{"dropping-particle":"","family":"Bähler","given":"Jürg","non-dropping-particle":"","parse-names":false,"suffix":""},{"dropping-particle":"","family":"Pringle","given":"John R.","non-dropping-particle":"","parse-names":fa</w:instrText>
      </w:r>
      <w:r>
        <w:rPr>
          <w:rFonts w:ascii="Arial" w:eastAsia="Times New Roman" w:hAnsi="Arial" w:cs="Arial"/>
          <w:color w:val="000000"/>
          <w:lang w:val="en-US" w:eastAsia="de-DE"/>
        </w:rPr>
        <w:instrText>lse,"suffix":""}],"container-title":"Genes &amp; development","id":"ITEM-1","issue":"9","issued":{"date-parts":[["1998","5","1"]]},"page":"1356-1370","publisher":"Genes Dev","title":"Pom1p, a fission yeast protein kinase that provides positional information fo</w:instrText>
      </w:r>
      <w:r>
        <w:rPr>
          <w:rFonts w:ascii="Arial" w:eastAsia="Times New Roman" w:hAnsi="Arial" w:cs="Arial"/>
          <w:color w:val="000000"/>
          <w:lang w:val="en-US" w:eastAsia="de-DE"/>
        </w:rPr>
        <w:instrText>r both polarized growth and cytokinesis","type":"article-journal","volume":"12"},"uris":["http://www.mendeley.com/documents/?uuid=8b2db929-51d9-350b-b4ae-2cae02a54c31"]},{"id":"ITEM-2","itemData":{"DOI":"10.1038/nature08054","ISSN":"1476-4687","PMID":"1947</w:instrText>
      </w:r>
      <w:r>
        <w:rPr>
          <w:rFonts w:ascii="Arial" w:eastAsia="Times New Roman" w:hAnsi="Arial" w:cs="Arial"/>
          <w:color w:val="000000"/>
          <w:lang w:val="en-US" w:eastAsia="de-DE"/>
        </w:rPr>
        <w:instrText>4792","abstract":"Cells normally grow to a certain size before they enter mitosis and divide. Entry into mitosis depends on the activity of Cdk1, which is inhibited by the Wee1 kinase and activated by the Cdc25 phosphatase. However, how cells sense their s</w:instrText>
      </w:r>
      <w:r>
        <w:rPr>
          <w:rFonts w:ascii="Arial" w:eastAsia="Times New Roman" w:hAnsi="Arial" w:cs="Arial"/>
          <w:color w:val="000000"/>
          <w:lang w:val="en-US" w:eastAsia="de-DE"/>
        </w:rPr>
        <w:instrText>ize for mitotic commitment remains unknown. Here we show that an intracellular gradient of the dual-specificity tyrosine-phosphorylation regulated kinase (DYRK) Pom1, which emanates from the ends of rod-shaped Schizosaccharomyces pombe cells, serves to mea</w:instrText>
      </w:r>
      <w:r>
        <w:rPr>
          <w:rFonts w:ascii="Arial" w:eastAsia="Times New Roman" w:hAnsi="Arial" w:cs="Arial"/>
          <w:color w:val="000000"/>
          <w:lang w:val="en-US" w:eastAsia="de-DE"/>
        </w:rPr>
        <w:instrText>sure cell length and control mitotic entry. Pom1 provides positional information both for polarized growth and to inhibit cell division at cell ends. We discovered that Pom1 is also a dose-dependent G2-M inhibitor. Genetic analyses indicate that Pom1 negat</w:instrText>
      </w:r>
      <w:r>
        <w:rPr>
          <w:rFonts w:ascii="Arial" w:eastAsia="Times New Roman" w:hAnsi="Arial" w:cs="Arial"/>
          <w:color w:val="000000"/>
          <w:lang w:val="en-US" w:eastAsia="de-DE"/>
        </w:rPr>
        <w:instrText>ively regulates Cdr1 and Cdr2, two previously described Wee1 inhibitors of the SAD kinase family. This inhibition may be direct, because in vivo and in vitro evidence suggest that Pom1 phosphorylates Cdr2. Whereas Cdr1 and Cdr2 localize to a medial cortica</w:instrText>
      </w:r>
      <w:r>
        <w:rPr>
          <w:rFonts w:ascii="Arial" w:eastAsia="Times New Roman" w:hAnsi="Arial" w:cs="Arial"/>
          <w:color w:val="000000"/>
          <w:lang w:val="en-US" w:eastAsia="de-DE"/>
        </w:rPr>
        <w:instrText>l region, Pom1 forms concentration gradients from cell tips that overlap with Cdr1 and Cdr2 in short cells, but not in long cells. Disturbing these Pom1 gradients leads to Cdr2 phosphorylation and imposes a G2 delay. In short cells, Pom1 prevents precociou</w:instrText>
      </w:r>
      <w:r>
        <w:rPr>
          <w:rFonts w:ascii="Arial" w:eastAsia="Times New Roman" w:hAnsi="Arial" w:cs="Arial"/>
          <w:color w:val="000000"/>
          <w:lang w:val="en-US" w:eastAsia="de-DE"/>
        </w:rPr>
        <w:instrText>s M-phase entry, suggesting that the higher medial Pom1 levels inhibit Cdr2 and promote a G2 delay. Thus, gradients of Pom1 from cell ends provide a measure of cell length to regulate M-phase entry.","author":[{"dropping-particle":"","family":"Martin","giv</w:instrText>
      </w:r>
      <w:r>
        <w:rPr>
          <w:rFonts w:ascii="Arial" w:eastAsia="Times New Roman" w:hAnsi="Arial" w:cs="Arial"/>
          <w:color w:val="000000"/>
          <w:lang w:val="en-US" w:eastAsia="de-DE"/>
        </w:rPr>
        <w:instrText>en":"Sophie G","non-dropping-particle":"","parse-names":false,"suffix":""},{"dropping-particle":"","family":"Berthelot-Grosjean","given":"Martine","non-dropping-particle":"","parse-names":false,"suffix":""}],"container-title":"Nature","id":"ITEM-2","issue"</w:instrText>
      </w:r>
      <w:r>
        <w:rPr>
          <w:rFonts w:ascii="Arial" w:eastAsia="Times New Roman" w:hAnsi="Arial" w:cs="Arial"/>
          <w:color w:val="000000"/>
          <w:lang w:val="en-US" w:eastAsia="de-DE"/>
        </w:rPr>
        <w:instrText>:"7248","issued":{"date-parts":[["2009","6","11"]]},"page":"852-6","publisher":"Macmillan Publishers Limited. All rights reserved","title":"Polar gradients of the DYRK-family kinase Pom1 couple cell length with the cell cycle.","title-short":"Nature","type</w:instrText>
      </w:r>
      <w:r>
        <w:rPr>
          <w:rFonts w:ascii="Arial" w:eastAsia="Times New Roman" w:hAnsi="Arial" w:cs="Arial"/>
          <w:color w:val="000000"/>
          <w:lang w:val="en-US" w:eastAsia="de-DE"/>
        </w:rPr>
        <w:instrText>":"article-journal","volume":"459"},"uris":["http://www.mendeley.com/documents/?uuid=9b0f7eaa-c8e6-469c-ad77-1ac636e7d5c0"]},{"id":"ITEM-3","itemData":{"DOI":"10.1038/nature08074","ISBN":"0028-0836","ISSN":"0028-0836","PMID":"19474789","abstract":"Many euk</w:instrText>
      </w:r>
      <w:r>
        <w:rPr>
          <w:rFonts w:ascii="Arial" w:eastAsia="Times New Roman" w:hAnsi="Arial" w:cs="Arial"/>
          <w:color w:val="000000"/>
          <w:lang w:val="en-US" w:eastAsia="de-DE"/>
        </w:rPr>
        <w:instrText>aryotic cell types undergo size-dependent cell cycle transitions controlled by the ubiquitous cyclin-dependent kinase Cdk1 (refs 1-4). The proteins that control Cdk1 activity are well described but their links with mechanisms monitoring cell size remain el</w:instrText>
      </w:r>
      <w:r>
        <w:rPr>
          <w:rFonts w:ascii="Arial" w:eastAsia="Times New Roman" w:hAnsi="Arial" w:cs="Arial"/>
          <w:color w:val="000000"/>
          <w:lang w:val="en-US" w:eastAsia="de-DE"/>
        </w:rPr>
        <w:instrText>usive. In the fission yeast Schizosaccharomyces pombe, cells enter mitosis and divide at a defined and reproducible size owing to the regulated activity of Cdk1 (refs 2, 3). Here we show that the cell polarity protein kinase Pom1, which localizes to cell e</w:instrText>
      </w:r>
      <w:r>
        <w:rPr>
          <w:rFonts w:ascii="Arial" w:eastAsia="Times New Roman" w:hAnsi="Arial" w:cs="Arial"/>
          <w:color w:val="000000"/>
          <w:lang w:val="en-US" w:eastAsia="de-DE"/>
        </w:rPr>
        <w:instrText>nds, regulates a signalling network that contributes to the control of mitotic entry. This network is located at cortical nodes in the middle of interphase cells, and these nodes contain the Cdk1 inhibitor Wee1, the Wee1-inhibitory kinases Cdr1 (also known</w:instrText>
      </w:r>
      <w:r>
        <w:rPr>
          <w:rFonts w:ascii="Arial" w:eastAsia="Times New Roman" w:hAnsi="Arial" w:cs="Arial"/>
          <w:color w:val="000000"/>
          <w:lang w:val="en-US" w:eastAsia="de-DE"/>
        </w:rPr>
        <w:instrText xml:space="preserve"> as Nim1) and Cdr2, and the anillin-like protein Mid1. Cdr2 establishes the hierarchical localization of other proteins in the nodes, and receives negative regulatory signals from Pom1. Pom1 forms a polar gradient extending from the cell ends towards the c</w:instrText>
      </w:r>
      <w:r>
        <w:rPr>
          <w:rFonts w:ascii="Arial" w:eastAsia="Times New Roman" w:hAnsi="Arial" w:cs="Arial"/>
          <w:color w:val="000000"/>
          <w:lang w:val="en-US" w:eastAsia="de-DE"/>
        </w:rPr>
        <w:instrText>ell middle and acts as a dose-dependent inhibitor of mitotic entry, working through the Cdr2 pathway. As cells elongate, Pom1 levels decrease at the cell middle, leading to mitotic entry. We propose that the Pom1 polar gradient and the medial cortical node</w:instrText>
      </w:r>
      <w:r>
        <w:rPr>
          <w:rFonts w:ascii="Arial" w:eastAsia="Times New Roman" w:hAnsi="Arial" w:cs="Arial"/>
          <w:color w:val="000000"/>
          <w:lang w:val="en-US" w:eastAsia="de-DE"/>
        </w:rPr>
        <w:instrText>s generate information about cell size and coordinate this with mitotic entry by regulating Cdk1 through Pom1, Cdr2, Cdr1 and Wee1.","author":[{"dropping-particle":"","family":"Moseley","given":"James B","non-dropping-particle":"","parse-names":false,"suff</w:instrText>
      </w:r>
      <w:r>
        <w:rPr>
          <w:rFonts w:ascii="Arial" w:eastAsia="Times New Roman" w:hAnsi="Arial" w:cs="Arial"/>
          <w:color w:val="000000"/>
          <w:lang w:val="en-US" w:eastAsia="de-DE"/>
        </w:rPr>
        <w:instrText>ix":""},{"dropping-particle":"","family":"Mayeux","given":"Adeline","non-dropping-particle":"","parse-names":false,"suffix":""},{"dropping-particle":"","family":"Paoletti","given":"Anne","non-dropping-particle":"","parse-names":false,"suffix":""},{"droppin</w:instrText>
      </w:r>
      <w:r>
        <w:rPr>
          <w:rFonts w:ascii="Arial" w:eastAsia="Times New Roman" w:hAnsi="Arial" w:cs="Arial"/>
          <w:color w:val="000000"/>
          <w:lang w:val="en-US" w:eastAsia="de-DE"/>
        </w:rPr>
        <w:instrText xml:space="preserve">g-particle":"","family":"Nurse","given":"Paul","non-dropping-particle":"","parse-names":false,"suffix":""}],"container-title":"Nature","id":"ITEM-3","issue":"7248","issued":{"date-parts":[["2009"]]},"page":"857-860","title":"A spatial gradient coordinates </w:instrText>
      </w:r>
      <w:r>
        <w:rPr>
          <w:rFonts w:ascii="Arial" w:eastAsia="Times New Roman" w:hAnsi="Arial" w:cs="Arial"/>
          <w:color w:val="000000"/>
          <w:lang w:val="en-US" w:eastAsia="de-DE"/>
        </w:rPr>
        <w:instrText>cell size and mitotic entry in fission yeast.","type":"article-journal","volume":"459"},"uris":["http://www.mendeley.com/documents/?uuid=8e416946-0f90-4af3-a033-0b83a1988083"]}],"mendeley":{"formattedCitation":"&lt;sup&gt;284,286,296&lt;/sup&gt;","plainTextFormattedCi</w:instrText>
      </w:r>
      <w:r>
        <w:rPr>
          <w:rFonts w:ascii="Arial" w:eastAsia="Times New Roman" w:hAnsi="Arial" w:cs="Arial"/>
          <w:color w:val="000000"/>
          <w:lang w:val="en-US" w:eastAsia="de-DE"/>
        </w:rPr>
        <w:instrText>tation":"284,286,296","previouslyFormattedCitation":"&lt;sup&gt;284,286,296&lt;/sup&gt;"},"properties":{"noteIndex":0},"schema":"https://github.com/citation-style-language/schema/raw/master/csl-citation.json"}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284,286,296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(Fig. 6d)</w:t>
      </w:r>
      <w:r>
        <w:rPr>
          <w:rFonts w:ascii="Arial" w:eastAsia="Times New Roman" w:hAnsi="Arial" w:cs="Arial"/>
          <w:i/>
          <w:iCs/>
          <w:color w:val="000000"/>
          <w:lang w:val="en-US" w:eastAsia="de-DE"/>
        </w:rPr>
        <w:t>.</w:t>
      </w:r>
      <w:r>
        <w:rPr>
          <w:rFonts w:ascii="Arial" w:eastAsia="Times New Roman" w:hAnsi="Arial" w:cs="Arial"/>
          <w:color w:val="000000"/>
          <w:lang w:val="en-US" w:eastAsia="de-DE"/>
        </w:rPr>
        <w:t xml:space="preserve"> This spatial gradient consists of</w:t>
      </w:r>
      <w:r>
        <w:rPr>
          <w:rFonts w:ascii="Arial" w:eastAsia="Times New Roman" w:hAnsi="Arial" w:cs="Arial"/>
          <w:color w:val="000000"/>
          <w:lang w:val="en-US" w:eastAsia="de-DE"/>
        </w:rPr>
        <w:t xml:space="preserve"> stable clusters of Pom1</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{"citationItems":[{"id":"ITEM-1","itemData":{"DOI":"10.7554/ELIFE.46003","ISSN":"2050084X","PMID":"31050341","abstract":"Control of cell size requires molecular size sensors that are coupled to the cell cycle. Rod</w:instrText>
      </w:r>
      <w:r>
        <w:rPr>
          <w:rFonts w:ascii="Arial" w:eastAsia="Times New Roman" w:hAnsi="Arial" w:cs="Arial"/>
          <w:color w:val="000000"/>
          <w:lang w:val="en-US" w:eastAsia="de-DE"/>
        </w:rPr>
        <w:instrText>-shaped fission yeast cells divide at a threshold size partly due to Cdr2 kinase, which forms nodes at the medial cell cortex where it inhibits the Cdk1-inhibitor Wee1. Pom1 kinase phosphorylates and inhibits Cdr2, and forms cortical concentration gradient</w:instrText>
      </w:r>
      <w:r>
        <w:rPr>
          <w:rFonts w:ascii="Arial" w:eastAsia="Times New Roman" w:hAnsi="Arial" w:cs="Arial"/>
          <w:color w:val="000000"/>
          <w:lang w:val="en-US" w:eastAsia="de-DE"/>
        </w:rPr>
        <w:instrText>s from cell poles. Pom1 inhibits Cdr2 signaling to Wee1 specifically in small cells, but the time and place of their regulatory interactions were unclear. We show that Pom1 forms stable oligomeric clusters that dynamically sample the cell cortex. Binding f</w:instrText>
      </w:r>
      <w:r>
        <w:rPr>
          <w:rFonts w:ascii="Arial" w:eastAsia="Times New Roman" w:hAnsi="Arial" w:cs="Arial"/>
          <w:color w:val="000000"/>
          <w:lang w:val="en-US" w:eastAsia="de-DE"/>
        </w:rPr>
        <w:instrText>requency is patterned into a concentration gradient by the polarity landmarks Tea1 and Tea4. Pom1 clusters colocalize with Cdr2 nodes, forming a glucose-modulated inhibitory threshold against node activation. Our work reveals how Pom1-Cdr2-Wee1 operates in</w:instrText>
      </w:r>
      <w:r>
        <w:rPr>
          <w:rFonts w:ascii="Arial" w:eastAsia="Times New Roman" w:hAnsi="Arial" w:cs="Arial"/>
          <w:color w:val="000000"/>
          <w:lang w:val="en-US" w:eastAsia="de-DE"/>
        </w:rPr>
        <w:instrText xml:space="preserve"> multiprotein clusters at the cortex to promote mitotic entry at a cell size that can be modified by nutrient availability.","author":[{"dropping-particle":"","family":"Allard","given":"Corey A.H.","non-dropping-particle":"","parse-names":false,"suffix":""</w:instrText>
      </w:r>
      <w:r>
        <w:rPr>
          <w:rFonts w:ascii="Arial" w:eastAsia="Times New Roman" w:hAnsi="Arial" w:cs="Arial"/>
          <w:color w:val="000000"/>
          <w:lang w:val="en-US" w:eastAsia="de-DE"/>
        </w:rPr>
        <w:instrText>},{"dropping-particle":"","family":"Opalko","given":"Hannah E.","non-dropping-particle":"","parse-names":false,"suffix":""},{"dropping-particle":"","family":"Moseley","given":"James B.","non-dropping-particle":"","parse-names":false,"suffix":""}],"containe</w:instrText>
      </w:r>
      <w:r>
        <w:rPr>
          <w:rFonts w:ascii="Arial" w:eastAsia="Times New Roman" w:hAnsi="Arial" w:cs="Arial"/>
          <w:color w:val="000000"/>
          <w:lang w:val="en-US" w:eastAsia="de-DE"/>
        </w:rPr>
        <w:instrText>r-title":"eLife","id":"ITEM-1","issued":{"date-parts":[["2019","5","1"]]},"publisher":"eLife Sciences Publications Ltd","title":"Stable pom1 clusters form a glucose- modulated concentration gradient that regulates mitotic entry","type":"article-journal","v</w:instrText>
      </w:r>
      <w:r>
        <w:rPr>
          <w:rFonts w:ascii="Arial" w:eastAsia="Times New Roman" w:hAnsi="Arial" w:cs="Arial"/>
          <w:color w:val="000000"/>
          <w:lang w:val="en-US" w:eastAsia="de-DE"/>
        </w:rPr>
        <w:instrText>olume":"8"},"uris":["http://www.mendeley.com/documents/?uuid=9f068bae-2253-3703-b0d3-3a5436126b4c"]}],"mendeley":{"formattedCitation":"&lt;sup&gt;297&lt;/sup&gt;","plainTextFormattedCitation":"297","previouslyFormattedCitation":"&lt;sup&gt;297&lt;/sup&gt;"},"properties":{"noteInd</w:instrText>
      </w:r>
      <w:r>
        <w:rPr>
          <w:rFonts w:ascii="Arial" w:eastAsia="Times New Roman" w:hAnsi="Arial" w:cs="Arial"/>
          <w:color w:val="000000"/>
          <w:lang w:val="en-US" w:eastAsia="de-DE"/>
        </w:rPr>
        <w:instrText>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297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Cdr2, which is inhibited by Pom1, localizes in cortical nodes in the central part of the cell. Among other factors, Pom1 prevents the Cdr2 nodes from o</w:t>
      </w:r>
      <w:r>
        <w:rPr>
          <w:rFonts w:ascii="Arial" w:eastAsia="Times New Roman" w:hAnsi="Arial" w:cs="Arial"/>
          <w:color w:val="000000"/>
          <w:lang w:val="en-US" w:eastAsia="de-DE"/>
        </w:rPr>
        <w:t>ccurring at the cell poles and restricts them to the central band around the nucleus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{"citationItems":[{"id":"ITEM-1","itemData":{"DOI":"10.7554/ELIFE.76249","ISSN":"2050084X","PMID":"36093997","abstract":"Cytokinesis nodes are assemblies</w:instrText>
      </w:r>
      <w:r>
        <w:rPr>
          <w:rFonts w:ascii="Arial" w:eastAsia="Times New Roman" w:hAnsi="Arial" w:cs="Arial"/>
          <w:color w:val="000000"/>
          <w:lang w:val="en-US" w:eastAsia="de-DE"/>
        </w:rPr>
        <w:instrText xml:space="preserve"> of stoichiometric ratios of proteins associated with the plasma membrane, which serve as precursors for the contractile ring during cytokinesis by fission yeast. The total number of nodes is uncertain, because of the limitations of the methods used previo</w:instrText>
      </w:r>
      <w:r>
        <w:rPr>
          <w:rFonts w:ascii="Arial" w:eastAsia="Times New Roman" w:hAnsi="Arial" w:cs="Arial"/>
          <w:color w:val="000000"/>
          <w:lang w:val="en-US" w:eastAsia="de-DE"/>
        </w:rPr>
        <w:instrText>usly. Here, we used the ~140 nm resolution of Airyscan super-resolution microscopy to measure the fluorescence intensity of small, single cytokinesis nodes marked with Blt1-mEGFP in live fission yeast cells early in mitosis. The ratio of the total Blt1-mEG</w:instrText>
      </w:r>
      <w:r>
        <w:rPr>
          <w:rFonts w:ascii="Arial" w:eastAsia="Times New Roman" w:hAnsi="Arial" w:cs="Arial"/>
          <w:color w:val="000000"/>
          <w:lang w:val="en-US" w:eastAsia="de-DE"/>
        </w:rPr>
        <w:instrText>FP fluorescence in the broad band of cytokinesis nodes to the average fluorescence of a single node gives about 190 single cytokinesis nodes in wild-type fission yeast cells early in mitosis. Most, but not all of these nodes condense into a contractile rin</w:instrText>
      </w:r>
      <w:r>
        <w:rPr>
          <w:rFonts w:ascii="Arial" w:eastAsia="Times New Roman" w:hAnsi="Arial" w:cs="Arial"/>
          <w:color w:val="000000"/>
          <w:lang w:val="en-US" w:eastAsia="de-DE"/>
        </w:rPr>
        <w:instrText>g. The number of cytokinesis nodes scales with cell size in four strains tested, although large diameter rga4Δ mutant cells form somewhat fewer cytokinesis nodes than expected from the overall trend. The Pom1 kinase restricts cytokinesis nodes from the end</w:instrText>
      </w:r>
      <w:r>
        <w:rPr>
          <w:rFonts w:ascii="Arial" w:eastAsia="Times New Roman" w:hAnsi="Arial" w:cs="Arial"/>
          <w:color w:val="000000"/>
          <w:lang w:val="en-US" w:eastAsia="de-DE"/>
        </w:rPr>
        <w:instrText>s of cells, but the surface density of Pom1 on the plasma membrane around the equators of cells is similar with a wide range of node numbers, so Pom1 does not control cytokinesis node number. However, when the concentrations of either kinase Pom1 or kinase</w:instrText>
      </w:r>
      <w:r>
        <w:rPr>
          <w:rFonts w:ascii="Arial" w:eastAsia="Times New Roman" w:hAnsi="Arial" w:cs="Arial"/>
          <w:color w:val="000000"/>
          <w:lang w:val="en-US" w:eastAsia="de-DE"/>
        </w:rPr>
        <w:instrText xml:space="preserve"> Cdr2 were varied with the nmt1 promoter, the numbers of cytokinesis nodes increased above a baseline of about ~190 with the total cellular concentration of either kinase.","author":[{"dropping-particle":"","family":"Sayyad","given":"Wasim A.","non-droppin</w:instrText>
      </w:r>
      <w:r>
        <w:rPr>
          <w:rFonts w:ascii="Arial" w:eastAsia="Times New Roman" w:hAnsi="Arial" w:cs="Arial"/>
          <w:color w:val="000000"/>
          <w:lang w:val="en-US" w:eastAsia="de-DE"/>
        </w:rPr>
        <w:instrText>g-particle":"","parse-names":false,"suffix":""},{"dropping-particle":"","family":"Pollard","given":"Thomas D.","non-dropping-particle":"","parse-names":false,"suffix":""}],"container-title":"eLife","id":"ITEM-1","issued":{"date-parts":[["2022","9","1"]]},"</w:instrText>
      </w:r>
      <w:r>
        <w:rPr>
          <w:rFonts w:ascii="Arial" w:eastAsia="Times New Roman" w:hAnsi="Arial" w:cs="Arial"/>
          <w:color w:val="000000"/>
          <w:lang w:val="en-US" w:eastAsia="de-DE"/>
        </w:rPr>
        <w:instrText>publisher":"eLife Sciences Publications Ltd","title":"The number of cytokinesis nodes in mitotic fission yeast scales with cell size","type":"article-journal","volume":"11"},"uris":["http://www.mendeley.com/documents/?uuid=84682b3c-e0d8-34f7-a302-d7e57cf09</w:instrText>
      </w:r>
      <w:r>
        <w:rPr>
          <w:rFonts w:ascii="Arial" w:eastAsia="Times New Roman" w:hAnsi="Arial" w:cs="Arial"/>
          <w:color w:val="000000"/>
          <w:lang w:val="en-US" w:eastAsia="de-DE"/>
        </w:rPr>
        <w:instrText>da0"]},{"id":"ITEM-2","itemData":{"DOI":"10.1091/MBC.E23-04-0135/ASSET/IMAGES/LARGE/MBC-34-BR18-G004.JPEG","ISSN":"19394586","PMID":"37610834","abstract":"Pattern-forming networks have diverse roles in cell biology. Rod-shaped fission yeast cells use patte</w:instrText>
      </w:r>
      <w:r>
        <w:rPr>
          <w:rFonts w:ascii="Arial" w:eastAsia="Times New Roman" w:hAnsi="Arial" w:cs="Arial"/>
          <w:color w:val="000000"/>
          <w:lang w:val="en-US" w:eastAsia="de-DE"/>
        </w:rPr>
        <w:instrText>rn formation to control the localization of mitotic signaling proteins and the cytokinetic ring. During interphase, the kinase Cdr2 forms membrane-bound multiprotein complexes termed nodes, which are positioned in the cell middle due in part to the node in</w:instrText>
      </w:r>
      <w:r>
        <w:rPr>
          <w:rFonts w:ascii="Arial" w:eastAsia="Times New Roman" w:hAnsi="Arial" w:cs="Arial"/>
          <w:color w:val="000000"/>
          <w:lang w:val="en-US" w:eastAsia="de-DE"/>
        </w:rPr>
        <w:instrText>hibitor Pom1 enriched at cell tips. Node positioning is important for timely cell cycle progression and positioning of the cytokinetic ring. Here, we combined experimental and modeling approaches to investigate pattern formation by the Pom1-Cdr2 system. We</w:instrText>
      </w:r>
      <w:r>
        <w:rPr>
          <w:rFonts w:ascii="Arial" w:eastAsia="Times New Roman" w:hAnsi="Arial" w:cs="Arial"/>
          <w:color w:val="000000"/>
          <w:lang w:val="en-US" w:eastAsia="de-DE"/>
        </w:rPr>
        <w:instrText xml:space="preserve"> found that Cdr2 nodes accumulate near the nucleus, and Cdr2 undergoes nucleocytoplasmic shuttling when cortical anchoring is reduced. We generated particle-based simulations based on tip inhibition, nuclear positioning, and cortical anchoring. We tested m</w:instrText>
      </w:r>
      <w:r>
        <w:rPr>
          <w:rFonts w:ascii="Arial" w:eastAsia="Times New Roman" w:hAnsi="Arial" w:cs="Arial"/>
          <w:color w:val="000000"/>
          <w:lang w:val="en-US" w:eastAsia="de-DE"/>
        </w:rPr>
        <w:instrText>odel predictions by investigating Pom1-Cdr2 localization patterns after perturbing each positioning mechanism, including in both anucleate and multinucleated cells. Experiments show that tip inhibition and cortical anchoring alone are sufficient for the as</w:instrText>
      </w:r>
      <w:r>
        <w:rPr>
          <w:rFonts w:ascii="Arial" w:eastAsia="Times New Roman" w:hAnsi="Arial" w:cs="Arial"/>
          <w:color w:val="000000"/>
          <w:lang w:val="en-US" w:eastAsia="de-DE"/>
        </w:rPr>
        <w:instrText xml:space="preserve">sembly and positioning of nodes in the absence of the nucleus, but that the nucleus and Pom1 facilitate the formation of unexpected node patterns in multinucleated cells. These findings have implications for spatial control of cytokinesis by nodes and for </w:instrText>
      </w:r>
      <w:r>
        <w:rPr>
          <w:rFonts w:ascii="Arial" w:eastAsia="Times New Roman" w:hAnsi="Arial" w:cs="Arial"/>
          <w:color w:val="000000"/>
          <w:lang w:val="en-US" w:eastAsia="de-DE"/>
        </w:rPr>
        <w:instrText>spatial patterning in other biological systems.","author":[{"dropping-particle":"","family":"Opalko","given":"Hannah","non-dropping-particle":"","parse-names":false,"suffix":""},{"dropping-particle":"","family":"Geng","given":"Shuhan","non-dropping-particl</w:instrText>
      </w:r>
      <w:r>
        <w:rPr>
          <w:rFonts w:ascii="Arial" w:eastAsia="Times New Roman" w:hAnsi="Arial" w:cs="Arial"/>
          <w:color w:val="000000"/>
          <w:lang w:val="en-US" w:eastAsia="de-DE"/>
        </w:rPr>
        <w:instrText>e":"","parse-names":false,"suffix":""},{"dropping-particle":"","family":"Hall","given":"Aaron R.","non-dropping-particle":"","parse-names":false,"suffix":""},{"dropping-particle":"","family":"Vavylonis","given":"Dimitrios","non-dropping-particle":"","parse</w:instrText>
      </w:r>
      <w:r>
        <w:rPr>
          <w:rFonts w:ascii="Arial" w:eastAsia="Times New Roman" w:hAnsi="Arial" w:cs="Arial"/>
          <w:color w:val="000000"/>
          <w:lang w:val="en-US" w:eastAsia="de-DE"/>
        </w:rPr>
        <w:instrText>-names":false,"suffix":""},{"dropping-particle":"","family":"Moseley","given":"James B.","non-dropping-particle":"","parse-names":false,"suffix":""}],"container-title":"Molecular biology of the cell","id":"ITEM-2","issue":"11","issued":{"date-parts":[["202</w:instrText>
      </w:r>
      <w:r>
        <w:rPr>
          <w:rFonts w:ascii="Arial" w:eastAsia="Times New Roman" w:hAnsi="Arial" w:cs="Arial"/>
          <w:color w:val="000000"/>
          <w:lang w:val="en-US" w:eastAsia="de-DE"/>
        </w:rPr>
        <w:instrText>3","10","1"]]},"page":"br18","publisher":"NLM (Medline)","title":"Design principles of Cdr2 node patterns in fission yeast cells","type":"article-journal","volume":"34"},"uris":["http://www.mendeley.com/documents/?uuid=913e2d70-6ab9-3968-a6eb-1fa3f548e514"</w:instrText>
      </w:r>
      <w:r>
        <w:rPr>
          <w:rFonts w:ascii="Arial" w:eastAsia="Times New Roman" w:hAnsi="Arial" w:cs="Arial"/>
          <w:color w:val="000000"/>
          <w:lang w:val="en-US" w:eastAsia="de-DE"/>
        </w:rPr>
        <w:instrText>]}],"mendeley":{"formattedCitation":"&lt;sup&gt;298,299&lt;/sup&gt;","plainTextFormattedCitation":"298,299","previouslyFormattedCitation":"&lt;sup&gt;298,299&lt;/sup&gt;"},"properties":{"noteIndex":0},"schema":"https://github.com/citation-style-language/schema/raw/master/csl-cita</w:instrText>
      </w:r>
      <w:r>
        <w:rPr>
          <w:rFonts w:ascii="Arial" w:eastAsia="Times New Roman" w:hAnsi="Arial" w:cs="Arial"/>
          <w:color w:val="000000"/>
          <w:lang w:val="en-US" w:eastAsia="de-DE"/>
        </w:rPr>
        <w:instrText>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298,299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Since the concentration of Pom1 in the center of the cell does not seem to be a major determinant of cell cycle progression in averaged sized cells, this suggests that Pom1 localization inhibits mitotic entry in very short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w:instrText>
      </w:r>
      <w:r>
        <w:rPr>
          <w:rFonts w:ascii="Arial" w:eastAsia="Times New Roman" w:hAnsi="Arial" w:cs="Arial"/>
          <w:color w:val="000000"/>
          <w:lang w:val="en-US" w:eastAsia="de-DE"/>
        </w:rPr>
        <w:instrText xml:space="preserve"> CSL_CITATION {"citationItems":[{"id":"ITEM-1","itemData":{"DOI":"10.1038/nature08074","ISBN":"0028-0836","ISSN":"0028-0836","PMID":"19474789","abstract":"Many eukaryotic cell types undergo size-dependent cell cycle transitions controlled by the ubiquitous</w:instrText>
      </w:r>
      <w:r>
        <w:rPr>
          <w:rFonts w:ascii="Arial" w:eastAsia="Times New Roman" w:hAnsi="Arial" w:cs="Arial"/>
          <w:color w:val="000000"/>
          <w:lang w:val="en-US" w:eastAsia="de-DE"/>
        </w:rPr>
        <w:instrText xml:space="preserve"> cyclin-dependent kinase Cdk1 (refs 1-4). The proteins that control Cdk1 activity are well described but their links with mechanisms monitoring cell size remain elusive. In the fission yeast Schizosaccharomyces pombe, cells enter mitosis and divide at a de</w:instrText>
      </w:r>
      <w:r>
        <w:rPr>
          <w:rFonts w:ascii="Arial" w:eastAsia="Times New Roman" w:hAnsi="Arial" w:cs="Arial"/>
          <w:color w:val="000000"/>
          <w:lang w:val="en-US" w:eastAsia="de-DE"/>
        </w:rPr>
        <w:instrText>fined and reproducible size owing to the regulated activity of Cdk1 (refs 2, 3). Here we show that the cell polarity protein kinase Pom1, which localizes to cell ends, regulates a signalling network that contributes to the control of mitotic entry. This ne</w:instrText>
      </w:r>
      <w:r>
        <w:rPr>
          <w:rFonts w:ascii="Arial" w:eastAsia="Times New Roman" w:hAnsi="Arial" w:cs="Arial"/>
          <w:color w:val="000000"/>
          <w:lang w:val="en-US" w:eastAsia="de-DE"/>
        </w:rPr>
        <w:instrText>twork is located at cortical nodes in the middle of interphase cells, and these nodes contain the Cdk1 inhibitor Wee1, the Wee1-inhibitory kinases Cdr1 (also known as Nim1) and Cdr2, and the anillin-like protein Mid1. Cdr2 establishes the hierarchical loca</w:instrText>
      </w:r>
      <w:r>
        <w:rPr>
          <w:rFonts w:ascii="Arial" w:eastAsia="Times New Roman" w:hAnsi="Arial" w:cs="Arial"/>
          <w:color w:val="000000"/>
          <w:lang w:val="en-US" w:eastAsia="de-DE"/>
        </w:rPr>
        <w:instrText xml:space="preserve">lization of other proteins in the nodes, and receives negative regulatory signals from Pom1. Pom1 forms a polar gradient extending from the cell ends towards the cell middle and acts as a dose-dependent inhibitor of mitotic entry, working through the Cdr2 </w:instrText>
      </w:r>
      <w:r>
        <w:rPr>
          <w:rFonts w:ascii="Arial" w:eastAsia="Times New Roman" w:hAnsi="Arial" w:cs="Arial"/>
          <w:color w:val="000000"/>
          <w:lang w:val="en-US" w:eastAsia="de-DE"/>
        </w:rPr>
        <w:instrText>pathway. As cells elongate, Pom1 levels decrease at the cell middle, leading to mitotic entry. We propose that the Pom1 polar gradient and the medial cortical nodes generate information about cell size and coordinate this with mitotic entry by regulating C</w:instrText>
      </w:r>
      <w:r>
        <w:rPr>
          <w:rFonts w:ascii="Arial" w:eastAsia="Times New Roman" w:hAnsi="Arial" w:cs="Arial"/>
          <w:color w:val="000000"/>
          <w:lang w:val="en-US" w:eastAsia="de-DE"/>
        </w:rPr>
        <w:instrText>dk1 through Pom1, Cdr2, Cdr1 and Wee1.","author":[{"dropping-particle":"","family":"Moseley","given":"James B","non-dropping-particle":"","parse-names":false,"suffix":""},{"dropping-particle":"","family":"Mayeux","given":"Adeline","non-dropping-particle":"</w:instrText>
      </w:r>
      <w:r>
        <w:rPr>
          <w:rFonts w:ascii="Arial" w:eastAsia="Times New Roman" w:hAnsi="Arial" w:cs="Arial"/>
          <w:color w:val="000000"/>
          <w:lang w:val="en-US" w:eastAsia="de-DE"/>
        </w:rPr>
        <w:instrText>","parse-names":false,"suffix":""},{"dropping-particle":"","family":"Paoletti","given":"Anne","non-dropping-particle":"","parse-names":false,"suffix":""},{"dropping-particle":"","family":"Nurse","given":"Paul","non-dropping-particle":"","parse-names":false</w:instrText>
      </w:r>
      <w:r>
        <w:rPr>
          <w:rFonts w:ascii="Arial" w:eastAsia="Times New Roman" w:hAnsi="Arial" w:cs="Arial"/>
          <w:color w:val="000000"/>
          <w:lang w:val="en-US" w:eastAsia="de-DE"/>
        </w:rPr>
        <w:instrText>,"suffix":""}],"container-title":"Nature","id":"ITEM-1","issue":"7248","issued":{"date-parts":[["2009"]]},"page":"857-860","title":"A spatial gradient coordinates cell size and mitotic entry in fission yeast.","type":"article-journal","volume":"459"},"uris</w:instrText>
      </w:r>
      <w:r>
        <w:rPr>
          <w:rFonts w:ascii="Arial" w:eastAsia="Times New Roman" w:hAnsi="Arial" w:cs="Arial"/>
          <w:color w:val="000000"/>
          <w:lang w:val="en-US" w:eastAsia="de-DE"/>
        </w:rPr>
        <w:instrText xml:space="preserve">":["http://www.mendeley.com/documents/?uuid=8e416946-0f90-4af3-a033-0b83a1988083"]},{"id":"ITEM-2","itemData":{"DOI":"10.1038/nature08054","ISSN":"1476-4687","PMID":"19474792","abstract":"Cells normally grow to a certain size before they enter mitosis and </w:instrText>
      </w:r>
      <w:r>
        <w:rPr>
          <w:rFonts w:ascii="Arial" w:eastAsia="Times New Roman" w:hAnsi="Arial" w:cs="Arial"/>
          <w:color w:val="000000"/>
          <w:lang w:val="en-US" w:eastAsia="de-DE"/>
        </w:rPr>
        <w:instrText>divide. Entry into mitosis depends on the activity of Cdk1, which is inhibited by the Wee1 kinase and activated by the Cdc25 phosphatase. However, how cells sense their size for mitotic commitment remains unknown. Here we show that an intracellular gradien</w:instrText>
      </w:r>
      <w:r>
        <w:rPr>
          <w:rFonts w:ascii="Arial" w:eastAsia="Times New Roman" w:hAnsi="Arial" w:cs="Arial"/>
          <w:color w:val="000000"/>
          <w:lang w:val="en-US" w:eastAsia="de-DE"/>
        </w:rPr>
        <w:instrText xml:space="preserve">t of the dual-specificity tyrosine-phosphorylation regulated kinase (DYRK) Pom1, which emanates from the ends of rod-shaped Schizosaccharomyces pombe cells, serves to measure cell length and control mitotic entry. Pom1 provides positional information both </w:instrText>
      </w:r>
      <w:r>
        <w:rPr>
          <w:rFonts w:ascii="Arial" w:eastAsia="Times New Roman" w:hAnsi="Arial" w:cs="Arial"/>
          <w:color w:val="000000"/>
          <w:lang w:val="en-US" w:eastAsia="de-DE"/>
        </w:rPr>
        <w:instrText>for polarized growth and to inhibit cell division at cell ends. We discovered that Pom1 is also a dose-dependent G2-M inhibitor. Genetic analyses indicate that Pom1 negatively regulates Cdr1 and Cdr2, two previously described Wee1 inhibitors of the SAD kin</w:instrText>
      </w:r>
      <w:r>
        <w:rPr>
          <w:rFonts w:ascii="Arial" w:eastAsia="Times New Roman" w:hAnsi="Arial" w:cs="Arial"/>
          <w:color w:val="000000"/>
          <w:lang w:val="en-US" w:eastAsia="de-DE"/>
        </w:rPr>
        <w:instrText>ase family. This inhibition may be direct, because in vivo and in vitro evidence suggest that Pom1 phosphorylates Cdr2. Whereas Cdr1 and Cdr2 localize to a medial cortical region, Pom1 forms concentration gradients from cell tips that overlap with Cdr1 and</w:instrText>
      </w:r>
      <w:r>
        <w:rPr>
          <w:rFonts w:ascii="Arial" w:eastAsia="Times New Roman" w:hAnsi="Arial" w:cs="Arial"/>
          <w:color w:val="000000"/>
          <w:lang w:val="en-US" w:eastAsia="de-DE"/>
        </w:rPr>
        <w:instrText xml:space="preserve"> Cdr2 in short cells, but not in long cells. Disturbing these Pom1 gradients leads to Cdr2 phosphorylation and imposes a G2 delay. In short cells, Pom1 prevents precocious M-phase entry, suggesting that the higher medial Pom1 levels inhibit Cdr2 and promot</w:instrText>
      </w:r>
      <w:r>
        <w:rPr>
          <w:rFonts w:ascii="Arial" w:eastAsia="Times New Roman" w:hAnsi="Arial" w:cs="Arial"/>
          <w:color w:val="000000"/>
          <w:lang w:val="en-US" w:eastAsia="de-DE"/>
        </w:rPr>
        <w:instrText>e a G2 delay. Thus, gradients of Pom1 from cell ends provide a measure of cell length to regulate M-phase entry.","author":[{"dropping-particle":"","family":"Martin","given":"Sophie G","non-dropping-particle":"","parse-names":false,"suffix":""},{"dropping-</w:instrText>
      </w:r>
      <w:r>
        <w:rPr>
          <w:rFonts w:ascii="Arial" w:eastAsia="Times New Roman" w:hAnsi="Arial" w:cs="Arial"/>
          <w:color w:val="000000"/>
          <w:lang w:val="en-US" w:eastAsia="de-DE"/>
        </w:rPr>
        <w:instrText>particle":"","family":"Berthelot-Grosjean","given":"Martine","non-dropping-particle":"","parse-names":false,"suffix":""}],"container-title":"Nature","id":"ITEM-2","issue":"7248","issued":{"date-parts":[["2009","6","11"]]},"page":"852-6","publisher":"Macmil</w:instrText>
      </w:r>
      <w:r>
        <w:rPr>
          <w:rFonts w:ascii="Arial" w:eastAsia="Times New Roman" w:hAnsi="Arial" w:cs="Arial"/>
          <w:color w:val="000000"/>
          <w:lang w:val="en-US" w:eastAsia="de-DE"/>
        </w:rPr>
        <w:instrText>lan Publishers Limited. All rights reserved","title":"Polar gradients of the DYRK-family kinase Pom1 couple cell length with the cell cycle.","title-short":"Nature","type":"article-journal","volume":"459"},"uris":["http://www.mendeley.com/documents/?uuid=9</w:instrText>
      </w:r>
      <w:r>
        <w:rPr>
          <w:rFonts w:ascii="Arial" w:eastAsia="Times New Roman" w:hAnsi="Arial" w:cs="Arial"/>
          <w:color w:val="000000"/>
          <w:lang w:val="en-US" w:eastAsia="de-DE"/>
        </w:rPr>
        <w:instrText>b0f7eaa-c8e6-469c-ad77-1ac636e7d5c0"]},{"id":"ITEM-3","itemData":{"DOI":"10.1126/science.1245075","PMID":"25977557","abstract":"Different animal cell types have distinctive and characteristic sizes. How a particular cell size is specified by differentiatio</w:instrText>
      </w:r>
      <w:r>
        <w:rPr>
          <w:rFonts w:ascii="Arial" w:eastAsia="Times New Roman" w:hAnsi="Arial" w:cs="Arial"/>
          <w:color w:val="000000"/>
          <w:lang w:val="en-US" w:eastAsia="de-DE"/>
        </w:rPr>
        <w:instrText>n programs and physiology remains one of the fundamental unknowns in cell biology. In this Review, we explore the evidence that individual cells autonomously sense and specify their own size. We discuss possible mechanisms by which size-sensing and size-sp</w:instrText>
      </w:r>
      <w:r>
        <w:rPr>
          <w:rFonts w:ascii="Arial" w:eastAsia="Times New Roman" w:hAnsi="Arial" w:cs="Arial"/>
          <w:color w:val="000000"/>
          <w:lang w:val="en-US" w:eastAsia="de-DE"/>
        </w:rPr>
        <w:instrText>ecification may take place. Last, we explore the physiological implications of size control: Why is it important that particular cell types maintain a particular size? We develop these questions through examination of the current literature and pose the qu</w:instrText>
      </w:r>
      <w:r>
        <w:rPr>
          <w:rFonts w:ascii="Arial" w:eastAsia="Times New Roman" w:hAnsi="Arial" w:cs="Arial"/>
          <w:color w:val="000000"/>
          <w:lang w:val="en-US" w:eastAsia="de-DE"/>
        </w:rPr>
        <w:instrText>estions that we anticipate will guide this field in the upcoming years.","author":[{"dropping-particle":"","family":"Ginzberg","given":"M. B.","non-dropping-particle":"","parse-names":false,"suffix":""},{"dropping-particle":"","family":"Kafri","given":"R."</w:instrText>
      </w:r>
      <w:r>
        <w:rPr>
          <w:rFonts w:ascii="Arial" w:eastAsia="Times New Roman" w:hAnsi="Arial" w:cs="Arial"/>
          <w:color w:val="000000"/>
          <w:lang w:val="en-US" w:eastAsia="de-DE"/>
        </w:rPr>
        <w:instrText>,"non-dropping-particle":"","parse-names":false,"suffix":""},{"dropping-particle":"","family":"Kirschner","given":"M.","non-dropping-particle":"","parse-names":false,"suffix":""}],"container-title":"Science","id":"ITEM-3","issue":"6236","issued":{"date-par</w:instrText>
      </w:r>
      <w:r>
        <w:rPr>
          <w:rFonts w:ascii="Arial" w:eastAsia="Times New Roman" w:hAnsi="Arial" w:cs="Arial"/>
          <w:color w:val="000000"/>
          <w:lang w:val="en-US" w:eastAsia="de-DE"/>
        </w:rPr>
        <w:instrText>ts":[["2015","5","15"]]},"page":"1245075-1245075","title":"On being the right (cell) size","type":"article-journal","volume":"348"},"uris":["http://www.mendeley.com/documents/?uuid=92564f82-0fe7-3dc4-bb67-6f972f035256"]},{"id":"ITEM-4","itemData":{"DOI":"1</w:instrText>
      </w:r>
      <w:r>
        <w:rPr>
          <w:rFonts w:ascii="Arial" w:eastAsia="Times New Roman" w:hAnsi="Arial" w:cs="Arial"/>
          <w:color w:val="000000"/>
          <w:lang w:val="en-US" w:eastAsia="de-DE"/>
        </w:rPr>
        <w:instrText xml:space="preserve">0.7554/ELIFE.76249","ISSN":"2050084X","PMID":"36093997","abstract":"Cytokinesis nodes are assemblies of stoichiometric ratios of proteins associated with the plasma membrane, which serve as precursors for the contractile ring during cytokinesis by fission </w:instrText>
      </w:r>
      <w:r>
        <w:rPr>
          <w:rFonts w:ascii="Arial" w:eastAsia="Times New Roman" w:hAnsi="Arial" w:cs="Arial"/>
          <w:color w:val="000000"/>
          <w:lang w:val="en-US" w:eastAsia="de-DE"/>
        </w:rPr>
        <w:instrText xml:space="preserve">yeast. The total number of nodes is uncertain, because of the limitations of the methods used previously. Here, we used the ~140 nm resolution of Airyscan super-resolution microscopy to measure the fluorescence intensity of small, single cytokinesis nodes </w:instrText>
      </w:r>
      <w:r>
        <w:rPr>
          <w:rFonts w:ascii="Arial" w:eastAsia="Times New Roman" w:hAnsi="Arial" w:cs="Arial"/>
          <w:color w:val="000000"/>
          <w:lang w:val="en-US" w:eastAsia="de-DE"/>
        </w:rPr>
        <w:instrText>marked with Blt1-mEGFP in live fission yeast cells early in mitosis. The ratio of the total Blt1-mEGFP fluorescence in the broad band of cytokinesis nodes to the average fluorescence of a single node gives about 190 single cytokinesis nodes in wild-type fi</w:instrText>
      </w:r>
      <w:r>
        <w:rPr>
          <w:rFonts w:ascii="Arial" w:eastAsia="Times New Roman" w:hAnsi="Arial" w:cs="Arial"/>
          <w:color w:val="000000"/>
          <w:lang w:val="en-US" w:eastAsia="de-DE"/>
        </w:rPr>
        <w:instrText xml:space="preserve">ssion yeast cells early in mitosis. Most, but not all of these nodes condense into a contractile ring. The number of cytokinesis nodes scales with cell size in four strains tested, although large diameter rga4Δ mutant cells form somewhat fewer cytokinesis </w:instrText>
      </w:r>
      <w:r>
        <w:rPr>
          <w:rFonts w:ascii="Arial" w:eastAsia="Times New Roman" w:hAnsi="Arial" w:cs="Arial"/>
          <w:color w:val="000000"/>
          <w:lang w:val="en-US" w:eastAsia="de-DE"/>
        </w:rPr>
        <w:instrText>nodes than expected from the overall trend. The Pom1 kinase restricts cytokinesis nodes from the ends of cells, but the surface density of Pom1 on the plasma membrane around the equators of cells is similar with a wide range of node numbers, so Pom1 does n</w:instrText>
      </w:r>
      <w:r>
        <w:rPr>
          <w:rFonts w:ascii="Arial" w:eastAsia="Times New Roman" w:hAnsi="Arial" w:cs="Arial"/>
          <w:color w:val="000000"/>
          <w:lang w:val="en-US" w:eastAsia="de-DE"/>
        </w:rPr>
        <w:instrText>ot control cytokinesis node number. However, when the concentrations of either kinase Pom1 or kinase Cdr2 were varied with the nmt1 promoter, the numbers of cytokinesis nodes increased above a baseline of about ~190 with the total cellular concentration of</w:instrText>
      </w:r>
      <w:r>
        <w:rPr>
          <w:rFonts w:ascii="Arial" w:eastAsia="Times New Roman" w:hAnsi="Arial" w:cs="Arial"/>
          <w:color w:val="000000"/>
          <w:lang w:val="en-US" w:eastAsia="de-DE"/>
        </w:rPr>
        <w:instrText xml:space="preserve"> either kinase.","author":[{"dropping-particle":"","family":"Sayyad","given":"Wasim A.","non-dropping-particle":"","parse-names":false,"suffix":""},{"dropping-particle":"","family":"Pollard","given":"Thomas D.","non-dropping-particle":"","parse-names":fals</w:instrText>
      </w:r>
      <w:r>
        <w:rPr>
          <w:rFonts w:ascii="Arial" w:eastAsia="Times New Roman" w:hAnsi="Arial" w:cs="Arial"/>
          <w:color w:val="000000"/>
          <w:lang w:val="en-US" w:eastAsia="de-DE"/>
        </w:rPr>
        <w:instrText>e,"suffix":""}],"container-title":"eLife","id":"ITEM-4","issued":{"date-parts":[["2022","9","1"]]},"publisher":"eLife Sciences Publications Ltd","title":"The number of cytokinesis nodes in mitotic fission yeast scales with cell size","type":"article-journa</w:instrText>
      </w:r>
      <w:r>
        <w:rPr>
          <w:rFonts w:ascii="Arial" w:eastAsia="Times New Roman" w:hAnsi="Arial" w:cs="Arial"/>
          <w:color w:val="000000"/>
          <w:lang w:val="en-US" w:eastAsia="de-DE"/>
        </w:rPr>
        <w:instrText>l","volume":"11"},"uris":["http://www.mendeley.com/documents/?uuid=84682b3c-e0d8-34f7-a302-d7e57cf09da0"]}],"mendeley":{"formattedCitation":"&lt;sup&gt;7,284,286,298&lt;/sup&gt;","plainTextFormattedCitation":"7,284,286,298","previouslyFormattedCitation":"&lt;sup&gt;7,284,28</w:instrText>
      </w:r>
      <w:r>
        <w:rPr>
          <w:rFonts w:ascii="Arial" w:eastAsia="Times New Roman" w:hAnsi="Arial" w:cs="Arial"/>
          <w:color w:val="000000"/>
          <w:lang w:val="en-US" w:eastAsia="de-DE"/>
        </w:rPr>
        <w:instrText>6,298&lt;/sup&gt;"},"properties":{"noteIndex":0},"schema":"https://github.com/citation-style-language/schema/raw/master/csl-citation.json"}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7,284,286,298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t>
      </w:r>
    </w:p>
    <w:p w14:paraId="5165CA47"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 xml:space="preserve">7.1.4 Overall size control emerges from multiple size control </w:t>
      </w:r>
      <w:proofErr w:type="gramStart"/>
      <w:r>
        <w:rPr>
          <w:rFonts w:ascii="Arial" w:eastAsia="Times New Roman" w:hAnsi="Arial" w:cs="Arial"/>
          <w:i/>
          <w:iCs/>
          <w:color w:val="000000"/>
          <w:u w:val="single"/>
          <w:lang w:val="en-US" w:eastAsia="de-DE"/>
        </w:rPr>
        <w:t>modules</w:t>
      </w:r>
      <w:proofErr w:type="gramEnd"/>
    </w:p>
    <w:p w14:paraId="490DDBF6"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It is important to differentiate b</w:t>
      </w:r>
      <w:r>
        <w:rPr>
          <w:rFonts w:ascii="Arial" w:eastAsia="Times New Roman" w:hAnsi="Arial" w:cs="Arial"/>
          <w:color w:val="000000"/>
          <w:lang w:val="en-US" w:eastAsia="de-DE"/>
        </w:rPr>
        <w:t xml:space="preserve">etween size control mechanisms controlling individual cell-cycle transitions and the resulting size control that emerges over the entire cell cycle. For example, in budding yeast, the G1 phase exhibits a weak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xml:space="preserve"> and the S/G2/M phase exhibits a </w:t>
      </w:r>
      <w:r>
        <w:rPr>
          <w:rFonts w:ascii="Arial" w:eastAsia="Times New Roman" w:hAnsi="Arial" w:cs="Arial"/>
          <w:i/>
          <w:iCs/>
          <w:color w:val="000000"/>
          <w:lang w:val="en-US" w:eastAsia="de-DE"/>
        </w:rPr>
        <w:t>timer</w:t>
      </w:r>
      <w:r>
        <w:rPr>
          <w:rFonts w:ascii="Arial" w:eastAsia="Times New Roman" w:hAnsi="Arial" w:cs="Arial"/>
          <w:color w:val="000000"/>
          <w:lang w:val="en-US" w:eastAsia="de-DE"/>
        </w:rPr>
        <w:t>, bu</w:t>
      </w:r>
      <w:r>
        <w:rPr>
          <w:rFonts w:ascii="Arial" w:eastAsia="Times New Roman" w:hAnsi="Arial" w:cs="Arial"/>
          <w:color w:val="000000"/>
          <w:lang w:val="en-US" w:eastAsia="de-DE"/>
        </w:rPr>
        <w:t xml:space="preserve">t an approximate </w:t>
      </w:r>
      <w:r>
        <w:rPr>
          <w:rFonts w:ascii="Arial" w:eastAsia="Times New Roman" w:hAnsi="Arial" w:cs="Arial"/>
          <w:i/>
          <w:iCs/>
          <w:color w:val="000000"/>
          <w:lang w:val="en-US" w:eastAsia="de-DE"/>
        </w:rPr>
        <w:t>adder</w:t>
      </w:r>
      <w:r>
        <w:rPr>
          <w:rFonts w:ascii="Arial" w:eastAsia="Times New Roman" w:hAnsi="Arial" w:cs="Arial"/>
          <w:color w:val="000000"/>
          <w:lang w:val="en-US" w:eastAsia="de-DE"/>
        </w:rPr>
        <w:t xml:space="preserve"> emerges when the entire cell cycle is considered</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{"citationItems":[{"id":"ITEM-1","itemData":{"DOI":"10.1016/j.cub.2015.11.067","ISBN":"1879-0445 (Electronic)\\r0960-9822 (Linking)","ISSN":"09609822","PMID":"2677673</w:instrText>
      </w:r>
      <w:r>
        <w:rPr>
          <w:rFonts w:ascii="Arial" w:eastAsia="Times New Roman" w:hAnsi="Arial" w:cs="Arial"/>
          <w:color w:val="000000"/>
          <w:lang w:val="en-US" w:eastAsia="de-DE"/>
        </w:rPr>
        <w:instrText>4","abstract":"To maintain a constant cell size, dividing cells have to coordinate cell-cycle events with cell growth. This coordination has long been supposed to rely on the existence of size thresholds determining cell-cycle progression [1]. In budding y</w:instrText>
      </w:r>
      <w:r>
        <w:rPr>
          <w:rFonts w:ascii="Arial" w:eastAsia="Times New Roman" w:hAnsi="Arial" w:cs="Arial"/>
          <w:color w:val="000000"/>
          <w:lang w:val="en-US" w:eastAsia="de-DE"/>
        </w:rPr>
        <w:instrText>east, size is controlled at the G1/S transition [2]. In agreement with this hypothesis, the size at birth influences the time spent in G1: smaller cells have a longer G1 period [3]. Nevertheless, even though cells born smaller have a longer G1, the compens</w:instrText>
      </w:r>
      <w:r>
        <w:rPr>
          <w:rFonts w:ascii="Arial" w:eastAsia="Times New Roman" w:hAnsi="Arial" w:cs="Arial"/>
          <w:color w:val="000000"/>
          <w:lang w:val="en-US" w:eastAsia="de-DE"/>
        </w:rPr>
        <w:instrText xml:space="preserve">ation is imperfect and they still bud at smaller cell sizes. In bacteria, several recent studies have shown that the incremental model of size control, in which size is controlled by addition of a constant volume (in contrast to a size threshold), is able </w:instrText>
      </w:r>
      <w:r>
        <w:rPr>
          <w:rFonts w:ascii="Arial" w:eastAsia="Times New Roman" w:hAnsi="Arial" w:cs="Arial"/>
          <w:color w:val="000000"/>
          <w:lang w:val="en-US" w:eastAsia="de-DE"/>
        </w:rPr>
        <w:instrText>to quantitatively explain the experimental data on four different bacterial species [4-7]. Here, we report on experimental results for the budding yeast Saccharomyces cerevisiae, finding, surprisingly, that cell size control in this organism is very well d</w:instrText>
      </w:r>
      <w:r>
        <w:rPr>
          <w:rFonts w:ascii="Arial" w:eastAsia="Times New Roman" w:hAnsi="Arial" w:cs="Arial"/>
          <w:color w:val="000000"/>
          <w:lang w:val="en-US" w:eastAsia="de-DE"/>
        </w:rPr>
        <w:instrText>escribed by the incremental model, suggesting a common strategy for cell size control with bacteria. Additionally, we argue that for S. cerevisiae the \"volume increment\" is not added from birth to division, but rather between two budding events.","author</w:instrText>
      </w:r>
      <w:r>
        <w:rPr>
          <w:rFonts w:ascii="Arial" w:eastAsia="Times New Roman" w:hAnsi="Arial" w:cs="Arial"/>
          <w:color w:val="000000"/>
          <w:lang w:val="en-US" w:eastAsia="de-DE"/>
        </w:rPr>
        <w:instrText>":[{"dropping-particle":"","family":"Soifer","given":"Ilya","non-dropping-particle":"","parse-names":false,"suffix":""},{"dropping-particle":"","family":"Robert","given":"Lydia","non-dropping-particle":"","parse-names":false,"suffix":""},{"dropping-particl</w:instrText>
      </w:r>
      <w:r>
        <w:rPr>
          <w:rFonts w:ascii="Arial" w:eastAsia="Times New Roman" w:hAnsi="Arial" w:cs="Arial"/>
          <w:color w:val="000000"/>
          <w:lang w:val="en-US" w:eastAsia="de-DE"/>
        </w:rPr>
        <w:instrText xml:space="preserve">e":"","family":"Amir","given":"Ariel","non-dropping-particle":"","parse-names":false,"suffix":""}],"container-title":"Current Biology","id":"ITEM-1","issue":"3","issued":{"date-parts":[["2016"]]},"page":"356-361","title":"Single-cell analysis of growth in </w:instrText>
      </w:r>
      <w:r>
        <w:rPr>
          <w:rFonts w:ascii="Arial" w:eastAsia="Times New Roman" w:hAnsi="Arial" w:cs="Arial"/>
          <w:color w:val="000000"/>
          <w:lang w:val="en-US" w:eastAsia="de-DE"/>
        </w:rPr>
        <w:instrText>budding yeast and bacteria reveals a common size regulation strategy","type":"article-journal","volume":"26"},"uris":["http://www.mendeley.com/documents/?uuid=e74f32f0-c076-3ee2-a19c-13b611bfbddb"]},{"id":"ITEM-2","itemData":{"DOI":"10.1016/j.cub.2017.08.0</w:instrText>
      </w:r>
      <w:r>
        <w:rPr>
          <w:rFonts w:ascii="Arial" w:eastAsia="Times New Roman" w:hAnsi="Arial" w:cs="Arial"/>
          <w:color w:val="000000"/>
          <w:lang w:val="en-US" w:eastAsia="de-DE"/>
        </w:rPr>
        <w:instrText>15","ISSN":"09609822","PMID":"28889980","abstract":"Although it has long been clear that cells actively regulate their size, the molecular mechanisms underlying this regulation have remained poorly understood. In budding yeast, cell size primarily modulate</w:instrText>
      </w:r>
      <w:r>
        <w:rPr>
          <w:rFonts w:ascii="Arial" w:eastAsia="Times New Roman" w:hAnsi="Arial" w:cs="Arial"/>
          <w:color w:val="000000"/>
          <w:lang w:val="en-US" w:eastAsia="de-DE"/>
        </w:rPr>
        <w:instrText>s the duration of the cell-division cycle by controlling the G1/S transition known as Start. We have recently shown that the rate of progression through Start increases with cell size, because cell growth dilutes the cell-cycle inhibitor Whi5 in G1. Recent</w:instrText>
      </w:r>
      <w:r>
        <w:rPr>
          <w:rFonts w:ascii="Arial" w:eastAsia="Times New Roman" w:hAnsi="Arial" w:cs="Arial"/>
          <w:color w:val="000000"/>
          <w:lang w:val="en-US" w:eastAsia="de-DE"/>
        </w:rPr>
        <w:instrText xml:space="preserve"> phenomenological studies in yeast and bacteria have shown that these cells add an approximately constant volume during each complete cell cycle, independent of their size at birth. These results seem to be in conflict, as the phenomenological studies sugg</w:instrText>
      </w:r>
      <w:r>
        <w:rPr>
          <w:rFonts w:ascii="Arial" w:eastAsia="Times New Roman" w:hAnsi="Arial" w:cs="Arial"/>
          <w:color w:val="000000"/>
          <w:lang w:val="en-US" w:eastAsia="de-DE"/>
        </w:rPr>
        <w:instrText>est that cells measure the amount they grow, rather than their size, and that size control acts over the whole cell cycle, rather than specifically in G1. Here, we propose an integrated model that unifies the adder phenomenology with the molecular mechanis</w:instrText>
      </w:r>
      <w:r>
        <w:rPr>
          <w:rFonts w:ascii="Arial" w:eastAsia="Times New Roman" w:hAnsi="Arial" w:cs="Arial"/>
          <w:color w:val="000000"/>
          <w:lang w:val="en-US" w:eastAsia="de-DE"/>
        </w:rPr>
        <w:instrText>m of G1/S cell-size control. We use single-cell microscopy to parameterize a full cell-cycle model based on independent control of pre- and post-Start cell-cycle periods. We find that our model predicts the size-independent amount of cell growth during the</w:instrText>
      </w:r>
      <w:r>
        <w:rPr>
          <w:rFonts w:ascii="Arial" w:eastAsia="Times New Roman" w:hAnsi="Arial" w:cs="Arial"/>
          <w:color w:val="000000"/>
          <w:lang w:val="en-US" w:eastAsia="de-DE"/>
        </w:rPr>
        <w:instrText xml:space="preserve"> full cell cycle. This suggests that the adder phenomenon is an emergent property of the independent regulation of pre- and post-Start cell-cycle periods rather than the consequence of an underlying molecular mechanism measuring a fixed amount of growth. B</w:instrText>
      </w:r>
      <w:r>
        <w:rPr>
          <w:rFonts w:ascii="Arial" w:eastAsia="Times New Roman" w:hAnsi="Arial" w:cs="Arial"/>
          <w:color w:val="000000"/>
          <w:lang w:val="en-US" w:eastAsia="de-DE"/>
        </w:rPr>
        <w:instrText xml:space="preserve">udding yeast daughter, but not mother, cells grow a size-independent amount in their cell cycle, known as the adder. Chandler-Brown, Schmoller, et al. show that the adder arises from independent regulation of the pre- and post-Start cell cycle rather than </w:instrText>
      </w:r>
      <w:r>
        <w:rPr>
          <w:rFonts w:ascii="Arial" w:eastAsia="Times New Roman" w:hAnsi="Arial" w:cs="Arial"/>
          <w:color w:val="000000"/>
          <w:lang w:val="en-US" w:eastAsia="de-DE"/>
        </w:rPr>
        <w:instrText>from a molecular adder mechanism. Accordingly, mutations of G1/S regulators disrupt the adder.","author":[{"dropping-particle":"","family":"Chandler-Brown","given":"Devon","non-dropping-particle":"","parse-names":false,"suffix":""},{"dropping-particle":"",</w:instrText>
      </w:r>
      <w:r>
        <w:rPr>
          <w:rFonts w:ascii="Arial" w:eastAsia="Times New Roman" w:hAnsi="Arial" w:cs="Arial"/>
          <w:color w:val="000000"/>
          <w:lang w:val="en-US" w:eastAsia="de-DE"/>
        </w:rPr>
        <w:instrText>"family":"Schmoller","given":"Kurt M.","non-dropping-particle":"","parse-names":false,"suffix":""},{"dropping-particle":"","family":"Winetraub","given":"Yonatan","non-dropping-particle":"","parse-names":false,"suffix":""},{"dropping-particle":"","family":"</w:instrText>
      </w:r>
      <w:r>
        <w:rPr>
          <w:rFonts w:ascii="Arial" w:eastAsia="Times New Roman" w:hAnsi="Arial" w:cs="Arial"/>
          <w:color w:val="000000"/>
          <w:lang w:val="en-US" w:eastAsia="de-DE"/>
        </w:rPr>
        <w:instrText>Skotheim","given":"Jan M.","non-dropping-particle":"","parse-names":false,"suffix":""}],"container-title":"Current Biology","id":"ITEM-2","issue":"18","issued":{"date-parts":[["2017"]]},"page":"2774-2783.e3","title":"The Adder Phenomenon Emerges from Indep</w:instrText>
      </w:r>
      <w:r>
        <w:rPr>
          <w:rFonts w:ascii="Arial" w:eastAsia="Times New Roman" w:hAnsi="Arial" w:cs="Arial"/>
          <w:color w:val="000000"/>
          <w:lang w:val="en-US" w:eastAsia="de-DE"/>
        </w:rPr>
        <w:instrText>endent Control of Pre- and Post-Start Phases of the Budding Yeast Cell Cycle","type":"article-journal","volume":"27"},"uris":["http://www.mendeley.com/documents/?uuid=a41ea316-44af-44d7-b0fe-2d527534b8af"]},{"id":"ITEM-3","itemData":{"DOI":"10.7554/eLife.3</w:instrText>
      </w:r>
      <w:r>
        <w:rPr>
          <w:rFonts w:ascii="Arial" w:eastAsia="Times New Roman" w:hAnsi="Arial" w:cs="Arial"/>
          <w:color w:val="000000"/>
          <w:lang w:val="en-US" w:eastAsia="de-DE"/>
        </w:rPr>
        <w:instrText>4025","ISSN":"2050084X","PMID":"29972352","abstract":"Coordination of cell growth with division is essential for proper cell function. In budding yeast, although some molecular mechanisms responsible for cell size control during G1 have been elucidated, th</w:instrText>
      </w:r>
      <w:r>
        <w:rPr>
          <w:rFonts w:ascii="Arial" w:eastAsia="Times New Roman" w:hAnsi="Arial" w:cs="Arial"/>
          <w:color w:val="000000"/>
          <w:lang w:val="en-US" w:eastAsia="de-DE"/>
        </w:rPr>
        <w:instrText>e mechanism by which cell size homeostasis is established remains to be discovered. Here, we developed a new technique based on quantification of histone levels to monitor cell cycle progression in individual cells with unprecedented accuracy. Our analysis</w:instrText>
      </w:r>
      <w:r>
        <w:rPr>
          <w:rFonts w:ascii="Arial" w:eastAsia="Times New Roman" w:hAnsi="Arial" w:cs="Arial"/>
          <w:color w:val="000000"/>
          <w:lang w:val="en-US" w:eastAsia="de-DE"/>
        </w:rPr>
        <w:instrText xml:space="preserve"> establishes the existence of a mechanism controlling bud size in G2/M that prevents premature onset of anaphase, and controls the overall size variability. While most G1 mutants do not display impaired size homeostasis, mutants in which cyclin B-Cdk regul</w:instrText>
      </w:r>
      <w:r>
        <w:rPr>
          <w:rFonts w:ascii="Arial" w:eastAsia="Times New Roman" w:hAnsi="Arial" w:cs="Arial"/>
          <w:color w:val="000000"/>
          <w:lang w:val="en-US" w:eastAsia="de-DE"/>
        </w:rPr>
        <w:instrText>ation is altered display large size variability. Our study thus demonstrates that size homeostasis is not controlled by a G1-specific mechanism alone but is likely to be an emergent property resulting from the integration of several mechanisms that coordin</w:instrText>
      </w:r>
      <w:r>
        <w:rPr>
          <w:rFonts w:ascii="Arial" w:eastAsia="Times New Roman" w:hAnsi="Arial" w:cs="Arial"/>
          <w:color w:val="000000"/>
          <w:lang w:val="en-US" w:eastAsia="de-DE"/>
        </w:rPr>
        <w:instrText>ate cell and bud growth with division.","author":[{"dropping-particle":"","family":"Garmendia-Torres","given":"Cecilia","non-dropping-particle":"","parse-names":false,"suffix":""},{"dropping-particle":"","family":"Tassy","given":"Olivier","non-dropping-par</w:instrText>
      </w:r>
      <w:r>
        <w:rPr>
          <w:rFonts w:ascii="Arial" w:eastAsia="Times New Roman" w:hAnsi="Arial" w:cs="Arial"/>
          <w:color w:val="000000"/>
          <w:lang w:val="en-US" w:eastAsia="de-DE"/>
        </w:rPr>
        <w:instrText>ticle":"","parse-names":false,"suffix":""},{"dropping-particle":"","family":"Matifas","given":"Audrey","non-dropping-particle":"","parse-names":false,"suffix":""},{"dropping-particle":"","family":"Molina","given":"Nacho","non-dropping-particle":"","parse-n</w:instrText>
      </w:r>
      <w:r>
        <w:rPr>
          <w:rFonts w:ascii="Arial" w:eastAsia="Times New Roman" w:hAnsi="Arial" w:cs="Arial"/>
          <w:color w:val="000000"/>
          <w:lang w:val="en-US" w:eastAsia="de-DE"/>
        </w:rPr>
        <w:instrText>ames":false,"suffix":""},{"dropping-particle":"","family":"Charvin","given":"Gilles","non-dropping-particle":"","parse-names":false,"suffix":""}],"container-title":"eLife","id":"ITEM-3","issued":{"date-parts":[["2018","7","4"]]},"publisher":"eLife Sciences</w:instrText>
      </w:r>
      <w:r>
        <w:rPr>
          <w:rFonts w:ascii="Arial" w:eastAsia="Times New Roman" w:hAnsi="Arial" w:cs="Arial"/>
          <w:color w:val="000000"/>
          <w:lang w:val="en-US" w:eastAsia="de-DE"/>
        </w:rPr>
        <w:instrText xml:space="preserve"> Publications Ltd","title":"Multiple inputs ensure yeast cell size homeostasis during cell cycle progression","type":"article-journal","volume":"7"},"uris":["http://www.mendeley.com/documents/?uuid=4424e722-5d47-3e1a-9280-ddfed8b24dd1"]},{"id":"ITEM-4","it</w:instrText>
      </w:r>
      <w:r>
        <w:rPr>
          <w:rFonts w:ascii="Arial" w:eastAsia="Times New Roman" w:hAnsi="Arial" w:cs="Arial"/>
          <w:color w:val="000000"/>
          <w:lang w:val="en-US" w:eastAsia="de-DE"/>
        </w:rPr>
        <w:instrText>emData":{"DOI":"10.7554/ELIFE.79919","ISSN":"2050084X","abstract":"Cell size is controlled to be within a specific range to support physiological function. To control their size, cells use diverse mechanisms ranging from ‘sizers’, in which differences in c</w:instrText>
      </w:r>
      <w:r>
        <w:rPr>
          <w:rFonts w:ascii="Arial" w:eastAsia="Times New Roman" w:hAnsi="Arial" w:cs="Arial"/>
          <w:color w:val="000000"/>
          <w:lang w:val="en-US" w:eastAsia="de-DE"/>
        </w:rPr>
        <w:instrText>ell size are compensated for in a single cell division cycle, to ‘adders’, in which a constant amount of cell growth occurs in each cell cycle. This diversity raises the question why a particular cell would implement one rather than another mechanism? To a</w:instrText>
      </w:r>
      <w:r>
        <w:rPr>
          <w:rFonts w:ascii="Arial" w:eastAsia="Times New Roman" w:hAnsi="Arial" w:cs="Arial"/>
          <w:color w:val="000000"/>
          <w:lang w:val="en-US" w:eastAsia="de-DE"/>
        </w:rPr>
        <w:instrText>ddress this question, we performed a series of simulations evolving cell size control networks. The size control mechanism that evolved was influenced by both cell cycle structure and specific selection pressures. Moreover, evolved networks recapitulated k</w:instrText>
      </w:r>
      <w:r>
        <w:rPr>
          <w:rFonts w:ascii="Arial" w:eastAsia="Times New Roman" w:hAnsi="Arial" w:cs="Arial"/>
          <w:color w:val="000000"/>
          <w:lang w:val="en-US" w:eastAsia="de-DE"/>
        </w:rPr>
        <w:instrText>nown size control properties of naturally occurring networks. If the mechanism is based on a G1 size control and an S/G2/M timer, as found for budding yeast and some human cells, adders likely evolve. But, if the G1 phase is significantly longer than the S</w:instrText>
      </w:r>
      <w:r>
        <w:rPr>
          <w:rFonts w:ascii="Arial" w:eastAsia="Times New Roman" w:hAnsi="Arial" w:cs="Arial"/>
          <w:color w:val="000000"/>
          <w:lang w:val="en-US" w:eastAsia="de-DE"/>
        </w:rPr>
        <w:instrText xml:space="preserve">/G2/M phase, as is often the case in mammalian cells in vivo, sizers become more likely. Sizers also evolve when the cell cycle structure is inverted so that G1 is a timer, while S/G2/M performs size control, as is the case for the fission yeast S. pombe. </w:instrText>
      </w:r>
      <w:r>
        <w:rPr>
          <w:rFonts w:ascii="Arial" w:eastAsia="Times New Roman" w:hAnsi="Arial" w:cs="Arial"/>
          <w:color w:val="000000"/>
          <w:lang w:val="en-US" w:eastAsia="de-DE"/>
        </w:rPr>
        <w:instrText>For some size control networks, cell size consistently decreases in each cycle until a burst of cell cycle inhibitor drives an extended G1 phase much like the cell division cycle of the green algae Chlamydomonas. That these size control networks evolved su</w:instrText>
      </w:r>
      <w:r>
        <w:rPr>
          <w:rFonts w:ascii="Arial" w:eastAsia="Times New Roman" w:hAnsi="Arial" w:cs="Arial"/>
          <w:color w:val="000000"/>
          <w:lang w:val="en-US" w:eastAsia="de-DE"/>
        </w:rPr>
        <w:instrText>ch self-organized criticality shows how the evolution of complex systems can drive the emergence of critical processes.","author":[{"dropping-particle":"","family":"Proulx-Giraldeau","given":"Félix","non-dropping-particle":"","parse-names":false,"suffix":"</w:instrText>
      </w:r>
      <w:r>
        <w:rPr>
          <w:rFonts w:ascii="Arial" w:eastAsia="Times New Roman" w:hAnsi="Arial" w:cs="Arial"/>
          <w:color w:val="000000"/>
          <w:lang w:val="en-US" w:eastAsia="de-DE"/>
        </w:rPr>
        <w:instrText>"},{"dropping-particle":"","family":"Skotheim","given":"Jan M.","non-dropping-particle":"","parse-names":false,"suffix":""},{"dropping-particle":"","family":"Francois","given":"Paul","non-dropping-particle":"","parse-names":false,"suffix":""}],"container-t</w:instrText>
      </w:r>
      <w:r>
        <w:rPr>
          <w:rFonts w:ascii="Arial" w:eastAsia="Times New Roman" w:hAnsi="Arial" w:cs="Arial"/>
          <w:color w:val="000000"/>
          <w:lang w:val="en-US" w:eastAsia="de-DE"/>
        </w:rPr>
        <w:instrText>itle":"eLife","id":"ITEM-4","issued":{"date-parts":[["2022","9","1"]]},"publisher":"eLife Sciences Publications Ltd","title":"Evolution of cell size control is canalized towards adders or sizers by cell cycle structure and selective pressures","type":"arti</w:instrText>
      </w:r>
      <w:r>
        <w:rPr>
          <w:rFonts w:ascii="Arial" w:eastAsia="Times New Roman" w:hAnsi="Arial" w:cs="Arial"/>
          <w:color w:val="000000"/>
          <w:lang w:val="en-US" w:eastAsia="de-DE"/>
        </w:rPr>
        <w:instrText>cle-journal","volume":"11"},"uris":["http://www.mendeley.com/documents/?uuid=e389467c-8414-33a5-bf95-173c9c77a8e7"]}],"mendeley":{"formattedCitation":"&lt;sup&gt;163,254,273,300&lt;/sup&gt;","plainTextFormattedCitation":"163,254,273,300","previouslyFormattedCitation":</w:instrText>
      </w:r>
      <w:r>
        <w:rPr>
          <w:rFonts w:ascii="Arial" w:eastAsia="Times New Roman" w:hAnsi="Arial" w:cs="Arial"/>
          <w:color w:val="000000"/>
          <w:lang w:val="en-US" w:eastAsia="de-DE"/>
        </w:rPr>
        <w:instrText>"&lt;sup&gt;163,254,273,300&lt;/sup&gt;"},"properties":{"noteIndex":0},"schema":"https://github.com/citation-style-language/schema/raw/master/csl-citation.json"}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163,254,273,300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On the contrary, fission yeast exhibits a more</w:t>
      </w:r>
      <w:r>
        <w:rPr>
          <w:rFonts w:ascii="Arial" w:eastAsia="Times New Roman" w:hAnsi="Arial" w:cs="Arial"/>
          <w:i/>
          <w:iCs/>
          <w:color w:val="000000"/>
          <w:lang w:val="en-US" w:eastAsia="de-DE"/>
        </w:rPr>
        <w:t xml:space="preserve"> timer</w:t>
      </w:r>
      <w:r>
        <w:rPr>
          <w:rFonts w:ascii="Arial" w:eastAsia="Times New Roman" w:hAnsi="Arial" w:cs="Arial"/>
          <w:color w:val="000000"/>
          <w:lang w:val="en-US" w:eastAsia="de-DE"/>
        </w:rPr>
        <w:t xml:space="preserve">-like behavior in G1 and a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xml:space="preserve"> in S/G2/M, with the overall cell-cycle exhibiting a</w:t>
      </w:r>
      <w:r>
        <w:rPr>
          <w:rFonts w:ascii="Arial" w:eastAsia="Times New Roman" w:hAnsi="Arial" w:cs="Arial"/>
          <w:i/>
          <w:iCs/>
          <w:color w:val="000000"/>
          <w:lang w:val="en-US" w:eastAsia="de-DE"/>
        </w:rPr>
        <w:t xml:space="preserve"> sizer</w:t>
      </w:r>
      <w:r>
        <w:rPr>
          <w:rFonts w:ascii="Arial" w:eastAsia="Times New Roman" w:hAnsi="Arial" w:cs="Arial"/>
          <w:color w:val="000000"/>
          <w:lang w:val="en-US" w:eastAsia="de-DE"/>
        </w:rPr>
        <w:t>. Hence, size control may be modular, i.e., cell-cycle-phase-specific</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{"citationItems":[{"id":"ITEM-1","itemData":{"DOI":"10.1016/j.cub.2017.08.015","ISSN":"09609822","PMID":"</w:instrText>
      </w:r>
      <w:r>
        <w:rPr>
          <w:rFonts w:ascii="Arial" w:eastAsia="Times New Roman" w:hAnsi="Arial" w:cs="Arial"/>
          <w:color w:val="000000"/>
          <w:lang w:val="en-US" w:eastAsia="de-DE"/>
        </w:rPr>
        <w:instrText>28889980","abstract":"Although it has long been clear that cells actively regulate their size, the molecular mechanisms underlying this regulation have remained poorly understood. In budding yeast, cell size primarily modulates the duration of the cell-div</w:instrText>
      </w:r>
      <w:r>
        <w:rPr>
          <w:rFonts w:ascii="Arial" w:eastAsia="Times New Roman" w:hAnsi="Arial" w:cs="Arial"/>
          <w:color w:val="000000"/>
          <w:lang w:val="en-US" w:eastAsia="de-DE"/>
        </w:rPr>
        <w:instrText>ision cycle by controlling the G1/S transition known as Start. We have recently shown that the rate of progression through Start increases with cell size, because cell growth dilutes the cell-cycle inhibitor Whi5 in G1. Recent phenomenological studies in y</w:instrText>
      </w:r>
      <w:r>
        <w:rPr>
          <w:rFonts w:ascii="Arial" w:eastAsia="Times New Roman" w:hAnsi="Arial" w:cs="Arial"/>
          <w:color w:val="000000"/>
          <w:lang w:val="en-US" w:eastAsia="de-DE"/>
        </w:rPr>
        <w:instrText>east and bacteria have shown that these cells add an approximately constant volume during each complete cell cycle, independent of their size at birth. These results seem to be in conflict, as the phenomenological studies suggest that cells measure the amo</w:instrText>
      </w:r>
      <w:r>
        <w:rPr>
          <w:rFonts w:ascii="Arial" w:eastAsia="Times New Roman" w:hAnsi="Arial" w:cs="Arial"/>
          <w:color w:val="000000"/>
          <w:lang w:val="en-US" w:eastAsia="de-DE"/>
        </w:rPr>
        <w:instrText>unt they grow, rather than their size, and that size control acts over the whole cell cycle, rather than specifically in G1. Here, we propose an integrated model that unifies the adder phenomenology with the molecular mechanism of G1/S cell-size control. W</w:instrText>
      </w:r>
      <w:r>
        <w:rPr>
          <w:rFonts w:ascii="Arial" w:eastAsia="Times New Roman" w:hAnsi="Arial" w:cs="Arial"/>
          <w:color w:val="000000"/>
          <w:lang w:val="en-US" w:eastAsia="de-DE"/>
        </w:rPr>
        <w:instrText>e use single-cell microscopy to parameterize a full cell-cycle model based on independent control of pre- and post-Start cell-cycle periods. We find that our model predicts the size-independent amount of cell growth during the full cell cycle. This suggest</w:instrText>
      </w:r>
      <w:r>
        <w:rPr>
          <w:rFonts w:ascii="Arial" w:eastAsia="Times New Roman" w:hAnsi="Arial" w:cs="Arial"/>
          <w:color w:val="000000"/>
          <w:lang w:val="en-US" w:eastAsia="de-DE"/>
        </w:rPr>
        <w:instrText>s that the adder phenomenon is an emergent property of the independent regulation of pre- and post-Start cell-cycle periods rather than the consequence of an underlying molecular mechanism measuring a fixed amount of growth. Budding yeast daughter, but not</w:instrText>
      </w:r>
      <w:r>
        <w:rPr>
          <w:rFonts w:ascii="Arial" w:eastAsia="Times New Roman" w:hAnsi="Arial" w:cs="Arial"/>
          <w:color w:val="000000"/>
          <w:lang w:val="en-US" w:eastAsia="de-DE"/>
        </w:rPr>
        <w:instrText xml:space="preserve"> mother, cells grow a size-independent amount in their cell cycle, known as the adder. Chandler-Brown, Schmoller, et al. show that the adder arises from independent regulation of the pre- and post-Start cell cycle rather than from a molecular adder mechani</w:instrText>
      </w:r>
      <w:r>
        <w:rPr>
          <w:rFonts w:ascii="Arial" w:eastAsia="Times New Roman" w:hAnsi="Arial" w:cs="Arial"/>
          <w:color w:val="000000"/>
          <w:lang w:val="en-US" w:eastAsia="de-DE"/>
        </w:rPr>
        <w:instrText>sm. Accordingly, mutations of G1/S regulators disrupt the adder.","author":[{"dropping-particle":"","family":"Chandler-Brown","given":"Devon","non-dropping-particle":"","parse-names":false,"suffix":""},{"dropping-particle":"","family":"Schmoller","given":"</w:instrText>
      </w:r>
      <w:r>
        <w:rPr>
          <w:rFonts w:ascii="Arial" w:eastAsia="Times New Roman" w:hAnsi="Arial" w:cs="Arial"/>
          <w:color w:val="000000"/>
          <w:lang w:val="en-US" w:eastAsia="de-DE"/>
        </w:rPr>
        <w:instrText>Kurt M.","non-dropping-particle":"","parse-names":false,"suffix":""},{"dropping-particle":"","family":"Winetraub","given":"Yonatan","non-dropping-particle":"","parse-names":false,"suffix":""},{"dropping-particle":"","family":"Skotheim","given":"Jan M.","no</w:instrText>
      </w:r>
      <w:r>
        <w:rPr>
          <w:rFonts w:ascii="Arial" w:eastAsia="Times New Roman" w:hAnsi="Arial" w:cs="Arial"/>
          <w:color w:val="000000"/>
          <w:lang w:val="en-US" w:eastAsia="de-DE"/>
        </w:rPr>
        <w:instrText>n-dropping-particle":"","parse-names":false,"suffix":""}],"container-title":"Current Biology","id":"ITEM-1","issue":"18","issued":{"date-parts":[["2017"]]},"page":"2774-2783.e3","title":"The Adder Phenomenon Emerges from Independent Control of Pre- and Pos</w:instrText>
      </w:r>
      <w:r>
        <w:rPr>
          <w:rFonts w:ascii="Arial" w:eastAsia="Times New Roman" w:hAnsi="Arial" w:cs="Arial"/>
          <w:color w:val="000000"/>
          <w:lang w:val="en-US" w:eastAsia="de-DE"/>
        </w:rPr>
        <w:instrText>t-Start Phases of the Budding Yeast Cell Cycle","type":"article-journal","volume":"27"},"uris":["http://www.mendeley.com/documents/?uuid=a41ea316-44af-44d7-b0fe-2d527534b8af"]}],"mendeley":{"formattedCitation":"&lt;sup&gt;163&lt;/sup&gt;","plainTextFormattedCitation":</w:instrText>
      </w:r>
      <w:r>
        <w:rPr>
          <w:rFonts w:ascii="Arial" w:eastAsia="Times New Roman" w:hAnsi="Arial" w:cs="Arial"/>
          <w:color w:val="000000"/>
          <w:lang w:val="en-US" w:eastAsia="de-DE"/>
        </w:rPr>
        <w:instrText>"163","previouslyFormattedCitation":"&lt;sup&gt;163&lt;/sup&gt;"},"properties":{"noteIndex":0},"schema":"https://github.com/citation-style-language/schema/raw/master/csl-citation.json"}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Interestingly, a plasticity to fission yeast size control has recently been</w:t>
      </w:r>
      <w:r>
        <w:rPr>
          <w:rFonts w:ascii="Arial" w:eastAsia="Times New Roman" w:hAnsi="Arial" w:cs="Arial"/>
          <w:color w:val="000000"/>
          <w:lang w:val="en-US" w:eastAsia="de-DE"/>
        </w:rPr>
        <w:t xml:space="preserve"> described, where disrupting one of fission yeast size control’s two size-dependent inputs can </w:t>
      </w:r>
      <w:r>
        <w:rPr>
          <w:rFonts w:ascii="Arial" w:eastAsia="Times New Roman" w:hAnsi="Arial" w:cs="Arial"/>
          <w:color w:val="000000"/>
          <w:lang w:val="en-US" w:eastAsia="de-DE"/>
        </w:rPr>
        <w:lastRenderedPageBreak/>
        <w:t xml:space="preserve">shift the size control from an overall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xml:space="preserve"> to an overall </w:t>
      </w:r>
      <w:r>
        <w:rPr>
          <w:rFonts w:ascii="Arial" w:eastAsia="Times New Roman" w:hAnsi="Arial" w:cs="Arial"/>
          <w:i/>
          <w:iCs/>
          <w:color w:val="000000"/>
          <w:lang w:val="en-US" w:eastAsia="de-DE"/>
        </w:rPr>
        <w:t>adder</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{"citationItems":[{"id":"ITEM-1","itemData":{"DOI":"10.1016/j.cub.2023.06.054"</w:instrText>
      </w:r>
      <w:r>
        <w:rPr>
          <w:rFonts w:ascii="Arial" w:eastAsia="Times New Roman" w:hAnsi="Arial" w:cs="Arial"/>
          <w:i/>
          <w:iCs/>
          <w:color w:val="000000"/>
          <w:lang w:val="en-US" w:eastAsia="de-DE"/>
        </w:rPr>
        <w:instrText xml:space="preserve">,"ISSN":"18790445","PMID":"37463585","abstract":"Eukaryotic cells tightly control their size, but the relevant aspect of size is unknown in most cases. Fission yeast divide at a threshold cell surface area (SA) due, in part, to the protein kinase Cdr2. We </w:instrText>
      </w:r>
      <w:r>
        <w:rPr>
          <w:rFonts w:ascii="Arial" w:eastAsia="Times New Roman" w:hAnsi="Arial" w:cs="Arial"/>
          <w:i/>
          <w:iCs/>
          <w:color w:val="000000"/>
          <w:lang w:val="en-US" w:eastAsia="de-DE"/>
        </w:rPr>
        <w:instrText>find that fission yeast cells only divide by SA under a size threshold. Mutants that divide at a larger size shift to volume-based divisions. Diploid cells divide at a larger size than haploid cells do, but they maintain SA-based divisions, and this indica</w:instrText>
      </w:r>
      <w:r>
        <w:rPr>
          <w:rFonts w:ascii="Arial" w:eastAsia="Times New Roman" w:hAnsi="Arial" w:cs="Arial"/>
          <w:i/>
          <w:iCs/>
          <w:color w:val="000000"/>
          <w:lang w:val="en-US" w:eastAsia="de-DE"/>
        </w:rPr>
        <w:instrText>tes that the size threshold for changing from surface-area-based to volume-based control is set by ploidy. Within this size control system, we found that the mitotic activator Cdc25 accumulates like a volume-based sizer molecule, whereas the mitotic cyclin</w:instrText>
      </w:r>
      <w:r>
        <w:rPr>
          <w:rFonts w:ascii="Arial" w:eastAsia="Times New Roman" w:hAnsi="Arial" w:cs="Arial"/>
          <w:i/>
          <w:iCs/>
          <w:color w:val="000000"/>
          <w:lang w:val="en-US" w:eastAsia="de-DE"/>
        </w:rPr>
        <w:instrText xml:space="preserve"> Cdc13 accumulates in the nucleus as a timer. We propose an integrated model for cell size control based on multiple signaling pathways that report on distinct aspects of cell size and growth, including cell SA (Cdr2), cell volume (Cdc25), and time (Cdc13)</w:instrText>
      </w:r>
      <w:r>
        <w:rPr>
          <w:rFonts w:ascii="Arial" w:eastAsia="Times New Roman" w:hAnsi="Arial" w:cs="Arial"/>
          <w:i/>
          <w:iCs/>
          <w:color w:val="000000"/>
          <w:lang w:val="en-US" w:eastAsia="de-DE"/>
        </w:rPr>
        <w:instrText>. Combined modeling and experiments show how this system can generate both sizer- and adder-like properties.","author":[{"dropping-particle":"","family":"Miller","given":"Kristi E.","non-dropping-particle":"","parse-names":false,"suffix":""},{"dropping-par</w:instrText>
      </w:r>
      <w:r>
        <w:rPr>
          <w:rFonts w:ascii="Arial" w:eastAsia="Times New Roman" w:hAnsi="Arial" w:cs="Arial"/>
          <w:i/>
          <w:iCs/>
          <w:color w:val="000000"/>
          <w:lang w:val="en-US" w:eastAsia="de-DE"/>
        </w:rPr>
        <w:instrText>ticle":"","family":"Vargas-Garcia","given":"Cesar","non-dropping-particle":"","parse-names":false,"suffix":""},{"dropping-particle":"","family":"Singh","given":"Abhyudai","non-dropping-particle":"","parse-names":false,"suffix":""},{"dropping-particle":"","</w:instrText>
      </w:r>
      <w:r>
        <w:rPr>
          <w:rFonts w:ascii="Arial" w:eastAsia="Times New Roman" w:hAnsi="Arial" w:cs="Arial"/>
          <w:i/>
          <w:iCs/>
          <w:color w:val="000000"/>
          <w:lang w:val="en-US" w:eastAsia="de-DE"/>
        </w:rPr>
        <w:instrText>family":"Moseley","given":"James B.","non-dropping-particle":"","parse-names":false,"suffix":""}],"container-title":"Current Biology","id":"ITEM-1","issue":"16","issued":{"date-parts":[["2023","11","17"]]},"page":"3312-3324.e7","publisher":"Cold Spring Har</w:instrText>
      </w:r>
      <w:r>
        <w:rPr>
          <w:rFonts w:ascii="Arial" w:eastAsia="Times New Roman" w:hAnsi="Arial" w:cs="Arial"/>
          <w:i/>
          <w:iCs/>
          <w:color w:val="000000"/>
          <w:lang w:val="en-US" w:eastAsia="de-DE"/>
        </w:rPr>
        <w:instrText>bor Laboratory","title":"The fission yeast cell size control system integrates pathways measuring cell surface area, volume, and time","type":"article-journal","volume":"33"},"uris":["http://www.mendeley.com/documents/?uuid=81cdbf5c-8af3-3346-97a7-c923bb23</w:instrText>
      </w:r>
      <w:r>
        <w:rPr>
          <w:rFonts w:ascii="Arial" w:eastAsia="Times New Roman" w:hAnsi="Arial" w:cs="Arial"/>
          <w:i/>
          <w:iCs/>
          <w:color w:val="000000"/>
          <w:lang w:val="en-US" w:eastAsia="de-DE"/>
        </w:rPr>
        <w:instrText>4ca6"]}],"mendeley":{"formattedCitation":"&lt;sup&gt;61&lt;/sup&gt;","plainTextFormattedCitation":"61","previouslyFormattedCitation":"&lt;sup&gt;61&lt;/sup&gt;"},"properties":{"noteIndex":0},"schema":"https://github.com/citation-style-language/schema/raw/master/csl-citation.json"</w:instrText>
      </w:r>
      <w:r>
        <w:rPr>
          <w:rFonts w:ascii="Arial" w:eastAsia="Times New Roman" w:hAnsi="Arial" w:cs="Arial"/>
          <w:i/>
          <w:iCs/>
          <w:color w:val="000000"/>
          <w:lang w:val="en-US" w:eastAsia="de-DE"/>
        </w:rPr>
        <w:instrText>}</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61</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This indicates that multiple inputs regulate size control in both fission yeast and budding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{"citationItems":[{"id":"ITEM-1","itemData":{"DOI":"10.7554/eLife.34025","ISSN":"2050084X","PMID":"29972352","abstract":"Coordinatio</w:instrText>
      </w:r>
      <w:r>
        <w:rPr>
          <w:rFonts w:ascii="Arial" w:eastAsia="Times New Roman" w:hAnsi="Arial" w:cs="Arial"/>
          <w:color w:val="000000"/>
          <w:lang w:val="en-US" w:eastAsia="de-DE"/>
        </w:rPr>
        <w:instrText>n of cell growth with division is essential for proper cell function. In budding yeast, although some molecular mechanisms responsible for cell size control during G1 have been elucidated, the mechanism by which cell size homeostasis is established remains</w:instrText>
      </w:r>
      <w:r>
        <w:rPr>
          <w:rFonts w:ascii="Arial" w:eastAsia="Times New Roman" w:hAnsi="Arial" w:cs="Arial"/>
          <w:color w:val="000000"/>
          <w:lang w:val="en-US" w:eastAsia="de-DE"/>
        </w:rPr>
        <w:instrText xml:space="preserve"> to be discovered. Here, we developed a new technique based on quantification of histone levels to monitor cell cycle progression in individual cells with unprecedented accuracy. Our analysis establishes the existence of a mechanism controlling bud size in</w:instrText>
      </w:r>
      <w:r>
        <w:rPr>
          <w:rFonts w:ascii="Arial" w:eastAsia="Times New Roman" w:hAnsi="Arial" w:cs="Arial"/>
          <w:color w:val="000000"/>
          <w:lang w:val="en-US" w:eastAsia="de-DE"/>
        </w:rPr>
        <w:instrText xml:space="preserve"> G2/M that prevents premature onset of anaphase, and controls the overall size variability. While most G1 mutants do not display impaired size homeostasis, mutants in which cyclin B-Cdk regulation is altered display large size variability. Our study thus d</w:instrText>
      </w:r>
      <w:r>
        <w:rPr>
          <w:rFonts w:ascii="Arial" w:eastAsia="Times New Roman" w:hAnsi="Arial" w:cs="Arial"/>
          <w:color w:val="000000"/>
          <w:lang w:val="en-US" w:eastAsia="de-DE"/>
        </w:rPr>
        <w:instrText>emonstrates that size homeostasis is not controlled by a G1-specific mechanism alone but is likely to be an emergent property resulting from the integration of several mechanisms that coordinate cell and bud growth with division.","author":[{"dropping-part</w:instrText>
      </w:r>
      <w:r>
        <w:rPr>
          <w:rFonts w:ascii="Arial" w:eastAsia="Times New Roman" w:hAnsi="Arial" w:cs="Arial"/>
          <w:color w:val="000000"/>
          <w:lang w:val="en-US" w:eastAsia="de-DE"/>
        </w:rPr>
        <w:instrText>icle":"","family":"Garmendia-Torres","given":"Cecilia","non-dropping-particle":"","parse-names":false,"suffix":""},{"dropping-particle":"","family":"Tassy","given":"Olivier","non-dropping-particle":"","parse-names":false,"suffix":""},{"dropping-particle":"</w:instrText>
      </w:r>
      <w:r>
        <w:rPr>
          <w:rFonts w:ascii="Arial" w:eastAsia="Times New Roman" w:hAnsi="Arial" w:cs="Arial"/>
          <w:color w:val="000000"/>
          <w:lang w:val="en-US" w:eastAsia="de-DE"/>
        </w:rPr>
        <w:instrText>","family":"Matifas","given":"Audrey","non-dropping-particle":"","parse-names":false,"suffix":""},{"dropping-particle":"","family":"Molina","given":"Nacho","non-dropping-particle":"","parse-names":false,"suffix":""},{"dropping-particle":"","family":"Charvi</w:instrText>
      </w:r>
      <w:r>
        <w:rPr>
          <w:rFonts w:ascii="Arial" w:eastAsia="Times New Roman" w:hAnsi="Arial" w:cs="Arial"/>
          <w:color w:val="000000"/>
          <w:lang w:val="en-US" w:eastAsia="de-DE"/>
        </w:rPr>
        <w:instrText>n","given":"Gilles","non-dropping-particle":"","parse-names":false,"suffix":""}],"container-title":"eLife","id":"ITEM-1","issued":{"date-parts":[["2018","7","4"]]},"publisher":"eLife Sciences Publications Ltd","title":"Multiple inputs ensure yeast cell siz</w:instrText>
      </w:r>
      <w:r>
        <w:rPr>
          <w:rFonts w:ascii="Arial" w:eastAsia="Times New Roman" w:hAnsi="Arial" w:cs="Arial"/>
          <w:color w:val="000000"/>
          <w:lang w:val="en-US" w:eastAsia="de-DE"/>
        </w:rPr>
        <w:instrText>e homeostasis during cell cycle progression","type":"article-journal","volume":"7"},"uris":["http://www.mendeley.com/documents/?uuid=4424e722-5d47-3e1a-9280-ddfed8b24dd1"]}],"mendeley":{"formattedCitation":"&lt;sup&gt;300&lt;/sup&gt;","plainTextFormattedCitation":"300</w:instrText>
      </w:r>
      <w:r>
        <w:rPr>
          <w:rFonts w:ascii="Arial" w:eastAsia="Times New Roman" w:hAnsi="Arial" w:cs="Arial"/>
          <w:color w:val="000000"/>
          <w:lang w:val="en-US" w:eastAsia="de-DE"/>
        </w:rPr>
        <w:instrText>","previouslyFormattedCitation":"&lt;sup&gt;300&lt;/sup&gt;"},"properties":{"noteIndex":0},"schema":"https://github.com/citation-style-language/schema/raw/master/csl-citation.json"}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300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the redundancy of these inputs confers robustness and adaptability to size c</w:t>
      </w:r>
      <w:r>
        <w:rPr>
          <w:rFonts w:ascii="Arial" w:eastAsia="Times New Roman" w:hAnsi="Arial" w:cs="Arial"/>
          <w:color w:val="000000"/>
          <w:lang w:val="en-US" w:eastAsia="de-DE"/>
        </w:rPr>
        <w:t>ontrol. That cells have evolved multiple pathways to control size further indicates a high selective pressure associated with an ‘optimal’ cell size.  </w:t>
      </w:r>
    </w:p>
    <w:p w14:paraId="33BC41DD"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Perfect </w:t>
      </w:r>
      <w:r>
        <w:rPr>
          <w:rFonts w:ascii="Arial" w:eastAsia="Times New Roman" w:hAnsi="Arial" w:cs="Arial"/>
          <w:i/>
          <w:iCs/>
          <w:color w:val="000000"/>
          <w:lang w:val="en-US" w:eastAsia="de-DE"/>
        </w:rPr>
        <w:t>sizers</w:t>
      </w:r>
      <w:r>
        <w:rPr>
          <w:rFonts w:ascii="Arial" w:eastAsia="Times New Roman" w:hAnsi="Arial" w:cs="Arial"/>
          <w:color w:val="000000"/>
          <w:lang w:val="en-US" w:eastAsia="de-DE"/>
        </w:rPr>
        <w:t xml:space="preserve">, </w:t>
      </w:r>
      <w:r>
        <w:rPr>
          <w:rFonts w:ascii="Arial" w:eastAsia="Times New Roman" w:hAnsi="Arial" w:cs="Arial"/>
          <w:i/>
          <w:iCs/>
          <w:color w:val="000000"/>
          <w:lang w:val="en-US" w:eastAsia="de-DE"/>
        </w:rPr>
        <w:t>adders</w:t>
      </w:r>
      <w:r>
        <w:rPr>
          <w:rFonts w:ascii="Arial" w:eastAsia="Times New Roman" w:hAnsi="Arial" w:cs="Arial"/>
          <w:color w:val="000000"/>
          <w:lang w:val="en-US" w:eastAsia="de-DE"/>
        </w:rPr>
        <w:t xml:space="preserve"> and </w:t>
      </w:r>
      <w:r>
        <w:rPr>
          <w:rFonts w:ascii="Arial" w:eastAsia="Times New Roman" w:hAnsi="Arial" w:cs="Arial"/>
          <w:i/>
          <w:iCs/>
          <w:color w:val="000000"/>
          <w:lang w:val="en-US" w:eastAsia="de-DE"/>
        </w:rPr>
        <w:t>timers</w:t>
      </w:r>
      <w:r>
        <w:rPr>
          <w:rFonts w:ascii="Arial" w:eastAsia="Times New Roman" w:hAnsi="Arial" w:cs="Arial"/>
          <w:color w:val="000000"/>
          <w:lang w:val="en-US" w:eastAsia="de-DE"/>
        </w:rPr>
        <w:t xml:space="preserve"> do not occur in nature. For example, a perfect </w:t>
      </w:r>
      <w:r>
        <w:rPr>
          <w:rFonts w:ascii="Arial" w:eastAsia="Times New Roman" w:hAnsi="Arial" w:cs="Arial"/>
          <w:i/>
          <w:iCs/>
          <w:color w:val="000000"/>
          <w:lang w:val="en-US" w:eastAsia="de-DE"/>
        </w:rPr>
        <w:t>sizer</w:t>
      </w:r>
      <w:r>
        <w:rPr>
          <w:rFonts w:ascii="Arial" w:eastAsia="Times New Roman" w:hAnsi="Arial" w:cs="Arial"/>
          <w:color w:val="000000"/>
          <w:lang w:val="en-US" w:eastAsia="de-DE"/>
        </w:rPr>
        <w:t xml:space="preserve"> at a cell cycle t</w:t>
      </w:r>
      <w:r>
        <w:rPr>
          <w:rFonts w:ascii="Arial" w:eastAsia="Times New Roman" w:hAnsi="Arial" w:cs="Arial"/>
          <w:color w:val="000000"/>
          <w:lang w:val="en-US" w:eastAsia="de-DE"/>
        </w:rPr>
        <w:t xml:space="preserve">ransition would mean that at a defined threshold size, 100% of cells would make the cell cycle transition and that cells that do not attain this defined size, do not transition. </w:t>
      </w:r>
      <w:proofErr w:type="gramStart"/>
      <w:r>
        <w:rPr>
          <w:rFonts w:ascii="Arial" w:eastAsia="Times New Roman" w:hAnsi="Arial" w:cs="Arial"/>
          <w:color w:val="000000"/>
          <w:lang w:val="en-US" w:eastAsia="de-DE"/>
        </w:rPr>
        <w:t>In reality, size</w:t>
      </w:r>
      <w:proofErr w:type="gramEnd"/>
      <w:r>
        <w:rPr>
          <w:rFonts w:ascii="Arial" w:eastAsia="Times New Roman" w:hAnsi="Arial" w:cs="Arial"/>
          <w:color w:val="000000"/>
          <w:lang w:val="en-US" w:eastAsia="de-DE"/>
        </w:rPr>
        <w:t xml:space="preserve"> control is often noisy. In the budding yeast Start</w:t>
      </w:r>
      <w:r>
        <w:rPr>
          <w:rFonts w:ascii="Arial" w:eastAsia="Times New Roman" w:hAnsi="Arial" w:cs="Arial"/>
          <w:i/>
          <w:iCs/>
          <w:color w:val="000000"/>
          <w:lang w:val="en-US" w:eastAsia="de-DE"/>
        </w:rPr>
        <w:t xml:space="preserve"> sizer</w:t>
      </w:r>
      <w:r>
        <w:rPr>
          <w:rFonts w:ascii="Arial" w:eastAsia="Times New Roman" w:hAnsi="Arial" w:cs="Arial"/>
          <w:color w:val="000000"/>
          <w:lang w:val="en-US" w:eastAsia="de-DE"/>
        </w:rPr>
        <w:t>, for</w:t>
      </w:r>
      <w:r>
        <w:rPr>
          <w:rFonts w:ascii="Arial" w:eastAsia="Times New Roman" w:hAnsi="Arial" w:cs="Arial"/>
          <w:color w:val="000000"/>
          <w:lang w:val="en-US" w:eastAsia="de-DE"/>
        </w:rPr>
        <w:t xml:space="preserve"> example, there is no defined size threshold. Cell-to-cell stochasticity leads to cells passing Start at a range of different cell sizes, albeit the likelihood of passing Start increases with an increase in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w:instrText>
      </w:r>
      <w:r>
        <w:rPr>
          <w:rFonts w:ascii="Arial" w:eastAsia="Times New Roman" w:hAnsi="Arial" w:cs="Arial"/>
          <w:color w:val="000000"/>
          <w:lang w:val="en-US" w:eastAsia="de-DE"/>
        </w:rPr>
        <w:instrText>d":"ITEM-1","itemData":{"author":[{"dropping-particle":"","family":"Schmoller","given":"Kurt M.","non-dropping-particle":"","parse-names":false,"suffix":""},{"dropping-particle":"","family":"Turner","given":"Jonathan J","non-dropping-particle":"","parse-na</w:instrText>
      </w:r>
      <w:r>
        <w:rPr>
          <w:rFonts w:ascii="Arial" w:eastAsia="Times New Roman" w:hAnsi="Arial" w:cs="Arial"/>
          <w:color w:val="000000"/>
          <w:lang w:val="en-US" w:eastAsia="de-DE"/>
        </w:rPr>
        <w:instrText>mes":false,"suffix":""},{"dropping-particle":"","family":"Kõivomägi","given":"Mardo","non-dropping-particle":"","parse-names":false,"suffix":""},{"dropping-particle":"","family":"Skotheim","given":"Jan M.","non-dropping-particle":"","parse-names":false,"su</w:instrText>
      </w:r>
      <w:r>
        <w:rPr>
          <w:rFonts w:ascii="Arial" w:eastAsia="Times New Roman" w:hAnsi="Arial" w:cs="Arial"/>
          <w:color w:val="000000"/>
          <w:lang w:val="en-US" w:eastAsia="de-DE"/>
        </w:rPr>
        <w:instrText>ffix":""}],"container-title":"Nature","id":"ITEM-1","issued":{"date-parts":[["2015"]]},"page":"268-272","title":"Dilution of the cell cycle inhibitor Whi5 controls budding yeast cell size","type":"article-journal","volume":"526"},"uris":["http://www.mendel</w:instrText>
      </w:r>
      <w:r>
        <w:rPr>
          <w:rFonts w:ascii="Arial" w:eastAsia="Times New Roman" w:hAnsi="Arial" w:cs="Arial"/>
          <w:color w:val="000000"/>
          <w:lang w:val="en-US" w:eastAsia="de-DE"/>
        </w:rPr>
        <w:instrText>ey.com/documents/?uuid=fd5a714b-8317-497f-90e4-bf36a0e6efea"]},{"id":"ITEM-2","itemData":{"DOI":"10.1016/j.cub.2017.08.015","ISSN":"09609822","PMID":"28889980","abstract":"Although it has long been clear that cells actively regulate their size, the molecul</w:instrText>
      </w:r>
      <w:r>
        <w:rPr>
          <w:rFonts w:ascii="Arial" w:eastAsia="Times New Roman" w:hAnsi="Arial" w:cs="Arial"/>
          <w:color w:val="000000"/>
          <w:lang w:val="en-US" w:eastAsia="de-DE"/>
        </w:rPr>
        <w:instrText>ar mechanisms underlying this regulation have remained poorly understood. In budding yeast, cell size primarily modulates the duration of the cell-division cycle by controlling the G1/S transition known as Start. We have recently shown that the rate of pro</w:instrText>
      </w:r>
      <w:r>
        <w:rPr>
          <w:rFonts w:ascii="Arial" w:eastAsia="Times New Roman" w:hAnsi="Arial" w:cs="Arial"/>
          <w:color w:val="000000"/>
          <w:lang w:val="en-US" w:eastAsia="de-DE"/>
        </w:rPr>
        <w:instrText>gression through Start increases with cell size, because cell growth dilutes the cell-cycle inhibitor Whi5 in G1. Recent phenomenological studies in yeast and bacteria have shown that these cells add an approximately constant volume during each complete ce</w:instrText>
      </w:r>
      <w:r>
        <w:rPr>
          <w:rFonts w:ascii="Arial" w:eastAsia="Times New Roman" w:hAnsi="Arial" w:cs="Arial"/>
          <w:color w:val="000000"/>
          <w:lang w:val="en-US" w:eastAsia="de-DE"/>
        </w:rPr>
        <w:instrText>ll cycle, independent of their size at birth. These results seem to be in conflict, as the phenomenological studies suggest that cells measure the amount they grow, rather than their size, and that size control acts over the whole cell cycle, rather than s</w:instrText>
      </w:r>
      <w:r>
        <w:rPr>
          <w:rFonts w:ascii="Arial" w:eastAsia="Times New Roman" w:hAnsi="Arial" w:cs="Arial"/>
          <w:color w:val="000000"/>
          <w:lang w:val="en-US" w:eastAsia="de-DE"/>
        </w:rPr>
        <w:instrText xml:space="preserve">pecifically in G1. Here, we propose an integrated model that unifies the adder phenomenology with the molecular mechanism of G1/S cell-size control. We use single-cell microscopy to parameterize a full cell-cycle model based on independent control of pre- </w:instrText>
      </w:r>
      <w:r>
        <w:rPr>
          <w:rFonts w:ascii="Arial" w:eastAsia="Times New Roman" w:hAnsi="Arial" w:cs="Arial"/>
          <w:color w:val="000000"/>
          <w:lang w:val="en-US" w:eastAsia="de-DE"/>
        </w:rPr>
        <w:instrText>and post-Start cell-cycle periods. We find that our model predicts the size-independent amount of cell growth during the full cell cycle. This suggests that the adder phenomenon is an emergent property of the independent regulation of pre- and post-Start c</w:instrText>
      </w:r>
      <w:r>
        <w:rPr>
          <w:rFonts w:ascii="Arial" w:eastAsia="Times New Roman" w:hAnsi="Arial" w:cs="Arial"/>
          <w:color w:val="000000"/>
          <w:lang w:val="en-US" w:eastAsia="de-DE"/>
        </w:rPr>
        <w:instrText>ell-cycle periods rather than the consequence of an underlying molecular mechanism measuring a fixed amount of growth. Budding yeast daughter, but not mother, cells grow a size-independent amount in their cell cycle, known as the adder. Chandler-Brown, Sch</w:instrText>
      </w:r>
      <w:r>
        <w:rPr>
          <w:rFonts w:ascii="Arial" w:eastAsia="Times New Roman" w:hAnsi="Arial" w:cs="Arial"/>
          <w:color w:val="000000"/>
          <w:lang w:val="en-US" w:eastAsia="de-DE"/>
        </w:rPr>
        <w:instrText>moller, et al. show that the adder arises from independent regulation of the pre- and post-Start cell cycle rather than from a molecular adder mechanism. Accordingly, mutations of G1/S regulators disrupt the adder.","author":[{"dropping-particle":"","famil</w:instrText>
      </w:r>
      <w:r>
        <w:rPr>
          <w:rFonts w:ascii="Arial" w:eastAsia="Times New Roman" w:hAnsi="Arial" w:cs="Arial"/>
          <w:color w:val="000000"/>
          <w:lang w:val="en-US" w:eastAsia="de-DE"/>
        </w:rPr>
        <w:instrText>y":"Chandler-Brown","given":"Devon","non-dropping-particle":"","parse-names":false,"suffix":""},{"dropping-particle":"","family":"Schmoller","given":"Kurt M.","non-dropping-particle":"","parse-names":false,"suffix":""},{"dropping-particle":"","family":"Win</w:instrText>
      </w:r>
      <w:r>
        <w:rPr>
          <w:rFonts w:ascii="Arial" w:eastAsia="Times New Roman" w:hAnsi="Arial" w:cs="Arial"/>
          <w:color w:val="000000"/>
          <w:lang w:val="en-US" w:eastAsia="de-DE"/>
        </w:rPr>
        <w:instrText>etraub","given":"Yonatan","non-dropping-particle":"","parse-names":false,"suffix":""},{"dropping-particle":"","family":"Skotheim","given":"Jan M.","non-dropping-particle":"","parse-names":false,"suffix":""}],"container-title":"Current Biology","id":"ITEM-2</w:instrText>
      </w:r>
      <w:r>
        <w:rPr>
          <w:rFonts w:ascii="Arial" w:eastAsia="Times New Roman" w:hAnsi="Arial" w:cs="Arial"/>
          <w:color w:val="000000"/>
          <w:lang w:val="en-US" w:eastAsia="de-DE"/>
        </w:rPr>
        <w:instrText>","issue":"18","issued":{"date-parts":[["2017"]]},"page":"2774-2783.e3","title":"The Adder Phenomenon Emerges from Independent Control of Pre- and Post-Start Phases of the Budding Yeast Cell Cycle","type":"article-journal","volume":"27"},"uris":["http://ww</w:instrText>
      </w:r>
      <w:r>
        <w:rPr>
          <w:rFonts w:ascii="Arial" w:eastAsia="Times New Roman" w:hAnsi="Arial" w:cs="Arial"/>
          <w:color w:val="000000"/>
          <w:lang w:val="en-US" w:eastAsia="de-DE"/>
        </w:rPr>
        <w:instrText>w.mendeley.com/documents/?uuid=a41ea316-44af-44d7-b0fe-2d527534b8af"]}],"mendeley":{"formattedCitation":"&lt;sup&gt;51,163&lt;/sup&gt;","plainTextFormattedCitation":"51,163","previouslyFormattedCitation":"&lt;sup&gt;51,163&lt;/sup&gt;"},"properties":{"noteIndex":0},"schema":"http</w:instrText>
      </w:r>
      <w:r>
        <w:rPr>
          <w:rFonts w:ascii="Arial" w:eastAsia="Times New Roman" w:hAnsi="Arial" w:cs="Arial"/>
          <w:color w:val="000000"/>
          <w:lang w:val="en-US" w:eastAsia="de-DE"/>
        </w:rPr>
        <w:instrText>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51,163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cell-to-cell stochasticity, coupled with multiple partially redundant pathways contributing to size control, makes identification of molecular size control mechanis</w:t>
      </w:r>
      <w:r>
        <w:rPr>
          <w:rFonts w:ascii="Arial" w:eastAsia="Times New Roman" w:hAnsi="Arial" w:cs="Arial"/>
          <w:color w:val="000000"/>
          <w:lang w:val="en-US" w:eastAsia="de-DE"/>
        </w:rPr>
        <w:t>ms a complex task. One explanation for cells evolving multiple size control pathways could be that each pathway is evolved for a specific environmental condition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{"citationItems":[{"id":"ITEM-1","itemData":{"DOI":"10.1242/JCS.251413/VIDEO</w:instrText>
      </w:r>
      <w:r>
        <w:rPr>
          <w:rFonts w:ascii="Arial" w:eastAsia="Times New Roman" w:hAnsi="Arial" w:cs="Arial"/>
          <w:color w:val="000000"/>
          <w:lang w:val="en-US" w:eastAsia="de-DE"/>
        </w:rPr>
        <w:instrText>-4","ISSN":"14779137","PMID":"33443080","abstract":"Start is the main decision point in the eukaryotic cell cycle at which cells commit to a new round of cell division. It involves the irreversible activation of a transcriptional programme through the inac</w:instrText>
      </w:r>
      <w:r>
        <w:rPr>
          <w:rFonts w:ascii="Arial" w:eastAsia="Times New Roman" w:hAnsi="Arial" w:cs="Arial"/>
          <w:color w:val="000000"/>
          <w:lang w:val="en-US" w:eastAsia="de-DE"/>
        </w:rPr>
        <w:instrText>tivation of Start transcriptional repressors: the retinoblastoma family in mammals, or Whi5 and its recently identified paralogue Whi7 (also known as Srl3) in budding yeast. Here, we provide a comprehensive comparison of Whi5 and Whi7 that reveals signific</w:instrText>
      </w:r>
      <w:r>
        <w:rPr>
          <w:rFonts w:ascii="Arial" w:eastAsia="Times New Roman" w:hAnsi="Arial" w:cs="Arial"/>
          <w:color w:val="000000"/>
          <w:lang w:val="en-US" w:eastAsia="de-DE"/>
        </w:rPr>
        <w:instrText>ant qualitative differences. Indeed, the expression, subcellular localization and functionality of Whi7 and Whi5 are differentially regulated. Importantly, Whi7 shows specific properties in its association with promoters not shared by Whi5, and for the fir</w:instrText>
      </w:r>
      <w:r>
        <w:rPr>
          <w:rFonts w:ascii="Arial" w:eastAsia="Times New Roman" w:hAnsi="Arial" w:cs="Arial"/>
          <w:color w:val="000000"/>
          <w:lang w:val="en-US" w:eastAsia="de-DE"/>
        </w:rPr>
        <w:instrText>st time, we demonstrate that Whi7, and not Whi5, can be the main contributor to Start inhibition such as it occurs in the response to cell wall stress. Our results help to improve understanding of the interplay between multiple differentially regulated Sta</w:instrText>
      </w:r>
      <w:r>
        <w:rPr>
          <w:rFonts w:ascii="Arial" w:eastAsia="Times New Roman" w:hAnsi="Arial" w:cs="Arial"/>
          <w:color w:val="000000"/>
          <w:lang w:val="en-US" w:eastAsia="de-DE"/>
        </w:rPr>
        <w:instrText>rt repressors in order to face specific cellular conditions.","author":[{"dropping-particle":"","family":"Méndez","given":"Ester","non-dropping-particle":"","parse-names":false,"suffix":""},{"dropping-particle":"","family":"Gomar-Alba","given":"Merce","non</w:instrText>
      </w:r>
      <w:r>
        <w:rPr>
          <w:rFonts w:ascii="Arial" w:eastAsia="Times New Roman" w:hAnsi="Arial" w:cs="Arial"/>
          <w:color w:val="000000"/>
          <w:lang w:val="en-US" w:eastAsia="de-DE"/>
        </w:rPr>
        <w:instrText>-dropping-particle":"","parse-names":false,"suffix":""},{"dropping-particle":"","family":"Banõó","given":"M. Carmen","non-dropping-particle":"","parse-names":false,"suffix":""},{"dropping-particle":"","family":"Mendoza","given":"Manuel","non-dropping-parti</w:instrText>
      </w:r>
      <w:r>
        <w:rPr>
          <w:rFonts w:ascii="Arial" w:eastAsia="Times New Roman" w:hAnsi="Arial" w:cs="Arial"/>
          <w:color w:val="000000"/>
          <w:lang w:val="en-US" w:eastAsia="de-DE"/>
        </w:rPr>
        <w:instrText>cle":"","parse-names":false,"suffix":""},{"dropping-particle":"","family":"Quilis","given":"Inma","non-dropping-particle":"","parse-names":false,"suffix":""},{"dropping-particle":"","family":"Igual","given":"J. Carlos","non-dropping-particle":"","parse-nam</w:instrText>
      </w:r>
      <w:r>
        <w:rPr>
          <w:rFonts w:ascii="Arial" w:eastAsia="Times New Roman" w:hAnsi="Arial" w:cs="Arial"/>
          <w:color w:val="000000"/>
          <w:lang w:val="en-US" w:eastAsia="de-DE"/>
        </w:rPr>
        <w:instrText>es":false,"suffix":""}],"container-title":"Journal of Cell Science","id":"ITEM-1","issue":"24","issued":{"date-parts":[["2020","12","1"]]},"publisher":"Company of Biologists Ltd","title":"The budding yeast Start repressor Whi7 differs in regulation from Wh</w:instrText>
      </w:r>
      <w:r>
        <w:rPr>
          <w:rFonts w:ascii="Arial" w:eastAsia="Times New Roman" w:hAnsi="Arial" w:cs="Arial"/>
          <w:color w:val="000000"/>
          <w:lang w:val="en-US" w:eastAsia="de-DE"/>
        </w:rPr>
        <w:instrText>i5, emerging as a major cell cycle brake in response to stress","type":"article-journal","volume":"133"},"uris":["http://www.mendeley.com/documents/?uuid=37067f67-06e0-39de-9a2d-2a7047948937"]}],"mendeley":{"formattedCitation":"&lt;sup&gt;301&lt;/sup&gt;","plainTextFo</w:instrText>
      </w:r>
      <w:r>
        <w:rPr>
          <w:rFonts w:ascii="Arial" w:eastAsia="Times New Roman" w:hAnsi="Arial" w:cs="Arial"/>
          <w:color w:val="000000"/>
          <w:lang w:val="en-US" w:eastAsia="de-DE"/>
        </w:rPr>
        <w:instrText>rmattedCitation":"301","previouslyFormattedCitation":"&lt;sup&gt;301&lt;/sup&gt;"},"properties":{"noteIndex":0},"schema":"https://github.com/citation-style-language/schema/raw/master/csl-citation.json"}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301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Size control, so far, has mostly been studied under steady</w:t>
      </w:r>
      <w:r>
        <w:rPr>
          <w:rFonts w:ascii="Arial" w:eastAsia="Times New Roman" w:hAnsi="Arial" w:cs="Arial"/>
          <w:color w:val="000000"/>
          <w:lang w:val="en-US" w:eastAsia="de-DE"/>
        </w:rPr>
        <w:t xml:space="preserve"> state conditions and this could explain why the multiple size control pathways appear redundant. While steady state studies have been extremely valuable for identifying the various cell size regulators and strategies, studying cell size control under chan</w:t>
      </w:r>
      <w:r>
        <w:rPr>
          <w:rFonts w:ascii="Arial" w:eastAsia="Times New Roman" w:hAnsi="Arial" w:cs="Arial"/>
          <w:color w:val="000000"/>
          <w:lang w:val="en-US" w:eastAsia="de-DE"/>
        </w:rPr>
        <w:t>ging environmental conditions may be key to revealing specialized roles for these seemingly redundant regulators. </w:t>
      </w:r>
    </w:p>
    <w:p w14:paraId="5837786D"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 xml:space="preserve">7.1.5 </w:t>
      </w:r>
      <w:proofErr w:type="spellStart"/>
      <w:r>
        <w:rPr>
          <w:rFonts w:ascii="Arial" w:eastAsia="Times New Roman" w:hAnsi="Arial" w:cs="Arial"/>
          <w:i/>
          <w:iCs/>
          <w:color w:val="000000"/>
          <w:u w:val="single"/>
          <w:lang w:val="en-US" w:eastAsia="de-DE"/>
        </w:rPr>
        <w:t>Mechanosensing</w:t>
      </w:r>
      <w:proofErr w:type="spellEnd"/>
      <w:r>
        <w:rPr>
          <w:rFonts w:ascii="Arial" w:eastAsia="Times New Roman" w:hAnsi="Arial" w:cs="Arial"/>
          <w:i/>
          <w:iCs/>
          <w:color w:val="000000"/>
          <w:u w:val="single"/>
          <w:lang w:val="en-US" w:eastAsia="de-DE"/>
        </w:rPr>
        <w:t xml:space="preserve"> in tissues</w:t>
      </w:r>
    </w:p>
    <w:p w14:paraId="6313CFD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Our understanding of size control </w:t>
      </w:r>
      <w:r>
        <w:rPr>
          <w:rFonts w:ascii="Arial" w:eastAsia="Times New Roman" w:hAnsi="Arial" w:cs="Arial"/>
          <w:i/>
          <w:iCs/>
          <w:color w:val="000000"/>
          <w:lang w:val="en-US" w:eastAsia="de-DE"/>
        </w:rPr>
        <w:t>in vivo</w:t>
      </w:r>
      <w:r>
        <w:rPr>
          <w:rFonts w:ascii="Arial" w:eastAsia="Times New Roman" w:hAnsi="Arial" w:cs="Arial"/>
          <w:color w:val="000000"/>
          <w:lang w:val="en-US" w:eastAsia="de-DE"/>
        </w:rPr>
        <w:t xml:space="preserve"> is still very limited. One possibility is that in addition to intracellular regulation, tissue context facilitates additional strategies for size sensing and size regulation. Liu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w:instrText>
      </w:r>
      <w:r>
        <w:rPr>
          <w:rFonts w:ascii="Arial" w:eastAsia="Times New Roman" w:hAnsi="Arial" w:cs="Arial"/>
          <w:color w:val="000000"/>
          <w:lang w:val="en-US" w:eastAsia="de-DE"/>
        </w:rPr>
        <w:instrText>"10.3389/FCELL.2022.949382/BIBTEX","ISSN":"2296634X","abstract":"The human body is programmed with definite quantities, magnitudes, and proportions. At the microscopic level, such definite sizes manifest in individual cells - different cell types are chara</w:instrText>
      </w:r>
      <w:r>
        <w:rPr>
          <w:rFonts w:ascii="Arial" w:eastAsia="Times New Roman" w:hAnsi="Arial" w:cs="Arial"/>
          <w:color w:val="000000"/>
          <w:lang w:val="en-US" w:eastAsia="de-DE"/>
        </w:rPr>
        <w:instrText xml:space="preserve">cterized by distinct cell sizes whereas cells of the same type are highly uniform in size. How do cells in a population maintain uniformity in cell size, and how are changes in target size programmed? A convergence of recent and historical studies suggest </w:instrText>
      </w:r>
      <w:r>
        <w:rPr>
          <w:rFonts w:ascii="Arial" w:eastAsia="Times New Roman" w:hAnsi="Arial" w:cs="Arial"/>
          <w:color w:val="000000"/>
          <w:lang w:val="en-US" w:eastAsia="de-DE"/>
        </w:rPr>
        <w:instrText xml:space="preserve">- just as a thermostat maintains room temperature - the size of proliferating animal cells is similarly maintained by homeostatic mechanisms. In this review, we first summarize old and new literature on the existence of cell size checkpoints, then discuss </w:instrText>
      </w:r>
      <w:r>
        <w:rPr>
          <w:rFonts w:ascii="Arial" w:eastAsia="Times New Roman" w:hAnsi="Arial" w:cs="Arial"/>
          <w:color w:val="000000"/>
          <w:lang w:val="en-US" w:eastAsia="de-DE"/>
        </w:rPr>
        <w:instrText>additional advances in the study of size homeostasis that involve feedback regulation of cellular growth rate. We further discuss recent progress on the molecules that underlie cell size checkpoints and mechanisms that specify target size setpoints. Lastly</w:instrText>
      </w:r>
      <w:r>
        <w:rPr>
          <w:rFonts w:ascii="Arial" w:eastAsia="Times New Roman" w:hAnsi="Arial" w:cs="Arial"/>
          <w:color w:val="000000"/>
          <w:lang w:val="en-US" w:eastAsia="de-DE"/>
        </w:rPr>
        <w:instrText>, we discuss a less-well explored teleological question: why does cell size matter and what is the functional importance of cell size control?","author":[{"dropping-particle":"","family":"Liu","given":"Shixuan","non-dropping-particle":"","parse-names":fals</w:instrText>
      </w:r>
      <w:r>
        <w:rPr>
          <w:rFonts w:ascii="Arial" w:eastAsia="Times New Roman" w:hAnsi="Arial" w:cs="Arial"/>
          <w:color w:val="000000"/>
          <w:lang w:val="en-US" w:eastAsia="de-DE"/>
        </w:rPr>
        <w:instrText>e,"suffix":""},{"dropping-particle":"","family":"Tan","given":"Ceryl","non-dropping-particle":"","parse-names":false,"suffix":""},{"dropping-particle":"","family":"Tyers","given":"Mike","non-dropping-particle":"","parse-names":false,"suffix":""},{"dropping</w:instrText>
      </w:r>
      <w:r>
        <w:rPr>
          <w:rFonts w:ascii="Arial" w:eastAsia="Times New Roman" w:hAnsi="Arial" w:cs="Arial"/>
          <w:color w:val="000000"/>
          <w:lang w:val="en-US" w:eastAsia="de-DE"/>
        </w:rPr>
        <w:instrText>-particle":"","family":"Zetterberg","given":"Anders","non-dropping-particle":"","parse-names":false,"suffix":""},{"dropping-particle":"","family":"Kafri","given":"Ran","non-dropping-particle":"","parse-names":false,"suffix":""}],"container-title":"Frontier</w:instrText>
      </w:r>
      <w:r>
        <w:rPr>
          <w:rFonts w:ascii="Arial" w:eastAsia="Times New Roman" w:hAnsi="Arial" w:cs="Arial"/>
          <w:color w:val="000000"/>
          <w:lang w:val="en-US" w:eastAsia="de-DE"/>
        </w:rPr>
        <w:instrText>s in Cell and Developmental Biology","id":"ITEM-1","issued":{"date-parts":[["2022","11","1"]]},"page":"949382","publisher":"Frontiers Media S.A.","title":"What programs the size of animal cells?","type":"article-journal","volume":"10"},"uris":["http://www.</w:instrText>
      </w:r>
      <w:r>
        <w:rPr>
          <w:rFonts w:ascii="Arial" w:eastAsia="Times New Roman" w:hAnsi="Arial" w:cs="Arial"/>
          <w:color w:val="000000"/>
          <w:lang w:val="en-US" w:eastAsia="de-DE"/>
        </w:rPr>
        <w:instrText>mendeley.com/documents/?uuid=9c31cbbe-a90d-3eca-b3d8-9b0266a5b0f6"]}],"mendeley":{"formattedCitation":"&lt;sup&gt;249&lt;/sup&gt;","plainTextFormattedCitation":"249","previouslyFormattedCitation":"&lt;sup&gt;249&lt;/sup&gt;"},"properties":{"noteIndex":0},"schema":"https://github.</w:instrText>
      </w:r>
      <w:r>
        <w:rPr>
          <w:rFonts w:ascii="Arial" w:eastAsia="Times New Roman" w:hAnsi="Arial" w:cs="Arial"/>
          <w:color w:val="000000"/>
          <w:lang w:val="en-US" w:eastAsia="de-DE"/>
        </w:rPr>
        <w:instrText>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249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outline multiple examples of how extracellular mechanical signals can affect cell size. Kidney epithelial cells have been shown to detect extracellular urine flow via primary cilia and</w:t>
      </w:r>
      <w:r>
        <w:rPr>
          <w:rFonts w:ascii="Arial" w:eastAsia="Times New Roman" w:hAnsi="Arial" w:cs="Arial"/>
          <w:color w:val="000000"/>
          <w:lang w:val="en-US" w:eastAsia="de-DE"/>
        </w:rPr>
        <w:t xml:space="preserve"> regulate their cell size in response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{"citationItems":[{"id":"ITEM-1","itemData":{"DOI":"10.1038/ncb2117","ISSN":"1476-4679","PMID":"20972424","abstract":"The mTOR pathway is a well-known regulator of cell size, and deregulation of mTOR </w:instrText>
      </w:r>
      <w:r>
        <w:rPr>
          <w:rFonts w:ascii="Arial" w:eastAsia="Times New Roman" w:hAnsi="Arial" w:cs="Arial"/>
          <w:color w:val="000000"/>
          <w:lang w:val="en-US" w:eastAsia="de-DE"/>
        </w:rPr>
        <w:instrText xml:space="preserve">has been observed in cilia-related diseases. Cilia modulate cell size by restricting LKB-1-mediated activation of AMPK to the basal body, which subsequently affects mTOR signalling. The mTOR pathway is the central regulator of cell size1. External signals </w:instrText>
      </w:r>
      <w:r>
        <w:rPr>
          <w:rFonts w:ascii="Arial" w:eastAsia="Times New Roman" w:hAnsi="Arial" w:cs="Arial"/>
          <w:color w:val="000000"/>
          <w:lang w:val="en-US" w:eastAsia="de-DE"/>
        </w:rPr>
        <w:instrText xml:space="preserve">from growth factors and nutrients converge on the mTORC1 multi-protein complex to modulate downstream targets, but how the different inputs are integrated and translated into specific cellular responses is incompletely understood2,3,4. Deregulation of the </w:instrText>
      </w:r>
      <w:r>
        <w:rPr>
          <w:rFonts w:ascii="Arial" w:eastAsia="Times New Roman" w:hAnsi="Arial" w:cs="Arial"/>
          <w:color w:val="000000"/>
          <w:lang w:val="en-US" w:eastAsia="de-DE"/>
        </w:rPr>
        <w:instrText>mTOR pathway occurs in polycystic kidney disease (PKD)5,6,7, where cilia (filiform sensory organelles) fail to sense urine flow because of inherited mutations in ciliary proteins8. We therefore investigated if cilia have a role in mTOR regulation. Here, we</w:instrText>
      </w:r>
      <w:r>
        <w:rPr>
          <w:rFonts w:ascii="Arial" w:eastAsia="Times New Roman" w:hAnsi="Arial" w:cs="Arial"/>
          <w:color w:val="000000"/>
          <w:lang w:val="en-US" w:eastAsia="de-DE"/>
        </w:rPr>
        <w:instrText xml:space="preserve"> show that ablation of cilia in transgenic mice results in enlarged cells when compared with control animals. In vitro analysis demonstrated that bending of the cilia by flow is required for mTOR downregulation and cell-size control. Surprisingly, regulati</w:instrText>
      </w:r>
      <w:r>
        <w:rPr>
          <w:rFonts w:ascii="Arial" w:eastAsia="Times New Roman" w:hAnsi="Arial" w:cs="Arial"/>
          <w:color w:val="000000"/>
          <w:lang w:val="en-US" w:eastAsia="de-DE"/>
        </w:rPr>
        <w:instrText>on of cell size by cilia is independent of flow-induced calcium transients, or Akt. However, the tumour-suppressor protein Lkb1 localises in the cilium, and flow results in increased AMPK phosphorylation at the basal body. Conversely, knockdown of Lkb1 pre</w:instrText>
      </w:r>
      <w:r>
        <w:rPr>
          <w:rFonts w:ascii="Arial" w:eastAsia="Times New Roman" w:hAnsi="Arial" w:cs="Arial"/>
          <w:color w:val="000000"/>
          <w:lang w:val="en-US" w:eastAsia="de-DE"/>
        </w:rPr>
        <w:instrText>vents normal cell-size regulation under flow conditions. Our results demonstrate that the cilium regulates mTOR signalling and cell size, and identify the cilium-basal body compartment as a spatially restricted activation site for Lkb1 signalling.","author</w:instrText>
      </w:r>
      <w:r>
        <w:rPr>
          <w:rFonts w:ascii="Arial" w:eastAsia="Times New Roman" w:hAnsi="Arial" w:cs="Arial"/>
          <w:color w:val="000000"/>
          <w:lang w:val="en-US" w:eastAsia="de-DE"/>
        </w:rPr>
        <w:instrText>":[{"dropping-particle":"","family":"Boehlke","given":"Christopher","non-dropping-particle":"","parse-names":false,"suffix":""},{"dropping-particle":"","family":"Kotsis","given":"Fruzsina","non-dropping-particle":"","parse-names":false,"suffix":""},{"dropp</w:instrText>
      </w:r>
      <w:r>
        <w:rPr>
          <w:rFonts w:ascii="Arial" w:eastAsia="Times New Roman" w:hAnsi="Arial" w:cs="Arial"/>
          <w:color w:val="000000"/>
          <w:lang w:val="en-US" w:eastAsia="de-DE"/>
        </w:rPr>
        <w:instrText>ing-particle":"","family":"Patel","given":"Vishal","non-dropping-particle":"","parse-names":false,"suffix":""},{"dropping-particle":"","family":"Braeg","given":"Simone","non-dropping-particle":"","parse-names":false,"suffix":""},{"dropping-particle":"","fa</w:instrText>
      </w:r>
      <w:r>
        <w:rPr>
          <w:rFonts w:ascii="Arial" w:eastAsia="Times New Roman" w:hAnsi="Arial" w:cs="Arial"/>
          <w:color w:val="000000"/>
          <w:lang w:val="en-US" w:eastAsia="de-DE"/>
        </w:rPr>
        <w:instrText>mily":"Voelker","given":"Henriette","non-dropping-particle":"","parse-names":false,"suffix":""},{"dropping-particle":"","family":"Bredt","given":"Saskia","non-dropping-particle":"","parse-names":false,"suffix":""},{"dropping-particle":"","family":"Beyer","</w:instrText>
      </w:r>
      <w:r>
        <w:rPr>
          <w:rFonts w:ascii="Arial" w:eastAsia="Times New Roman" w:hAnsi="Arial" w:cs="Arial"/>
          <w:color w:val="000000"/>
          <w:lang w:val="en-US" w:eastAsia="de-DE"/>
        </w:rPr>
        <w:instrText>given":"Theresa","non-dropping-particle":"","parse-names":false,"suffix":""},{"dropping-particle":"","family":"Janusch","given":"Heike","non-dropping-particle":"","parse-names":false,"suffix":""},{"dropping-particle":"","family":"Hamann","given":"Christoph</w:instrText>
      </w:r>
      <w:r>
        <w:rPr>
          <w:rFonts w:ascii="Arial" w:eastAsia="Times New Roman" w:hAnsi="Arial" w:cs="Arial"/>
          <w:color w:val="000000"/>
          <w:lang w:val="en-US" w:eastAsia="de-DE"/>
        </w:rPr>
        <w:instrText>","non-dropping-particle":"","parse-names":false,"suffix":""},{"dropping-particle":"","family":"Gödel","given":"Markus","non-dropping-particle":"","parse-names":false,"suffix":""},{"dropping-particle":"","family":"Müller","given":"Klaus","non-dropping-part</w:instrText>
      </w:r>
      <w:r>
        <w:rPr>
          <w:rFonts w:ascii="Arial" w:eastAsia="Times New Roman" w:hAnsi="Arial" w:cs="Arial"/>
          <w:color w:val="000000"/>
          <w:lang w:val="en-US" w:eastAsia="de-DE"/>
        </w:rPr>
        <w:instrText>icle":"","parse-names":false,"suffix":""},{"dropping-particle":"","family":"Herbst","given":"Martin","non-dropping-particle":"","parse-names":false,"suffix":""},{"dropping-particle":"","family":"Hornung","given":"Miriam","non-dropping-particle":"","parse-n</w:instrText>
      </w:r>
      <w:r>
        <w:rPr>
          <w:rFonts w:ascii="Arial" w:eastAsia="Times New Roman" w:hAnsi="Arial" w:cs="Arial"/>
          <w:color w:val="000000"/>
          <w:lang w:val="en-US" w:eastAsia="de-DE"/>
        </w:rPr>
        <w:instrText>ames":false,"suffix":""},{"dropping-particle":"","family":"Doerken","given":"Mara","non-dropping-particle":"","parse-names":false,"suffix":""},{"dropping-particle":"","family":"Köttgen","given":"Michael","non-dropping-particle":"","parse-names":false,"suff</w:instrText>
      </w:r>
      <w:r>
        <w:rPr>
          <w:rFonts w:ascii="Arial" w:eastAsia="Times New Roman" w:hAnsi="Arial" w:cs="Arial"/>
          <w:color w:val="000000"/>
          <w:lang w:val="en-US" w:eastAsia="de-DE"/>
        </w:rPr>
        <w:instrText>ix":""},{"dropping-particle":"","family":"Nitschke","given":"Roland","non-dropping-particle":"","parse-names":false,"suffix":""},{"dropping-particle":"","family":"Igarashi","given":"Peter","non-dropping-particle":"","parse-names":false,"suffix":""},{"dropp</w:instrText>
      </w:r>
      <w:r>
        <w:rPr>
          <w:rFonts w:ascii="Arial" w:eastAsia="Times New Roman" w:hAnsi="Arial" w:cs="Arial"/>
          <w:color w:val="000000"/>
          <w:lang w:val="en-US" w:eastAsia="de-DE"/>
        </w:rPr>
        <w:instrText>ing-particle":"","family":"Walz","given":"Gerd","non-dropping-particle":"","parse-names":false,"suffix":""},{"dropping-particle":"","family":"Kuehn","given":"E. Wolfgang","non-dropping-particle":"","parse-names":false,"suffix":""}],"container-title":"Natur</w:instrText>
      </w:r>
      <w:r>
        <w:rPr>
          <w:rFonts w:ascii="Arial" w:eastAsia="Times New Roman" w:hAnsi="Arial" w:cs="Arial"/>
          <w:color w:val="000000"/>
          <w:lang w:val="en-US" w:eastAsia="de-DE"/>
        </w:rPr>
        <w:instrText>e Cell Biology 2010 12:11","id":"ITEM-1","issue":"11","issued":{"date-parts":[["2010","10","24"]]},"page":"1115-1122","publisher":"Nature Publishing Group","title":"Primary cilia regulate mTORC1 activity and cell size through Lkb1","type":"article-journal"</w:instrText>
      </w:r>
      <w:r>
        <w:rPr>
          <w:rFonts w:ascii="Arial" w:eastAsia="Times New Roman" w:hAnsi="Arial" w:cs="Arial"/>
          <w:color w:val="000000"/>
          <w:lang w:val="en-US" w:eastAsia="de-DE"/>
        </w:rPr>
        <w:instrText>,"volume":"12"},"uris":["http://www.mendeley.com/documents/?uuid=fbde191f-3d2a-33df-b9ed-6fc3215b537e"]}],"mendeley":{"formattedCitation":"&lt;sup&gt;178&lt;/sup&gt;","plainTextFormattedCitation":"178","previouslyFormattedCitation":"&lt;sup&gt;178&lt;/sup&gt;"},"properties":{"not</w:instrText>
      </w:r>
      <w:r>
        <w:rPr>
          <w:rFonts w:ascii="Arial" w:eastAsia="Times New Roman" w:hAnsi="Arial" w:cs="Arial"/>
          <w:color w:val="000000"/>
          <w:lang w:val="en-US" w:eastAsia="de-DE"/>
        </w:rPr>
        <w:instrTex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178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Mammalian cells have been shown to sense local mechanical forces, such as compression or stretching, and to respond by inhibiting or promoting grow</w:t>
      </w:r>
      <w:r>
        <w:rPr>
          <w:rFonts w:ascii="Arial" w:eastAsia="Times New Roman" w:hAnsi="Arial" w:cs="Arial"/>
          <w:color w:val="000000"/>
          <w:lang w:val="en-US" w:eastAsia="de-DE"/>
        </w:rPr>
        <w:t>th respectively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{"citationItems":[{"id":"ITEM-1","itemData":{"DOI":"10.1073/PNAS.1323016111/SUPPL_FILE/SM08.MOV","ISSN":"10916490","PMID":"24706777","abstract":"Control of cell proliferation is a fundamental aspect of tissue formation in </w:instrText>
      </w:r>
      <w:r>
        <w:rPr>
          <w:rFonts w:ascii="Arial" w:eastAsia="Times New Roman" w:hAnsi="Arial" w:cs="Arial"/>
          <w:color w:val="000000"/>
          <w:lang w:val="en-US" w:eastAsia="de-DE"/>
        </w:rPr>
        <w:instrText>development and regeneration. Cells experience various spatial and mechanical constraints depending on their environmental context in the body, but we do not fully understand if and how such constraints influence cell cycle progression and thereby prolifer</w:instrText>
      </w:r>
      <w:r>
        <w:rPr>
          <w:rFonts w:ascii="Arial" w:eastAsia="Times New Roman" w:hAnsi="Arial" w:cs="Arial"/>
          <w:color w:val="000000"/>
          <w:lang w:val="en-US" w:eastAsia="de-DE"/>
        </w:rPr>
        <w:instrText>ation patterns in tissues. Here, we study the impact of mechanical manipulations on the cell cycle of individual cells within a mammalian model epithelium. By monitoring the response to experimentally applied forces, we find a checkpoint at the G1-S bounda</w:instrText>
      </w:r>
      <w:r>
        <w:rPr>
          <w:rFonts w:ascii="Arial" w:eastAsia="Times New Roman" w:hAnsi="Arial" w:cs="Arial"/>
          <w:color w:val="000000"/>
          <w:lang w:val="en-US" w:eastAsia="de-DE"/>
        </w:rPr>
        <w:instrText>ry that, in response to spatial constraints, controls cell cycle progression. This checkpoint prevents cells from entering S phase if the available space remains below a characteristic threshold because of crowding. Stretching the tissue results in fast ce</w:instrText>
      </w:r>
      <w:r>
        <w:rPr>
          <w:rFonts w:ascii="Arial" w:eastAsia="Times New Roman" w:hAnsi="Arial" w:cs="Arial"/>
          <w:color w:val="000000"/>
          <w:lang w:val="en-US" w:eastAsia="de-DE"/>
        </w:rPr>
        <w:instrText xml:space="preserve">ll cycle reactivation, whereas compression rapidly leads to cell cycle arrest. Our kinetic analysis of this response shows that cells have no memory of past constraints and allows us to formulate a biophysical model that predicts tissue growth in response </w:instrText>
      </w:r>
      <w:r>
        <w:rPr>
          <w:rFonts w:ascii="Arial" w:eastAsia="Times New Roman" w:hAnsi="Arial" w:cs="Arial"/>
          <w:color w:val="000000"/>
          <w:lang w:val="en-US" w:eastAsia="de-DE"/>
        </w:rPr>
        <w:instrText>to changes in spatial constraints in the environment. This characteristic biomechanical cell cycle response likely serves as a fundamental control mechanism to maintain tissue integrity and to ensure control of tissue growth during development and regenera</w:instrText>
      </w:r>
      <w:r>
        <w:rPr>
          <w:rFonts w:ascii="Arial" w:eastAsia="Times New Roman" w:hAnsi="Arial" w:cs="Arial"/>
          <w:color w:val="000000"/>
          <w:lang w:val="en-US" w:eastAsia="de-DE"/>
        </w:rPr>
        <w:instrText>tion.","author":[{"dropping-particle":"","family":"Streichan","given":"Sebastian J.","non-dropping-particle":"","parse-names":false,"suffix":""},{"dropping-particle":"","family":"Hoerner","given":"Christian R.","non-dropping-particle":"","parse-names":fals</w:instrText>
      </w:r>
      <w:r>
        <w:rPr>
          <w:rFonts w:ascii="Arial" w:eastAsia="Times New Roman" w:hAnsi="Arial" w:cs="Arial"/>
          <w:color w:val="000000"/>
          <w:lang w:val="en-US" w:eastAsia="de-DE"/>
        </w:rPr>
        <w:instrText>e,"suffix":""},{"dropping-particle":"","family":"Schneidt","given":"Tatjana","non-dropping-particle":"","parse-names":false,"suffix":""},{"dropping-particle":"","family":"Holzer","given":"Daniela","non-dropping-particle":"","parse-names":false,"suffix":""}</w:instrText>
      </w:r>
      <w:r>
        <w:rPr>
          <w:rFonts w:ascii="Arial" w:eastAsia="Times New Roman" w:hAnsi="Arial" w:cs="Arial"/>
          <w:color w:val="000000"/>
          <w:lang w:val="en-US" w:eastAsia="de-DE"/>
        </w:rPr>
        <w:instrText>,{"dropping-particle":"","family":"Hufnagel","given":"Lars","non-dropping-particle":"","parse-names":false,"suffix":""}],"container-title":"Proceedings of the National Academy of Sciences of the United States of America","id":"ITEM-1","issue":"15","issued"</w:instrText>
      </w:r>
      <w:r>
        <w:rPr>
          <w:rFonts w:ascii="Arial" w:eastAsia="Times New Roman" w:hAnsi="Arial" w:cs="Arial"/>
          <w:color w:val="000000"/>
          <w:lang w:val="en-US" w:eastAsia="de-DE"/>
        </w:rPr>
        <w:instrText>:{"date-parts":[["2014","4","15"]]},"page":"5586-5591","publisher":"National Academy of Sciences","title":"Spatial constraints control cell proliferation in tissues","type":"article-journal","volume":"111"},"uris":["http://www.mendeley.com/documents/?uuid=</w:instrText>
      </w:r>
      <w:r>
        <w:rPr>
          <w:rFonts w:ascii="Arial" w:eastAsia="Times New Roman" w:hAnsi="Arial" w:cs="Arial"/>
          <w:color w:val="000000"/>
          <w:lang w:val="en-US" w:eastAsia="de-DE"/>
        </w:rPr>
        <w:instrText>0066593f-108c-35f5-ad5f-e85d7ca5fbbd"]},{"id":"ITEM-2","itemData":{"DOI":"10.1073/PNAS.1615012113/SUPPL_FILE/PNAS.1615012113.SM04.AVI","ISSN":"10916490","abstract":"Mechanical stress can influence cell proliferation in vitro, but whether it makes a signifi</w:instrText>
      </w:r>
      <w:r>
        <w:rPr>
          <w:rFonts w:ascii="Arial" w:eastAsia="Times New Roman" w:hAnsi="Arial" w:cs="Arial"/>
          <w:color w:val="000000"/>
          <w:lang w:val="en-US" w:eastAsia="de-DE"/>
        </w:rPr>
        <w:instrText>cant contribution to growth control in vivo, and how it is modulated and experienced by cells within developing tissues, has remained unclear. Here we report that differential growth reduces cytoskeletal tension along cell junctions within faster-growing c</w:instrText>
      </w:r>
      <w:r>
        <w:rPr>
          <w:rFonts w:ascii="Arial" w:eastAsia="Times New Roman" w:hAnsi="Arial" w:cs="Arial"/>
          <w:color w:val="000000"/>
          <w:lang w:val="en-US" w:eastAsia="de-DE"/>
        </w:rPr>
        <w:instrText>ells. We propose a theoretical model to explain the observed reduction of tension within faster-growing clones, supporting it by computer simulations based on a generalized vertex model. This reduced tension modulates a biomechanical Hippo pathway, decreas</w:instrText>
      </w:r>
      <w:r>
        <w:rPr>
          <w:rFonts w:ascii="Arial" w:eastAsia="Times New Roman" w:hAnsi="Arial" w:cs="Arial"/>
          <w:color w:val="000000"/>
          <w:lang w:val="en-US" w:eastAsia="de-DE"/>
        </w:rPr>
        <w:instrText>ing recruitment of Ajuba LIM protein and the Hippo pathway kinase Warts, and decreasing the activity of the growth-promoting transcription factor Yorkie. These observations provide a specific mechanism for a mechanical feedback that contributes to evenly d</w:instrText>
      </w:r>
      <w:r>
        <w:rPr>
          <w:rFonts w:ascii="Arial" w:eastAsia="Times New Roman" w:hAnsi="Arial" w:cs="Arial"/>
          <w:color w:val="000000"/>
          <w:lang w:val="en-US" w:eastAsia="de-DE"/>
        </w:rPr>
        <w:instrText xml:space="preserve">istributed growth, and we show that genetically suppressing mechanical feedback alters patterns of cell proliferation in the developing Drosophila wing. By providing experimental support for the induction of mechanical stress by differential growth, and a </w:instrText>
      </w:r>
      <w:r>
        <w:rPr>
          <w:rFonts w:ascii="Arial" w:eastAsia="Times New Roman" w:hAnsi="Arial" w:cs="Arial"/>
          <w:color w:val="000000"/>
          <w:lang w:val="en-US" w:eastAsia="de-DE"/>
        </w:rPr>
        <w:instrText>molecular mechanism linking this stress to the regulation of growth in developing organs, our results confirm and extend the mechanical feedback hypothesis.","author":[{"dropping-particle":"","family":"Pan","given":"Yuanwang","non-dropping-particle":"","pa</w:instrText>
      </w:r>
      <w:r>
        <w:rPr>
          <w:rFonts w:ascii="Arial" w:eastAsia="Times New Roman" w:hAnsi="Arial" w:cs="Arial"/>
          <w:color w:val="000000"/>
          <w:lang w:val="en-US" w:eastAsia="de-DE"/>
        </w:rPr>
        <w:instrText>rse-names":false,"suffix":""},{"dropping-particle":"","family":"Heemskerk","given":"Idse","non-dropping-particle":"","parse-names":false,"suffix":""},{"dropping-particle":"","family":"Ibar","given":"Consuelo","non-dropping-particle":"","parse-names":false,</w:instrText>
      </w:r>
      <w:r>
        <w:rPr>
          <w:rFonts w:ascii="Arial" w:eastAsia="Times New Roman" w:hAnsi="Arial" w:cs="Arial"/>
          <w:color w:val="000000"/>
          <w:lang w:val="en-US" w:eastAsia="de-DE"/>
        </w:rPr>
        <w:instrText>"suffix":""},{"dropping-particle":"","family":"Shraiman","given":"Boris I.","non-dropping-particle":"","parse-names":false,"suffix":""},{"dropping-particle":"","family":"Irvine","given":"Kenneth D.","non-dropping-particle":"","parse-names":false,"suffix":"</w:instrText>
      </w:r>
      <w:r>
        <w:rPr>
          <w:rFonts w:ascii="Arial" w:eastAsia="Times New Roman" w:hAnsi="Arial" w:cs="Arial"/>
          <w:color w:val="000000"/>
          <w:lang w:val="en-US" w:eastAsia="de-DE"/>
        </w:rPr>
        <w:instrText>"}],"container-title":"Proceedings of the National Academy of Sciences of the United States of America","id":"ITEM-2","issue":"45","issued":{"date-parts":[["2016","11","8"]]},"page":"E6974-E6983","publisher":"National Academy of Sciences","title":"Differen</w:instrText>
      </w:r>
      <w:r>
        <w:rPr>
          <w:rFonts w:ascii="Arial" w:eastAsia="Times New Roman" w:hAnsi="Arial" w:cs="Arial"/>
          <w:color w:val="000000"/>
          <w:lang w:val="en-US" w:eastAsia="de-DE"/>
        </w:rPr>
        <w:instrText>tial growth triggers mechanical feedback that elevates Hippo signaling","type":"article-journal","volume":"113"},"uris":["http://www.mendeley.com/documents/?uuid=961db53f-8e4b-3594-89db-ec1ca60ff9c0"]},{"id":"ITEM-3","itemData":{"DOI":"10.3389/FCELL.2022.9</w:instrText>
      </w:r>
      <w:r>
        <w:rPr>
          <w:rFonts w:ascii="Arial" w:eastAsia="Times New Roman" w:hAnsi="Arial" w:cs="Arial"/>
          <w:color w:val="000000"/>
          <w:lang w:val="en-US" w:eastAsia="de-DE"/>
        </w:rPr>
        <w:instrText xml:space="preserve">49382/BIBTEX","ISSN":"2296634X","abstract":"The human body is programmed with definite quantities, magnitudes, and proportions. At the microscopic level, such definite sizes manifest in individual cells - different cell types are characterized by distinct </w:instrText>
      </w:r>
      <w:r>
        <w:rPr>
          <w:rFonts w:ascii="Arial" w:eastAsia="Times New Roman" w:hAnsi="Arial" w:cs="Arial"/>
          <w:color w:val="000000"/>
          <w:lang w:val="en-US" w:eastAsia="de-DE"/>
        </w:rPr>
        <w:instrText>cell sizes whereas cells of the same type are highly uniform in size. How do cells in a population maintain uniformity in cell size, and how are changes in target size programmed? A convergence of recent and historical studies suggest - just as a thermosta</w:instrText>
      </w:r>
      <w:r>
        <w:rPr>
          <w:rFonts w:ascii="Arial" w:eastAsia="Times New Roman" w:hAnsi="Arial" w:cs="Arial"/>
          <w:color w:val="000000"/>
          <w:lang w:val="en-US" w:eastAsia="de-DE"/>
        </w:rPr>
        <w:instrText>t maintains room temperature - the size of proliferating animal cells is similarly maintained by homeostatic mechanisms. In this review, we first summarize old and new literature on the existence of cell size checkpoints, then discuss additional advances i</w:instrText>
      </w:r>
      <w:r>
        <w:rPr>
          <w:rFonts w:ascii="Arial" w:eastAsia="Times New Roman" w:hAnsi="Arial" w:cs="Arial"/>
          <w:color w:val="000000"/>
          <w:lang w:val="en-US" w:eastAsia="de-DE"/>
        </w:rPr>
        <w:instrText>n the study of size homeostasis that involve feedback regulation of cellular growth rate. We further discuss recent progress on the molecules that underlie cell size checkpoints and mechanisms that specify target size setpoints. Lastly, we discuss a less-w</w:instrText>
      </w:r>
      <w:r>
        <w:rPr>
          <w:rFonts w:ascii="Arial" w:eastAsia="Times New Roman" w:hAnsi="Arial" w:cs="Arial"/>
          <w:color w:val="000000"/>
          <w:lang w:val="en-US" w:eastAsia="de-DE"/>
        </w:rPr>
        <w:instrText>ell explored teleological question: why does cell size matter and what is the functional importance of cell size control?","author":[{"dropping-particle":"","family":"Liu","given":"Shixuan","non-dropping-particle":"","parse-names":false,"suffix":""},{"drop</w:instrText>
      </w:r>
      <w:r>
        <w:rPr>
          <w:rFonts w:ascii="Arial" w:eastAsia="Times New Roman" w:hAnsi="Arial" w:cs="Arial"/>
          <w:color w:val="000000"/>
          <w:lang w:val="en-US" w:eastAsia="de-DE"/>
        </w:rPr>
        <w:instrText>ping-particle":"","family":"Tan","given":"Ceryl","non-dropping-particle":"","parse-names":false,"suffix":""},{"dropping-particle":"","family":"Tyers","given":"Mike","non-dropping-particle":"","parse-names":false,"suffix":""},{"dropping-particle":"","family</w:instrText>
      </w:r>
      <w:r>
        <w:rPr>
          <w:rFonts w:ascii="Arial" w:eastAsia="Times New Roman" w:hAnsi="Arial" w:cs="Arial"/>
          <w:color w:val="000000"/>
          <w:lang w:val="en-US" w:eastAsia="de-DE"/>
        </w:rPr>
        <w:instrText>":"Zetterberg","given":"Anders","non-dropping-particle":"","parse-names":false,"suffix":""},{"dropping-particle":"","family":"Kafri","given":"Ran","non-dropping-particle":"","parse-names":false,"suffix":""}],"container-title":"Frontiers in Cell and Develop</w:instrText>
      </w:r>
      <w:r>
        <w:rPr>
          <w:rFonts w:ascii="Arial" w:eastAsia="Times New Roman" w:hAnsi="Arial" w:cs="Arial"/>
          <w:color w:val="000000"/>
          <w:lang w:val="en-US" w:eastAsia="de-DE"/>
        </w:rPr>
        <w:instrText>mental Biology","id":"ITEM-3","issued":{"date-parts":[["2022","11","1"]]},"page":"949382","publisher":"Frontiers Media S.A.","title":"What programs the size of animal cells?","type":"article-journal","volume":"10"},"uris":["http://www.mendeley.com/document</w:instrText>
      </w:r>
      <w:r>
        <w:rPr>
          <w:rFonts w:ascii="Arial" w:eastAsia="Times New Roman" w:hAnsi="Arial" w:cs="Arial"/>
          <w:color w:val="000000"/>
          <w:lang w:val="en-US" w:eastAsia="de-DE"/>
        </w:rPr>
        <w:instrText>s/?uuid=9c31cbbe-a90d-3eca-b3d8-9b0266a5b0f6"]}],"mendeley":{"formattedCitation":"&lt;sup&gt;249,302,303&lt;/sup&gt;","plainTextFormattedCitation":"249,302,303","previouslyFormattedCitation":"&lt;sup&gt;249,302,303&lt;/sup&gt;"},"properties":{"noteIndex":0},"schema":"https://gith</w:instrText>
      </w:r>
      <w:r>
        <w:rPr>
          <w:rFonts w:ascii="Arial" w:eastAsia="Times New Roman" w:hAnsi="Arial" w:cs="Arial"/>
          <w:color w:val="000000"/>
          <w:lang w:val="en-US" w:eastAsia="de-DE"/>
        </w:rPr>
        <w:instrText>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249,302,303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fact, mechanical load is one of the known growth stimuli for human skeletal muscle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{"citationItems":[{"id":"ITEM-1","itemData":{"DOI":"10.1111/FE</w:instrText>
      </w:r>
      <w:r>
        <w:rPr>
          <w:rFonts w:ascii="Arial" w:eastAsia="Times New Roman" w:hAnsi="Arial" w:cs="Arial"/>
          <w:color w:val="000000"/>
          <w:lang w:val="en-US" w:eastAsia="de-DE"/>
        </w:rPr>
        <w:instrText>BS.12253","ISSN":"1742-4658","PMID":"23517348","abstract":"Skeletal muscle mass increases during postnatal development through a process of hypertrophy, i.e. enlargement of individual muscle fibers, and a similar process may be induced in adult skeletal mu</w:instrText>
      </w:r>
      <w:r>
        <w:rPr>
          <w:rFonts w:ascii="Arial" w:eastAsia="Times New Roman" w:hAnsi="Arial" w:cs="Arial"/>
          <w:color w:val="000000"/>
          <w:lang w:val="en-US" w:eastAsia="de-DE"/>
        </w:rPr>
        <w:instrText>scle in response to contractile activity, such as strength exercise, and specific hormones, such as androgens and β-adrenergic agonists. Muscle hypertrophy occurs when the overall rates of protein synthesis exceed the rates of protein degradation. Two majo</w:instrText>
      </w:r>
      <w:r>
        <w:rPr>
          <w:rFonts w:ascii="Arial" w:eastAsia="Times New Roman" w:hAnsi="Arial" w:cs="Arial"/>
          <w:color w:val="000000"/>
          <w:lang w:val="en-US" w:eastAsia="de-DE"/>
        </w:rPr>
        <w:instrText>r signaling pathways control protein synthesis, the IGF1-Akt-mTOR pathway, acting as a positive regulator, and the myostatin-Smad2/3 pathway, acting as a negative regulator, and additional pathways have recently been identified. Proliferation and fusion of</w:instrText>
      </w:r>
      <w:r>
        <w:rPr>
          <w:rFonts w:ascii="Arial" w:eastAsia="Times New Roman" w:hAnsi="Arial" w:cs="Arial"/>
          <w:color w:val="000000"/>
          <w:lang w:val="en-US" w:eastAsia="de-DE"/>
        </w:rPr>
        <w:instrText xml:space="preserve"> satellite cells, leading to an increase in the number of myonuclei, may also contribute to muscle growth during early but not late stages of postnatal development and in some forms of muscle hypertrophy in the adult. Muscle atrophy occurs when protein deg</w:instrText>
      </w:r>
      <w:r>
        <w:rPr>
          <w:rFonts w:ascii="Arial" w:eastAsia="Times New Roman" w:hAnsi="Arial" w:cs="Arial"/>
          <w:color w:val="000000"/>
          <w:lang w:val="en-US" w:eastAsia="de-DE"/>
        </w:rPr>
        <w:instrText>radation rates exceed protein synthesis, and may be induced in adult skeletal muscle in a variety of conditions, including starvation, denervation, cancer cachexia, heart failure and aging. Two major protein degradation pathways, the proteasomal and the au</w:instrText>
      </w:r>
      <w:r>
        <w:rPr>
          <w:rFonts w:ascii="Arial" w:eastAsia="Times New Roman" w:hAnsi="Arial" w:cs="Arial"/>
          <w:color w:val="000000"/>
          <w:lang w:val="en-US" w:eastAsia="de-DE"/>
        </w:rPr>
        <w:instrText>tophagic-lysosomal pathways, are activated during muscle atrophy and variably contribute to the loss of muscle mass. These pathways involve a variety of atrophy-related genes or atrogenes, which are controlled by specific transcription factors, such as Fox</w:instrText>
      </w:r>
      <w:r>
        <w:rPr>
          <w:rFonts w:ascii="Arial" w:eastAsia="Times New Roman" w:hAnsi="Arial" w:cs="Arial"/>
          <w:color w:val="000000"/>
          <w:lang w:val="en-US" w:eastAsia="de-DE"/>
        </w:rPr>
        <w:instrText>O3, which is negatively regulated by Akt, and NF-κB, which is activated by inflammatory cytokines. Muscle growth and atrophy reflect the balance between protein synthesis and protein degradation. Positive and negative regulators of muscle growth, such as t</w:instrText>
      </w:r>
      <w:r>
        <w:rPr>
          <w:rFonts w:ascii="Arial" w:eastAsia="Times New Roman" w:hAnsi="Arial" w:cs="Arial"/>
          <w:color w:val="000000"/>
          <w:lang w:val="en-US" w:eastAsia="de-DE"/>
        </w:rPr>
        <w:instrText>he IGF1-Akt and the myostatin-Smad2/3 pathway, respectively, modulate the activity of mTOR and protein synthesis. Protein degradation via the proteasomal and autophagic-lysosomal systems is controlled by FoxO and NF-κB transcription factors. © 2013 The Aut</w:instrText>
      </w:r>
      <w:r>
        <w:rPr>
          <w:rFonts w:ascii="Arial" w:eastAsia="Times New Roman" w:hAnsi="Arial" w:cs="Arial"/>
          <w:color w:val="000000"/>
          <w:lang w:val="en-US" w:eastAsia="de-DE"/>
        </w:rPr>
        <w:instrText>hors Journal compilation © 2013 FEBS.","author":[{"dropping-particle":"","family":"Schiaffino","given":"Stefano","non-dropping-particle":"","parse-names":false,"suffix":""},{"dropping-particle":"","family":"Dyar","given":"Kenneth A.","non-dropping-particle</w:instrText>
      </w:r>
      <w:r>
        <w:rPr>
          <w:rFonts w:ascii="Arial" w:eastAsia="Times New Roman" w:hAnsi="Arial" w:cs="Arial"/>
          <w:color w:val="000000"/>
          <w:lang w:val="en-US" w:eastAsia="de-DE"/>
        </w:rPr>
        <w:instrText>":"","parse-names":false,"suffix":""},{"dropping-particle":"","family":"Ciciliot","given":"Stefano","non-dropping-particle":"","parse-names":false,"suffix":""},{"dropping-particle":"","family":"Blaauw","given":"Bert","non-dropping-particle":"","parse-names</w:instrText>
      </w:r>
      <w:r>
        <w:rPr>
          <w:rFonts w:ascii="Arial" w:eastAsia="Times New Roman" w:hAnsi="Arial" w:cs="Arial"/>
          <w:color w:val="000000"/>
          <w:lang w:val="en-US" w:eastAsia="de-DE"/>
        </w:rPr>
        <w:instrText>":false,"suffix":""},{"dropping-particle":"","family":"Sandri","given":"Marco","non-dropping-particle":"","parse-names":false,"suffix":""}],"container-title":"The FEBS Journal","id":"ITEM-1","issue":"17","issued":{"date-parts":[["2013","9","1"]]},"page":"4</w:instrText>
      </w:r>
      <w:r>
        <w:rPr>
          <w:rFonts w:ascii="Arial" w:eastAsia="Times New Roman" w:hAnsi="Arial" w:cs="Arial"/>
          <w:color w:val="000000"/>
          <w:lang w:val="en-US" w:eastAsia="de-DE"/>
        </w:rPr>
        <w:instrText>294-4314","publisher":"John Wiley &amp; Sons, Ltd","title":"Mechanisms regulating skeletal muscle growth and atrophy","type":"article-journal","volume":"280"},"uris":["http://www.mendeley.com/documents/?uuid=8e7fda73-1873-32a5-96c2-91837758e823"]}],"mendeley":</w:instrText>
      </w:r>
      <w:r>
        <w:rPr>
          <w:rFonts w:ascii="Arial" w:eastAsia="Times New Roman" w:hAnsi="Arial" w:cs="Arial"/>
          <w:color w:val="000000"/>
          <w:lang w:val="en-US" w:eastAsia="de-DE"/>
        </w:rPr>
        <w:instrText>{"formattedCitation":"&lt;sup&gt;304&lt;/sup&gt;","plainTextFormattedCitation":"304","previouslyFormattedCitation":"&lt;sup&gt;304&lt;/sup&gt;"},"properties":{"noteIndex":0},"schema":"https://github.com/citation-style-language/schema/raw/master/csl-citation.json"}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304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Regular </w:t>
      </w:r>
      <w:r>
        <w:rPr>
          <w:rFonts w:ascii="Arial" w:eastAsia="Times New Roman" w:hAnsi="Arial" w:cs="Arial"/>
          <w:color w:val="000000"/>
          <w:lang w:val="en-US" w:eastAsia="de-DE"/>
        </w:rPr>
        <w:t>exercise and strength training seem to upregulate mTOR activity and induce skeletal muscle cell growth</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{"citationItems":[{"id":"ITEM-1","itemData":{"DOI":"10.4161/CC.5.13.2921","ISSN":"15514005","PMID":"16855395","abstract":"Mechanical st</w:instrText>
      </w:r>
      <w:r>
        <w:rPr>
          <w:rFonts w:ascii="Arial" w:eastAsia="Times New Roman" w:hAnsi="Arial" w:cs="Arial"/>
          <w:color w:val="000000"/>
          <w:lang w:val="en-US" w:eastAsia="de-DE"/>
        </w:rPr>
        <w:instrText xml:space="preserve">imuli play a major role in the regulation of skeletal muscle mass, and the maintenance of muscle mass contributes significantly to disease prevention and the quality of life. Although a link between mechanical stimuli and the regulation of muscle mass has </w:instrText>
      </w:r>
      <w:r>
        <w:rPr>
          <w:rFonts w:ascii="Arial" w:eastAsia="Times New Roman" w:hAnsi="Arial" w:cs="Arial"/>
          <w:color w:val="000000"/>
          <w:lang w:val="en-US" w:eastAsia="de-DE"/>
        </w:rPr>
        <w:instrText>been recognized for decades, the mechanisms involved in converting mechanical information into the molecular events that control this process have not been defined. Nevertheless, significant advancements are being made in this field, and it has recently be</w:instrText>
      </w:r>
      <w:r>
        <w:rPr>
          <w:rFonts w:ascii="Arial" w:eastAsia="Times New Roman" w:hAnsi="Arial" w:cs="Arial"/>
          <w:color w:val="000000"/>
          <w:lang w:val="en-US" w:eastAsia="de-DE"/>
        </w:rPr>
        <w:instrText>en established that signaling through a rapamycin-sensitive pathway is necessary for mechanically induced growth of skeletal muscle. Since rapamycin is a highly specific inhibitor of a protein kinase called the mammalian target of rapamycin (mTOR), many in</w:instrText>
      </w:r>
      <w:r>
        <w:rPr>
          <w:rFonts w:ascii="Arial" w:eastAsia="Times New Roman" w:hAnsi="Arial" w:cs="Arial"/>
          <w:color w:val="000000"/>
          <w:lang w:val="en-US" w:eastAsia="de-DE"/>
        </w:rPr>
        <w:instrText>vestigators have concluded that mTOR signaling is necessary for the mechanically induced growth of skeletal muscle. In this review, we have summarized the current knowledge regarding how mechanical stimuli activate mTOR signaling, discussed the newly disco</w:instrText>
      </w:r>
      <w:r>
        <w:rPr>
          <w:rFonts w:ascii="Arial" w:eastAsia="Times New Roman" w:hAnsi="Arial" w:cs="Arial"/>
          <w:color w:val="000000"/>
          <w:lang w:val="en-US" w:eastAsia="de-DE"/>
        </w:rPr>
        <w:instrText>vered role of phospholipase D (PLD) and phosphatidic acid (PA) in this pathway, and considered the potential roles of PLD and PA in the mechanical regulation of skeletal muscle mass. ©2006 Landes Bioscience.","author":[{"dropping-particle":"","family":"Hor</w:instrText>
      </w:r>
      <w:r>
        <w:rPr>
          <w:rFonts w:ascii="Arial" w:eastAsia="Times New Roman" w:hAnsi="Arial" w:cs="Arial"/>
          <w:color w:val="000000"/>
          <w:lang w:val="en-US" w:eastAsia="de-DE"/>
        </w:rPr>
        <w:instrText>nberger","given":"Troy Alan","non-dropping-particle":"","parse-names":false,"suffix":""},{"dropping-particle":"","family":"Sukhija","given":"Kunal Balu","non-dropping-particle":"","parse-names":false,"suffix":""},{"dropping-particle":"","family":"Chien","g</w:instrText>
      </w:r>
      <w:r>
        <w:rPr>
          <w:rFonts w:ascii="Arial" w:eastAsia="Times New Roman" w:hAnsi="Arial" w:cs="Arial"/>
          <w:color w:val="000000"/>
          <w:lang w:val="en-US" w:eastAsia="de-DE"/>
        </w:rPr>
        <w:instrText>iven":"Shu","non-dropping-particle":"","parse-names":false,"suffix":""}],"container-title":"Cell Cycle","id":"ITEM-1","issue":"13","issued":{"date-parts":[["2006","7","1"]]},"page":"1391-1396","publisher":"Taylor &amp; Francis","title":"Regulation of mTOR by M</w:instrText>
      </w:r>
      <w:r>
        <w:rPr>
          <w:rFonts w:ascii="Arial" w:eastAsia="Times New Roman" w:hAnsi="Arial" w:cs="Arial"/>
          <w:color w:val="000000"/>
          <w:lang w:val="en-US" w:eastAsia="de-DE"/>
        </w:rPr>
        <w:instrText>echanically Induced Signaling Events in Skeletal Muscle","type":"article-journal","volume":"5"},"uris":["http://www.mendeley.com/documents/?uuid=59f43ea0-8fb9-30e3-b7c4-5d50d5fdbf22"]},{"id":"ITEM-2","itemData":{"DOI":"10.3389/FPHYS.2017.00788/BIBTEX","ISS</w:instrText>
      </w:r>
      <w:r>
        <w:rPr>
          <w:rFonts w:ascii="Arial" w:eastAsia="Times New Roman" w:hAnsi="Arial" w:cs="Arial"/>
          <w:color w:val="000000"/>
          <w:lang w:val="en-US" w:eastAsia="de-DE"/>
        </w:rPr>
        <w:instrText>N":"1664042X","abstract":"Maintenance of skeletal muscle mass is regulated by the balance between anabolic and catabolic processes. Mammalian target of rapamycin (mTOR) is an evolutionarily conserved serine/threonine kinase, and is known to play vital role</w:instrText>
      </w:r>
      <w:r>
        <w:rPr>
          <w:rFonts w:ascii="Arial" w:eastAsia="Times New Roman" w:hAnsi="Arial" w:cs="Arial"/>
          <w:color w:val="000000"/>
          <w:lang w:val="en-US" w:eastAsia="de-DE"/>
        </w:rPr>
        <w:instrText>s in protein synthesis. Recent findings have continued to refine our understanding of the function of mTOR in maintaining skeletal muscle mass. mTOR controls the anabolic and catabolic signaling of skeletal muscle mass, resulting in the modulation of muscl</w:instrText>
      </w:r>
      <w:r>
        <w:rPr>
          <w:rFonts w:ascii="Arial" w:eastAsia="Times New Roman" w:hAnsi="Arial" w:cs="Arial"/>
          <w:color w:val="000000"/>
          <w:lang w:val="en-US" w:eastAsia="de-DE"/>
        </w:rPr>
        <w:instrText xml:space="preserve">e hypertrophy and muscle wastage. This review will highlight the fundamental role of mTOR in skeletal muscle growth by summarizing the phenotype of skeletal-specific mTOR deficiency. In addition, the evidence that mTOR is a dual regulator of anabolism and </w:instrText>
      </w:r>
      <w:r>
        <w:rPr>
          <w:rFonts w:ascii="Arial" w:eastAsia="Times New Roman" w:hAnsi="Arial" w:cs="Arial"/>
          <w:color w:val="000000"/>
          <w:lang w:val="en-US" w:eastAsia="de-DE"/>
        </w:rPr>
        <w:instrText>catabolism in skeletal muscle mass will be discussed. A full understanding of mTOR signaling in the maintenance of skeletal muscle mass could help to develop mTOR-targeted therapeutics to prevent muscle wasting.","author":[{"dropping-particle":"","family":</w:instrText>
      </w:r>
      <w:r>
        <w:rPr>
          <w:rFonts w:ascii="Arial" w:eastAsia="Times New Roman" w:hAnsi="Arial" w:cs="Arial"/>
          <w:color w:val="000000"/>
          <w:lang w:val="en-US" w:eastAsia="de-DE"/>
        </w:rPr>
        <w:instrText>"Yoon","given":"Mee Sup","non-dropping-particle":"","parse-names":false,"suffix":""}],"container-title":"Frontiers in Physiology","id":"ITEM-2","issue":"OCT","issued":{"date-parts":[["2017","10","17"]]},"page":"294538","publisher":"Frontiers Media S.A.","t</w:instrText>
      </w:r>
      <w:r>
        <w:rPr>
          <w:rFonts w:ascii="Arial" w:eastAsia="Times New Roman" w:hAnsi="Arial" w:cs="Arial"/>
          <w:color w:val="000000"/>
          <w:lang w:val="en-US" w:eastAsia="de-DE"/>
        </w:rPr>
        <w:instrText>itle":"mTOR as a key regulator in maintaining skeletal muscle mass","type":"article-journal","volume":"8"},"uris":["http://www.mendeley.com/documents/?uuid=b56a8b40-eb4a-34b1-82e3-d621b9a858f3"]},{"id":"ITEM-3","itemData":{"DOI":"10.7554/ELIFE.58941","ISSN</w:instrText>
      </w:r>
      <w:r>
        <w:rPr>
          <w:rFonts w:ascii="Arial" w:eastAsia="Times New Roman" w:hAnsi="Arial" w:cs="Arial"/>
          <w:color w:val="000000"/>
          <w:lang w:val="en-US" w:eastAsia="de-DE"/>
        </w:rPr>
        <w:instrText xml:space="preserve">":"2050084X","PMID":"32930093","abstract":"Maintenance of skeletal muscle is beneficial in obesity and Type 2 diabetes. Mechanical stimulation can regulate skeletal muscle differentiation, growth and metabolism, however the molecular mechanosensor remains </w:instrText>
      </w:r>
      <w:r>
        <w:rPr>
          <w:rFonts w:ascii="Arial" w:eastAsia="Times New Roman" w:hAnsi="Arial" w:cs="Arial"/>
          <w:color w:val="000000"/>
          <w:lang w:val="en-US" w:eastAsia="de-DE"/>
        </w:rPr>
        <w:instrText>unknown. Here, we show that SWELL1 (Lrrc8a) functionally encodes a swell-activated anion channel that regulates PI3K-AKT, ERK1/2, mTOR signaling, muscle differentiation, myoblast fusion, cellular oxygen consumption, and glycolysis in skeletal muscle cells.</w:instrText>
      </w:r>
      <w:r>
        <w:rPr>
          <w:rFonts w:ascii="Arial" w:eastAsia="Times New Roman" w:hAnsi="Arial" w:cs="Arial"/>
          <w:color w:val="000000"/>
          <w:lang w:val="en-US" w:eastAsia="de-DE"/>
        </w:rPr>
        <w:instrText xml:space="preserve"> LRRC8A over-expression in Lrrc8a KO myotubes boosts PI3K-AKT-mTOR signaling to supra-normal levels and fully rescues myotube formation. Skeletal muscle targeted Lrrc8a KO mice have smaller myofibers, generate less force ex vivo, and exhibit reduced exerci</w:instrText>
      </w:r>
      <w:r>
        <w:rPr>
          <w:rFonts w:ascii="Arial" w:eastAsia="Times New Roman" w:hAnsi="Arial" w:cs="Arial"/>
          <w:color w:val="000000"/>
          <w:lang w:val="en-US" w:eastAsia="de-DE"/>
        </w:rPr>
        <w:instrText>se endurance, associated with increased adiposity under basal conditions, and glucose intolerance and insulin resistance when raised on a high-fat diet, compared to WT mice. These results reveal that the LRRC8 complex regulates insulin-PI3K-AKT-mTOR signal</w:instrText>
      </w:r>
      <w:r>
        <w:rPr>
          <w:rFonts w:ascii="Arial" w:eastAsia="Times New Roman" w:hAnsi="Arial" w:cs="Arial"/>
          <w:color w:val="000000"/>
          <w:lang w:val="en-US" w:eastAsia="de-DE"/>
        </w:rPr>
        <w:instrText>ling in skeletal muscle to influence skeletal muscle differentiation in vitro and skeletal myofiber size, muscle function, adiposity and systemic metabolism in vivo.","author":[{"dropping-particle":"","family":"Kumar","given":"Ashutosh","non-dropping-parti</w:instrText>
      </w:r>
      <w:r>
        <w:rPr>
          <w:rFonts w:ascii="Arial" w:eastAsia="Times New Roman" w:hAnsi="Arial" w:cs="Arial"/>
          <w:color w:val="000000"/>
          <w:lang w:val="en-US" w:eastAsia="de-DE"/>
        </w:rPr>
        <w:instrText>cle":"","parse-names":false,"suffix":""},{"dropping-particle":"","family":"Xie","given":"Litao","non-dropping-particle":"","parse-names":false,"suffix":""},{"dropping-particle":"","family":"Ta","given":"Chau My","non-dropping-particle":"","parse-names":fal</w:instrText>
      </w:r>
      <w:r>
        <w:rPr>
          <w:rFonts w:ascii="Arial" w:eastAsia="Times New Roman" w:hAnsi="Arial" w:cs="Arial"/>
          <w:color w:val="000000"/>
          <w:lang w:val="en-US" w:eastAsia="de-DE"/>
        </w:rPr>
        <w:instrText>se,"suffix":""},{"dropping-particle":"","family":"Hinton","given":"Antentor J.","non-dropping-particle":"","parse-names":false,"suffix":""},{"dropping-particle":"","family":"Gunasekar","given":"Susheel K.","non-dropping-particle":"","parse-names":false,"su</w:instrText>
      </w:r>
      <w:r>
        <w:rPr>
          <w:rFonts w:ascii="Arial" w:eastAsia="Times New Roman" w:hAnsi="Arial" w:cs="Arial"/>
          <w:color w:val="000000"/>
          <w:lang w:val="en-US" w:eastAsia="de-DE"/>
        </w:rPr>
        <w:instrText>ffix":""},{"dropping-particle":"","family":"Minerath","given":"Rachel A.","non-dropping-particle":"","parse-names":false,"suffix":""},{"dropping-particle":"","family":"Shen","given":"Karen","non-dropping-particle":"","parse-names":false,"suffix":""},{"drop</w:instrText>
      </w:r>
      <w:r>
        <w:rPr>
          <w:rFonts w:ascii="Arial" w:eastAsia="Times New Roman" w:hAnsi="Arial" w:cs="Arial"/>
          <w:color w:val="000000"/>
          <w:lang w:val="en-US" w:eastAsia="de-DE"/>
        </w:rPr>
        <w:instrText>ping-particle":"","family":"Maurer","given":"Joshua M.","non-dropping-particle":"","parse-names":false,"suffix":""},{"dropping-particle":"","family":"Grueter","given":"Chad E.","non-dropping-particle":"","parse-names":false,"suffix":""},{"dropping-particle</w:instrText>
      </w:r>
      <w:r>
        <w:rPr>
          <w:rFonts w:ascii="Arial" w:eastAsia="Times New Roman" w:hAnsi="Arial" w:cs="Arial"/>
          <w:color w:val="000000"/>
          <w:lang w:val="en-US" w:eastAsia="de-DE"/>
        </w:rPr>
        <w:instrText>":"","family":"Abel","given":"E. Dale","non-dropping-particle":"","parse-names":false,"suffix":""},{"dropping-particle":"","family":"Meyer","given":"Gretchen","non-dropping-particle":"","parse-names":false,"suffix":""},{"dropping-particle":"","family":"Sah</w:instrText>
      </w:r>
      <w:r>
        <w:rPr>
          <w:rFonts w:ascii="Arial" w:eastAsia="Times New Roman" w:hAnsi="Arial" w:cs="Arial"/>
          <w:color w:val="000000"/>
          <w:lang w:val="en-US" w:eastAsia="de-DE"/>
        </w:rPr>
        <w:instrText>","given":"Rajan","non-dropping-particle":"","parse-names":false,"suffix":""}],"container-title":"eLife","id":"ITEM-3","issued":{"date-parts":[["2020","9","1"]]},"page":"1-59","publisher":"eLife Sciences Publications Ltd","title":"Swell1 regulates skeletal</w:instrText>
      </w:r>
      <w:r>
        <w:rPr>
          <w:rFonts w:ascii="Arial" w:eastAsia="Times New Roman" w:hAnsi="Arial" w:cs="Arial"/>
          <w:color w:val="000000"/>
          <w:lang w:val="en-US" w:eastAsia="de-DE"/>
        </w:rPr>
        <w:instrText xml:space="preserve"> muscle cell size, intracellular signalling, adiposity and glucose metabolism","type":"article-journal","volume":"9"},"uris":["http://www.mendeley.com/documents/?uuid=aa7e5c40-07f0-3efe-b114-4d19b7409be7"]}],"mendeley":{"formattedCitation":"&lt;sup&gt;305–307&lt;/s</w:instrText>
      </w:r>
      <w:r>
        <w:rPr>
          <w:rFonts w:ascii="Arial" w:eastAsia="Times New Roman" w:hAnsi="Arial" w:cs="Arial"/>
          <w:color w:val="000000"/>
          <w:lang w:val="en-US" w:eastAsia="de-DE"/>
        </w:rPr>
        <w:instrText>up&gt;","plainTextFormattedCitation":"305–307","previouslyFormattedCitation":"&lt;sup&gt;305–307&lt;/sup&gt;"},"properties":{"noteIndex":0},"schema":"https://github.com/citation-style-language/schema/raw/master/csl-citation.json"}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305–307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Recently, a stretch-activated</w:t>
      </w:r>
      <w:r>
        <w:rPr>
          <w:rFonts w:ascii="Arial" w:eastAsia="Times New Roman" w:hAnsi="Arial" w:cs="Arial"/>
          <w:color w:val="000000"/>
          <w:lang w:val="en-US" w:eastAsia="de-DE"/>
        </w:rPr>
        <w:t xml:space="preserve"> </w:t>
      </w:r>
      <w:proofErr w:type="spellStart"/>
      <w:r>
        <w:rPr>
          <w:rFonts w:ascii="Arial" w:eastAsia="Times New Roman" w:hAnsi="Arial" w:cs="Arial"/>
          <w:color w:val="000000"/>
          <w:lang w:val="en-US" w:eastAsia="de-DE"/>
        </w:rPr>
        <w:t>mechanosensor</w:t>
      </w:r>
      <w:proofErr w:type="spellEnd"/>
      <w:r>
        <w:rPr>
          <w:rFonts w:ascii="Arial" w:eastAsia="Times New Roman" w:hAnsi="Arial" w:cs="Arial"/>
          <w:color w:val="000000"/>
          <w:lang w:val="en-US" w:eastAsia="de-DE"/>
        </w:rPr>
        <w:t xml:space="preserve"> was identified that could link stretch-detection and growth signaling in animal skeletal muscle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{"citationItems":[{"id":"ITEM-1","itemData":{"DOI":"10.7554/ELIFE.58941","ISSN":"2050084X","PMID":"32930093","abstract":"</w:instrText>
      </w:r>
      <w:r>
        <w:rPr>
          <w:rFonts w:ascii="Arial" w:eastAsia="Times New Roman" w:hAnsi="Arial" w:cs="Arial"/>
          <w:color w:val="000000"/>
          <w:lang w:val="en-US" w:eastAsia="de-DE"/>
        </w:rPr>
        <w:instrText>Maintenance of skeletal muscle is beneficial in obesity and Type 2 diabetes. Mechanical stimulation can regulate skeletal muscle differentiation, growth and metabolism, however the molecular mechanosensor remains unknown. Here, we show that SWELL1 (Lrrc8a)</w:instrText>
      </w:r>
      <w:r>
        <w:rPr>
          <w:rFonts w:ascii="Arial" w:eastAsia="Times New Roman" w:hAnsi="Arial" w:cs="Arial"/>
          <w:color w:val="000000"/>
          <w:lang w:val="en-US" w:eastAsia="de-DE"/>
        </w:rPr>
        <w:instrText xml:space="preserve"> functionally encodes a swell-activated anion channel that regulates PI3K-AKT, ERK1/2, mTOR signaling, muscle differentiation, myoblast fusion, cellular oxygen consumption, and glycolysis in skeletal muscle cells. LRRC8A over-expression in Lrrc8a KO myotub</w:instrText>
      </w:r>
      <w:r>
        <w:rPr>
          <w:rFonts w:ascii="Arial" w:eastAsia="Times New Roman" w:hAnsi="Arial" w:cs="Arial"/>
          <w:color w:val="000000"/>
          <w:lang w:val="en-US" w:eastAsia="de-DE"/>
        </w:rPr>
        <w:instrText>es boosts PI3K-AKT-mTOR signaling to supra-normal levels and fully rescues myotube formation. Skeletal muscle targeted Lrrc8a KO mice have smaller myofibers, generate less force ex vivo, and exhibit reduced exercise endurance, associated with increased adi</w:instrText>
      </w:r>
      <w:r>
        <w:rPr>
          <w:rFonts w:ascii="Arial" w:eastAsia="Times New Roman" w:hAnsi="Arial" w:cs="Arial"/>
          <w:color w:val="000000"/>
          <w:lang w:val="en-US" w:eastAsia="de-DE"/>
        </w:rPr>
        <w:instrText>posity under basal conditions, and glucose intolerance and insulin resistance when raised on a high-fat diet, compared to WT mice. These results reveal that the LRRC8 complex regulates insulin-PI3K-AKT-mTOR signalling in skeletal muscle to influence skelet</w:instrText>
      </w:r>
      <w:r>
        <w:rPr>
          <w:rFonts w:ascii="Arial" w:eastAsia="Times New Roman" w:hAnsi="Arial" w:cs="Arial"/>
          <w:color w:val="000000"/>
          <w:lang w:val="en-US" w:eastAsia="de-DE"/>
        </w:rPr>
        <w:instrText>al muscle differentiation in vitro and skeletal myofiber size, muscle function, adiposity and systemic metabolism in vivo.","author":[{"dropping-particle":"","family":"Kumar","given":"Ashutosh","non-dropping-particle":"","parse-names":false,"suffix":""},{"</w:instrText>
      </w:r>
      <w:r>
        <w:rPr>
          <w:rFonts w:ascii="Arial" w:eastAsia="Times New Roman" w:hAnsi="Arial" w:cs="Arial"/>
          <w:color w:val="000000"/>
          <w:lang w:val="en-US" w:eastAsia="de-DE"/>
        </w:rPr>
        <w:instrText>dropping-particle":"","family":"Xie","given":"Litao","non-dropping-particle":"","parse-names":false,"suffix":""},{"dropping-particle":"","family":"Ta","given":"Chau My","non-dropping-particle":"","parse-names":false,"suffix":""},{"dropping-particle":"","fa</w:instrText>
      </w:r>
      <w:r>
        <w:rPr>
          <w:rFonts w:ascii="Arial" w:eastAsia="Times New Roman" w:hAnsi="Arial" w:cs="Arial"/>
          <w:color w:val="000000"/>
          <w:lang w:val="en-US" w:eastAsia="de-DE"/>
        </w:rPr>
        <w:instrText>mily":"Hinton","given":"Antentor J.","non-dropping-particle":"","parse-names":false,"suffix":""},{"dropping-particle":"","family":"Gunasekar","given":"Susheel K.","non-dropping-particle":"","parse-names":false,"suffix":""},{"dropping-particle":"","family":</w:instrText>
      </w:r>
      <w:r>
        <w:rPr>
          <w:rFonts w:ascii="Arial" w:eastAsia="Times New Roman" w:hAnsi="Arial" w:cs="Arial"/>
          <w:color w:val="000000"/>
          <w:lang w:val="en-US" w:eastAsia="de-DE"/>
        </w:rPr>
        <w:instrText>"Minerath","given":"Rachel A.","non-dropping-particle":"","parse-names":false,"suffix":""},{"dropping-particle":"","family":"Shen","given":"Karen","non-dropping-particle":"","parse-names":false,"suffix":""},{"dropping-particle":"","family":"Maurer","given"</w:instrText>
      </w:r>
      <w:r>
        <w:rPr>
          <w:rFonts w:ascii="Arial" w:eastAsia="Times New Roman" w:hAnsi="Arial" w:cs="Arial"/>
          <w:color w:val="000000"/>
          <w:lang w:val="en-US" w:eastAsia="de-DE"/>
        </w:rPr>
        <w:instrText>:"Joshua M.","non-dropping-particle":"","parse-names":false,"suffix":""},{"dropping-particle":"","family":"Grueter","given":"Chad E.","non-dropping-particle":"","parse-names":false,"suffix":""},{"dropping-particle":"","family":"Abel","given":"E. Dale","non</w:instrText>
      </w:r>
      <w:r>
        <w:rPr>
          <w:rFonts w:ascii="Arial" w:eastAsia="Times New Roman" w:hAnsi="Arial" w:cs="Arial"/>
          <w:color w:val="000000"/>
          <w:lang w:val="en-US" w:eastAsia="de-DE"/>
        </w:rPr>
        <w:instrText>-dropping-particle":"","parse-names":false,"suffix":""},{"dropping-particle":"","family":"Meyer","given":"Gretchen","non-dropping-particle":"","parse-names":false,"suffix":""},{"dropping-particle":"","family":"Sah","given":"Rajan","non-dropping-particle":"</w:instrText>
      </w:r>
      <w:r>
        <w:rPr>
          <w:rFonts w:ascii="Arial" w:eastAsia="Times New Roman" w:hAnsi="Arial" w:cs="Arial"/>
          <w:color w:val="000000"/>
          <w:lang w:val="en-US" w:eastAsia="de-DE"/>
        </w:rPr>
        <w:instrText>","parse-names":false,"suffix":""}],"container-title":"eLife","id":"ITEM-1","issued":{"date-parts":[["2020","9","1"]]},"page":"1-59","publisher":"eLife Sciences Publications Ltd","title":"Swell1 regulates skeletal muscle cell size, intracellular signalling</w:instrText>
      </w:r>
      <w:r>
        <w:rPr>
          <w:rFonts w:ascii="Arial" w:eastAsia="Times New Roman" w:hAnsi="Arial" w:cs="Arial"/>
          <w:color w:val="000000"/>
          <w:lang w:val="en-US" w:eastAsia="de-DE"/>
        </w:rPr>
        <w:instrText>, adiposity and glucose metabolism","type":"article-journal","volume":"9"},"uris":["http://www.mendeley.com/documents/?uuid=aa7e5c40-07f0-3efe-b114-4d19b7409be7"]}],"mendeley":{"formattedCitation":"&lt;sup&gt;307&lt;/sup&gt;","plainTextFormattedCitation":"307","previo</w:instrText>
      </w:r>
      <w:r>
        <w:rPr>
          <w:rFonts w:ascii="Arial" w:eastAsia="Times New Roman" w:hAnsi="Arial" w:cs="Arial"/>
          <w:color w:val="000000"/>
          <w:lang w:val="en-US" w:eastAsia="de-DE"/>
        </w:rPr>
        <w:instrText>uslyFormattedCitation":"&lt;sup&gt;307&lt;/sup&gt;"},"properties":{"noteIndex":0},"schema":"https://github.com/citation-style-language/schema/raw/master/csl-citation.json"}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307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adipocytes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w:instrText>
      </w:r>
      <w:r>
        <w:rPr>
          <w:rFonts w:ascii="Arial" w:eastAsia="Times New Roman" w:hAnsi="Arial" w:cs="Arial"/>
          <w:color w:val="000000"/>
          <w:lang w:val="en-US" w:eastAsia="de-DE"/>
        </w:rPr>
        <w:instrText>038/ncb3514","ISSN":"1476-4679","PMID":"28436964","abstract":"Adipocytes undergo considerable volumetric expansion in the setting of obesity. It has been proposed that such marked increases in adipocyte size may be sensed via adipocyte-autonomous mechanism</w:instrText>
      </w:r>
      <w:r>
        <w:rPr>
          <w:rFonts w:ascii="Arial" w:eastAsia="Times New Roman" w:hAnsi="Arial" w:cs="Arial"/>
          <w:color w:val="000000"/>
          <w:lang w:val="en-US" w:eastAsia="de-DE"/>
        </w:rPr>
        <w:instrText>s to mediate size-dependent intracellular signalling. Here, we show that SWELL1 (LRRC8a), a member of the Leucine-Rich Repeat Containing protein family, is an essential component of a volume-sensitive ion channel (VRAC) in adipocytes. We find that SWELL1-m</w:instrText>
      </w:r>
      <w:r>
        <w:rPr>
          <w:rFonts w:ascii="Arial" w:eastAsia="Times New Roman" w:hAnsi="Arial" w:cs="Arial"/>
          <w:color w:val="000000"/>
          <w:lang w:val="en-US" w:eastAsia="de-DE"/>
        </w:rPr>
        <w:instrText>ediated VRAC is augmented in hypertrophic murine and human adipocytes in the setting of obesity. SWELL1 regulates adipocyte insulin–PI3K–AKT2–GLUT4 signalling, glucose uptake and lipid content via SWELL1 C-terminal leucine-rich repeat domain interactions w</w:instrText>
      </w:r>
      <w:r>
        <w:rPr>
          <w:rFonts w:ascii="Arial" w:eastAsia="Times New Roman" w:hAnsi="Arial" w:cs="Arial"/>
          <w:color w:val="000000"/>
          <w:lang w:val="en-US" w:eastAsia="de-DE"/>
        </w:rPr>
        <w:instrText>ith GRB2/Cav1. Silencing GRB2 in SWELL1 KO adipocytes rescues insulin-pAKT2 signalling. In vivo, shRNA-mediated SWELL1 knockdown and adipose-targeted SWELL1 knockout reduce adiposity and adipocyte size in obese mice while impairing systemic glycaemia and i</w:instrText>
      </w:r>
      <w:r>
        <w:rPr>
          <w:rFonts w:ascii="Arial" w:eastAsia="Times New Roman" w:hAnsi="Arial" w:cs="Arial"/>
          <w:color w:val="000000"/>
          <w:lang w:val="en-US" w:eastAsia="de-DE"/>
        </w:rPr>
        <w:instrText>nsulin sensitivity. These studies identify SWELL1 as a cell-autonomous sensor of adipocyte size that regulates adipocyte growth, insulin sensitivity and glucose tolerance. Sah and colleagues show that the volume-sensitive ion channel SWELL1 regulates adipo</w:instrText>
      </w:r>
      <w:r>
        <w:rPr>
          <w:rFonts w:ascii="Arial" w:eastAsia="Times New Roman" w:hAnsi="Arial" w:cs="Arial"/>
          <w:color w:val="000000"/>
          <w:lang w:val="en-US" w:eastAsia="de-DE"/>
        </w:rPr>
        <w:instrText>cyte insulin-PI(3)K-AKT2 signalling, glucose uptake and lipid content through interactions with GRB2/Cav1.","author":[{"dropping-particle":"","family":"Zhang","given":"Yanhui","non-dropping-particle":"","parse-names":false,"suffix":""},{"dropping-particle"</w:instrText>
      </w:r>
      <w:r>
        <w:rPr>
          <w:rFonts w:ascii="Arial" w:eastAsia="Times New Roman" w:hAnsi="Arial" w:cs="Arial"/>
          <w:color w:val="000000"/>
          <w:lang w:val="en-US" w:eastAsia="de-DE"/>
        </w:rPr>
        <w:instrText>:"","family":"Xie","given":"Litao","non-dropping-particle":"","parse-names":false,"suffix":""},{"dropping-particle":"","family":"Gunasekar","given":"Susheel K.","non-dropping-particle":"","parse-names":false,"suffix":""},{"dropping-particle":"","family":"T</w:instrText>
      </w:r>
      <w:r>
        <w:rPr>
          <w:rFonts w:ascii="Arial" w:eastAsia="Times New Roman" w:hAnsi="Arial" w:cs="Arial"/>
          <w:color w:val="000000"/>
          <w:lang w:val="en-US" w:eastAsia="de-DE"/>
        </w:rPr>
        <w:instrText>ong","given":"Dan","non-dropping-particle":"","parse-names":false,"suffix":""},{"dropping-particle":"","family":"Mishra","given":"Anil","non-dropping-particle":"","parse-names":false,"suffix":""},{"dropping-particle":"","family":"Gibson","given":"William J</w:instrText>
      </w:r>
      <w:r>
        <w:rPr>
          <w:rFonts w:ascii="Arial" w:eastAsia="Times New Roman" w:hAnsi="Arial" w:cs="Arial"/>
          <w:color w:val="000000"/>
          <w:lang w:val="en-US" w:eastAsia="de-DE"/>
        </w:rPr>
        <w:instrText>.","non-dropping-particle":"","parse-names":false,"suffix":""},{"dropping-particle":"","family":"Wang","given":"Chuansong","non-dropping-particle":"","parse-names":false,"suffix":""},{"dropping-particle":"","family":"Fidler","given":"Trevor","non-dropping-</w:instrText>
      </w:r>
      <w:r>
        <w:rPr>
          <w:rFonts w:ascii="Arial" w:eastAsia="Times New Roman" w:hAnsi="Arial" w:cs="Arial"/>
          <w:color w:val="000000"/>
          <w:lang w:val="en-US" w:eastAsia="de-DE"/>
        </w:rPr>
        <w:instrText>particle":"","parse-names":false,"suffix":""},{"dropping-particle":"","family":"Marthaler","given":"Brodie","non-dropping-particle":"","parse-names":false,"suffix":""},{"dropping-particle":"","family":"Klingelhutz","given":"Aloysius","non-dropping-particle</w:instrText>
      </w:r>
      <w:r>
        <w:rPr>
          <w:rFonts w:ascii="Arial" w:eastAsia="Times New Roman" w:hAnsi="Arial" w:cs="Arial"/>
          <w:color w:val="000000"/>
          <w:lang w:val="en-US" w:eastAsia="de-DE"/>
        </w:rPr>
        <w:instrText>":"","parse-names":false,"suffix":""},{"dropping-particle":"","family":"Dale Abel","given":"E.","non-dropping-particle":"","parse-names":false,"suffix":""},{"dropping-particle":"","family":"Samuel","given":"Isaac","non-dropping-particle":"","parse-names":f</w:instrText>
      </w:r>
      <w:r>
        <w:rPr>
          <w:rFonts w:ascii="Arial" w:eastAsia="Times New Roman" w:hAnsi="Arial" w:cs="Arial"/>
          <w:color w:val="000000"/>
          <w:lang w:val="en-US" w:eastAsia="de-DE"/>
        </w:rPr>
        <w:instrText>alse,"suffix":""},{"dropping-particle":"","family":"Smith","given":"Jessica K.","non-dropping-particle":"","parse-names":false,"suffix":""},{"dropping-particle":"","family":"Cao","given":"Lei","non-dropping-particle":"","parse-names":false,"suffix":""},{"d</w:instrText>
      </w:r>
      <w:r>
        <w:rPr>
          <w:rFonts w:ascii="Arial" w:eastAsia="Times New Roman" w:hAnsi="Arial" w:cs="Arial"/>
          <w:color w:val="000000"/>
          <w:lang w:val="en-US" w:eastAsia="de-DE"/>
        </w:rPr>
        <w:instrText>ropping-particle":"","family":"Sah","given":"Rajan","non-dropping-particle":"","parse-names":false,"suffix":""}],"container-title":"Nature Cell Biology 2017 19:5","id":"ITEM-1","issue":"5","issued":{"date-parts":[["2017","4","24"]]},"page":"504-517","publi</w:instrText>
      </w:r>
      <w:r>
        <w:rPr>
          <w:rFonts w:ascii="Arial" w:eastAsia="Times New Roman" w:hAnsi="Arial" w:cs="Arial"/>
          <w:color w:val="000000"/>
          <w:lang w:val="en-US" w:eastAsia="de-DE"/>
        </w:rPr>
        <w:instrText>sher":"Nature Publishing Group","title":"SWELL1 is a regulator of adipocyte size, insulin signalling and glucose homeostasis","type":"article-journal","volume":"19"},"uris":["http://www.mendeley.com/documents/?uuid=1875daf2-90ed-364b-abba-4757165ea8cc"]},{</w:instrText>
      </w:r>
      <w:r>
        <w:rPr>
          <w:rFonts w:ascii="Arial" w:eastAsia="Times New Roman" w:hAnsi="Arial" w:cs="Arial"/>
          <w:color w:val="000000"/>
          <w:lang w:val="en-US" w:eastAsia="de-DE"/>
        </w:rPr>
        <w:instrText xml:space="preserve">"id":"ITEM-2","itemData":{"DOI":"10.1080/21623945.2019.1612223","ISSN":"2162397X","PMID":"31112068","abstract":"Obesity is a major public health problem, predisposing to high cholesterol, diabetes and hypertension and inflicting health-care costs over 100 </w:instrText>
      </w:r>
      <w:r>
        <w:rPr>
          <w:rFonts w:ascii="Arial" w:eastAsia="Times New Roman" w:hAnsi="Arial" w:cs="Arial"/>
          <w:color w:val="000000"/>
          <w:lang w:val="en-US" w:eastAsia="de-DE"/>
        </w:rPr>
        <w:instrText>billion dollars in the US alone. It is characterized ...","author":[{"dropping-particle":"","family":"Gunasekar","given":"Susheel K.","non-dropping-particle":"","parse-names":false,"suffix":""},{"dropping-particle":"","family":"Xie","given":"Litao","non-dr</w:instrText>
      </w:r>
      <w:r>
        <w:rPr>
          <w:rFonts w:ascii="Arial" w:eastAsia="Times New Roman" w:hAnsi="Arial" w:cs="Arial"/>
          <w:color w:val="000000"/>
          <w:lang w:val="en-US" w:eastAsia="de-DE"/>
        </w:rPr>
        <w:instrText>opping-particle":"","parse-names":false,"suffix":""},{"dropping-particle":"","family":"Sah","given":"Rajan","non-dropping-particle":"","parse-names":false,"suffix":""}],"container-title":"Adipocyte","id":"ITEM-2","issue":"1","issued":{"date-parts":[["2019"</w:instrText>
      </w:r>
      <w:r>
        <w:rPr>
          <w:rFonts w:ascii="Arial" w:eastAsia="Times New Roman" w:hAnsi="Arial" w:cs="Arial"/>
          <w:color w:val="000000"/>
          <w:lang w:val="en-US" w:eastAsia="de-DE"/>
        </w:rPr>
        <w:instrText>,"1","2"]]},"page":"223-228","publisher":"Taylor &amp; Francis","title":"SWELL signalling in adipocytes: can fat 'feel' fat?","type":"article-journal","volume":"8"},"uris":["http://www.mendeley.com/documents/?uuid=aa01b682-b6b0-316d-ae65-d6b58b0f7394"]}],"mend</w:instrText>
      </w:r>
      <w:r>
        <w:rPr>
          <w:rFonts w:ascii="Arial" w:eastAsia="Times New Roman" w:hAnsi="Arial" w:cs="Arial"/>
          <w:color w:val="000000"/>
          <w:lang w:val="en-US" w:eastAsia="de-DE"/>
        </w:rPr>
        <w:instrText>eley":{"formattedCitation":"&lt;sup&gt;308,309&lt;/sup&gt;","plainTextFormattedCitation":"308,309","previouslyFormattedCitation":"&lt;sup&gt;308,309&lt;/sup&gt;"},"properties":{"noteIndex":0},"schema":"https://github.com/citation-style-language/schema/raw/master/csl-citation.json</w:instrText>
      </w:r>
      <w:r>
        <w:rPr>
          <w:rFonts w:ascii="Arial" w:eastAsia="Times New Roman" w:hAnsi="Arial" w:cs="Arial"/>
          <w:color w:val="000000"/>
          <w:lang w:val="en-US" w:eastAsia="de-DE"/>
        </w:rPr>
        <w:instrText>"}</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308,309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It has long been known that cells stop proliferating when they reach confluence, i.e., fill up the available growth space. This property is known as contact inhibition of proliferation (CIP)</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w:instrText>
      </w:r>
      <w:r>
        <w:rPr>
          <w:rFonts w:ascii="Arial" w:eastAsia="Times New Roman" w:hAnsi="Arial" w:cs="Arial"/>
          <w:color w:val="000000"/>
          <w:lang w:val="en-US" w:eastAsia="de-DE"/>
        </w:rPr>
        <w:instrText>"itemData":{"DOI":"10.1038/2131102a0","ISSN":"1476-4687","PMID":"6029791","abstract":"Euploid human fibroblasts and amnion cells showed contact inhibition of growth in monolayers. In mixed cultures the two cell types did not inhibit each other. Neither inh</w:instrText>
      </w:r>
      <w:r>
        <w:rPr>
          <w:rFonts w:ascii="Arial" w:eastAsia="Times New Roman" w:hAnsi="Arial" w:cs="Arial"/>
          <w:color w:val="000000"/>
          <w:lang w:val="en-US" w:eastAsia="de-DE"/>
        </w:rPr>
        <w:instrText>ibited the growth of aneuploid epithelial cells. What is the significance of these phenomena with regard to the growth of malignant tumours ?","author":[{"dropping-particle":"","family":"Eagle","given":"Harry","non-dropping-particle":"","parse-names":false</w:instrText>
      </w:r>
      <w:r>
        <w:rPr>
          <w:rFonts w:ascii="Arial" w:eastAsia="Times New Roman" w:hAnsi="Arial" w:cs="Arial"/>
          <w:color w:val="000000"/>
          <w:lang w:val="en-US" w:eastAsia="de-DE"/>
        </w:rPr>
        <w:instrText>,"suffix":""},{"dropping-particle":"","family":"Levine","given":"Elliot M.","non-dropping-particle":"","parse-names":false,"suffix":""}],"container-title":"Nature 1967 213:5081","id":"ITEM-1","issue":"5081","issued":{"date-parts":[["1967","3","1"]]},"page"</w:instrText>
      </w:r>
      <w:r>
        <w:rPr>
          <w:rFonts w:ascii="Arial" w:eastAsia="Times New Roman" w:hAnsi="Arial" w:cs="Arial"/>
          <w:color w:val="000000"/>
          <w:lang w:val="en-US" w:eastAsia="de-DE"/>
        </w:rPr>
        <w:instrText>:"1102-1106","publisher":"Nature Publishing Group","title":"Growth Regulatory Effects of Cellular Interaction","type":"article-journal","volume":"213"},"uris":["http://www.mendeley.com/documents/?uuid=3e282a73-795f-3eab-a412-4cd93de59135"]},{"id":"ITEM-2",</w:instrText>
      </w:r>
      <w:r>
        <w:rPr>
          <w:rFonts w:ascii="Arial" w:eastAsia="Times New Roman" w:hAnsi="Arial" w:cs="Arial"/>
          <w:color w:val="000000"/>
          <w:lang w:val="en-US" w:eastAsia="de-DE"/>
        </w:rPr>
        <w:instrText>"itemData":{"DOI":"10.1038/s41467-018-05388-x","ISSN":"2041-1723","PMID":"30054475","abstract":"Contact inhibition enables noncancerous cells to cease proliferation and growth when they contact each other. This characteristic is lost when cells undergo mal</w:instrText>
      </w:r>
      <w:r>
        <w:rPr>
          <w:rFonts w:ascii="Arial" w:eastAsia="Times New Roman" w:hAnsi="Arial" w:cs="Arial"/>
          <w:color w:val="000000"/>
          <w:lang w:val="en-US" w:eastAsia="de-DE"/>
        </w:rPr>
        <w:instrText>ignant transformation, leading to uncontrolled proliferation and solid tumor formation. Here we report that autophagy is compromised in contact-inhibited cells in 2D or 3D-soft extracellular matrix cultures. In such cells, YAP/TAZ fail to co-transcriptiona</w:instrText>
      </w:r>
      <w:r>
        <w:rPr>
          <w:rFonts w:ascii="Arial" w:eastAsia="Times New Roman" w:hAnsi="Arial" w:cs="Arial"/>
          <w:color w:val="000000"/>
          <w:lang w:val="en-US" w:eastAsia="de-DE"/>
        </w:rPr>
        <w:instrText>lly regulate the expression of myosin-II genes, resulting in the loss of F-actin stress fibers, which impairs autophagosome formation. The decreased proliferation resulting from contact inhibition is partly autophagy-dependent, as is their increased sensit</w:instrText>
      </w:r>
      <w:r>
        <w:rPr>
          <w:rFonts w:ascii="Arial" w:eastAsia="Times New Roman" w:hAnsi="Arial" w:cs="Arial"/>
          <w:color w:val="000000"/>
          <w:lang w:val="en-US" w:eastAsia="de-DE"/>
        </w:rPr>
        <w:instrText>ivity to hypoxia and glucose starvation. These findings define how mechanically repressed YAP/TAZ activity impacts autophagy to contribute to core phenotypes resulting from high cell confluence that are lost in various cancers. At high cell density or when</w:instrText>
      </w:r>
      <w:r>
        <w:rPr>
          <w:rFonts w:ascii="Arial" w:eastAsia="Times New Roman" w:hAnsi="Arial" w:cs="Arial"/>
          <w:color w:val="000000"/>
          <w:lang w:val="en-US" w:eastAsia="de-DE"/>
        </w:rPr>
        <w:instrText xml:space="preserve"> plated on soft matrix, YAP/TAZ are redistributed from the nucleus to the cytosol, becoming transcriptionally inactive. Here the authors show that at high cell density, autophagosome formation is impaired due to reduced YAP/TAZ-dependent transcription of a</w:instrText>
      </w:r>
      <w:r>
        <w:rPr>
          <w:rFonts w:ascii="Arial" w:eastAsia="Times New Roman" w:hAnsi="Arial" w:cs="Arial"/>
          <w:color w:val="000000"/>
          <w:lang w:val="en-US" w:eastAsia="de-DE"/>
        </w:rPr>
        <w:instrText>ctomyosin genes","author":[{"dropping-particle":"","family":"Pavel","given":"Mariana","non-dropping-particle":"","parse-names":false,"suffix":""},{"dropping-particle":"","family":"Renna","given":"Maurizio","non-dropping-particle":"","parse-names":false,"su</w:instrText>
      </w:r>
      <w:r>
        <w:rPr>
          <w:rFonts w:ascii="Arial" w:eastAsia="Times New Roman" w:hAnsi="Arial" w:cs="Arial"/>
          <w:color w:val="000000"/>
          <w:lang w:val="en-US" w:eastAsia="de-DE"/>
        </w:rPr>
        <w:instrText>ffix":""},{"dropping-particle":"","family":"Park","given":"So Jung","non-dropping-particle":"","parse-names":false,"suffix":""},{"dropping-particle":"","family":"Menzies","given":"Fiona M.","non-dropping-particle":"","parse-names":false,"suffix":""},{"drop</w:instrText>
      </w:r>
      <w:r>
        <w:rPr>
          <w:rFonts w:ascii="Arial" w:eastAsia="Times New Roman" w:hAnsi="Arial" w:cs="Arial"/>
          <w:color w:val="000000"/>
          <w:lang w:val="en-US" w:eastAsia="de-DE"/>
        </w:rPr>
        <w:instrText>ping-particle":"","family":"Ricketts","given":"Thomas","non-dropping-particle":"","parse-names":false,"suffix":""},{"dropping-particle":"","fami</w:instrText>
      </w:r>
      <w:r>
        <w:rPr>
          <w:rFonts w:ascii="Arial" w:eastAsia="Times New Roman" w:hAnsi="Arial" w:cs="Arial"/>
          <w:color w:val="000000"/>
          <w:lang w:eastAsia="de-DE"/>
        </w:rPr>
        <w:instrText>ly":"Füllgrabe","given":"Jens","non-dropping-particle":"","parse-names":false,"suffix":""},{"dropping-particle":</w:instrText>
      </w:r>
      <w:r>
        <w:rPr>
          <w:rFonts w:ascii="Arial" w:eastAsia="Times New Roman" w:hAnsi="Arial" w:cs="Arial"/>
          <w:color w:val="000000"/>
          <w:lang w:eastAsia="de-DE"/>
        </w:rPr>
        <w:instrText>"","family":"Ashkenazi","given":"Avraham","non-dropping-particle":"","parse-names":false,"suffix":""},{"dropping-particle":"","family":"Frake","given":"Rebecca A.","non-dropping-particle":"","parse-names":false,"suffix":""},{"dropping-particle":"","family"</w:instrText>
      </w:r>
      <w:r>
        <w:rPr>
          <w:rFonts w:ascii="Arial" w:eastAsia="Times New Roman" w:hAnsi="Arial" w:cs="Arial"/>
          <w:color w:val="000000"/>
          <w:lang w:eastAsia="de-DE"/>
        </w:rPr>
        <w:instrText>:"Lombarte","given":"Alejandro Carnicer","non-dropping-particle":"","parse-names":false,"suffix":""},{"dropping-particle":"","family":"Bento","given":"Carla F.","non-dropping-particle":"","parse-names":false,"suffix":""},{"dropping-particle":"","family":"F</w:instrText>
      </w:r>
      <w:r>
        <w:rPr>
          <w:rFonts w:ascii="Arial" w:eastAsia="Times New Roman" w:hAnsi="Arial" w:cs="Arial"/>
          <w:color w:val="000000"/>
          <w:lang w:eastAsia="de-DE"/>
        </w:rPr>
        <w:instrText>ranze","given":"Kristian","non-dropping-particle":"","parse-names":false,"suffix":""},{"dropping-particle":"","family":"Rubinsztein","given":"David C.","non-dropping-particle":"","parse-names":false,"suffix":""}],"container-title":"Nature Communications 20</w:instrText>
      </w:r>
      <w:r>
        <w:rPr>
          <w:rFonts w:ascii="Arial" w:eastAsia="Times New Roman" w:hAnsi="Arial" w:cs="Arial"/>
          <w:color w:val="000000"/>
          <w:lang w:eastAsia="de-DE"/>
        </w:rPr>
        <w:instrText>18 9:1","id":"ITEM-2","issue":"1","issued":{"date-parts":[["2018","7","27"]]},"page":"1-18","publisher":"Nature Publishing Group","title":"Contact inhibition controls cell survival and proliferation via YAP/TAZ-autophagy axis","type":"article-journal","vol</w:instrText>
      </w:r>
      <w:r>
        <w:rPr>
          <w:rFonts w:ascii="Arial" w:eastAsia="Times New Roman" w:hAnsi="Arial" w:cs="Arial"/>
          <w:color w:val="000000"/>
          <w:lang w:eastAsia="de-DE"/>
        </w:rPr>
        <w:instrText>ume":"9"},"uris":["http://www.mendeley.com/documents/?uuid=a653791d-4ec9-3602-9461-c47988cd0521"]}],"mendeley":{"formattedCitation":"&lt;sup&gt;310,311&lt;/sup&gt;","plainTextFormattedCitation":"310,311","previouslyFormattedCitation":"&lt;sup&gt;310,311&lt;/sup&gt;"},"properties"</w:instrText>
      </w:r>
      <w:r>
        <w:rPr>
          <w:rFonts w:ascii="Arial" w:eastAsia="Times New Roman" w:hAnsi="Arial" w:cs="Arial"/>
          <w:color w:val="000000"/>
          <w:lang w:eastAsia="de-DE"/>
        </w:rPr>
        <w:instrText>:{"noteIndex":0},"schema":"https://github.com/citation-style-language/schema/raw/master/csl-citation.json"}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eastAsia="de-DE"/>
        </w:rPr>
        <w:t>310,311</w:t>
      </w:r>
      <w:r>
        <w:rPr>
          <w:rFonts w:ascii="Arial" w:eastAsia="Times New Roman" w:hAnsi="Arial" w:cs="Arial"/>
          <w:color w:val="000000"/>
          <w:lang w:val="en-US" w:eastAsia="de-DE"/>
        </w:rPr>
        <w:fldChar w:fldCharType="end"/>
      </w:r>
      <w:r>
        <w:rPr>
          <w:rFonts w:ascii="Arial" w:eastAsia="Times New Roman" w:hAnsi="Arial" w:cs="Arial"/>
          <w:color w:val="000000"/>
          <w:lang w:eastAsia="de-DE"/>
        </w:rPr>
        <w:t>. Streichan et al.</w:t>
      </w:r>
      <w:r>
        <w:rPr>
          <w:rFonts w:ascii="Arial" w:eastAsia="Times New Roman" w:hAnsi="Arial" w:cs="Arial"/>
          <w:color w:val="000000"/>
          <w:lang w:val="en-US" w:eastAsia="de-DE"/>
        </w:rPr>
        <w:fldChar w:fldCharType="begin" w:fldLock="1"/>
      </w:r>
      <w:r>
        <w:rPr>
          <w:rFonts w:ascii="Arial" w:eastAsia="Times New Roman" w:hAnsi="Arial" w:cs="Arial"/>
          <w:color w:val="000000"/>
          <w:lang w:eastAsia="de-DE"/>
        </w:rPr>
        <w:instrText>ADDIN CSL_CITATION {"citationItems":[{"id":"ITEM-1","itemData":{"DOI":"10.1073/PNAS.1323016111/SUPPL_FILE/SM08.MOV","ISSN</w:instrText>
      </w:r>
      <w:r>
        <w:rPr>
          <w:rFonts w:ascii="Arial" w:eastAsia="Times New Roman" w:hAnsi="Arial" w:cs="Arial"/>
          <w:color w:val="000000"/>
          <w:lang w:eastAsia="de-DE"/>
        </w:rPr>
        <w:instrText>":"10916490","PMID":"24706777","abstract":"Control of cell proliferation is a fundamental aspect of tissue formation in development and regeneration. Cells experience various spatial and mechanical constraints depending on their environmental context in th</w:instrText>
      </w:r>
      <w:r>
        <w:rPr>
          <w:rFonts w:ascii="Arial" w:eastAsia="Times New Roman" w:hAnsi="Arial" w:cs="Arial"/>
          <w:color w:val="000000"/>
          <w:lang w:eastAsia="de-DE"/>
        </w:rPr>
        <w:instrText>e body, but we do not fully understand if and how such constraints influence cell cycle progression and thereby proliferation patterns in tissues. Here, we study the impact of mechanical manipulations on the cell cycle of individual cells within a mammalia</w:instrText>
      </w:r>
      <w:r>
        <w:rPr>
          <w:rFonts w:ascii="Arial" w:eastAsia="Times New Roman" w:hAnsi="Arial" w:cs="Arial"/>
          <w:color w:val="000000"/>
          <w:lang w:eastAsia="de-DE"/>
        </w:rPr>
        <w:instrText>n model epithelium. By monitoring the response to experimentally applied forces, we find a checkpoint at the G1-S boundary that, in response to spatial constraints, controls cell cycle progression. This checkpoint prevents cells from entering S phase if th</w:instrText>
      </w:r>
      <w:r>
        <w:rPr>
          <w:rFonts w:ascii="Arial" w:eastAsia="Times New Roman" w:hAnsi="Arial" w:cs="Arial"/>
          <w:color w:val="000000"/>
          <w:lang w:eastAsia="de-DE"/>
        </w:rPr>
        <w:instrText>e available space remains below a characteristic threshold because of crowding. Stretching the tissue results in fast cell cycle reactivation, whereas compression rapidly leads to cell cycle arrest. Our kinetic analysis of this response shows that cells ha</w:instrText>
      </w:r>
      <w:r>
        <w:rPr>
          <w:rFonts w:ascii="Arial" w:eastAsia="Times New Roman" w:hAnsi="Arial" w:cs="Arial"/>
          <w:color w:val="000000"/>
          <w:lang w:eastAsia="de-DE"/>
        </w:rPr>
        <w:instrText>ve no memory of past constraints and allows us to formulate a biophysical model that predicts tissue growth in response to changes in spatial constraints in the environment. This characteristic biomechanical cell cycle response likely serves as a fundament</w:instrText>
      </w:r>
      <w:r>
        <w:rPr>
          <w:rFonts w:ascii="Arial" w:eastAsia="Times New Roman" w:hAnsi="Arial" w:cs="Arial"/>
          <w:color w:val="000000"/>
          <w:lang w:eastAsia="de-DE"/>
        </w:rPr>
        <w:instrText>al control mechanism to maintain tissue integrity and to ensure control of tissue growth during development and regeneration.","author":[{"dropping-particle":"","family":"Streichan","given":"Sebastian J.","non-dropping-particle":"","parse-names":false,"suf</w:instrText>
      </w:r>
      <w:r>
        <w:rPr>
          <w:rFonts w:ascii="Arial" w:eastAsia="Times New Roman" w:hAnsi="Arial" w:cs="Arial"/>
          <w:color w:val="000000"/>
          <w:lang w:eastAsia="de-DE"/>
        </w:rPr>
        <w:instrText>fix":""},{"dropping-particle":"","family":"Hoerner","given":"Christian R.","non-dropping-particle":"","parse-names":false,"suffix":""},{"dropping-particle":"","family":"Schneidt","given":"Tatjana","non-dropping-particle":"","parse-names":false,"suffix":""}</w:instrText>
      </w:r>
      <w:r>
        <w:rPr>
          <w:rFonts w:ascii="Arial" w:eastAsia="Times New Roman" w:hAnsi="Arial" w:cs="Arial"/>
          <w:color w:val="000000"/>
          <w:lang w:eastAsia="de-DE"/>
        </w:rPr>
        <w:instrText>,{"dropping-particle":"","family":"Holzer","given":"Daniela","non-dropping-particle":"","parse-names":false,"suffix":""},{"dropping-particle":"","family":"Hufnagel","given":"Lars","non-dropping-particle":"","parse-names":false,"suffix":""}],"container-titl</w:instrText>
      </w:r>
      <w:r>
        <w:rPr>
          <w:rFonts w:ascii="Arial" w:eastAsia="Times New Roman" w:hAnsi="Arial" w:cs="Arial"/>
          <w:color w:val="000000"/>
          <w:lang w:eastAsia="de-DE"/>
        </w:rPr>
        <w:instrText>e":"Proceedings of the National Academy of Sciences of the United States of America","id":"ITEM-1","issue":"15","issued":{"date-parts":[["2014","4","15"]]},"page":"5586-5591","publisher":"National Academy of Sciences","title":"Spatial constraints control c</w:instrText>
      </w:r>
      <w:r>
        <w:rPr>
          <w:rFonts w:ascii="Arial" w:eastAsia="Times New Roman" w:hAnsi="Arial" w:cs="Arial"/>
          <w:color w:val="000000"/>
          <w:lang w:eastAsia="de-DE"/>
        </w:rPr>
        <w:instrText>ell proliferation in tissues","type":"article-journal","volume":"111"},"uris":["http://www.mendeley.com/documents/?uuid=0066593f-108c-35f5-ad5f-e85d7ca5fbbd"]}],"mendeley":{"formattedCitation":"&lt;sup&gt;302&lt;/sup&gt;","plainTextFormattedCitation":"302","previously</w:instrText>
      </w:r>
      <w:r>
        <w:rPr>
          <w:rFonts w:ascii="Arial" w:eastAsia="Times New Roman" w:hAnsi="Arial" w:cs="Arial"/>
          <w:color w:val="000000"/>
          <w:lang w:eastAsia="de-DE"/>
        </w:rPr>
        <w:instrText>FormattedCitation":"&lt;sup&gt;302&lt;/sup&gt;"},"properties":{"noteIndex":0},"schema":"https://github.com/citation-style-language/schema/raw/master/csl-citation.json"}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eastAsia="de-DE"/>
        </w:rPr>
        <w:t>302</w:t>
      </w:r>
      <w:r>
        <w:rPr>
          <w:rFonts w:ascii="Arial" w:eastAsia="Times New Roman" w:hAnsi="Arial" w:cs="Arial"/>
          <w:color w:val="000000"/>
          <w:lang w:val="en-US" w:eastAsia="de-DE"/>
        </w:rPr>
        <w:fldChar w:fldCharType="end"/>
      </w:r>
      <w:r>
        <w:rPr>
          <w:rFonts w:ascii="Arial" w:eastAsia="Times New Roman" w:hAnsi="Arial" w:cs="Arial"/>
          <w:color w:val="000000"/>
          <w:lang w:eastAsia="de-DE"/>
        </w:rPr>
        <w:t xml:space="preserve"> show that the mammalian cell-cycle has a mechanosensitive checkpoint at the G1-S transition t</w:t>
      </w:r>
      <w:r>
        <w:rPr>
          <w:rFonts w:ascii="Arial" w:eastAsia="Times New Roman" w:hAnsi="Arial" w:cs="Arial"/>
          <w:color w:val="000000"/>
          <w:lang w:eastAsia="de-DE"/>
        </w:rPr>
        <w:t xml:space="preserve">hat monitors the space available to the cell before cycle progression. </w:t>
      </w:r>
      <w:r>
        <w:rPr>
          <w:rFonts w:ascii="Arial" w:eastAsia="Times New Roman" w:hAnsi="Arial" w:cs="Arial"/>
          <w:color w:val="000000"/>
          <w:lang w:val="en-US" w:eastAsia="de-DE"/>
        </w:rPr>
        <w:t>In epithelial cell monolayers, the G1/S transition was also found to be sensitive to high mechanical stress, with cells facing higher inter-cellular tension exhibiting a higher likeliho</w:t>
      </w:r>
      <w:r>
        <w:rPr>
          <w:rFonts w:ascii="Arial" w:eastAsia="Times New Roman" w:hAnsi="Arial" w:cs="Arial"/>
          <w:color w:val="000000"/>
          <w:lang w:val="en-US" w:eastAsia="de-DE"/>
        </w:rPr>
        <w:t>od of G1/S transition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{"citationItems":[{"id":"ITEM-1","itemData":{"DOI":"10.1038/s41556-018-0107-2","ISSN":"1476-4679","PMID":"29802405","abstract":"It has long been proposed that the cell cycle is regulated by physical forces at the cel</w:instrText>
      </w:r>
      <w:r>
        <w:rPr>
          <w:rFonts w:ascii="Arial" w:eastAsia="Times New Roman" w:hAnsi="Arial" w:cs="Arial"/>
          <w:color w:val="000000"/>
          <w:lang w:val="en-US" w:eastAsia="de-DE"/>
        </w:rPr>
        <w:instrText>l–cell and cell–extracellular matrix (ECM) interfaces1–12. However, the evolution of these forces during the cycle has never been measured in a tissue, and whether this evolution affects cell cycle progression is unknown. Here, we quantified cell–cell tens</w:instrText>
      </w:r>
      <w:r>
        <w:rPr>
          <w:rFonts w:ascii="Arial" w:eastAsia="Times New Roman" w:hAnsi="Arial" w:cs="Arial"/>
          <w:color w:val="000000"/>
          <w:lang w:val="en-US" w:eastAsia="de-DE"/>
        </w:rPr>
        <w:instrText>ion and cell–ECM traction throughout the complete cycle of a large cell population in a growing epithelium. These measurements unveil temporal mechanical patterns that span the entire cell cycle and regulate its duration, the G1–S transition and mitotic ro</w:instrText>
      </w:r>
      <w:r>
        <w:rPr>
          <w:rFonts w:ascii="Arial" w:eastAsia="Times New Roman" w:hAnsi="Arial" w:cs="Arial"/>
          <w:color w:val="000000"/>
          <w:lang w:val="en-US" w:eastAsia="de-DE"/>
        </w:rPr>
        <w:instrText xml:space="preserve">unding. Cells subjected to higher intercellular tension exhibit a higher probability to transition from G1 to S, as well as shorter G1 and S–G2–M phases. Moreover, we show that tension and mechanical energy are better predictors of the duration of G1 than </w:instrText>
      </w:r>
      <w:r>
        <w:rPr>
          <w:rFonts w:ascii="Arial" w:eastAsia="Times New Roman" w:hAnsi="Arial" w:cs="Arial"/>
          <w:color w:val="000000"/>
          <w:lang w:val="en-US" w:eastAsia="de-DE"/>
        </w:rPr>
        <w:instrText>measured geometric properties. Tension increases during the cell cycle but decreases 3 hours before mitosis. Using optogenetic control of contractility, we show that this tension drop favours mitotic rounding. Our results establish that cell cycle progress</w:instrText>
      </w:r>
      <w:r>
        <w:rPr>
          <w:rFonts w:ascii="Arial" w:eastAsia="Times New Roman" w:hAnsi="Arial" w:cs="Arial"/>
          <w:color w:val="000000"/>
          <w:lang w:val="en-US" w:eastAsia="de-DE"/>
        </w:rPr>
        <w:instrText>ion is regulated cooperatively by forces between the dividing cell and its neighbours. Monitoring growing epithelial cells through the cell cycle, Uroz et al. find that cell–cell tension and cell–matrix traction forces differ across the cell cycle and affe</w:instrText>
      </w:r>
      <w:r>
        <w:rPr>
          <w:rFonts w:ascii="Arial" w:eastAsia="Times New Roman" w:hAnsi="Arial" w:cs="Arial"/>
          <w:color w:val="000000"/>
          <w:lang w:val="en-US" w:eastAsia="de-DE"/>
        </w:rPr>
        <w:instrText>ct cell cycle duration, the G1–S transition and mitotic rounding.","author":[{"dropping-particle":"","family":"Uroz","given":"Marina","non-dropping-particle":"","parse-names":false,"suffix":""},{"dropping-particle":"","family":"Wistorf","given":"Sabrina","</w:instrText>
      </w:r>
      <w:r>
        <w:rPr>
          <w:rFonts w:ascii="Arial" w:eastAsia="Times New Roman" w:hAnsi="Arial" w:cs="Arial"/>
          <w:color w:val="000000"/>
          <w:lang w:val="en-US" w:eastAsia="de-DE"/>
        </w:rPr>
        <w:instrText>non-dropping-particle":"","parse-names":false,"suffix":""},{"dropping-particle":"","family":"Serra-Picamal","given":"Xavier","non-dropping-particle":"","parse-names":false,"suffix":""},{"dropping-particle":"","family":"Conte","given":"Vito","non-dropping-p</w:instrText>
      </w:r>
      <w:r>
        <w:rPr>
          <w:rFonts w:ascii="Arial" w:eastAsia="Times New Roman" w:hAnsi="Arial" w:cs="Arial"/>
          <w:color w:val="000000"/>
          <w:lang w:val="en-US" w:eastAsia="de-DE"/>
        </w:rPr>
        <w:instrText>article":"","parse-names":false,"suffix":""},{"dropping-particle":"","family":"Sales-Pardo","given":"Marta","non-dropping-particle":"","parse-names":false,"suffix":""},{"dropping-particle":"","family":"Roca-Cusachs","given":"Pere","non-dropping-particle":"</w:instrText>
      </w:r>
      <w:r>
        <w:rPr>
          <w:rFonts w:ascii="Arial" w:eastAsia="Times New Roman" w:hAnsi="Arial" w:cs="Arial"/>
          <w:color w:val="000000"/>
          <w:lang w:val="en-US" w:eastAsia="de-DE"/>
        </w:rPr>
        <w:instrText>","parse-names":false,"suffix":""},{"dropping-particle":"","family":"Guimerà","given":"Roger","non-dropping-particle":"","parse-names":false,"suffix":""},{"dropping-particle":"","family":"Trepat","given":"Xavier","non-dropping-particle":"","parse-names":fa</w:instrText>
      </w:r>
      <w:r>
        <w:rPr>
          <w:rFonts w:ascii="Arial" w:eastAsia="Times New Roman" w:hAnsi="Arial" w:cs="Arial"/>
          <w:color w:val="000000"/>
          <w:lang w:val="en-US" w:eastAsia="de-DE"/>
        </w:rPr>
        <w:instrText xml:space="preserve">lse,"suffix":""}],"container-title":"Nature Cell Biology 2018 20:6","id":"ITEM-1","issue":"6","issued":{"date-parts":[["2018","5","25"]]},"page":"646-654","publisher":"Nature Publishing Group","title":"Regulation of cell cycle progression by cell–cell and </w:instrText>
      </w:r>
      <w:r>
        <w:rPr>
          <w:rFonts w:ascii="Arial" w:eastAsia="Times New Roman" w:hAnsi="Arial" w:cs="Arial"/>
          <w:color w:val="000000"/>
          <w:lang w:val="en-US" w:eastAsia="de-DE"/>
        </w:rPr>
        <w:instrText>cell–matrix forces","type":"article-journal","volume":"20"},"uris":["http://www.mendeley.com/documents/?uuid=a2b05ee1-5552-3d9b-b2eb-000829903334"]}],"mendeley":{"formattedCitation":"&lt;sup&gt;312&lt;/sup&gt;","plainTextFormattedCitation":"312","previouslyFormattedCi</w:instrText>
      </w:r>
      <w:r>
        <w:rPr>
          <w:rFonts w:ascii="Arial" w:eastAsia="Times New Roman" w:hAnsi="Arial" w:cs="Arial"/>
          <w:color w:val="000000"/>
          <w:lang w:val="en-US" w:eastAsia="de-DE"/>
        </w:rPr>
        <w:instrText>tation":"&lt;sup&gt;312&lt;/sup&gt;"},"properties":{"noteIndex":0},"schema":"https://github.com/citation-style-language/schema/raw/master/csl-citation.json"}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conversion of a mechanical signal into a biochemical response likely involves proteins of the Hipp</w:t>
      </w:r>
      <w:r>
        <w:rPr>
          <w:rFonts w:ascii="Arial" w:eastAsia="Times New Roman" w:hAnsi="Arial" w:cs="Arial"/>
          <w:color w:val="000000"/>
          <w:lang w:val="en-US" w:eastAsia="de-DE"/>
        </w:rPr>
        <w:t>o-YAP pathway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{"citationItems":[{"id":"ITEM-1","itemData":{"DOI":"10.1073/PNAS.1615012113/SUPPL_FILE/PNAS.1615012113.SM04.AVI","ISSN":"10916490","abstract":"Mechanical stress can influence cell proliferation in vitro, but whether it makes</w:instrText>
      </w:r>
      <w:r>
        <w:rPr>
          <w:rFonts w:ascii="Arial" w:eastAsia="Times New Roman" w:hAnsi="Arial" w:cs="Arial"/>
          <w:color w:val="000000"/>
          <w:lang w:val="en-US" w:eastAsia="de-DE"/>
        </w:rPr>
        <w:instrText xml:space="preserve"> a significant contribution to growth control in vivo, and how it is modulated and experienced by cells within developing tissues, has remained unclear. Here we report that differential growth reduces cytoskeletal tension along cell junctions within faster</w:instrText>
      </w:r>
      <w:r>
        <w:rPr>
          <w:rFonts w:ascii="Arial" w:eastAsia="Times New Roman" w:hAnsi="Arial" w:cs="Arial"/>
          <w:color w:val="000000"/>
          <w:lang w:val="en-US" w:eastAsia="de-DE"/>
        </w:rPr>
        <w:instrText>-growing cells. We propose a theoretical model to explain the observed reduction of tension within faster-growing clones, supporting it by computer simulations based on a generalized vertex model. This reduced tension modulates a biomechanical Hippo pathwa</w:instrText>
      </w:r>
      <w:r>
        <w:rPr>
          <w:rFonts w:ascii="Arial" w:eastAsia="Times New Roman" w:hAnsi="Arial" w:cs="Arial"/>
          <w:color w:val="000000"/>
          <w:lang w:val="en-US" w:eastAsia="de-DE"/>
        </w:rPr>
        <w:instrText>y, decreasing recruitment of Ajuba LIM protein and the Hippo pathway kinase Warts, and decreasing the activity of the growth-promoting transcription factor Yorkie. These observations provide a specific mechanism for a mechanical feedback that contributes t</w:instrText>
      </w:r>
      <w:r>
        <w:rPr>
          <w:rFonts w:ascii="Arial" w:eastAsia="Times New Roman" w:hAnsi="Arial" w:cs="Arial"/>
          <w:color w:val="000000"/>
          <w:lang w:val="en-US" w:eastAsia="de-DE"/>
        </w:rPr>
        <w:instrText>o evenly distributed growth, and we show that genetically suppressing mechanical feedback alters patterns of cell proliferation in the developing Drosophila wing. By providing experimental support for the induction of mechanical stress by differential grow</w:instrText>
      </w:r>
      <w:r>
        <w:rPr>
          <w:rFonts w:ascii="Arial" w:eastAsia="Times New Roman" w:hAnsi="Arial" w:cs="Arial"/>
          <w:color w:val="000000"/>
          <w:lang w:val="en-US" w:eastAsia="de-DE"/>
        </w:rPr>
        <w:instrText>th, and a molecular mechanism linking this stress to the regulation of growth in developing organs, our results confirm and extend the mechanical feedback hypothesis.","author":[{"dropping-particle":"","family":"Pan","given":"Yuanwang","non-dropping-partic</w:instrText>
      </w:r>
      <w:r>
        <w:rPr>
          <w:rFonts w:ascii="Arial" w:eastAsia="Times New Roman" w:hAnsi="Arial" w:cs="Arial"/>
          <w:color w:val="000000"/>
          <w:lang w:val="en-US" w:eastAsia="de-DE"/>
        </w:rPr>
        <w:instrText>le":"","parse-names":false,"suffix":""},{"dropping-particle":"","family":"Heemskerk","given":"Idse","non-dropping-particle":"","parse-names":false,"suffix":""},{"dropping-particle":"","family":"Ibar","given":"Consuelo","non-dropping-particle":"","parse-nam</w:instrText>
      </w:r>
      <w:r>
        <w:rPr>
          <w:rFonts w:ascii="Arial" w:eastAsia="Times New Roman" w:hAnsi="Arial" w:cs="Arial"/>
          <w:color w:val="000000"/>
          <w:lang w:val="en-US" w:eastAsia="de-DE"/>
        </w:rPr>
        <w:instrText>es":false,"suffix":""},{"dropping-particle":"","family":"Shraiman","given":"Boris I.","non-dropping-particle":"","parse-names":false,"suffix":""},{"dropping-particle":"","family":"Irvine","given":"Kenneth D.","non-dropping-particle":"","parse-names":false,</w:instrText>
      </w:r>
      <w:r>
        <w:rPr>
          <w:rFonts w:ascii="Arial" w:eastAsia="Times New Roman" w:hAnsi="Arial" w:cs="Arial"/>
          <w:color w:val="000000"/>
          <w:lang w:val="en-US" w:eastAsia="de-DE"/>
        </w:rPr>
        <w:instrText>"suffix":""}],"container-title":"Proceedings of the National Academy of Sciences of the United States of America","id":"ITEM-1","issue":"45","issued":{"date-parts":[["2016","11","8"]]},"page":"E6974-E6983","publisher":"National Academy of Sciences","title"</w:instrText>
      </w:r>
      <w:r>
        <w:rPr>
          <w:rFonts w:ascii="Arial" w:eastAsia="Times New Roman" w:hAnsi="Arial" w:cs="Arial"/>
          <w:color w:val="000000"/>
          <w:lang w:val="en-US" w:eastAsia="de-DE"/>
        </w:rPr>
        <w:instrText>:"Differential growth triggers mechanical feedback that elevates Hippo signaling","type":"article-journal","volume":"113"},"uris":["http://www.mendeley.com/documents/?uuid=961db53f-8e4b-3594-89db-ec1ca60ff9c0"]},{"id":"ITEM-2","itemData":{"DOI":"10.1091/MB</w:instrText>
      </w:r>
      <w:r>
        <w:rPr>
          <w:rFonts w:ascii="Arial" w:eastAsia="Times New Roman" w:hAnsi="Arial" w:cs="Arial"/>
          <w:color w:val="000000"/>
          <w:lang w:val="en-US" w:eastAsia="de-DE"/>
        </w:rPr>
        <w:instrText>C.E18-04-0213/ASSET/IMAGES/LARGE/MBC-29-2591-G006.JPEG","ISSN":"19394586","PMID":"30113884","abstract":"Animal cells use an unknown mechanism to control their growth and physical size. Here, using the fluorescence exclusion method, we measure cell volume f</w:instrText>
      </w:r>
      <w:r>
        <w:rPr>
          <w:rFonts w:ascii="Arial" w:eastAsia="Times New Roman" w:hAnsi="Arial" w:cs="Arial"/>
          <w:color w:val="000000"/>
          <w:lang w:val="en-US" w:eastAsia="de-DE"/>
        </w:rPr>
        <w:instrText>or adherent cells on substrates of varying stiffness. We discover that the cell volume has a complex dependence on substrate stiffness and is positively correlated with the size of the cell adhesion to the substrate. From a mechanical force-balance conditi</w:instrText>
      </w:r>
      <w:r>
        <w:rPr>
          <w:rFonts w:ascii="Arial" w:eastAsia="Times New Roman" w:hAnsi="Arial" w:cs="Arial"/>
          <w:color w:val="000000"/>
          <w:lang w:val="en-US" w:eastAsia="de-DE"/>
        </w:rPr>
        <w:instrText>on that determines the geometry of the cell surface, we find that the observed cell volume variation can be predicted quantitatively from the distribution of active myosin through the cell cortex. To connect cell mechanical tension with cell size homeostas</w:instrText>
      </w:r>
      <w:r>
        <w:rPr>
          <w:rFonts w:ascii="Arial" w:eastAsia="Times New Roman" w:hAnsi="Arial" w:cs="Arial"/>
          <w:color w:val="000000"/>
          <w:lang w:val="en-US" w:eastAsia="de-DE"/>
        </w:rPr>
        <w:instrText>is, we quantified the nuclear localization of YAP/TAZ, a transcription factor involved in cell growth and proliferation. We find that the level of nuclear YAP/TAZ is positively correlated with the average cell volume. Moreover, the level of nuclear YAP/TAZ</w:instrText>
      </w:r>
      <w:r>
        <w:rPr>
          <w:rFonts w:ascii="Arial" w:eastAsia="Times New Roman" w:hAnsi="Arial" w:cs="Arial"/>
          <w:color w:val="000000"/>
          <w:lang w:val="en-US" w:eastAsia="de-DE"/>
        </w:rPr>
        <w:instrText xml:space="preserve"> is also connected to cell tension, as measured by the amount of phosphorylated myosin. Cells with greater apical tension tend to have higher levels of nuclear YAP/TAZ and a larger cell volume. These results point to a size-sensing mechanism based on mecha</w:instrText>
      </w:r>
      <w:r>
        <w:rPr>
          <w:rFonts w:ascii="Arial" w:eastAsia="Times New Roman" w:hAnsi="Arial" w:cs="Arial"/>
          <w:color w:val="000000"/>
          <w:lang w:val="en-US" w:eastAsia="de-DE"/>
        </w:rPr>
        <w:instrText>nical tension: the cell tension increases as the cell grows, and increasing tension feeds back biochemically to growth and proliferation control.","author":[{"dropping-particle":"","family":"Gonzalez","given":"Nicolas Perez","non-dropping-particle":"","par</w:instrText>
      </w:r>
      <w:r>
        <w:rPr>
          <w:rFonts w:ascii="Arial" w:eastAsia="Times New Roman" w:hAnsi="Arial" w:cs="Arial"/>
          <w:color w:val="000000"/>
          <w:lang w:val="en-US" w:eastAsia="de-DE"/>
        </w:rPr>
        <w:instrText>se-names":false,"suffix":""},{"dropping-particle":"","family":"Tao","given":"Jiaxiang","non-dropping-particle":"","parse-names":false,"suffix":""},{"dropping-particle":"","family":"Rochman","given":"Nash D.","non-dropping-particle":"","parse-names":false,"</w:instrText>
      </w:r>
      <w:r>
        <w:rPr>
          <w:rFonts w:ascii="Arial" w:eastAsia="Times New Roman" w:hAnsi="Arial" w:cs="Arial"/>
          <w:color w:val="000000"/>
          <w:lang w:val="en-US" w:eastAsia="de-DE"/>
        </w:rPr>
        <w:instrText>suffix":""},{"dropping-particle":"","family":"Vig","given":"Dhruv","non-dropping-particle":"","parse-names":false,"suffix":""},{"dropping-particle":"","family":"Chiu","given":"Evelyn","non-dropping-particle":"","parse-names":false,"suffix":""},{"dropping-p</w:instrText>
      </w:r>
      <w:r>
        <w:rPr>
          <w:rFonts w:ascii="Arial" w:eastAsia="Times New Roman" w:hAnsi="Arial" w:cs="Arial"/>
          <w:color w:val="000000"/>
          <w:lang w:val="en-US" w:eastAsia="de-DE"/>
        </w:rPr>
        <w:instrText>article":"","family":"Wirtz","given":"Denis","non-dropping-particle":"","parse-names":false,"suffix":""},{"dropping-particle":"","family":"Sun","given":"Sean X.","non-dropping-particle":"","parse-names":false,"suffix":""}],"container-title":"Molecular Biol</w:instrText>
      </w:r>
      <w:r>
        <w:rPr>
          <w:rFonts w:ascii="Arial" w:eastAsia="Times New Roman" w:hAnsi="Arial" w:cs="Arial"/>
          <w:color w:val="000000"/>
          <w:lang w:val="en-US" w:eastAsia="de-DE"/>
        </w:rPr>
        <w:instrText>ogy of the Cell","id":"ITEM-2","issue":"21","issued":{"date-parts":[["2018","10","15"]]},"page":"2591-2600","publisher":"American Society for Cell Biology","title":"Cell tension and mechanical regulation of cell volume","type":"article-journal","volume":"2</w:instrText>
      </w:r>
      <w:r>
        <w:rPr>
          <w:rFonts w:ascii="Arial" w:eastAsia="Times New Roman" w:hAnsi="Arial" w:cs="Arial"/>
          <w:color w:val="000000"/>
          <w:lang w:val="en-US" w:eastAsia="de-DE"/>
        </w:rPr>
        <w:instrText>9"},"uris":["http://www.mendeley.com/documents/?uuid=b4e6e9fb-8cfe-3177-8b68-110467eacbca"]},{"id":"ITEM-3","itemData":{"DOI":"10.1083/JCB.201902067","ISSN":"0021-9525","PMID":"31481532","abstract":"How mammalian cells regulate their physical size is curre</w:instrText>
      </w:r>
      <w:r>
        <w:rPr>
          <w:rFonts w:ascii="Arial" w:eastAsia="Times New Roman" w:hAnsi="Arial" w:cs="Arial"/>
          <w:color w:val="000000"/>
          <w:lang w:val="en-US" w:eastAsia="de-DE"/>
        </w:rPr>
        <w:instrText xml:space="preserve">ntly poorly understood, in part due to the difficulty in accurately quantifying cell volume in a high-throughput manner. Here, using the fluorescence exclusion method, we demonstrate that the mechanosensitive transcriptional regulators YAP (Yes-associated </w:instrText>
      </w:r>
      <w:r>
        <w:rPr>
          <w:rFonts w:ascii="Arial" w:eastAsia="Times New Roman" w:hAnsi="Arial" w:cs="Arial"/>
          <w:color w:val="000000"/>
          <w:lang w:val="en-US" w:eastAsia="de-DE"/>
        </w:rPr>
        <w:instrText>protein) and TAZ (transcriptional coactivator with PDZbinding motif) are regulators of single-cell volume. The role of YAP/TAZ in volume regulation must go beyond its influence on total cell cycle duration or cell shape to explain the observed changes in v</w:instrText>
      </w:r>
      <w:r>
        <w:rPr>
          <w:rFonts w:ascii="Arial" w:eastAsia="Times New Roman" w:hAnsi="Arial" w:cs="Arial"/>
          <w:color w:val="000000"/>
          <w:lang w:val="en-US" w:eastAsia="de-DE"/>
        </w:rPr>
        <w:instrText>olume. Moreover, for our experimental conditions, volume regulation by YAP/TAZ is independent of mTOR. Instead, we find that YAP/TAZ directly impacts the cell division volume, and YAP is involved in regulating intracellular cytoplasmic pressure. Based on t</w:instrText>
      </w:r>
      <w:r>
        <w:rPr>
          <w:rFonts w:ascii="Arial" w:eastAsia="Times New Roman" w:hAnsi="Arial" w:cs="Arial"/>
          <w:color w:val="000000"/>
          <w:lang w:val="en-US" w:eastAsia="de-DE"/>
        </w:rPr>
        <w:instrText>he idea that YAP/TAZ is a mechanosensor, we find that inhibitingmyosin assembly and cell tension slows cell cycle progression fromG1 to S. These results suggest that YAP/TAZ may be modulating cell volume in combination with cytoskeletal tension during cell</w:instrText>
      </w:r>
      <w:r>
        <w:rPr>
          <w:rFonts w:ascii="Arial" w:eastAsia="Times New Roman" w:hAnsi="Arial" w:cs="Arial"/>
          <w:color w:val="000000"/>
          <w:lang w:val="en-US" w:eastAsia="de-DE"/>
        </w:rPr>
        <w:instrText xml:space="preserve"> cycle progression.","author":[{"dropping-particle":"","family":"Perez-Gonzalez","given":"Nicolas A.","non-dropping-particle":"","parse-names":false,"suffix":""},{"dropping-particle":"","family":"Rochman","given":"Nash D.","non-dropping-particle":"","parse</w:instrText>
      </w:r>
      <w:r>
        <w:rPr>
          <w:rFonts w:ascii="Arial" w:eastAsia="Times New Roman" w:hAnsi="Arial" w:cs="Arial"/>
          <w:color w:val="000000"/>
          <w:lang w:val="en-US" w:eastAsia="de-DE"/>
        </w:rPr>
        <w:instrText>-names":false,"suffix":""},{"dropping-particle":"","family":"Yao","given":"Kai","non-dropping-particle":"","parse-names":false,"suffix":""},{"dropping-particle":"","family":"Tao","given":"Jiaxiang","non-dropping-particle":"","parse-names":false,"suffix":""</w:instrText>
      </w:r>
      <w:r>
        <w:rPr>
          <w:rFonts w:ascii="Arial" w:eastAsia="Times New Roman" w:hAnsi="Arial" w:cs="Arial"/>
          <w:color w:val="000000"/>
          <w:lang w:val="en-US" w:eastAsia="de-DE"/>
        </w:rPr>
        <w:instrText>},{"dropping-particle":"","family":"Le","given":"Minh Tam Tran","non-dropping-particle":"","parse-names":false,"suffix":""},{"dropping-particle":"","family":"Flanary","given":"Shannon","non-dropping-particle":"","parse-names":false,"suffix":""},{"dropping-</w:instrText>
      </w:r>
      <w:r>
        <w:rPr>
          <w:rFonts w:ascii="Arial" w:eastAsia="Times New Roman" w:hAnsi="Arial" w:cs="Arial"/>
          <w:color w:val="000000"/>
          <w:lang w:val="en-US" w:eastAsia="de-DE"/>
        </w:rPr>
        <w:instrText>particle":"","family":"Sablich","given":"Lucia","non-dropping-particle":"","parse-names":false,"suffix":""},{"dropping-particle":"","family":"Toler","given":"Ben","non-dropping-particle":"","parse-names":false,"suffix":""},{"dropping-particle":"","family":</w:instrText>
      </w:r>
      <w:r>
        <w:rPr>
          <w:rFonts w:ascii="Arial" w:eastAsia="Times New Roman" w:hAnsi="Arial" w:cs="Arial"/>
          <w:color w:val="000000"/>
          <w:lang w:val="en-US" w:eastAsia="de-DE"/>
        </w:rPr>
        <w:instrText>"Crentsil","given":"Eliana","non-dropping-particle":"","parse-names":false,"suffix":""},{"dropping-particle":"","family":"Takaesu","given":"Felipe","non-dropping-particle":"","parse-names":false,"suffix":""},{"dropping-particle":"","family":"Lambrus","give</w:instrText>
      </w:r>
      <w:r>
        <w:rPr>
          <w:rFonts w:ascii="Arial" w:eastAsia="Times New Roman" w:hAnsi="Arial" w:cs="Arial"/>
          <w:color w:val="000000"/>
          <w:lang w:val="en-US" w:eastAsia="de-DE"/>
        </w:rPr>
        <w:instrText>n":"Bram","non-dropping-particle":"","parse-names":false,"suffix":""},{"dropping-particle":"","family":"Huang","given":"Jessie","non-dropping-particle":"","parse-names":false,"suffix":""},{"dropping-particle":"","family":"Fu","given":"Vivian","non-dropping</w:instrText>
      </w:r>
      <w:r>
        <w:rPr>
          <w:rFonts w:ascii="Arial" w:eastAsia="Times New Roman" w:hAnsi="Arial" w:cs="Arial"/>
          <w:color w:val="000000"/>
          <w:lang w:val="en-US" w:eastAsia="de-DE"/>
        </w:rPr>
        <w:instrText>-particle":"","parse-names":false,"suffix":""},{"dropping-particle":"","family":"Chengappa","given":"Pragati","non-dropping-particle":"","parse-names":false,"suffix":""},{"dropping-particle":"","family":"Jones","given":"Tia M.","non-dropping-particle":"","</w:instrText>
      </w:r>
      <w:r>
        <w:rPr>
          <w:rFonts w:ascii="Arial" w:eastAsia="Times New Roman" w:hAnsi="Arial" w:cs="Arial"/>
          <w:color w:val="000000"/>
          <w:lang w:val="en-US" w:eastAsia="de-DE"/>
        </w:rPr>
        <w:instrText>parse-names":false,"suffix":""},{"dropping-particle":"","family":"Holland","given":"Andrew J.","non-dropping-particle":"","parse-names":false,"suffix":""},{"dropping-particle":"","family":"An","given":"Steven","non-dropping-particle":"","parse-names":false</w:instrText>
      </w:r>
      <w:r>
        <w:rPr>
          <w:rFonts w:ascii="Arial" w:eastAsia="Times New Roman" w:hAnsi="Arial" w:cs="Arial"/>
          <w:color w:val="000000"/>
          <w:lang w:val="en-US" w:eastAsia="de-DE"/>
        </w:rPr>
        <w:instrText>,"suffix":""},{"dropping-particle":"","family":"Wirtz","given":"Denis","non-dropping-particle":"","parse-names":false,"suffix":""},{"dropping-particle":"","family":"Petrie","given":"Ryan J.","non-dropping-particle":"","parse-names":false,"suffix":""},{"dro</w:instrText>
      </w:r>
      <w:r>
        <w:rPr>
          <w:rFonts w:ascii="Arial" w:eastAsia="Times New Roman" w:hAnsi="Arial" w:cs="Arial"/>
          <w:color w:val="000000"/>
          <w:lang w:val="en-US" w:eastAsia="de-DE"/>
        </w:rPr>
        <w:instrText>pping-particle":"","family":"Guan","given":"Kun Liang","non-dropping-particle":"","parse-names":false,"suffix":""},{"dropping-particle":"","family":"Sun","given":"Sean X.","non-dropping-particle":"","parse-names":false,"suffix":""}],"container-title":"Jour</w:instrText>
      </w:r>
      <w:r>
        <w:rPr>
          <w:rFonts w:ascii="Arial" w:eastAsia="Times New Roman" w:hAnsi="Arial" w:cs="Arial"/>
          <w:color w:val="000000"/>
          <w:lang w:val="en-US" w:eastAsia="de-DE"/>
        </w:rPr>
        <w:instrText>nal of Cell Biology","id":"ITEM-3","issue":"10","issued":{"date-parts":[["2019","10","7"]]},"page":"3472-3488","publisher":"The Rockefeller University Press","title":"YAP and TAZ regulate cell volume","type":"article-journal","volume":"218"},"uris":["http:</w:instrText>
      </w:r>
      <w:r>
        <w:rPr>
          <w:rFonts w:ascii="Arial" w:eastAsia="Times New Roman" w:hAnsi="Arial" w:cs="Arial"/>
          <w:color w:val="000000"/>
          <w:lang w:val="en-US" w:eastAsia="de-DE"/>
        </w:rPr>
        <w:instrText>//www.mendeley.com/documents/?uuid=8d097eb3-00f5-3b37-b6c8-7faf23c1cf62"]},{"id":"ITEM-4","itemData":{"DOI":"10.1038/s41467-023-43230-1","ISSN":"2041-1723","abstract":"Even slight imbalance between the growth&amp;nbsp;rate of different organs can accumulate to</w:instrText>
      </w:r>
      <w:r>
        <w:rPr>
          <w:rFonts w:ascii="Arial" w:eastAsia="Times New Roman" w:hAnsi="Arial" w:cs="Arial"/>
          <w:color w:val="000000"/>
          <w:lang w:val="en-US" w:eastAsia="de-DE"/>
        </w:rPr>
        <w:instrText xml:space="preserve"> a large deviation from their appropriate size during development. Here, we use live imaging of the pharynx of C. elegans to ask if and how organ size scaling nevertheless remains uniform among individuals. Growth trajectories of hundreds of individuals re</w:instrText>
      </w:r>
      <w:r>
        <w:rPr>
          <w:rFonts w:ascii="Arial" w:eastAsia="Times New Roman" w:hAnsi="Arial" w:cs="Arial"/>
          <w:color w:val="000000"/>
          <w:lang w:val="en-US" w:eastAsia="de-DE"/>
        </w:rPr>
        <w:instrText>veal that pharynxes grow by a near constant volume per larval stage that is independent of their initial size, such that undersized pharynxes catch-up in size during development. Tissue-specific depletion of RAGA-1, an activator of mTOR and growth, shows t</w:instrText>
      </w:r>
      <w:r>
        <w:rPr>
          <w:rFonts w:ascii="Arial" w:eastAsia="Times New Roman" w:hAnsi="Arial" w:cs="Arial"/>
          <w:color w:val="000000"/>
          <w:lang w:val="en-US" w:eastAsia="de-DE"/>
        </w:rPr>
        <w:instrText>hat maintaining correct pharynx-to-body size proportions involves a bi-directional coupling between pharynx size and body growth. In simulations, this coupling cannot be explained by limitation of food uptake alone, and genetic experiments reveal an involv</w:instrText>
      </w:r>
      <w:r>
        <w:rPr>
          <w:rFonts w:ascii="Arial" w:eastAsia="Times New Roman" w:hAnsi="Arial" w:cs="Arial"/>
          <w:color w:val="000000"/>
          <w:lang w:val="en-US" w:eastAsia="de-DE"/>
        </w:rPr>
        <w:instrText>ement of the mechanotransducing transcriptional co-regulator yap-1. Our data suggests that mechanotransduction coordinates pharynx growth with other tissues, ensuring body plan uniformity among individuals. Imbalance in the growth&amp;nbsp;rate of two organs c</w:instrText>
      </w:r>
      <w:r>
        <w:rPr>
          <w:rFonts w:ascii="Arial" w:eastAsia="Times New Roman" w:hAnsi="Arial" w:cs="Arial"/>
          <w:color w:val="000000"/>
          <w:lang w:val="en-US" w:eastAsia="de-DE"/>
        </w:rPr>
        <w:instrText>an perturb their appropriate scaling. Here, Stojanovski et al., identify a mechanism involving the mechanotransducer YAP-1 which ensures proper proportions of the pharynx and the body length of C. elegans.","author":[{"dropping-particle":"","family":"Stoja</w:instrText>
      </w:r>
      <w:r>
        <w:rPr>
          <w:rFonts w:ascii="Arial" w:eastAsia="Times New Roman" w:hAnsi="Arial" w:cs="Arial"/>
          <w:color w:val="000000"/>
          <w:lang w:val="en-US" w:eastAsia="de-DE"/>
        </w:rPr>
        <w:instrText>novski","given":"Klement","non-dropping-particle":"","parse-names":false,"suffix":""},{"dropping-particle":"","family":"Gheorghe","given":"Ioana","non-dropping-particle":"","parse-names":false,"suffix":""},{"dropping-particle":"","family":"Lenart","given":</w:instrText>
      </w:r>
      <w:r>
        <w:rPr>
          <w:rFonts w:ascii="Arial" w:eastAsia="Times New Roman" w:hAnsi="Arial" w:cs="Arial"/>
          <w:color w:val="000000"/>
          <w:lang w:val="en-US" w:eastAsia="de-DE"/>
        </w:rPr>
        <w:instrText>"Peter","non-dropping-particle":"","parse-names":false,"suffix":""},{"dropping-particle":"","family":"Lanjuin","given":"Anne","non-dropping-particle":"","parse-names":false,"suffix":""},{"dropping-particle":"","family":"Mair","given":"William B.","non-drop</w:instrText>
      </w:r>
      <w:r>
        <w:rPr>
          <w:rFonts w:ascii="Arial" w:eastAsia="Times New Roman" w:hAnsi="Arial" w:cs="Arial"/>
          <w:color w:val="000000"/>
          <w:lang w:val="en-US" w:eastAsia="de-DE"/>
        </w:rPr>
        <w:instrText>ping-particle":"","parse-names":false,"suffix":""},{"dropping-particle":"","family":"Towbin","given":"Benjamin D.","non-dropping-particle":"","parse-names":false,"suffix":""}],"container-title":"Nature Communications 2023 14:1","id":"ITEM-4","issue":"1","i</w:instrText>
      </w:r>
      <w:r>
        <w:rPr>
          <w:rFonts w:ascii="Arial" w:eastAsia="Times New Roman" w:hAnsi="Arial" w:cs="Arial"/>
          <w:color w:val="000000"/>
          <w:lang w:val="en-US" w:eastAsia="de-DE"/>
        </w:rPr>
        <w:instrText>ssued":{"date-parts":[["2023","11","20"]]},"page":"1-13","publisher":"Nature Publishing Group","title":"Maintenance of appropriate size scaling of the C. elegans pharynx by YAP-1","type":"article-journal","volume":"14"},"uris":["http://www.mendeley.com/doc</w:instrText>
      </w:r>
      <w:r>
        <w:rPr>
          <w:rFonts w:ascii="Arial" w:eastAsia="Times New Roman" w:hAnsi="Arial" w:cs="Arial"/>
          <w:color w:val="000000"/>
          <w:lang w:val="en-US" w:eastAsia="de-DE"/>
        </w:rPr>
        <w:instrText>uments/?uuid=3790a97d-45a5-3fa0-9f6a-4c8b4f856c34"]}],"mendeley":{"formattedCitation":"&lt;sup&gt;303,313–315&lt;/sup&gt;","plainTextFormattedCitation":"303,313–315","previouslyFormattedCitation":"&lt;sup&gt;303,313–315&lt;/sup&gt;"},"properties":{"noteIndex":0},"schema":"https:/</w:instrText>
      </w:r>
      <w:r>
        <w:rPr>
          <w:rFonts w:ascii="Arial" w:eastAsia="Times New Roman" w:hAnsi="Arial" w:cs="Arial"/>
          <w:color w:val="000000"/>
          <w:lang w:val="en-US" w:eastAsia="de-DE"/>
        </w:rPr>
        <w:instrText>/github.com/citation-style-language/schema/raw/master/csl-citation.json"}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303,313–315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t>
      </w:r>
      <w:proofErr w:type="spellStart"/>
      <w:r>
        <w:rPr>
          <w:rFonts w:ascii="Arial" w:eastAsia="Times New Roman" w:hAnsi="Arial" w:cs="Arial"/>
          <w:color w:val="000000"/>
          <w:lang w:val="en-US" w:eastAsia="de-DE"/>
        </w:rPr>
        <w:t>Mugahid</w:t>
      </w:r>
      <w:proofErr w:type="spellEnd"/>
      <w:r>
        <w:rPr>
          <w:rFonts w:ascii="Arial" w:eastAsia="Times New Roman" w:hAnsi="Arial" w:cs="Arial"/>
          <w:color w:val="000000"/>
          <w:lang w:val="en-US" w:eastAsia="de-DE"/>
        </w:rPr>
        <w:t xml:space="preserve">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{"citationItems":[{"id":"ITEM-1","itemData":{"DOI":"10.7554/ELIFE.53404","ISSN":"2050084X","PMID":"31913124","abstract":"The Hippo pathway regulates organ size, regeneration, and cell growth by controlling the stability of the transcription factor, YAP (Yo</w:instrText>
      </w:r>
      <w:r>
        <w:rPr>
          <w:rFonts w:ascii="Arial" w:eastAsia="Times New Roman" w:hAnsi="Arial" w:cs="Arial"/>
          <w:color w:val="000000"/>
          <w:lang w:val="en-US" w:eastAsia="de-DE"/>
        </w:rPr>
        <w:instrText>rkie in Drosophila). When there is tissue damage, YAP is activated allowing the restoration of homeostatic tissue size. The exact signals by which YAP is activated are still not fully understood, but its activation is known to affect both cell size and cel</w:instrText>
      </w:r>
      <w:r>
        <w:rPr>
          <w:rFonts w:ascii="Arial" w:eastAsia="Times New Roman" w:hAnsi="Arial" w:cs="Arial"/>
          <w:color w:val="000000"/>
          <w:lang w:val="en-US" w:eastAsia="de-DE"/>
        </w:rPr>
        <w:instrText>l number. Here we used cultured cells to examine the coordinated regulation of cell size and number under the control of YAP. Our experiments in isogenic HEK293 cells reveal that YAP can affect cell size and number by independent circuits. Some of these ef</w:instrText>
      </w:r>
      <w:r>
        <w:rPr>
          <w:rFonts w:ascii="Arial" w:eastAsia="Times New Roman" w:hAnsi="Arial" w:cs="Arial"/>
          <w:color w:val="000000"/>
          <w:lang w:val="en-US" w:eastAsia="de-DE"/>
        </w:rPr>
        <w:instrText xml:space="preserve">fects are cell autonomous, such as proliferation, while others are mediated by secreted signals. In particular CYR61, a known secreted YAP target, is a non-cell autonomous mediator of cell survival, while another unidentified secreted factor controls cell </w:instrText>
      </w:r>
      <w:r>
        <w:rPr>
          <w:rFonts w:ascii="Arial" w:eastAsia="Times New Roman" w:hAnsi="Arial" w:cs="Arial"/>
          <w:color w:val="000000"/>
          <w:lang w:val="en-US" w:eastAsia="de-DE"/>
        </w:rPr>
        <w:instrText>size.","author":[{"dropping-particle":"","family":"Mugahid","given":"Douaa","non-dropping-particle":"","parse-names":false,"suffix":""},{"dropping-particle":"","family":"Kalocsay","given":"Marian","non-dropping-particle":"","parse-names":false,"suffix":""}</w:instrText>
      </w:r>
      <w:r>
        <w:rPr>
          <w:rFonts w:ascii="Arial" w:eastAsia="Times New Roman" w:hAnsi="Arial" w:cs="Arial"/>
          <w:color w:val="000000"/>
          <w:lang w:val="en-US" w:eastAsia="de-DE"/>
        </w:rPr>
        <w:instrText>,{"dropping-particle":"","family":"Liu","given":"Xili","non-dropping-particle":"","parse-names":false,"suffix":""},{"dropping-particle":"","family":"Gruver","given":"Jonathan Scott","non-dropping-particle":"","parse-names":false,"suffix":""},{"dropping-par</w:instrText>
      </w:r>
      <w:r>
        <w:rPr>
          <w:rFonts w:ascii="Arial" w:eastAsia="Times New Roman" w:hAnsi="Arial" w:cs="Arial"/>
          <w:color w:val="000000"/>
          <w:lang w:val="en-US" w:eastAsia="de-DE"/>
        </w:rPr>
        <w:instrText>ticle":"","family":"Peshkin","given":"Leonid","non-dropping-particle":"","parse-names":false,"suffix":""},{"dropping-particle":"","family":"Kirschner","given":"Marc W.","non-dropping-particle":"","parse-names":false,"suffix":""}],"container-title":"eLife",</w:instrText>
      </w:r>
      <w:r>
        <w:rPr>
          <w:rFonts w:ascii="Arial" w:eastAsia="Times New Roman" w:hAnsi="Arial" w:cs="Arial"/>
          <w:color w:val="000000"/>
          <w:lang w:val="en-US" w:eastAsia="de-DE"/>
        </w:rPr>
        <w:instrText>"id":"ITEM-1","issued":{"date-parts":[["2020","1","1"]]},"publisher":"eLife Sciences Publications Ltd","title":"YAP regulates cell size and growth dynamics via non-cell autonomous mediators","type":"article-journal","volume":"9"},"uris":["http://www.mendel</w:instrText>
      </w:r>
      <w:r>
        <w:rPr>
          <w:rFonts w:ascii="Arial" w:eastAsia="Times New Roman" w:hAnsi="Arial" w:cs="Arial"/>
          <w:color w:val="000000"/>
          <w:lang w:val="en-US" w:eastAsia="de-DE"/>
        </w:rPr>
        <w:instrText>ey.com/documents/?uuid=45f3c4c4-af4e-3cd1-a893-0718ef9cd605"]}],"mendeley":{"formattedCitation":"&lt;sup&gt;316&lt;/sup&gt;","plainTextFormattedCitation":"316","previouslyFormattedCitation":"&lt;sup&gt;316&lt;/sup&gt;"},"properties":{"noteIndex":0},"schema":"https://github.com/ci</w:instrText>
      </w:r>
      <w:r>
        <w:rPr>
          <w:rFonts w:ascii="Arial" w:eastAsia="Times New Roman" w:hAnsi="Arial" w:cs="Arial"/>
          <w:color w:val="000000"/>
          <w:lang w:val="en-US" w:eastAsia="de-DE"/>
        </w:rPr>
        <w:instrText>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have shown that YAP controls cell size and cell number via independent circuits. Recently, Stojanovski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{"citationItems":[{"id":"ITEM-1","itemData":{"DOI":"10.1038/s4</w:instrText>
      </w:r>
      <w:r>
        <w:rPr>
          <w:rFonts w:ascii="Arial" w:eastAsia="Times New Roman" w:hAnsi="Arial" w:cs="Arial"/>
          <w:color w:val="000000"/>
          <w:lang w:val="en-US" w:eastAsia="de-DE"/>
        </w:rPr>
        <w:instrText>1467-023-43230-1","ISSN":"2041-1723","abstract":"Even slight imbalance between the growth&amp;nbsp;rate of different organs can accumulate to a large deviation from their appropriate size during development. Here, we use live imaging of the pharynx of C. elega</w:instrText>
      </w:r>
      <w:r>
        <w:rPr>
          <w:rFonts w:ascii="Arial" w:eastAsia="Times New Roman" w:hAnsi="Arial" w:cs="Arial"/>
          <w:color w:val="000000"/>
          <w:lang w:val="en-US" w:eastAsia="de-DE"/>
        </w:rPr>
        <w:instrText>ns to ask if and how organ size scaling nevertheless remains uniform among individuals. Growth trajectories of hundreds of individuals reveal that pharynxes grow by a near constant volume per larval stage that is independent of their initial size, such tha</w:instrText>
      </w:r>
      <w:r>
        <w:rPr>
          <w:rFonts w:ascii="Arial" w:eastAsia="Times New Roman" w:hAnsi="Arial" w:cs="Arial"/>
          <w:color w:val="000000"/>
          <w:lang w:val="en-US" w:eastAsia="de-DE"/>
        </w:rPr>
        <w:instrText>t undersized pharynxes catch-up in size during development. Tissue-specific depletion of RAGA-1, an activator of mTOR and growth, shows that maintaining correct pharynx-to-body size proportions involves a bi-directional coupling between pharynx size and bo</w:instrText>
      </w:r>
      <w:r>
        <w:rPr>
          <w:rFonts w:ascii="Arial" w:eastAsia="Times New Roman" w:hAnsi="Arial" w:cs="Arial"/>
          <w:color w:val="000000"/>
          <w:lang w:val="en-US" w:eastAsia="de-DE"/>
        </w:rPr>
        <w:instrText>dy growth. In simulations, this coupling cannot be explained by limitation of food uptake alone, and genetic experiments reveal an involvement of the mechanotransducing transcriptional co-regulator yap-1. Our data suggests that mechanotransduction coordina</w:instrText>
      </w:r>
      <w:r>
        <w:rPr>
          <w:rFonts w:ascii="Arial" w:eastAsia="Times New Roman" w:hAnsi="Arial" w:cs="Arial"/>
          <w:color w:val="000000"/>
          <w:lang w:val="en-US" w:eastAsia="de-DE"/>
        </w:rPr>
        <w:instrText>tes pharynx growth with other tissues, ensuring body plan uniformity among individuals. Imbalance in the growth&amp;nbsp;rate of two organs can perturb their appropriate scaling. Here, Stojanovski et al., identify a mechanism involving the mechanotransducer YA</w:instrText>
      </w:r>
      <w:r>
        <w:rPr>
          <w:rFonts w:ascii="Arial" w:eastAsia="Times New Roman" w:hAnsi="Arial" w:cs="Arial"/>
          <w:color w:val="000000"/>
          <w:lang w:val="en-US" w:eastAsia="de-DE"/>
        </w:rPr>
        <w:instrText>P-1 which ensures proper proportions of the pharynx and the body length of C. elegans.","author":[{"dropping-particle":"","family":"Stojanovski","given":"Klement","non-dropping-particle":"","parse-names":false,"suffix":""},{"dropping-particle":"","family":</w:instrText>
      </w:r>
      <w:r>
        <w:rPr>
          <w:rFonts w:ascii="Arial" w:eastAsia="Times New Roman" w:hAnsi="Arial" w:cs="Arial"/>
          <w:color w:val="000000"/>
          <w:lang w:val="en-US" w:eastAsia="de-DE"/>
        </w:rPr>
        <w:instrText>"Gheorghe","given":"Ioana","non-dropping-particle":"","parse-names":false,"suffix":""},{"dropping-particle":"","family":"Lenart","given":"Peter","non-dropping-particle":"","parse-names":false,"suffix":""},{"dropping-particle":"","family":"Lanjuin","given":</w:instrText>
      </w:r>
      <w:r>
        <w:rPr>
          <w:rFonts w:ascii="Arial" w:eastAsia="Times New Roman" w:hAnsi="Arial" w:cs="Arial"/>
          <w:color w:val="000000"/>
          <w:lang w:val="en-US" w:eastAsia="de-DE"/>
        </w:rPr>
        <w:instrText>"Anne","non-dropping-particle":"","parse-names":false,"suffix":""},{"dropping-particle":"","family":"Mair","given":"William B.","non-dropping-particle":"","parse-names":false,"suffix":""},{"dropping-particle":"","family":"Towbin","given":"Benjamin D.","non</w:instrText>
      </w:r>
      <w:r>
        <w:rPr>
          <w:rFonts w:ascii="Arial" w:eastAsia="Times New Roman" w:hAnsi="Arial" w:cs="Arial"/>
          <w:color w:val="000000"/>
          <w:lang w:val="en-US" w:eastAsia="de-DE"/>
        </w:rPr>
        <w:instrText xml:space="preserve">-dropping-particle":"","parse-names":false,"suffix":""}],"container-title":"Nature Communications 2023 14:1","id":"ITEM-1","issue":"1","issued":{"date-parts":[["2023","11","20"]]},"page":"1-13","publisher":"Nature Publishing Group","title":"Maintenance of </w:instrText>
      </w:r>
      <w:r>
        <w:rPr>
          <w:rFonts w:ascii="Arial" w:eastAsia="Times New Roman" w:hAnsi="Arial" w:cs="Arial"/>
          <w:color w:val="000000"/>
          <w:lang w:val="en-US" w:eastAsia="de-DE"/>
        </w:rPr>
        <w:instrText>appropriate size scaling of the C. elegans pharynx by YAP-1","type":"article-journal","volume":"14"},"uris":["http://www.mendeley.com/documents/?uuid=3790a97d-45a5-3fa0-9f6a-4c8b4f856c34"]}],"mendeley":{"formattedCitation":"&lt;sup&gt;315&lt;/sup&gt;","plainTextFormat</w:instrText>
      </w:r>
      <w:r>
        <w:rPr>
          <w:rFonts w:ascii="Arial" w:eastAsia="Times New Roman" w:hAnsi="Arial" w:cs="Arial"/>
          <w:color w:val="000000"/>
          <w:lang w:val="en-US" w:eastAsia="de-DE"/>
        </w:rPr>
        <w:instrText>tedCitation":"315","previouslyFormattedCitation":"&lt;sup&gt;315&lt;/sup&gt;"},"properties":{"noteIndex":0},"schema":"https://github.com/citation-style-language/schema/raw/master/csl-citation.json"}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have proposed a bidirectional coupling between pharynx size and</w:t>
      </w:r>
      <w:r>
        <w:rPr>
          <w:rFonts w:ascii="Arial" w:eastAsia="Times New Roman" w:hAnsi="Arial" w:cs="Arial"/>
          <w:color w:val="000000"/>
          <w:lang w:val="en-US" w:eastAsia="de-DE"/>
        </w:rPr>
        <w:t xml:space="preserve"> body growth in </w:t>
      </w:r>
      <w:r>
        <w:rPr>
          <w:rFonts w:ascii="Arial" w:eastAsia="Times New Roman" w:hAnsi="Arial" w:cs="Arial"/>
          <w:i/>
          <w:iCs/>
          <w:color w:val="000000"/>
          <w:lang w:val="en-US" w:eastAsia="de-DE"/>
        </w:rPr>
        <w:t>Caenorhabditis elegans</w:t>
      </w:r>
      <w:r>
        <w:rPr>
          <w:rFonts w:ascii="Arial" w:eastAsia="Times New Roman" w:hAnsi="Arial" w:cs="Arial"/>
          <w:color w:val="000000"/>
          <w:lang w:val="en-US" w:eastAsia="de-DE"/>
        </w:rPr>
        <w:t xml:space="preserve">, which seems to also be mediated by the </w:t>
      </w:r>
      <w:proofErr w:type="spellStart"/>
      <w:r>
        <w:rPr>
          <w:rFonts w:ascii="Arial" w:eastAsia="Times New Roman" w:hAnsi="Arial" w:cs="Arial"/>
          <w:color w:val="000000"/>
          <w:lang w:val="en-US" w:eastAsia="de-DE"/>
        </w:rPr>
        <w:t>mechanotransducer</w:t>
      </w:r>
      <w:proofErr w:type="spellEnd"/>
      <w:r>
        <w:rPr>
          <w:rFonts w:ascii="Arial" w:eastAsia="Times New Roman" w:hAnsi="Arial" w:cs="Arial"/>
          <w:color w:val="000000"/>
          <w:lang w:val="en-US" w:eastAsia="de-DE"/>
        </w:rPr>
        <w:t xml:space="preserve"> YAP. This suggests a role for </w:t>
      </w:r>
      <w:proofErr w:type="spellStart"/>
      <w:r>
        <w:rPr>
          <w:rFonts w:ascii="Arial" w:eastAsia="Times New Roman" w:hAnsi="Arial" w:cs="Arial"/>
          <w:color w:val="000000"/>
          <w:lang w:val="en-US" w:eastAsia="de-DE"/>
        </w:rPr>
        <w:t>mechanosensing</w:t>
      </w:r>
      <w:proofErr w:type="spellEnd"/>
      <w:r>
        <w:rPr>
          <w:rFonts w:ascii="Arial" w:eastAsia="Times New Roman" w:hAnsi="Arial" w:cs="Arial"/>
          <w:color w:val="000000"/>
          <w:lang w:val="en-US" w:eastAsia="de-DE"/>
        </w:rPr>
        <w:t xml:space="preserve"> in organ size regulation and maintenance of body plan uniformity. Taken together, these observations highlight tha</w:t>
      </w:r>
      <w:r>
        <w:rPr>
          <w:rFonts w:ascii="Arial" w:eastAsia="Times New Roman" w:hAnsi="Arial" w:cs="Arial"/>
          <w:color w:val="000000"/>
          <w:lang w:val="en-US" w:eastAsia="de-DE"/>
        </w:rPr>
        <w:t xml:space="preserve">t to understand cell size regulation of a specific cell type </w:t>
      </w:r>
      <w:r>
        <w:rPr>
          <w:rFonts w:ascii="Arial" w:eastAsia="Times New Roman" w:hAnsi="Arial" w:cs="Arial"/>
          <w:i/>
          <w:iCs/>
          <w:color w:val="000000"/>
          <w:lang w:val="en-US" w:eastAsia="de-DE"/>
        </w:rPr>
        <w:t>in vivo</w:t>
      </w:r>
      <w:r>
        <w:rPr>
          <w:rFonts w:ascii="Arial" w:eastAsia="Times New Roman" w:hAnsi="Arial" w:cs="Arial"/>
          <w:color w:val="000000"/>
          <w:lang w:val="en-US" w:eastAsia="de-DE"/>
        </w:rPr>
        <w:t>, it is not sufficient to understand how an isolated cell would sense and control its size, but instead the inputs provided by the surrounding tissue, both mechanical and biochemical, need</w:t>
      </w:r>
      <w:r>
        <w:rPr>
          <w:rFonts w:ascii="Arial" w:eastAsia="Times New Roman" w:hAnsi="Arial" w:cs="Arial"/>
          <w:color w:val="000000"/>
          <w:lang w:val="en-US" w:eastAsia="de-DE"/>
        </w:rPr>
        <w:t xml:space="preserve"> to be </w:t>
      </w:r>
      <w:proofErr w:type="gramStart"/>
      <w:r>
        <w:rPr>
          <w:rFonts w:ascii="Arial" w:eastAsia="Times New Roman" w:hAnsi="Arial" w:cs="Arial"/>
          <w:color w:val="000000"/>
          <w:lang w:val="en-US" w:eastAsia="de-DE"/>
        </w:rPr>
        <w:t>taken into account</w:t>
      </w:r>
      <w:proofErr w:type="gramEnd"/>
      <w:r>
        <w:rPr>
          <w:rFonts w:ascii="Arial" w:eastAsia="Times New Roman" w:hAnsi="Arial" w:cs="Arial"/>
          <w:color w:val="000000"/>
          <w:lang w:val="en-US" w:eastAsia="de-DE"/>
        </w:rPr>
        <w:t>.</w:t>
      </w:r>
    </w:p>
    <w:p w14:paraId="0A18D6E1" w14:textId="77777777" w:rsidR="00066D11" w:rsidRDefault="00E55468">
      <w:pPr>
        <w:rPr>
          <w:rFonts w:ascii="Arial" w:eastAsia="Times New Roman" w:hAnsi="Arial" w:cs="Arial"/>
          <w:b/>
          <w:bCs/>
          <w:color w:val="000000"/>
          <w:lang w:val="en-US" w:eastAsia="de-DE"/>
        </w:rPr>
      </w:pPr>
      <w:r>
        <w:rPr>
          <w:rFonts w:ascii="Arial" w:eastAsia="Times New Roman" w:hAnsi="Arial" w:cs="Arial"/>
          <w:b/>
          <w:bCs/>
          <w:color w:val="000000"/>
          <w:lang w:val="en-US" w:eastAsia="de-DE"/>
        </w:rPr>
        <w:br w:type="page"/>
      </w:r>
    </w:p>
    <w:p w14:paraId="75F82790"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lastRenderedPageBreak/>
        <w:t>7.2 Cell size regulation in non-proliferating cells </w:t>
      </w:r>
    </w:p>
    <w:p w14:paraId="4C12B77F"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The size control mechanisms described earlier depend upon cell division. However, most animal cells </w:t>
      </w:r>
      <w:r>
        <w:rPr>
          <w:rFonts w:ascii="Arial" w:eastAsia="Times New Roman" w:hAnsi="Arial" w:cs="Arial"/>
          <w:i/>
          <w:iCs/>
          <w:color w:val="000000"/>
          <w:lang w:val="en-US" w:eastAsia="de-DE"/>
        </w:rPr>
        <w:t>in vivo</w:t>
      </w:r>
      <w:r>
        <w:rPr>
          <w:rFonts w:ascii="Arial" w:eastAsia="Times New Roman" w:hAnsi="Arial" w:cs="Arial"/>
          <w:color w:val="000000"/>
          <w:lang w:val="en-US" w:eastAsia="de-DE"/>
        </w:rPr>
        <w:t xml:space="preserve"> are non-proliferating cells that have temporarily, through quiesce</w:t>
      </w:r>
      <w:r>
        <w:rPr>
          <w:rFonts w:ascii="Arial" w:eastAsia="Times New Roman" w:hAnsi="Arial" w:cs="Arial"/>
          <w:color w:val="000000"/>
          <w:lang w:val="en-US" w:eastAsia="de-DE"/>
        </w:rPr>
        <w:t>nce, or permanently, through senescence, exited the cell-cycle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{"citationItems":[{"id":"ITEM-1","itemData":{"DOI":"10.1242/JCS.216804/57017","ISSN":"14779137","PMID":"30504135","abstract":"Endocytosis mediates nutrient uptake, receptor in</w:instrText>
      </w:r>
      <w:r>
        <w:rPr>
          <w:rFonts w:ascii="Arial" w:eastAsia="Times New Roman" w:hAnsi="Arial" w:cs="Arial"/>
          <w:color w:val="000000"/>
          <w:lang w:val="en-US" w:eastAsia="de-DE"/>
        </w:rPr>
        <w:instrText xml:space="preserve">ternalization and the regulation of cell signaling. It is also hijacked by many bacteria, viruses and toxins to mediate their cellular entry. Several endocytic routes exist in parallel, fulfilling different functions. Most studies on endocytosis have used </w:instrText>
      </w:r>
      <w:r>
        <w:rPr>
          <w:rFonts w:ascii="Arial" w:eastAsia="Times New Roman" w:hAnsi="Arial" w:cs="Arial"/>
          <w:color w:val="000000"/>
          <w:lang w:val="en-US" w:eastAsia="de-DE"/>
        </w:rPr>
        <w:instrText>transformed cells in culture. However, as the majority of cells in an adult body have exited the cell cycle, our understanding is biased towards proliferating cells. Here, we review the evidence for the different pathways of endocytosis not only in dividin</w:instrText>
      </w:r>
      <w:r>
        <w:rPr>
          <w:rFonts w:ascii="Arial" w:eastAsia="Times New Roman" w:hAnsi="Arial" w:cs="Arial"/>
          <w:color w:val="000000"/>
          <w:lang w:val="en-US" w:eastAsia="de-DE"/>
        </w:rPr>
        <w:instrText xml:space="preserve">g, but also in quiescent, senescent and terminally differentiated cells. During mitosis, residual endocytosis is dedicated to the internalization of caveolae and specific receptors. In non-dividing cells, clathrin-mediated endocytosis (CME) functions, but </w:instrText>
      </w:r>
      <w:r>
        <w:rPr>
          <w:rFonts w:ascii="Arial" w:eastAsia="Times New Roman" w:hAnsi="Arial" w:cs="Arial"/>
          <w:color w:val="000000"/>
          <w:lang w:val="en-US" w:eastAsia="de-DE"/>
        </w:rPr>
        <w:instrText>the activity of alternative processes, such as caveolae, macropinocytosis and clathrin-independent routes, vary widely depending on cell types and functions. Endocytosis supports the quiescent state by either upregulating cell cycle arrest pathways or down</w:instrText>
      </w:r>
      <w:r>
        <w:rPr>
          <w:rFonts w:ascii="Arial" w:eastAsia="Times New Roman" w:hAnsi="Arial" w:cs="Arial"/>
          <w:color w:val="000000"/>
          <w:lang w:val="en-US" w:eastAsia="de-DE"/>
        </w:rPr>
        <w:instrText>regulating mitogen-induced signaling, thereby inhibiting cell proliferation. Endocytosis in terminally differentiated cells, such as skeletal muscles, adipocytes, kidney podocytes and neurons, supports tissue-specific functions. Finally, uptake is downregu</w:instrText>
      </w:r>
      <w:r>
        <w:rPr>
          <w:rFonts w:ascii="Arial" w:eastAsia="Times New Roman" w:hAnsi="Arial" w:cs="Arial"/>
          <w:color w:val="000000"/>
          <w:lang w:val="en-US" w:eastAsia="de-DE"/>
        </w:rPr>
        <w:instrText>lated in senescent cells, making them insensitive to proliferative stimuli by growth factors. Future studies should reveal the molecular basis for the differences in activities between the different cell states.","author":[{"dropping-particle":"","family":</w:instrText>
      </w:r>
      <w:r>
        <w:rPr>
          <w:rFonts w:ascii="Arial" w:eastAsia="Times New Roman" w:hAnsi="Arial" w:cs="Arial"/>
          <w:color w:val="000000"/>
          <w:lang w:val="en-US" w:eastAsia="de-DE"/>
        </w:rPr>
        <w:instrText>"Hinze","given":"Claudia","non-dropping-particle":"","parse-names":false,"suffix":""},{"dropping-particle":"","family":"Boucrot","given":"Emmanuel","non-dropping-particle":"","parse-names":false,"suffix":""}],"container-title":"Journal of Cell Science","id</w:instrText>
      </w:r>
      <w:r>
        <w:rPr>
          <w:rFonts w:ascii="Arial" w:eastAsia="Times New Roman" w:hAnsi="Arial" w:cs="Arial"/>
          <w:color w:val="000000"/>
          <w:lang w:val="en-US" w:eastAsia="de-DE"/>
        </w:rPr>
        <w:instrText>":"ITEM-1","issue":"23","issued":{"date-parts":[["2018","12","1"]]},"publisher":"Company of Biologists Ltd","title":"Endocytosis in proliferating, quiescent and terminally differentiated cells","type":"article-journal","volume":"131"},"uris":["http://www.m</w:instrText>
      </w:r>
      <w:r>
        <w:rPr>
          <w:rFonts w:ascii="Arial" w:eastAsia="Times New Roman" w:hAnsi="Arial" w:cs="Arial"/>
          <w:color w:val="000000"/>
          <w:lang w:val="en-US" w:eastAsia="de-DE"/>
        </w:rPr>
        <w:instrText>endeley.com/documents/?uuid=d94a38ec-1abe-3e2c-bf2c-48f306ea699c"]}],"mendeley":{"formattedCitation":"&lt;sup&gt;317&lt;/sup&gt;","plainTextFormattedCitation":"317","previouslyFormattedCitation":"&lt;sup&gt;317&lt;/sup&gt;"},"properties":{"noteIndex":0},"schema":"https://github.c</w:instrText>
      </w:r>
      <w:r>
        <w:rPr>
          <w:rFonts w:ascii="Arial" w:eastAsia="Times New Roman" w:hAnsi="Arial" w:cs="Arial"/>
          <w:color w:val="000000"/>
          <w:lang w:val="en-US" w:eastAsia="de-DE"/>
        </w:rPr>
        <w:instrText>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 consequential question is therefore how size homeostasis is maintained in non-proliferating cells.</w:t>
      </w:r>
    </w:p>
    <w:p w14:paraId="05166A77"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On average, proliferating cells double their biomass before division and hence have</w:t>
      </w:r>
      <w:r>
        <w:rPr>
          <w:rFonts w:ascii="Arial" w:eastAsia="Times New Roman" w:hAnsi="Arial" w:cs="Arial"/>
          <w:color w:val="000000"/>
          <w:lang w:val="en-US" w:eastAsia="de-DE"/>
        </w:rPr>
        <w:t xml:space="preserve"> a high biosynthetic requirement. Non-dividing cells are relieved of this replicative biosynthetic burden but surprisingly still exhibit a large range of metabolic activity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w:instrText>
      </w:r>
      <w:r>
        <w:rPr>
          <w:rFonts w:ascii="Arial" w:eastAsia="Times New Roman" w:hAnsi="Arial" w:cs="Arial"/>
          <w:color w:val="000000"/>
          <w:lang w:val="en-US" w:eastAsia="de-DE"/>
        </w:rPr>
        <w:instrText>l.2013.08.053","ISBN":"1097-4172 (Electronic)\\r0092-8674 (Linking)","ISSN":"1097-4172","PMID":"24034244","abstract":"An adult animal consists of cells of vastly different size and activity, but the regulation of cell size remains poorly understood. Recent</w:instrText>
      </w:r>
      <w:r>
        <w:rPr>
          <w:rFonts w:ascii="Arial" w:eastAsia="Times New Roman" w:hAnsi="Arial" w:cs="Arial"/>
          <w:color w:val="000000"/>
          <w:lang w:val="en-US" w:eastAsia="de-DE"/>
        </w:rPr>
        <w:instrText xml:space="preserve"> studies uncovering some of the signaling pathways important for size/growth control, together with the identification of diseases resulting from aberrations in these pathways, have renewed interest in this field. This Review will discuss our current under</w:instrText>
      </w:r>
      <w:r>
        <w:rPr>
          <w:rFonts w:ascii="Arial" w:eastAsia="Times New Roman" w:hAnsi="Arial" w:cs="Arial"/>
          <w:color w:val="000000"/>
          <w:lang w:val="en-US" w:eastAsia="de-DE"/>
        </w:rPr>
        <w:instrText>standing of how a cell sets its size, how it can adapt its size to a changing environment, and how these processes are relevant to human disease.","author":[{"dropping-particle":"","family":"Lloyd","given":"Alison C","non-dropping-particle":"","parse-names</w:instrText>
      </w:r>
      <w:r>
        <w:rPr>
          <w:rFonts w:ascii="Arial" w:eastAsia="Times New Roman" w:hAnsi="Arial" w:cs="Arial"/>
          <w:color w:val="000000"/>
          <w:lang w:val="en-US" w:eastAsia="de-DE"/>
        </w:rPr>
        <w:instrText>":false,"suffix":""}],"container-title":"Cell","id":"ITEM-1","issue":"6","issued":{"date-parts":[["2013"]]},"page":"1194-205","title":"The regulation of cell size.","type":"article-journal","volume":"154"},"uris":["http://www.mendeley.com/documents/?uuid=7</w:instrText>
      </w:r>
      <w:r>
        <w:rPr>
          <w:rFonts w:ascii="Arial" w:eastAsia="Times New Roman" w:hAnsi="Arial" w:cs="Arial"/>
          <w:color w:val="000000"/>
          <w:lang w:val="en-US" w:eastAsia="de-DE"/>
        </w:rPr>
        <w:instrText>448e0fc-e550-45fd-8963-bd0b7ff1b03d"]},{"id":"ITEM-2","itemData":{"DOI":"10.1002/BIES.201700058","ISSN":"1521-1878","PMID":"28752618","abstract":"The maintenance of cell size homeostasis has been studied for years in different cellular systems. With the fo</w:instrText>
      </w:r>
      <w:r>
        <w:rPr>
          <w:rFonts w:ascii="Arial" w:eastAsia="Times New Roman" w:hAnsi="Arial" w:cs="Arial"/>
          <w:color w:val="000000"/>
          <w:lang w:val="en-US" w:eastAsia="de-DE"/>
        </w:rPr>
        <w:instrText>cus on ‘what regulates cell size’, the question ‘why cell size needs to be maintained’ has been largely overlooked. Recent evidence indicates that animal cells exhibit nonlinear cell size dependent growth rates and mitochondrial metabolism, which are maxim</w:instrText>
      </w:r>
      <w:r>
        <w:rPr>
          <w:rFonts w:ascii="Arial" w:eastAsia="Times New Roman" w:hAnsi="Arial" w:cs="Arial"/>
          <w:color w:val="000000"/>
          <w:lang w:val="en-US" w:eastAsia="de-DE"/>
        </w:rPr>
        <w:instrText>al in intermediate sized cells within each cell population. Increases in intracellular distances and changes in the relative cell surface area impose biophysical limitations on cells, which can explain why growth and metabolic rates are maximal in a specif</w:instrText>
      </w:r>
      <w:r>
        <w:rPr>
          <w:rFonts w:ascii="Arial" w:eastAsia="Times New Roman" w:hAnsi="Arial" w:cs="Arial"/>
          <w:color w:val="000000"/>
          <w:lang w:val="en-US" w:eastAsia="de-DE"/>
        </w:rPr>
        <w:instrText>ic cell size range. Consistently, aberrant increases in cell size, for example through polyploidy, are typically disadvantageous to cellular metabolism, fitness and functionality. Accordingly, cellular hypertrophy can potentially predispose to or worsen me</w:instrText>
      </w:r>
      <w:r>
        <w:rPr>
          <w:rFonts w:ascii="Arial" w:eastAsia="Times New Roman" w:hAnsi="Arial" w:cs="Arial"/>
          <w:color w:val="000000"/>
          <w:lang w:val="en-US" w:eastAsia="de-DE"/>
        </w:rPr>
        <w:instrText>tabolic diseases. We propose that cell size control may have emerged as a guardian of cellular fitness and metabolic activity.","author":[{"dropping-particle":"","family":"Miettinen","given":"Teemu P.","non-dropping-particle":"","parse-names":false,"suffix</w:instrText>
      </w:r>
      <w:r>
        <w:rPr>
          <w:rFonts w:ascii="Arial" w:eastAsia="Times New Roman" w:hAnsi="Arial" w:cs="Arial"/>
          <w:color w:val="000000"/>
          <w:lang w:val="en-US" w:eastAsia="de-DE"/>
        </w:rPr>
        <w:instrText>":""},{"dropping-particle":"","family":"Caldez","given":"Matias J.","non-dropping-particle":"","parse-names":false,"suffix":""},{"dropping-particle":"","family":"Kaldis","given":"Philipp","non-dropping-particle":"","parse-names":false,"suffix":""},{"droppi</w:instrText>
      </w:r>
      <w:r>
        <w:rPr>
          <w:rFonts w:ascii="Arial" w:eastAsia="Times New Roman" w:hAnsi="Arial" w:cs="Arial"/>
          <w:color w:val="000000"/>
          <w:lang w:val="en-US" w:eastAsia="de-DE"/>
        </w:rPr>
        <w:instrText>ng-particle":"","family":"Björklund","given":"Mikael","non-dropping-particle":"","parse-names":false,"suffix":""}],"container-title":"BioEssays","id":"ITEM-2","issue":"9","issued":{"date-parts":[["2017","9","1"]]},"page":"1700058","publisher":"John Wiley &amp;</w:instrText>
      </w:r>
      <w:r>
        <w:rPr>
          <w:rFonts w:ascii="Arial" w:eastAsia="Times New Roman" w:hAnsi="Arial" w:cs="Arial"/>
          <w:color w:val="000000"/>
          <w:lang w:val="en-US" w:eastAsia="de-DE"/>
        </w:rPr>
        <w:instrText xml:space="preserve"> Sons, Ltd","title":"Cell size control – a mechanism for maintaining fitness and function","type":"article-journal","volume":"39"},"uris":["http://www.mendeley.com/documents/?uuid=15d05fa2-70ee-36e4-9719-6f1fee9371d5"]}],"mendeley":{"formattedCitation":"&lt;s</w:instrText>
      </w:r>
      <w:r>
        <w:rPr>
          <w:rFonts w:ascii="Arial" w:eastAsia="Times New Roman" w:hAnsi="Arial" w:cs="Arial"/>
          <w:color w:val="000000"/>
          <w:lang w:val="en-US" w:eastAsia="de-DE"/>
        </w:rPr>
        <w:instrText>up&gt;162,179&lt;/sup&gt;","plainTextFormattedCitation":"162,179","previouslyFormattedCitation":"&lt;sup&gt;162,179&lt;/sup&gt;"},"properties":{"noteIndex":0},"schema":"https://github.com/citation-style-language/schema/raw/master/csl-citation.json"}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162,179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Lymphocytes, for</w:t>
      </w:r>
      <w:r>
        <w:rPr>
          <w:rFonts w:ascii="Arial" w:eastAsia="Times New Roman" w:hAnsi="Arial" w:cs="Arial"/>
          <w:color w:val="000000"/>
          <w:lang w:val="en-US" w:eastAsia="de-DE"/>
        </w:rPr>
        <w:t xml:space="preserve"> example, have reduced metabolic rates when quiescent but can upregulate metabolism upon stimulation and conversion to a proliferative and secretory state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{"citationItems":[{"id":"ITEM-1","itemData":{"abstract":"of metabolism in response </w:instrText>
      </w:r>
      <w:r>
        <w:rPr>
          <w:rFonts w:ascii="Arial" w:eastAsia="Times New Roman" w:hAnsi="Arial" w:cs="Arial"/>
          <w:color w:val="000000"/>
          <w:lang w:val="en-US" w:eastAsia="de-DE"/>
        </w:rPr>
        <w:instrText xml:space="preserve">to changes in cellular conditions. However, it has recently been shown that signals from cell surface receptors are required to control the Medicine cellular energy charge, allowing the synthesis of triglyc-erides and glycogen for storage. In T cells, the </w:instrText>
      </w:r>
      <w:r>
        <w:rPr>
          <w:rFonts w:ascii="Arial" w:eastAsia="Times New Roman" w:hAnsi="Arial" w:cs="Arial"/>
          <w:color w:val="000000"/>
          <w:lang w:val="en-US" w:eastAsia="de-DE"/>
        </w:rPr>
        <w:instrText xml:space="preserve">costimu-University of Pennsylvania Philadelphia, Pennsylvania 19104 latory receptor CD28 participates in an intracellular sig-naling pathway, some of whose proximal components are similar to those in the insulin receptor pathway. The binding of insulin to </w:instrText>
      </w:r>
      <w:r>
        <w:rPr>
          <w:rFonts w:ascii="Arial" w:eastAsia="Times New Roman" w:hAnsi="Arial" w:cs="Arial"/>
          <w:color w:val="000000"/>
          <w:lang w:val="en-US" w:eastAsia="de-DE"/>
        </w:rPr>
        <w:instrText xml:space="preserve">the insulin receptor results in the Summary activation of intrinsic tyrosine kinase activity and leads to recruitment and phosphorylation of insulin receptor Lymphocyte activation initiates a program of cell growth, proliferation, and differentiation that </w:instrText>
      </w:r>
      <w:r>
        <w:rPr>
          <w:rFonts w:ascii="Arial" w:eastAsia="Times New Roman" w:hAnsi="Arial" w:cs="Arial"/>
          <w:color w:val="000000"/>
          <w:lang w:val="en-US" w:eastAsia="de-DE"/>
        </w:rPr>
        <w:instrText>increases substrate-1 (IRS-1). Phosphorylated IRS-1, in turn, recruits and activates PI3K (Lee and Pilch, 1994). Similarly, metabolic demand. Although T cells increase glucose uptake and glycolysis during an immune response, upon ligation of the T cell rec</w:instrText>
      </w:r>
      <w:r>
        <w:rPr>
          <w:rFonts w:ascii="Arial" w:eastAsia="Times New Roman" w:hAnsi="Arial" w:cs="Arial"/>
          <w:color w:val="000000"/>
          <w:lang w:val="en-US" w:eastAsia="de-DE"/>
        </w:rPr>
        <w:instrText>eptor (TCR), activation of Lck or Fyn in the TCR/CD3 complex leads to the tyrosine the signaling pathways that regulate these increases remain largely unknown. Here we show that CD28 phosphorylation of the cytoplasmic tail of CD28, which then acts as an ad</w:instrText>
      </w:r>
      <w:r>
        <w:rPr>
          <w:rFonts w:ascii="Arial" w:eastAsia="Times New Roman" w:hAnsi="Arial" w:cs="Arial"/>
          <w:color w:val="000000"/>
          <w:lang w:val="en-US" w:eastAsia="de-DE"/>
        </w:rPr>
        <w:instrText>aptor for the recruitment and activa-costimulation, acting through phosphatidylinositol 3-kinase (PI3K) and Akt, is required for T cells to in-tion of PI3K (August and Dupont, 1994; Chuang et al., 1999; Pages et al., 1994; Prasad et al., 1994; Truitt et cr</w:instrText>
      </w:r>
      <w:r>
        <w:rPr>
          <w:rFonts w:ascii="Arial" w:eastAsia="Times New Roman" w:hAnsi="Arial" w:cs="Arial"/>
          <w:color w:val="000000"/>
          <w:lang w:val="en-US" w:eastAsia="de-DE"/>
        </w:rPr>
        <w:instrText>ease their glycolytic rate in response to activation. Furthermore, CD28 controls a primary response path-al., 1994). The similarity in signaling pathways downstream of way, inducing a level of glucose uptake and glycolysis in excess of that needed to maint</w:instrText>
      </w:r>
      <w:r>
        <w:rPr>
          <w:rFonts w:ascii="Arial" w:eastAsia="Times New Roman" w:hAnsi="Arial" w:cs="Arial"/>
          <w:color w:val="000000"/>
          <w:lang w:val="en-US" w:eastAsia="de-DE"/>
        </w:rPr>
        <w:instrText>ain cellular ATP/ the insulin receptor and CD28 suggest that CD28 may act to regulate glucose utilization, coordinating the con-ADP levels or macromolecular synthesis. These data suggest that CD28 costimulation functions to increase trol of T cell activati</w:instrText>
      </w:r>
      <w:r>
        <w:rPr>
          <w:rFonts w:ascii="Arial" w:eastAsia="Times New Roman" w:hAnsi="Arial" w:cs="Arial"/>
          <w:color w:val="000000"/>
          <w:lang w:val="en-US" w:eastAsia="de-DE"/>
        </w:rPr>
        <w:instrText>on and metabolism in a manner similar to that of the insulin receptor. Here we show that glycolytic flux, allowing T cells to anticipate energetic and biosynthetic needs associated with a sustained CD28 costimulation of human peripheral blood T cells enhan</w:instrText>
      </w:r>
      <w:r>
        <w:rPr>
          <w:rFonts w:ascii="Arial" w:eastAsia="Times New Roman" w:hAnsi="Arial" w:cs="Arial"/>
          <w:color w:val="000000"/>
          <w:lang w:val="en-US" w:eastAsia="de-DE"/>
        </w:rPr>
        <w:instrText>ces expression of glucose transporters, glucose response. uptake, and glycolysis, and that this enhancement is dependent on PI3K activity. Further, the majority of glu…","author":[{"dropping-particle":"","family":"Frauwirth","given":"Kenneth A","non-droppi</w:instrText>
      </w:r>
      <w:r>
        <w:rPr>
          <w:rFonts w:ascii="Arial" w:eastAsia="Times New Roman" w:hAnsi="Arial" w:cs="Arial"/>
          <w:color w:val="000000"/>
          <w:lang w:val="en-US" w:eastAsia="de-DE"/>
        </w:rPr>
        <w:instrText>ng-particle":"","parse-names":false,"suffix":""},{"dropping-particle":"","family":"Riley","given":"James L","non-dropping-particle":"","parse-names":false,"suffix":""},{"dropping-particle":"","family":"Harris","given":"Marian H","non-dropping-particle":"",</w:instrText>
      </w:r>
      <w:r>
        <w:rPr>
          <w:rFonts w:ascii="Arial" w:eastAsia="Times New Roman" w:hAnsi="Arial" w:cs="Arial"/>
          <w:color w:val="000000"/>
          <w:lang w:val="en-US" w:eastAsia="de-DE"/>
        </w:rPr>
        <w:instrText>"parse-names":false,"suffix":""},{"dropping-particle":"V","family":"Parry","given":"Richard","non-dropping-particle":"","parse-names":false,"suffix":""},{"dropping-particle":"","family":"Rathmell","given":"Jeffrey C","non-dropping-particle":"","parse-names</w:instrText>
      </w:r>
      <w:r>
        <w:rPr>
          <w:rFonts w:ascii="Arial" w:eastAsia="Times New Roman" w:hAnsi="Arial" w:cs="Arial"/>
          <w:color w:val="000000"/>
          <w:lang w:val="en-US" w:eastAsia="de-DE"/>
        </w:rPr>
        <w:instrText>":false,"suffix":""},{"dropping-particle":"","family":"Plas","given":"David R","non-dropping-particle":"","parse-names":false,"suffix":""},{"dropping-particle":"","family":"Elstrom","given":"Rebecca L","non-dropping-particle":"","parse-names":false,"suffix</w:instrText>
      </w:r>
      <w:r>
        <w:rPr>
          <w:rFonts w:ascii="Arial" w:eastAsia="Times New Roman" w:hAnsi="Arial" w:cs="Arial"/>
          <w:color w:val="000000"/>
          <w:lang w:val="en-US" w:eastAsia="de-DE"/>
        </w:rPr>
        <w:instrText>":""},{"dropping-particle":"","family":"June","given":"Carl H","non-dropping-particle":"","parse-names":false,"suffix":""},{"dropping-particle":"","family":"Thompson","given":"Craig B","non-dropping-particle":"","parse-names":false,"suffix":""}],"container</w:instrText>
      </w:r>
      <w:r>
        <w:rPr>
          <w:rFonts w:ascii="Arial" w:eastAsia="Times New Roman" w:hAnsi="Arial" w:cs="Arial"/>
          <w:color w:val="000000"/>
          <w:lang w:val="en-US" w:eastAsia="de-DE"/>
        </w:rPr>
        <w:instrText>-title":"Immunity","id":"ITEM-1","issued":{"date-parts":[["2002"]]},"page":"769-777","title":"The CD28 Signaling Pathway Regulates Glucose Metabolism ability of resting cells to take up and utilize nutrients at levels sufficient to maintain viability (Rath</w:instrText>
      </w:r>
      <w:r>
        <w:rPr>
          <w:rFonts w:ascii="Arial" w:eastAsia="Times New Roman" w:hAnsi="Arial" w:cs="Arial"/>
          <w:color w:val="000000"/>
          <w:lang w:val="en-US" w:eastAsia="de-DE"/>
        </w:rPr>
        <w:instrText>mell et al in fat and muscle cells insulin induces glucose uptake in excess of that required to maintain","type":"article-journal","volume":"16"},"uris":["http://www.mendeley.com/documents/?uuid=c7ba78aa-3da0-34ea-bce4-e1a31f72f521"]},{"id":"ITEM-2","itemD</w:instrText>
      </w:r>
      <w:r>
        <w:rPr>
          <w:rFonts w:ascii="Arial" w:eastAsia="Times New Roman" w:hAnsi="Arial" w:cs="Arial"/>
          <w:color w:val="000000"/>
          <w:lang w:val="en-US" w:eastAsia="de-DE"/>
        </w:rPr>
        <w:instrText xml:space="preserve">ata":{"DOI":"10.1371/JOURNAL.PBIO.1000514","ISSN":"1545-7885","PMID":"21049082","abstract":"Metabolomics technology reveals that fibroblast that have exited the proliferative cell cycle nevertheless utilize glucose throughout central carbon metabolism and </w:instrText>
      </w:r>
      <w:r>
        <w:rPr>
          <w:rFonts w:ascii="Arial" w:eastAsia="Times New Roman" w:hAnsi="Arial" w:cs="Arial"/>
          <w:color w:val="000000"/>
          <w:lang w:val="en-US" w:eastAsia="de-DE"/>
        </w:rPr>
        <w:instrText>rely on the pentose phosphate pathway for viability.","author":[{"dropping-particle":"","family":"Lemons","given":"Johanna M.S.","non-dropping-particle":"","parse-names":false,"suffix":""},{"dropping-particle":"","family":"Coller","given":"Hilary A.","non-</w:instrText>
      </w:r>
      <w:r>
        <w:rPr>
          <w:rFonts w:ascii="Arial" w:eastAsia="Times New Roman" w:hAnsi="Arial" w:cs="Arial"/>
          <w:color w:val="000000"/>
          <w:lang w:val="en-US" w:eastAsia="de-DE"/>
        </w:rPr>
        <w:instrText>dropping-particle":"","parse-names":false,"suffix":""},{"dropping-particle":"","family":"Feng","given":"Xiao Jiang","non-dropping-particle":"","parse-names":false,"suffix":""},{"dropping-particle":"","family":"Bennett","given":"Bryson D.","non-dropping-par</w:instrText>
      </w:r>
      <w:r>
        <w:rPr>
          <w:rFonts w:ascii="Arial" w:eastAsia="Times New Roman" w:hAnsi="Arial" w:cs="Arial"/>
          <w:color w:val="000000"/>
          <w:lang w:val="en-US" w:eastAsia="de-DE"/>
        </w:rPr>
        <w:instrText>ticle":"","parse-names":false,"suffix":""},{"dropping-particle":"","family":"Legesse-Miller","given":"Aster","non-dropping-particle":"","parse-names":false,"suffix":""},{"dropping-particle":"","family":"Johnson","given":"Elizabeth L.","non-dropping-particl</w:instrText>
      </w:r>
      <w:r>
        <w:rPr>
          <w:rFonts w:ascii="Arial" w:eastAsia="Times New Roman" w:hAnsi="Arial" w:cs="Arial"/>
          <w:color w:val="000000"/>
          <w:lang w:val="en-US" w:eastAsia="de-DE"/>
        </w:rPr>
        <w:instrText>e":"","parse-names":false,"suffix":""},{"dropping-particle":"","family":"Raitman","given":"Irene","non-dropping-particle":"","parse-names":false,"suffix":""},{"dropping-particle":"","family":"Pollina","given":"Elizabeth A.","non-dropping-particle":"","pars</w:instrText>
      </w:r>
      <w:r>
        <w:rPr>
          <w:rFonts w:ascii="Arial" w:eastAsia="Times New Roman" w:hAnsi="Arial" w:cs="Arial"/>
          <w:color w:val="000000"/>
          <w:lang w:val="en-US" w:eastAsia="de-DE"/>
        </w:rPr>
        <w:instrText>e-names":false,"suffix":""},{"dropping-particle":"","family":"Rabitz","given":"Herschel A.","non-dropping-particle":"","parse-names":false,"suffix":""},{"dropping-particle":"","family":"Rabinowitz","given":"Joshua D.","non-dropping-particle":"","parse-name</w:instrText>
      </w:r>
      <w:r>
        <w:rPr>
          <w:rFonts w:ascii="Arial" w:eastAsia="Times New Roman" w:hAnsi="Arial" w:cs="Arial"/>
          <w:color w:val="000000"/>
          <w:lang w:val="en-US" w:eastAsia="de-DE"/>
        </w:rPr>
        <w:instrText>s":false,"suffix":""}],"container-title":"PLOS Biology","id":"ITEM-2","issue":"10","issued":{"date-parts":[["2010","10"]]},"page":"e1000514","publisher":"Public Library of Science","title":"Quiescent Fibroblasts Exhibit High Metabolic Activity","type":"art</w:instrText>
      </w:r>
      <w:r>
        <w:rPr>
          <w:rFonts w:ascii="Arial" w:eastAsia="Times New Roman" w:hAnsi="Arial" w:cs="Arial"/>
          <w:color w:val="000000"/>
          <w:lang w:val="en-US" w:eastAsia="de-DE"/>
        </w:rPr>
        <w:instrText>icle-journal","volume":"8"},"uris":["http://www.mendeley.com/documents/?uuid=a419a7ba-e5e6-3e73-a457-e41e8b99619a"]}],"mendeley":{"formattedCitation":"&lt;sup&gt;318,319&lt;/sup&gt;","plainTextFormattedCitation":"318,319","previouslyFormattedCitation":"&lt;sup&gt;318,319&lt;/s</w:instrText>
      </w:r>
      <w:r>
        <w:rPr>
          <w:rFonts w:ascii="Arial" w:eastAsia="Times New Roman" w:hAnsi="Arial" w:cs="Arial"/>
          <w:color w:val="000000"/>
          <w:lang w:val="en-US" w:eastAsia="de-DE"/>
        </w:rPr>
        <w:instrText>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318,319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kind of a metabolic shift is well-suited to their ‘waiting and watching’ role in the immune response. Quiescent fi</w:t>
      </w:r>
      <w:r>
        <w:rPr>
          <w:rFonts w:ascii="Arial" w:eastAsia="Times New Roman" w:hAnsi="Arial" w:cs="Arial"/>
          <w:color w:val="000000"/>
          <w:lang w:val="en-US" w:eastAsia="de-DE"/>
        </w:rPr>
        <w:t>broblasts, on the other hand, have protein synthesis rates similar to their proliferative counterparts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{"citationItems":[{"id":"ITEM-1","itemData":{"DOI":"10.1371/JOURNAL.PBIO.1000514","ISSN":"1545-7885","PMID":"21049082","abstract":"Meta</w:instrText>
      </w:r>
      <w:r>
        <w:rPr>
          <w:rFonts w:ascii="Arial" w:eastAsia="Times New Roman" w:hAnsi="Arial" w:cs="Arial"/>
          <w:color w:val="000000"/>
          <w:lang w:val="en-US" w:eastAsia="de-DE"/>
        </w:rPr>
        <w:instrText>bolomics technology reveals that fibroblast that have exited the proliferative cell cycle nevertheless utilize glucose throughout central carbon metabolism and rely on the pentose phosphate pathway for viability.","author":[{"dropping-particle":"","family"</w:instrText>
      </w:r>
      <w:r>
        <w:rPr>
          <w:rFonts w:ascii="Arial" w:eastAsia="Times New Roman" w:hAnsi="Arial" w:cs="Arial"/>
          <w:color w:val="000000"/>
          <w:lang w:val="en-US" w:eastAsia="de-DE"/>
        </w:rPr>
        <w:instrText>:"Lemons","given":"Johanna M.S.","non-dropping-particle":"","parse-names":false,"suffix":""},{"dropping-particle":"","family":"Coller","given":"Hilary A.","non-dropping-particle":"","parse-names":false,"suffix":""},{"dropping-particle":"","family":"Feng","</w:instrText>
      </w:r>
      <w:r>
        <w:rPr>
          <w:rFonts w:ascii="Arial" w:eastAsia="Times New Roman" w:hAnsi="Arial" w:cs="Arial"/>
          <w:color w:val="000000"/>
          <w:lang w:val="en-US" w:eastAsia="de-DE"/>
        </w:rPr>
        <w:instrText>given":"Xiao Jiang","non-dropping-particle":"","parse-names":false,"suffix":""},{"dropping-particle":"","family":"Bennett","given":"Bryson D.","non-dropping-particle":"","parse-names":false,"suffix":""},{"dropping-particle":"","family":"Legesse-Miller","gi</w:instrText>
      </w:r>
      <w:r>
        <w:rPr>
          <w:rFonts w:ascii="Arial" w:eastAsia="Times New Roman" w:hAnsi="Arial" w:cs="Arial"/>
          <w:color w:val="000000"/>
          <w:lang w:val="en-US" w:eastAsia="de-DE"/>
        </w:rPr>
        <w:instrText>ven":"Aster","non-dropping-particle":"","parse-names":false,"suffix":""},{"dropping-particle":"","family":"Johnson","given":"Elizabeth L.","non-dropping-particle":"","parse-names":false,"suffix":""},{"dropping-particle":"","family":"Raitman","given":"Irene</w:instrText>
      </w:r>
      <w:r>
        <w:rPr>
          <w:rFonts w:ascii="Arial" w:eastAsia="Times New Roman" w:hAnsi="Arial" w:cs="Arial"/>
          <w:color w:val="000000"/>
          <w:lang w:val="en-US" w:eastAsia="de-DE"/>
        </w:rPr>
        <w:instrText>","non-dropping-particle":"","parse-names":false,"suffix":""},{"dropping-particle":"","family":"Pollina","given":"Elizabeth A.","non-dropping-particle":"","parse-names":false,"suffix":""},{"dropping-particle":"","family":"Rabitz","given":"Herschel A.","non</w:instrText>
      </w:r>
      <w:r>
        <w:rPr>
          <w:rFonts w:ascii="Arial" w:eastAsia="Times New Roman" w:hAnsi="Arial" w:cs="Arial"/>
          <w:color w:val="000000"/>
          <w:lang w:val="en-US" w:eastAsia="de-DE"/>
        </w:rPr>
        <w:instrText>-dropping-particle":"","parse-names":false,"suffix":""},{"dropping-particle":"","family":"Rabinowitz","given":"Joshua D.","non-dropping-particle":"","parse-names":false,"suffix":""}],"container-title":"PLOS Biology","id":"ITEM-1","issue":"10","issued":{"da</w:instrText>
      </w:r>
      <w:r>
        <w:rPr>
          <w:rFonts w:ascii="Arial" w:eastAsia="Times New Roman" w:hAnsi="Arial" w:cs="Arial"/>
          <w:color w:val="000000"/>
          <w:lang w:val="en-US" w:eastAsia="de-DE"/>
        </w:rPr>
        <w:instrText>te-parts":[["2010","10"]]},"page":"e1000514","publisher":"Public Library of Science","title":"Quiescent Fibroblasts Exhibit High Metabolic Activity","type":"article-journal","volume":"8"},"uris":["http://www.mendeley.com/documents/?uuid=a419a7ba-e5e6-3e73-</w:instrText>
      </w:r>
      <w:r>
        <w:rPr>
          <w:rFonts w:ascii="Arial" w:eastAsia="Times New Roman" w:hAnsi="Arial" w:cs="Arial"/>
          <w:color w:val="000000"/>
          <w:lang w:val="en-US" w:eastAsia="de-DE"/>
        </w:rPr>
        <w:instrText>a457-e41e8b99619a"]}],"mendeley":{"formattedCitation":"&lt;sup&gt;319&lt;/sup&gt;","plainTextFormattedCitation":"319","previouslyFormattedCitation":"&lt;sup&gt;319&lt;/sup&gt;"},"properties":{"noteIndex":0},"schema":"https://github.com/citation-style-language/schema/raw/master/cs</w:instrText>
      </w:r>
      <w:r>
        <w:rPr>
          <w:rFonts w:ascii="Arial" w:eastAsia="Times New Roman" w:hAnsi="Arial" w:cs="Arial"/>
          <w:color w:val="000000"/>
          <w:lang w:val="en-US" w:eastAsia="de-DE"/>
        </w:rPr>
        <w:instrText>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319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could be explained by quiescent fibroblasts being primary synthesizers of the extracellular matrix required for tissue formation and proliferating fibroblasts being important for wound healing after injury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w:instrText>
      </w:r>
      <w:r>
        <w:rPr>
          <w:rFonts w:ascii="Arial" w:eastAsia="Times New Roman" w:hAnsi="Arial" w:cs="Arial"/>
          <w:color w:val="000000"/>
          <w:lang w:val="en-US" w:eastAsia="de-DE"/>
        </w:rPr>
        <w:instrText xml:space="preserve">citationItems":[{"id":"ITEM-1","itemData":{"DOI":"10.1038/nature07039","ISSN":"1476-4687","PMID":"18480812","abstract":"The repair of wounds is one of the most complex biological processes that occur during human life. After an injury, multiple biological </w:instrText>
      </w:r>
      <w:r>
        <w:rPr>
          <w:rFonts w:ascii="Arial" w:eastAsia="Times New Roman" w:hAnsi="Arial" w:cs="Arial"/>
          <w:color w:val="000000"/>
          <w:lang w:val="en-US" w:eastAsia="de-DE"/>
        </w:rPr>
        <w:instrText>pathways immediately become activated and are synchronized to respond. In human adults, the wound repair process commonly leads to a non-functioning mass of fibrotic tissue known as a scar. By contrast, early in gestation, injured fetal tissues can be comp</w:instrText>
      </w:r>
      <w:r>
        <w:rPr>
          <w:rFonts w:ascii="Arial" w:eastAsia="Times New Roman" w:hAnsi="Arial" w:cs="Arial"/>
          <w:color w:val="000000"/>
          <w:lang w:val="en-US" w:eastAsia="de-DE"/>
        </w:rPr>
        <w:instrText>letely recreated, without fibrosis, in a process resembling regeneration. Some organisms, however, retain the ability to regenerate tissue throughout adult life. Knowledge gained from studying such organisms might help to unlock latent regenerative pathway</w:instrText>
      </w:r>
      <w:r>
        <w:rPr>
          <w:rFonts w:ascii="Arial" w:eastAsia="Times New Roman" w:hAnsi="Arial" w:cs="Arial"/>
          <w:color w:val="000000"/>
          <w:lang w:val="en-US" w:eastAsia="de-DE"/>
        </w:rPr>
        <w:instrText>s in humans, which would change medical practice as much as the introduction of antibiotics did in the twentieth century.","author":[{"dropping-particle":"","family":"Gurtner","given":"Geoffrey C.","non-dropping-particle":"","parse-names":false,"suffix":""</w:instrText>
      </w:r>
      <w:r>
        <w:rPr>
          <w:rFonts w:ascii="Arial" w:eastAsia="Times New Roman" w:hAnsi="Arial" w:cs="Arial"/>
          <w:color w:val="000000"/>
          <w:lang w:val="en-US" w:eastAsia="de-DE"/>
        </w:rPr>
        <w:instrText>},{"dropping-particle":"","family":"Werner","given":"Sabine","non-dropping-particle":"","parse-names":false,"suffix":""},{"dropping-particle":"","family":"Barrandon","given":"Yann","non-dropping-particle":"","parse-names":false,"suffix":""},{"dropping-part</w:instrText>
      </w:r>
      <w:r>
        <w:rPr>
          <w:rFonts w:ascii="Arial" w:eastAsia="Times New Roman" w:hAnsi="Arial" w:cs="Arial"/>
          <w:color w:val="000000"/>
          <w:lang w:val="en-US" w:eastAsia="de-DE"/>
        </w:rPr>
        <w:instrText>icle":"","family":"Longaker","given":"Michael T.","non-dropping-particle":"","parse-names":false,"suffix":""}],"container-title":"Nature 2008 453:7193","id":"ITEM-1","issue":"7193","issued":{"date-parts":[["2008","5","14"]]},"page":"314-321","publisher":"N</w:instrText>
      </w:r>
      <w:r>
        <w:rPr>
          <w:rFonts w:ascii="Arial" w:eastAsia="Times New Roman" w:hAnsi="Arial" w:cs="Arial"/>
          <w:color w:val="000000"/>
          <w:lang w:val="en-US" w:eastAsia="de-DE"/>
        </w:rPr>
        <w:instrText>ature Publishing Group","title":"Wound repair and regeneration","type":"article-journal","volume":"453"},"uris":["http://www.mendeley.com/documents/?uuid=6c542b58-17fa-3464-b97f-c7130bf8e93a"]}],"mendeley":{"formattedCitation":"&lt;sup&gt;320&lt;/sup&gt;","plainTextFo</w:instrText>
      </w:r>
      <w:r>
        <w:rPr>
          <w:rFonts w:ascii="Arial" w:eastAsia="Times New Roman" w:hAnsi="Arial" w:cs="Arial"/>
          <w:color w:val="000000"/>
          <w:lang w:val="en-US" w:eastAsia="de-DE"/>
        </w:rPr>
        <w:instrText>rmattedCitation":"320","previouslyFormattedCitation":"&lt;sup&gt;320&lt;/sup&gt;"},"properties":{"noteIndex":0},"schema":"https://github.com/citation-style-language/schema/raw/master/csl-citation.json"}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These examples debunk the common assumption that non-divid</w:t>
      </w:r>
      <w:r>
        <w:rPr>
          <w:rFonts w:ascii="Arial" w:eastAsia="Times New Roman" w:hAnsi="Arial" w:cs="Arial"/>
          <w:color w:val="000000"/>
          <w:lang w:val="en-US" w:eastAsia="de-DE"/>
        </w:rPr>
        <w:t>ing cells are metabolically inactive and instead indicate that they can have a range of biogenic rates depending upon their physiological functions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{"citationItems":[{"id":"ITEM-1","itemData":{"DOI":"10.1016/j.cell.2013.08.053","ISBN":"10</w:instrText>
      </w:r>
      <w:r>
        <w:rPr>
          <w:rFonts w:ascii="Arial" w:eastAsia="Times New Roman" w:hAnsi="Arial" w:cs="Arial"/>
          <w:color w:val="000000"/>
          <w:lang w:val="en-US" w:eastAsia="de-DE"/>
        </w:rPr>
        <w:instrText xml:space="preserve">97-4172 (Electronic)\\r0092-8674 (Linking)","ISSN":"1097-4172","PMID":"24034244","abstract":"An adult animal consists of cells of vastly different size and activity, but the regulation of cell size remains poorly understood. Recent studies uncovering some </w:instrText>
      </w:r>
      <w:r>
        <w:rPr>
          <w:rFonts w:ascii="Arial" w:eastAsia="Times New Roman" w:hAnsi="Arial" w:cs="Arial"/>
          <w:color w:val="000000"/>
          <w:lang w:val="en-US" w:eastAsia="de-DE"/>
        </w:rPr>
        <w:instrText>of the signaling pathways important for size/growth control, together with the identification of diseases resulting from aberrations in these pathways, have renewed interest in this field. This Review will discuss our current understanding of how a cell se</w:instrText>
      </w:r>
      <w:r>
        <w:rPr>
          <w:rFonts w:ascii="Arial" w:eastAsia="Times New Roman" w:hAnsi="Arial" w:cs="Arial"/>
          <w:color w:val="000000"/>
          <w:lang w:val="en-US" w:eastAsia="de-DE"/>
        </w:rPr>
        <w:instrText>ts its size, how it can adapt its size to a changing environment, and how these processes are relevant to human disease.","author":[{"dropping-particle":"","family":"Lloyd","given":"Alison C","non-dropping-particle":"","parse-names":false,"suffix":""}],"co</w:instrText>
      </w:r>
      <w:r>
        <w:rPr>
          <w:rFonts w:ascii="Arial" w:eastAsia="Times New Roman" w:hAnsi="Arial" w:cs="Arial"/>
          <w:color w:val="000000"/>
          <w:lang w:val="en-US" w:eastAsia="de-DE"/>
        </w:rPr>
        <w:instrText>ntainer-title":"Cell","id":"ITEM-1","issue":"6","issued":{"date-parts":[["2013"]]},"page":"1194-205","title":"The regulation of cell size.","type":"article-journal","volume":"154"},"uris":["http://www.mendeley.com/documents/?uuid=7448e0fc-e550-45fd-8963-bd</w:instrText>
      </w:r>
      <w:r>
        <w:rPr>
          <w:rFonts w:ascii="Arial" w:eastAsia="Times New Roman" w:hAnsi="Arial" w:cs="Arial"/>
          <w:color w:val="000000"/>
          <w:lang w:val="en-US" w:eastAsia="de-DE"/>
        </w:rPr>
        <w:instrText>0b7ff1b03d"]},{"id":"ITEM-2","itemData":{"DOI":"10.1002/BIES.201700058","ISSN":"1521-1878","PMID":"28752618","abstract":"The maintenance of cell size homeostasis has been studied for years in different cellular systems. With the focus on ‘what regulates ce</w:instrText>
      </w:r>
      <w:r>
        <w:rPr>
          <w:rFonts w:ascii="Arial" w:eastAsia="Times New Roman" w:hAnsi="Arial" w:cs="Arial"/>
          <w:color w:val="000000"/>
          <w:lang w:val="en-US" w:eastAsia="de-DE"/>
        </w:rPr>
        <w:instrText xml:space="preserve">ll size’, the question ‘why cell size needs to be maintained’ has been largely overlooked. Recent evidence indicates that animal cells exhibit nonlinear cell size dependent growth rates and mitochondrial metabolism, which are maximal in intermediate sized </w:instrText>
      </w:r>
      <w:r>
        <w:rPr>
          <w:rFonts w:ascii="Arial" w:eastAsia="Times New Roman" w:hAnsi="Arial" w:cs="Arial"/>
          <w:color w:val="000000"/>
          <w:lang w:val="en-US" w:eastAsia="de-DE"/>
        </w:rPr>
        <w:instrText>cells within each cell population. Increases in intracellular distances and changes in the relative cell surface area impose biophysical limitations on cells, which can explain why growth and metabolic rates are maximal in a specific cell size range. Consi</w:instrText>
      </w:r>
      <w:r>
        <w:rPr>
          <w:rFonts w:ascii="Arial" w:eastAsia="Times New Roman" w:hAnsi="Arial" w:cs="Arial"/>
          <w:color w:val="000000"/>
          <w:lang w:val="en-US" w:eastAsia="de-DE"/>
        </w:rPr>
        <w:instrText>stently, aberrant increases in cell size, for example through polyploidy, are typically disadvantageous to cellular metabolism, fitness and functionality. Accordingly, cellular hypertrophy can potentially predispose to or worsen metabolic diseases. We prop</w:instrText>
      </w:r>
      <w:r>
        <w:rPr>
          <w:rFonts w:ascii="Arial" w:eastAsia="Times New Roman" w:hAnsi="Arial" w:cs="Arial"/>
          <w:color w:val="000000"/>
          <w:lang w:val="en-US" w:eastAsia="de-DE"/>
        </w:rPr>
        <w:instrText>ose that cell size control may have emerged as a guardian of cellular fitness and metabolic activity.","author":[{"dropping-particle":"","family":"Miettinen","given":"Teemu P.","non-dropping-particle":"","parse-names":false,"suffix":""},{"dropping-particle</w:instrText>
      </w:r>
      <w:r>
        <w:rPr>
          <w:rFonts w:ascii="Arial" w:eastAsia="Times New Roman" w:hAnsi="Arial" w:cs="Arial"/>
          <w:color w:val="000000"/>
          <w:lang w:val="en-US" w:eastAsia="de-DE"/>
        </w:rPr>
        <w:instrText>":"","family":"Caldez","given":"Matias J.","non-dropping-particle":"","parse-names":false,"suffix":""},{"dropping-particle":"","family":"Kaldis","given":"Philipp","non-dropping-particle":"","parse-names":false,"suffix":""},{"dropping-particle":"","family":</w:instrText>
      </w:r>
      <w:r>
        <w:rPr>
          <w:rFonts w:ascii="Arial" w:eastAsia="Times New Roman" w:hAnsi="Arial" w:cs="Arial"/>
          <w:color w:val="000000"/>
          <w:lang w:val="en-US" w:eastAsia="de-DE"/>
        </w:rPr>
        <w:instrText>"Björklund","given":"Mikael","non-dropping-particle":"","parse-names":false,"suffix":""}],"container-title":"BioEssays","id":"ITEM-2","issue":"9","issued":{"date-parts":[["2017","9","1"]]},"page":"1700058","publisher":"John Wiley &amp; Sons, Ltd","title":"Cell</w:instrText>
      </w:r>
      <w:r>
        <w:rPr>
          <w:rFonts w:ascii="Arial" w:eastAsia="Times New Roman" w:hAnsi="Arial" w:cs="Arial"/>
          <w:color w:val="000000"/>
          <w:lang w:val="en-US" w:eastAsia="de-DE"/>
        </w:rPr>
        <w:instrText xml:space="preserve"> size control – a mechanism for maintaining fitness and function","type":"article-journal","volume":"39"},"uris":["http://www.mendeley.com/documents/?uuid=15d05fa2-70ee-36e4-9719-6f1fee9371d5"]}],"mendeley":{"formattedCitation":"&lt;sup&gt;162,179&lt;/sup&gt;","plainT</w:instrText>
      </w:r>
      <w:r>
        <w:rPr>
          <w:rFonts w:ascii="Arial" w:eastAsia="Times New Roman" w:hAnsi="Arial" w:cs="Arial"/>
          <w:color w:val="000000"/>
          <w:lang w:val="en-US" w:eastAsia="de-DE"/>
        </w:rPr>
        <w:instrText>extFormattedCitation":"162,179","previouslyFormattedCitation":"&lt;sup&gt;162,179&lt;/sup&gt;"},"properties":{"noteIndex":0},"schema":"https://github.com/citation-style-language/schema/raw/master/csl-citation.json"}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162,179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47FF1D37"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For non-dividing cells to be metabolicall</w:t>
      </w:r>
      <w:r>
        <w:rPr>
          <w:rFonts w:ascii="Arial" w:eastAsia="Times New Roman" w:hAnsi="Arial" w:cs="Arial"/>
          <w:color w:val="000000"/>
          <w:lang w:val="en-US" w:eastAsia="de-DE"/>
        </w:rPr>
        <w:t xml:space="preserve">y active </w:t>
      </w:r>
      <w:proofErr w:type="gramStart"/>
      <w:r>
        <w:rPr>
          <w:rFonts w:ascii="Arial" w:eastAsia="Times New Roman" w:hAnsi="Arial" w:cs="Arial"/>
          <w:color w:val="000000"/>
          <w:lang w:val="en-US" w:eastAsia="de-DE"/>
        </w:rPr>
        <w:t>and also</w:t>
      </w:r>
      <w:proofErr w:type="gramEnd"/>
      <w:r>
        <w:rPr>
          <w:rFonts w:ascii="Arial" w:eastAsia="Times New Roman" w:hAnsi="Arial" w:cs="Arial"/>
          <w:color w:val="000000"/>
          <w:lang w:val="en-US" w:eastAsia="de-DE"/>
        </w:rPr>
        <w:t xml:space="preserve"> maintain size homeostasis, the rate of macromolecular accumulation must be balanced by macromolecular degradation and secretion. This would require feedback mechanisms coupling degradation to biosynthesis and maintenance of a fixed level </w:t>
      </w:r>
      <w:r>
        <w:rPr>
          <w:rFonts w:ascii="Arial" w:eastAsia="Times New Roman" w:hAnsi="Arial" w:cs="Arial"/>
          <w:color w:val="000000"/>
          <w:lang w:val="en-US" w:eastAsia="de-DE"/>
        </w:rPr>
        <w:t>of growth signaling</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{"citationItems":[{"id":"ITEM-1","itemData":{"DOI":"10.1016/j.cell.2013.08.053","ISBN":"1097-4172 (Electronic)\\r0092-8674 (Linking)","ISSN":"1097-4172","PMID":"24034244","abstract":"An adult animal consists of cells o</w:instrText>
      </w:r>
      <w:r>
        <w:rPr>
          <w:rFonts w:ascii="Arial" w:eastAsia="Times New Roman" w:hAnsi="Arial" w:cs="Arial"/>
          <w:color w:val="000000"/>
          <w:lang w:val="en-US" w:eastAsia="de-DE"/>
        </w:rPr>
        <w:instrText>f vastly different size and activity, but the regulation of cell size remains poorly understood. Recent studies uncovering some of the signaling pathways important for size/growth control, together with the identification of diseases resulting from aberrat</w:instrText>
      </w:r>
      <w:r>
        <w:rPr>
          <w:rFonts w:ascii="Arial" w:eastAsia="Times New Roman" w:hAnsi="Arial" w:cs="Arial"/>
          <w:color w:val="000000"/>
          <w:lang w:val="en-US" w:eastAsia="de-DE"/>
        </w:rPr>
        <w:instrText>ions in these pathways, have renewed interest in this field. This Review will discuss our current understanding of how a cell sets its size, how it can adapt its size to a changing environment, and how these processes are relevant to human disease.","autho</w:instrText>
      </w:r>
      <w:r>
        <w:rPr>
          <w:rFonts w:ascii="Arial" w:eastAsia="Times New Roman" w:hAnsi="Arial" w:cs="Arial"/>
          <w:color w:val="000000"/>
          <w:lang w:val="en-US" w:eastAsia="de-DE"/>
        </w:rPr>
        <w:instrText xml:space="preserve">r":[{"dropping-particle":"","family":"Lloyd","given":"Alison C","non-dropping-particle":"","parse-names":false,"suffix":""}],"container-title":"Cell","id":"ITEM-1","issue":"6","issued":{"date-parts":[["2013"]]},"page":"1194-205","title":"The regulation of </w:instrText>
      </w:r>
      <w:r>
        <w:rPr>
          <w:rFonts w:ascii="Arial" w:eastAsia="Times New Roman" w:hAnsi="Arial" w:cs="Arial"/>
          <w:color w:val="000000"/>
          <w:lang w:val="en-US" w:eastAsia="de-DE"/>
        </w:rPr>
        <w:instrText>cell size.","type":"article-journal","volume":"154"},"uris":["http://www.mendeley.com/documents/?uuid=7448e0fc-e550-45fd-8963-bd0b7ff1b03d"]}],"mendeley":{"formattedCitation":"&lt;sup&gt;179&lt;/sup&gt;","plainTextFormattedCitation":"179","previouslyFormattedCitation"</w:instrText>
      </w:r>
      <w:r>
        <w:rPr>
          <w:rFonts w:ascii="Arial" w:eastAsia="Times New Roman" w:hAnsi="Arial" w:cs="Arial"/>
          <w:color w:val="000000"/>
          <w:lang w:val="en-US" w:eastAsia="de-DE"/>
        </w:rPr>
        <w:instrText>:"&lt;sup&gt;179&lt;/sup&gt;"},"properties":{"noteIndex":0},"schema":"https://github.com/citation-style-language/schema/raw/master/csl-citation.json"}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179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Indeed, studies performed on sensory neurons showed that protein synthesis and protein degradation rates </w:t>
      </w:r>
      <w:r>
        <w:rPr>
          <w:rFonts w:ascii="Arial" w:eastAsia="Times New Roman" w:hAnsi="Arial" w:cs="Arial"/>
          <w:color w:val="000000"/>
          <w:lang w:val="en-US" w:eastAsia="de-DE"/>
        </w:rPr>
        <w:t>are coupled for long-lived proteins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{"citationItems":[{"id":"ITEM-1","itemData":{"DOI":"10.1083/JCB.142.5.1313","ISSN":"0021-9525","PMID":"9732291","abstract":"We demonstrate that NGF couples the rate of degradation of long-lived proteins</w:instrText>
      </w:r>
      <w:r>
        <w:rPr>
          <w:rFonts w:ascii="Arial" w:eastAsia="Times New Roman" w:hAnsi="Arial" w:cs="Arial"/>
          <w:color w:val="000000"/>
          <w:lang w:val="en-US" w:eastAsia="de-DE"/>
        </w:rPr>
        <w:instrText xml:space="preserve"> in sympathetic neurons to the rate of protein synthesis. Inhibiting protein synthesis rate by a specific percentage caused an almost equivalent percentage reduction in the degradation rate of long-lived proteins, indicating nearly 1:1 coupling between the</w:instrText>
      </w:r>
      <w:r>
        <w:rPr>
          <w:rFonts w:ascii="Arial" w:eastAsia="Times New Roman" w:hAnsi="Arial" w:cs="Arial"/>
          <w:color w:val="000000"/>
          <w:lang w:val="en-US" w:eastAsia="de-DE"/>
        </w:rPr>
        <w:instrText xml:space="preserve"> two processes. The rate of degradation of short-lived proteins was unaffected by suppressing protein synthesis. Included in the pool of proteins that had increased half-lives when protein synthesis was inhibited were actin and tubulin. Both of these prote</w:instrText>
      </w:r>
      <w:r>
        <w:rPr>
          <w:rFonts w:ascii="Arial" w:eastAsia="Times New Roman" w:hAnsi="Arial" w:cs="Arial"/>
          <w:color w:val="000000"/>
          <w:lang w:val="en-US" w:eastAsia="de-DE"/>
        </w:rPr>
        <w:instrText>ins, which had half-lives of several days, exhibited no degradation over a 3-d period when protein synthesis was completely suppressed. The half- lives of seven other long-lived proteins were quantified and found to increase by 84-225% when protein synthes</w:instrText>
      </w:r>
      <w:r>
        <w:rPr>
          <w:rFonts w:ascii="Arial" w:eastAsia="Times New Roman" w:hAnsi="Arial" w:cs="Arial"/>
          <w:color w:val="000000"/>
          <w:lang w:val="en-US" w:eastAsia="de-DE"/>
        </w:rPr>
        <w:instrText>is was completely blocked. Degradation-synthesis coupling protected cells from protein loss during periods of decreased synthesis. The rate of protein synthesis greatly decreased and coupling between degradation and synthesis was lost after removal of NGF.</w:instrText>
      </w:r>
      <w:r>
        <w:rPr>
          <w:rFonts w:ascii="Arial" w:eastAsia="Times New Roman" w:hAnsi="Arial" w:cs="Arial"/>
          <w:color w:val="000000"/>
          <w:lang w:val="en-US" w:eastAsia="de-DE"/>
        </w:rPr>
        <w:instrText xml:space="preserve"> Uncoupling resulted in net loss of cellular protein and somatic atrophy. We propose that coupling the rate of protein degradation to that of protein synthesis is a fundamental mechanism by which neurotrophic factors maintain homeostatic control of neurona</w:instrText>
      </w:r>
      <w:r>
        <w:rPr>
          <w:rFonts w:ascii="Arial" w:eastAsia="Times New Roman" w:hAnsi="Arial" w:cs="Arial"/>
          <w:color w:val="000000"/>
          <w:lang w:val="en-US" w:eastAsia="de-DE"/>
        </w:rPr>
        <w:instrText>l size and perhaps growth.","author":[{"dropping-particle":"","family":"Franklin","given":"James L.","non-dropping-particle":"","parse-names":false,"suffix":""},{"dropping-particle":"","family":"Johnson","given":"Eugene M.","non-dropping-particle":"","pars</w:instrText>
      </w:r>
      <w:r>
        <w:rPr>
          <w:rFonts w:ascii="Arial" w:eastAsia="Times New Roman" w:hAnsi="Arial" w:cs="Arial"/>
          <w:color w:val="000000"/>
          <w:lang w:val="en-US" w:eastAsia="de-DE"/>
        </w:rPr>
        <w:instrText>e-names":false,"suffix":""}],"container-title":"Journal of Cell Biology","id":"ITEM-1","issue":"5","issued":{"date-parts":[["1998","9","7"]]},"page":"1313-1324","publisher":"The Rockefeller University Press","title":"Control of Neuronal Size Homeostasis by</w:instrText>
      </w:r>
      <w:r>
        <w:rPr>
          <w:rFonts w:ascii="Arial" w:eastAsia="Times New Roman" w:hAnsi="Arial" w:cs="Arial"/>
          <w:color w:val="000000"/>
          <w:lang w:val="en-US" w:eastAsia="de-DE"/>
        </w:rPr>
        <w:instrText xml:space="preserve"> Trophic Factor–mediated Coupling of Protein Degradation to Protein Synthesis","type":"article-journal","volume":"142"},"uris":["http://www.mendeley.com/documents/?uuid=4ca054b8-722d-3a22-ad24-11c7abc9ee9f"]}],"mendeley":{"formattedCitation":"&lt;sup&gt;321&lt;/sup</w:instrText>
      </w:r>
      <w:r>
        <w:rPr>
          <w:rFonts w:ascii="Arial" w:eastAsia="Times New Roman" w:hAnsi="Arial" w:cs="Arial"/>
          <w:color w:val="000000"/>
          <w:lang w:val="en-US" w:eastAsia="de-DE"/>
        </w:rPr>
        <w:instrText>&gt;","plainTextFormattedCitation":"321","previouslyFormattedCitation":"&lt;sup&gt;321&lt;/sup&gt;"},"properties":{"noteIndex":0},"schema":"https://github.com/citation-style-language/schema/raw/master/csl-citation.json"}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When these neurons were treated with </w:t>
      </w:r>
      <w:proofErr w:type="spellStart"/>
      <w:r>
        <w:rPr>
          <w:rFonts w:ascii="Arial" w:eastAsia="Times New Roman" w:hAnsi="Arial" w:cs="Arial"/>
          <w:color w:val="000000"/>
          <w:lang w:val="en-US" w:eastAsia="de-DE"/>
        </w:rPr>
        <w:t>neurot</w:t>
      </w:r>
      <w:r>
        <w:rPr>
          <w:rFonts w:ascii="Arial" w:eastAsia="Times New Roman" w:hAnsi="Arial" w:cs="Arial"/>
          <w:color w:val="000000"/>
          <w:lang w:val="en-US" w:eastAsia="de-DE"/>
        </w:rPr>
        <w:t>rophin</w:t>
      </w:r>
      <w:proofErr w:type="spellEnd"/>
      <w:r>
        <w:rPr>
          <w:rFonts w:ascii="Arial" w:eastAsia="Times New Roman" w:hAnsi="Arial" w:cs="Arial"/>
          <w:color w:val="000000"/>
          <w:lang w:val="en-US" w:eastAsia="de-DE"/>
        </w:rPr>
        <w:t xml:space="preserve"> NGF, a growth factor, and increasing amounts of a protein synthesis inhibitor, the degradation rates of long-lived proteins decreased in proportion to the protein synthesis disruption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w:instrText>
      </w:r>
      <w:r>
        <w:rPr>
          <w:rFonts w:ascii="Arial" w:eastAsia="Times New Roman" w:hAnsi="Arial" w:cs="Arial"/>
          <w:color w:val="000000"/>
          <w:lang w:val="en-US" w:eastAsia="de-DE"/>
        </w:rPr>
        <w:instrText>OI":"10.1083/JCB.142.5.1313","ISSN":"0021-9525","PMID":"9732291","abstract":"We demonstrate that NGF couples the rate of degradation of long-lived proteins in sympathetic neurons to the rate of protein synthesis. Inhibiting protein synthesis rate by a spec</w:instrText>
      </w:r>
      <w:r>
        <w:rPr>
          <w:rFonts w:ascii="Arial" w:eastAsia="Times New Roman" w:hAnsi="Arial" w:cs="Arial"/>
          <w:color w:val="000000"/>
          <w:lang w:val="en-US" w:eastAsia="de-DE"/>
        </w:rPr>
        <w:instrText>ific percentage caused an almost equivalent percentage reduction in the degradation rate of long-lived proteins, indicating nearly 1:1 coupling between the two processes. The rate of degradation of short-lived proteins was unaffected by suppressing protein</w:instrText>
      </w:r>
      <w:r>
        <w:rPr>
          <w:rFonts w:ascii="Arial" w:eastAsia="Times New Roman" w:hAnsi="Arial" w:cs="Arial"/>
          <w:color w:val="000000"/>
          <w:lang w:val="en-US" w:eastAsia="de-DE"/>
        </w:rPr>
        <w:instrText xml:space="preserve"> synthesis. Included in the pool of proteins that had increased half-lives when protein synthesis was inhibited were actin and tubulin. Both of these proteins, which had half-lives of several days, exhibited no degradation over a 3-d period when protein sy</w:instrText>
      </w:r>
      <w:r>
        <w:rPr>
          <w:rFonts w:ascii="Arial" w:eastAsia="Times New Roman" w:hAnsi="Arial" w:cs="Arial"/>
          <w:color w:val="000000"/>
          <w:lang w:val="en-US" w:eastAsia="de-DE"/>
        </w:rPr>
        <w:instrText>nthesis was completely suppressed. The half- lives of seven other long-lived proteins were quantified and found to increase by 84-225% when protein synthesis was completely blocked. Degradation-synthesis coupling protected cells from protein loss during pe</w:instrText>
      </w:r>
      <w:r>
        <w:rPr>
          <w:rFonts w:ascii="Arial" w:eastAsia="Times New Roman" w:hAnsi="Arial" w:cs="Arial"/>
          <w:color w:val="000000"/>
          <w:lang w:val="en-US" w:eastAsia="de-DE"/>
        </w:rPr>
        <w:instrText>riods of decreased synthesis. The rate of protein synthesis greatly decreased and coupling between degradation and synthesis was lost after removal of NGF. Uncoupling resulted in net loss of cellular protein and somatic atrophy. We propose that coupling th</w:instrText>
      </w:r>
      <w:r>
        <w:rPr>
          <w:rFonts w:ascii="Arial" w:eastAsia="Times New Roman" w:hAnsi="Arial" w:cs="Arial"/>
          <w:color w:val="000000"/>
          <w:lang w:val="en-US" w:eastAsia="de-DE"/>
        </w:rPr>
        <w:instrText>e rate of protein degradation to that of protein synthesis is a fundamental mechanism by which neurotrophic factors maintain homeostatic control of neuronal size and perhaps growth.","author":[{"dropping-particle":"","family":"Franklin","given":"James L.",</w:instrText>
      </w:r>
      <w:r>
        <w:rPr>
          <w:rFonts w:ascii="Arial" w:eastAsia="Times New Roman" w:hAnsi="Arial" w:cs="Arial"/>
          <w:color w:val="000000"/>
          <w:lang w:val="en-US" w:eastAsia="de-DE"/>
        </w:rPr>
        <w:instrText>"non-dropping-particle":"","parse-names":false,"suffix":""},{"dropping-particle":"","family":"Johnson","given":"Eugene M.","non-dropping-particle":"","parse-names":false,"suffix":""}],"container-title":"Journal of Cell Biology","id":"ITEM-1","issue":"5","i</w:instrText>
      </w:r>
      <w:r>
        <w:rPr>
          <w:rFonts w:ascii="Arial" w:eastAsia="Times New Roman" w:hAnsi="Arial" w:cs="Arial"/>
          <w:color w:val="000000"/>
          <w:lang w:val="en-US" w:eastAsia="de-DE"/>
        </w:rPr>
        <w:instrText>ssued":{"date-parts":[["1998","9","7"]]},"page":"1313-1324","publisher":"The Rockefeller University Press","title":"Control of Neuronal Size Homeostasis by Trophic Factor–mediated Coupling of Protein Degradation to Protein Synthesis","type":"article-journa</w:instrText>
      </w:r>
      <w:r>
        <w:rPr>
          <w:rFonts w:ascii="Arial" w:eastAsia="Times New Roman" w:hAnsi="Arial" w:cs="Arial"/>
          <w:color w:val="000000"/>
          <w:lang w:val="en-US" w:eastAsia="de-DE"/>
        </w:rPr>
        <w:instrText>l","volume":"142"},"uris":["http://www.mendeley.com/documents/?uuid=4ca054b8-722d-3a22-ad24-11c7abc9ee9f"]}],"mendeley":{"formattedCitation":"&lt;sup&gt;321&lt;/sup&gt;","plainTextFormattedCitation":"321","previouslyFormattedCitation":"&lt;sup&gt;321&lt;/sup&gt;"},"properties":{"</w:instrText>
      </w:r>
      <w:r>
        <w:rPr>
          <w:rFonts w:ascii="Arial" w:eastAsia="Times New Roman" w:hAnsi="Arial" w:cs="Arial"/>
          <w:color w:val="000000"/>
          <w:lang w:val="en-US" w:eastAsia="de-DE"/>
        </w:rPr>
        <w:instrText>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coupling between degradation and synthesis rates has also been observed at the mRNA level, albeit in proliferating mammalian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w:instrText>
      </w:r>
      <w:r>
        <w:rPr>
          <w:rFonts w:ascii="Arial" w:eastAsia="Times New Roman" w:hAnsi="Arial" w:cs="Arial"/>
          <w:color w:val="000000"/>
          <w:lang w:val="en-US" w:eastAsia="de-DE"/>
        </w:rPr>
        <w:instrText xml:space="preserve">_CITATION {"citationItems":[{"id":"ITEM-1","itemData":{"DOI":"10.1016/J.CELS.2022.04.005","ISSN":"2405-4720","PMID":"35613616","abstract":"RNA concentration homeostasis involves coordinating RNA abundance and synthesis rates with cell size. Here, we study </w:instrText>
      </w:r>
      <w:r>
        <w:rPr>
          <w:rFonts w:ascii="Arial" w:eastAsia="Times New Roman" w:hAnsi="Arial" w:cs="Arial"/>
          <w:color w:val="000000"/>
          <w:lang w:val="en-US" w:eastAsia="de-DE"/>
        </w:rPr>
        <w:instrText>this in human cells by combining genome-wide perturbations with quantitative single-cell measurements. Despite relative ease in perturbing RNA synthesis, we find that RNA concentrations generally remain highly constant. Perturbations that would be expected</w:instrText>
      </w:r>
      <w:r>
        <w:rPr>
          <w:rFonts w:ascii="Arial" w:eastAsia="Times New Roman" w:hAnsi="Arial" w:cs="Arial"/>
          <w:color w:val="000000"/>
          <w:lang w:val="en-US" w:eastAsia="de-DE"/>
        </w:rPr>
        <w:instrText xml:space="preserve"> to increase nuclear mRNA levels, including those targeting nuclear mRNA degradation or export, result in downregulation of RNA synthesis. This is associated with reduced abundance of transcription-associated proteins and protein states that are normally c</w:instrText>
      </w:r>
      <w:r>
        <w:rPr>
          <w:rFonts w:ascii="Arial" w:eastAsia="Times New Roman" w:hAnsi="Arial" w:cs="Arial"/>
          <w:color w:val="000000"/>
          <w:lang w:val="en-US" w:eastAsia="de-DE"/>
        </w:rPr>
        <w:instrText>oordinated with RNA production in single cells, including RNA polymerase II (RNA Pol II) itself. Acute perturbations, elevation of nuclear mRNA levels, and mathematical modeling indicate that mammalian cells achieve robust mRNA concentration homeostasis by</w:instrText>
      </w:r>
      <w:r>
        <w:rPr>
          <w:rFonts w:ascii="Arial" w:eastAsia="Times New Roman" w:hAnsi="Arial" w:cs="Arial"/>
          <w:color w:val="000000"/>
          <w:lang w:val="en-US" w:eastAsia="de-DE"/>
        </w:rPr>
        <w:instrText xml:space="preserve"> the mRNA-based negative feedback on transcriptional activity in the nucleus. This ultimately acts to coordinate RNA Pol II abundance with nuclear mRNA degradation and export rates and may underpin the scaling of mRNA abundance with cell size.","author":[{</w:instrText>
      </w:r>
      <w:r>
        <w:rPr>
          <w:rFonts w:ascii="Arial" w:eastAsia="Times New Roman" w:hAnsi="Arial" w:cs="Arial"/>
          <w:color w:val="000000"/>
          <w:lang w:val="en-US" w:eastAsia="de-DE"/>
        </w:rPr>
        <w:instrText>"dropping-particle":"","family":"Berry","given":"Scott","non-dropping-particle":"","parse-names":false,"suffix":""},{"dropping-particle":"","family":"Müller","given":"Micha","non-dropping-particle":"","parse-names":false,"suffix":""},{"dropping-particle":"</w:instrText>
      </w:r>
      <w:r>
        <w:rPr>
          <w:rFonts w:ascii="Arial" w:eastAsia="Times New Roman" w:hAnsi="Arial" w:cs="Arial"/>
          <w:color w:val="000000"/>
          <w:lang w:val="en-US" w:eastAsia="de-DE"/>
        </w:rPr>
        <w:instrText>","family":"Rai","given":"Arpan","non-dropping-particle":"","parse-names":false,"suffix":""},{"dropping-particle":"","family":"Pelkmans","given":"Lucas","non-dropping-particle":"","parse-names":false,"suffix":""}],"container-title":"Cell systems","id":"ITE</w:instrText>
      </w:r>
      <w:r>
        <w:rPr>
          <w:rFonts w:ascii="Arial" w:eastAsia="Times New Roman" w:hAnsi="Arial" w:cs="Arial"/>
          <w:color w:val="000000"/>
          <w:lang w:val="en-US" w:eastAsia="de-DE"/>
        </w:rPr>
        <w:instrText>M-1","issue":"6","issued":{"date-parts":[["2022","6","15"]]},"page":"454-470.e15","publisher":"Cell Syst","title":"Feedback from nuclear RNA on transcription promotes robust RNA concentration homeostasis in human cells","type":"article-journal","volume":"1</w:instrText>
      </w:r>
      <w:r>
        <w:rPr>
          <w:rFonts w:ascii="Arial" w:eastAsia="Times New Roman" w:hAnsi="Arial" w:cs="Arial"/>
          <w:color w:val="000000"/>
          <w:lang w:val="en-US" w:eastAsia="de-DE"/>
        </w:rPr>
        <w:instrText>3"},"uris":["http://www.mendeley.com/documents/?uuid=de4fed49-e202-36ed-96e0-2ddf9ba22412"]}],"mendeley":{"formattedCitation":"&lt;sup&gt;19&lt;/sup&gt;","plainTextFormattedCitation":"19","previouslyFormattedCitation":"&lt;sup&gt;19&lt;/sup&gt;"},"properties":{"noteIndex":0},"sch</w:instrText>
      </w:r>
      <w:r>
        <w:rPr>
          <w:rFonts w:ascii="Arial" w:eastAsia="Times New Roman" w:hAnsi="Arial" w:cs="Arial"/>
          <w:color w:val="000000"/>
          <w:lang w:val="en-US" w:eastAsia="de-DE"/>
        </w:rPr>
        <w:instrText>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Speculatively speaking, the feedback mechanism between nuclear mRNA concentrations and transcription could also exist in non-proliferating cells. In addition to mR</w:t>
      </w:r>
      <w:r>
        <w:rPr>
          <w:rFonts w:ascii="Arial" w:eastAsia="Times New Roman" w:hAnsi="Arial" w:cs="Arial"/>
          <w:color w:val="000000"/>
          <w:lang w:val="en-US" w:eastAsia="de-DE"/>
        </w:rPr>
        <w:t>NA transcription being linked to cell size via limiting Pol II</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{"citationItems":[{"id":"ITEM-1","itemData":{"DOI":"10.1016/j.cell.2023.10.012","author":[{"dropping-particle":"","family":"Swaffer","given":"Matthew P","non-dropping-particle</w:instrText>
      </w:r>
      <w:r>
        <w:rPr>
          <w:rFonts w:ascii="Arial" w:eastAsia="Times New Roman" w:hAnsi="Arial" w:cs="Arial"/>
          <w:color w:val="000000"/>
          <w:lang w:val="en-US" w:eastAsia="de-DE"/>
        </w:rPr>
        <w:instrText>":"","parse-names":false,"suffix":""},{"dropping-particle":"","family":"Marinov","given":"Georgi K","non-dropping-particle":"","parse-names":false,"suffix":""},{"dropping-particle":"","family":"Zheng","given":"Huan","non-dropping-particle":"","parse-names"</w:instrText>
      </w:r>
      <w:r>
        <w:rPr>
          <w:rFonts w:ascii="Arial" w:eastAsia="Times New Roman" w:hAnsi="Arial" w:cs="Arial"/>
          <w:color w:val="000000"/>
          <w:lang w:val="en-US" w:eastAsia="de-DE"/>
        </w:rPr>
        <w:instrText>:false,"suffix":""},{"dropping-particle":"","family":"Fuentes Valenzuela","given":"Lucas","non-dropping-particle":"","parse-names":false,"suffix":""},{"dropping-particle":"","family":"Yee Tsui","given":"Crystal","non-dropping-particle":"","parse-names":fal</w:instrText>
      </w:r>
      <w:r>
        <w:rPr>
          <w:rFonts w:ascii="Arial" w:eastAsia="Times New Roman" w:hAnsi="Arial" w:cs="Arial"/>
          <w:color w:val="000000"/>
          <w:lang w:val="en-US" w:eastAsia="de-DE"/>
        </w:rPr>
        <w:instrText>se,"suffix":""},{"dropping-particle":"","family":"Jones","given":"Andrew W","non-dropping-particle":"","parse-names":false,"suffix":""},{"dropping-particle":"","family":"Greenwood","given":"Jessica","non-dropping-particle":"","parse-names":false,"suffix":"</w:instrText>
      </w:r>
      <w:r>
        <w:rPr>
          <w:rFonts w:ascii="Arial" w:eastAsia="Times New Roman" w:hAnsi="Arial" w:cs="Arial"/>
          <w:color w:val="000000"/>
          <w:lang w:val="en-US" w:eastAsia="de-DE"/>
        </w:rPr>
        <w:instrText>"},{"dropping-particle":"","family":"Kundaje","given":"Anshul","non-dropping-particle":"","parse-names":false,"suffix":""},{"dropping-particle":"","family":"Greenleaf","given":"William J","non-dropping-particle":"","parse-names":false,"suffix":""},{"droppi</w:instrText>
      </w:r>
      <w:r>
        <w:rPr>
          <w:rFonts w:ascii="Arial" w:eastAsia="Times New Roman" w:hAnsi="Arial" w:cs="Arial"/>
          <w:color w:val="000000"/>
          <w:lang w:val="en-US" w:eastAsia="de-DE"/>
        </w:rPr>
        <w:instrText>ng-particle":"","family":"Reyes-Lamothe","given":"Rodrigo","non-dropping-particle":"","parse-names":false,"suffix":""},{"dropping-particle":"","family":"Skotheim","given":"Jan M","non-dropping-particle":"","parse-names":false,"suffix":""}],"container-title</w:instrText>
      </w:r>
      <w:r>
        <w:rPr>
          <w:rFonts w:ascii="Arial" w:eastAsia="Times New Roman" w:hAnsi="Arial" w:cs="Arial"/>
          <w:color w:val="000000"/>
          <w:lang w:val="en-US" w:eastAsia="de-DE"/>
        </w:rPr>
        <w:instrText>":"Cell","id":"ITEM-1","issued":{"date-parts":[["2023"]]},"title":"RNA polymerase II dynamics and mRNA stability feedback scale mRNA amounts with cell size","type":"article-journal"},"uris":["http://www.mendeley.com/documents/?uuid=90d7390d-c1af-355e-ae58-</w:instrText>
      </w:r>
      <w:r>
        <w:rPr>
          <w:rFonts w:ascii="Arial" w:eastAsia="Times New Roman" w:hAnsi="Arial" w:cs="Arial"/>
          <w:color w:val="000000"/>
          <w:lang w:val="en-US" w:eastAsia="de-DE"/>
        </w:rPr>
        <w:instrText>d20591ab9167"]}],"mendeley":{"formattedCitation":"&lt;sup&gt;29&lt;/sup&gt;","plainTextFormattedCitation":"29","previouslyFormattedCitation":"&lt;sup&gt;29&lt;/sup&gt;"},"properties":{"noteIndex":0},"schema":"https://github.com/citation-style-language/schema/raw/master/csl-citati</w:instrText>
      </w:r>
      <w:r>
        <w:rPr>
          <w:rFonts w:ascii="Arial" w:eastAsia="Times New Roman" w:hAnsi="Arial" w:cs="Arial"/>
          <w:color w:val="000000"/>
          <w:lang w:val="en-US" w:eastAsia="de-DE"/>
        </w:rPr>
        <w:instrText>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it could contribute to mRNA concentrations scaling with size in quiescent cells, at concentrations that are comparable to the concentrations in proliferating cells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w:instrText>
      </w:r>
      <w:r>
        <w:rPr>
          <w:rFonts w:ascii="Arial" w:eastAsia="Times New Roman" w:hAnsi="Arial" w:cs="Arial"/>
          <w:color w:val="000000"/>
          <w:lang w:val="en-US" w:eastAsia="de-DE"/>
        </w:rPr>
        <w:instrText>6/j.molcel.2015.03.005","ISSN":"10972765","abstract":"Individual mammalian cells exhibit large variability in cellular volume, even with the same absolute DNA content, and so must compensate for differences in DNA concentration in order to maintain constan</w:instrText>
      </w:r>
      <w:r>
        <w:rPr>
          <w:rFonts w:ascii="Arial" w:eastAsia="Times New Roman" w:hAnsi="Arial" w:cs="Arial"/>
          <w:color w:val="000000"/>
          <w:lang w:val="en-US" w:eastAsia="de-DE"/>
        </w:rPr>
        <w:instrText xml:space="preserve">t concentration of gene expression products. Using single-molecule counting and computational image analysis, we show that transcript abundance correlates with cellular volume at the single-cell level due to increased global transcription in larger cells. </w:instrText>
      </w:r>
      <w:r>
        <w:rPr>
          <w:rFonts w:ascii="Arial" w:eastAsia="Times New Roman" w:hAnsi="Arial" w:cs="Arial"/>
          <w:color w:val="000000"/>
          <w:lang w:val="en-US" w:eastAsia="de-DE"/>
        </w:rPr>
        <w:instrText>Cell fusion experiments establish that increased cellular content itself can directly increase transcription. Quantitative analysis shows that this mechanism measures the ratio of cellular volume to DNA content, most likely through sequestration of a trans</w:instrText>
      </w:r>
      <w:r>
        <w:rPr>
          <w:rFonts w:ascii="Arial" w:eastAsia="Times New Roman" w:hAnsi="Arial" w:cs="Arial"/>
          <w:color w:val="000000"/>
          <w:lang w:val="en-US" w:eastAsia="de-DE"/>
        </w:rPr>
        <w:instrText>criptional factor to DNA. Analysis of transcriptional bursts reveals a separate mechanism for gene dosage compensation after DNA replication that enables proper transcriptional output during early and late S phase. Our results provide a framework for quant</w:instrText>
      </w:r>
      <w:r>
        <w:rPr>
          <w:rFonts w:ascii="Arial" w:eastAsia="Times New Roman" w:hAnsi="Arial" w:cs="Arial"/>
          <w:color w:val="000000"/>
          <w:lang w:val="en-US" w:eastAsia="de-DE"/>
        </w:rPr>
        <w:instrText>itatively understanding the relationships among DNA content, cell size, and gene expression variability in single cells.","author":[{"dropping-particle":"","family":"Padovan-Merhar","given":"Olivia","non-dropping-particle":"","parse-names":false,"suffix":"</w:instrText>
      </w:r>
      <w:r>
        <w:rPr>
          <w:rFonts w:ascii="Arial" w:eastAsia="Times New Roman" w:hAnsi="Arial" w:cs="Arial"/>
          <w:color w:val="000000"/>
          <w:lang w:val="en-US" w:eastAsia="de-DE"/>
        </w:rPr>
        <w:instrText>"},{"dropping-particle":"","family":"Nair","given":"Gautham P.","non-dropping-particle":"","parse-names":false,"suffix":""},{"dropping-particle":"","family":"Biaesch","given":"Andrew G.","non-dropping-particle":"","parse-names":false,"suffix":""},{"droppin</w:instrText>
      </w:r>
      <w:r>
        <w:rPr>
          <w:rFonts w:ascii="Arial" w:eastAsia="Times New Roman" w:hAnsi="Arial" w:cs="Arial"/>
          <w:color w:val="000000"/>
          <w:lang w:val="en-US" w:eastAsia="de-DE"/>
        </w:rPr>
        <w:instrText>g-particle":"","family":"Mayer","given":"Andreas","non-dropping-particle":"","parse-names":false,"suffix":""},{"dropping-particle":"","family":"Scarfone","given":"Steven","non-dropping-particle":"","parse-names":false,"suffix":""},{"dropping-particle":"","</w:instrText>
      </w:r>
      <w:r>
        <w:rPr>
          <w:rFonts w:ascii="Arial" w:eastAsia="Times New Roman" w:hAnsi="Arial" w:cs="Arial"/>
          <w:color w:val="000000"/>
          <w:lang w:val="en-US" w:eastAsia="de-DE"/>
        </w:rPr>
        <w:instrText>family":"Foley","given":"Shawn W.","non-dropping-particle":"","parse-names":false,"suffix":""},{"dropping-particle":"","family":"Wu","given":"Angela R.","non-dropping-particle":"","parse-names":false,"suffix":""},{"dropping-particle":"","family":"Churchman</w:instrText>
      </w:r>
      <w:r>
        <w:rPr>
          <w:rFonts w:ascii="Arial" w:eastAsia="Times New Roman" w:hAnsi="Arial" w:cs="Arial"/>
          <w:color w:val="000000"/>
          <w:lang w:val="en-US" w:eastAsia="de-DE"/>
        </w:rPr>
        <w:instrText>","given":"L. Stirling","non-dropping-particle":"","parse-names":false,"suffix":""},{"dropping-particle":"","family":"Singh","given":"Abhyudai","non-dropping-particle":"","parse-names":false,"suffix":""},{"dropping-particle":"","family":"Raj","given":"Arju</w:instrText>
      </w:r>
      <w:r>
        <w:rPr>
          <w:rFonts w:ascii="Arial" w:eastAsia="Times New Roman" w:hAnsi="Arial" w:cs="Arial"/>
          <w:color w:val="000000"/>
          <w:lang w:val="en-US" w:eastAsia="de-DE"/>
        </w:rPr>
        <w:instrText>n","non-dropping-particle":"","parse-names":false,"suffix":""}],"container-title":"Molecular Cell","id":"ITEM-1","issue":"2","issued":{"date-parts":[["2015","4"]]},"page":"339-352","title":"Single Mammalian Cells Compensate for Differences in Cellular Volu</w:instrText>
      </w:r>
      <w:r>
        <w:rPr>
          <w:rFonts w:ascii="Arial" w:eastAsia="Times New Roman" w:hAnsi="Arial" w:cs="Arial"/>
          <w:color w:val="000000"/>
          <w:lang w:val="en-US" w:eastAsia="de-DE"/>
        </w:rPr>
        <w:instrText>me and DNA Copy Number through Independent Global Transcriptional Mechanisms","type":"article-journal","volume":"58"},"uris":["http://www.mendeley.com/documents/?uuid=5c85bab6-4d1f-4871-b740-e55b13377d17"]}],"mendeley":{"formattedCitation":"&lt;sup&gt;16&lt;/sup&gt;",</w:instrText>
      </w:r>
      <w:r>
        <w:rPr>
          <w:rFonts w:ascii="Arial" w:eastAsia="Times New Roman" w:hAnsi="Arial" w:cs="Arial"/>
          <w:color w:val="000000"/>
          <w:lang w:val="en-US" w:eastAsia="de-DE"/>
        </w:rPr>
        <w:instrText>"plainTextFormattedCitation":"16","previouslyFormattedCitation":"&lt;sup&gt;16&lt;/sup&gt;"},"properties":{"noteIndex":0},"schema":"https://github.com/citation-style-language/schema/raw/master/csl-citation.json"}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Another requirement for size homeostasis in non-d</w:t>
      </w:r>
      <w:r>
        <w:rPr>
          <w:rFonts w:ascii="Arial" w:eastAsia="Times New Roman" w:hAnsi="Arial" w:cs="Arial"/>
          <w:color w:val="000000"/>
          <w:lang w:val="en-US" w:eastAsia="de-DE"/>
        </w:rPr>
        <w:t>ividing cells is a robust response to osmotic changes in the environment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{"citationItems":[{"id":"ITEM-1","itemData":{"DOI":"10.1016/j.cell.2013.08.053","ISBN":"1097-4172 (Electronic)\\r0092-8674 (Linking)","ISSN":"1097-4172","PMID":"2403</w:instrText>
      </w:r>
      <w:r>
        <w:rPr>
          <w:rFonts w:ascii="Arial" w:eastAsia="Times New Roman" w:hAnsi="Arial" w:cs="Arial"/>
          <w:color w:val="000000"/>
          <w:lang w:val="en-US" w:eastAsia="de-DE"/>
        </w:rPr>
        <w:instrText xml:space="preserve">4244","abstract":"An adult animal consists of cells of vastly different size and activity, but the regulation of cell size remains poorly understood. Recent studies uncovering some of the signaling pathways important for size/growth control, together with </w:instrText>
      </w:r>
      <w:r>
        <w:rPr>
          <w:rFonts w:ascii="Arial" w:eastAsia="Times New Roman" w:hAnsi="Arial" w:cs="Arial"/>
          <w:color w:val="000000"/>
          <w:lang w:val="en-US" w:eastAsia="de-DE"/>
        </w:rPr>
        <w:instrText>the identification of diseases resulting from aberrations in these pathways, have renewed interest in this field. This Review will discuss our current understanding of how a cell sets its size, how it can adapt its size to a changing environment, and how t</w:instrText>
      </w:r>
      <w:r>
        <w:rPr>
          <w:rFonts w:ascii="Arial" w:eastAsia="Times New Roman" w:hAnsi="Arial" w:cs="Arial"/>
          <w:color w:val="000000"/>
          <w:lang w:val="en-US" w:eastAsia="de-DE"/>
        </w:rPr>
        <w:instrText>hese processes are relevant to human disease.","author":[{"dropping-particle":"","family":"Lloyd","given":"Alison C","non-dropping-particle":"","parse-names":false,"suffix":""}],"container-title":"Cell","id":"ITEM-1","issue":"6","issued":{"date-parts":[["2</w:instrText>
      </w:r>
      <w:r>
        <w:rPr>
          <w:rFonts w:ascii="Arial" w:eastAsia="Times New Roman" w:hAnsi="Arial" w:cs="Arial"/>
          <w:color w:val="000000"/>
          <w:lang w:val="en-US" w:eastAsia="de-DE"/>
        </w:rPr>
        <w:instrText>013"]]},"page":"1194-205","title":"The regulation of cell size.","type":"article-journal","volume":"154"},"uris":["http://www.mendeley.com/documents/?uuid=7448e0fc-e550-45fd-8963-bd0b7ff1b03d"]}],"mendeley":{"formattedCitation":"&lt;sup&gt;179&lt;/sup&gt;","plainTextF</w:instrText>
      </w:r>
      <w:r>
        <w:rPr>
          <w:rFonts w:ascii="Arial" w:eastAsia="Times New Roman" w:hAnsi="Arial" w:cs="Arial"/>
          <w:color w:val="000000"/>
          <w:lang w:val="en-US" w:eastAsia="de-DE"/>
        </w:rPr>
        <w:instrText>ormattedCitation":"179","previouslyFormattedCitation":"&lt;sup&gt;179&lt;/sup&gt;"},"properties":{"noteIndex":0},"schema":"https://github.com/citation-style-language/schema/raw/master/csl-citation.json"}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179</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When osmotic challenges lead to changes in cell volume du</w:t>
      </w:r>
      <w:r>
        <w:rPr>
          <w:rFonts w:ascii="Arial" w:eastAsia="Times New Roman" w:hAnsi="Arial" w:cs="Arial"/>
          <w:color w:val="000000"/>
          <w:lang w:val="en-US" w:eastAsia="de-DE"/>
        </w:rPr>
        <w:t>e to influx of efflux of water, a system of osmotic sensors, transducers and effectors is in place to counteract deformations and restore original cell volume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{"citationItems":[{"id":"ITEM-1","itemData":{"DOI":"10.1074/jbc.R800049200","IS</w:instrText>
      </w:r>
      <w:r>
        <w:rPr>
          <w:rFonts w:ascii="Arial" w:eastAsia="Times New Roman" w:hAnsi="Arial" w:cs="Arial"/>
          <w:color w:val="000000"/>
          <w:lang w:val="en-US" w:eastAsia="de-DE"/>
        </w:rPr>
        <w:instrText>SN":"00219258","PMID":"19004817","abstract":"Cell volume and shape are stringently regulated. This homeostasis requires the cells to sense their size and shape and to convey this information to effectors that will counteract deformations induced by osmotic</w:instrText>
      </w:r>
      <w:r>
        <w:rPr>
          <w:rFonts w:ascii="Arial" w:eastAsia="Times New Roman" w:hAnsi="Arial" w:cs="Arial"/>
          <w:color w:val="000000"/>
          <w:lang w:val="en-US" w:eastAsia="de-DE"/>
        </w:rPr>
        <w:instrText xml:space="preserve"> or mechanical challenges. The sensors, transducers, and effectors of volume change are the subject of this review. © 2009 by The American Society for Biochemistry and Molecular Biology, Inc.","author":[{"dropping-particle":"","family":"Koivusalo","given":</w:instrText>
      </w:r>
      <w:r>
        <w:rPr>
          <w:rFonts w:ascii="Arial" w:eastAsia="Times New Roman" w:hAnsi="Arial" w:cs="Arial"/>
          <w:color w:val="000000"/>
          <w:lang w:val="en-US" w:eastAsia="de-DE"/>
        </w:rPr>
        <w:instrText>"Mirkka","non-dropping-particle":"","parse-names":false,"suffix":""},{"dropping-particle":"","family":"Kapus","given":"Andras","non-dropping-particle":"","parse-names":false,"suffix":""},{"dropping-particle":"","family":"Grinstein","given":"Sergio","non-dr</w:instrText>
      </w:r>
      <w:r>
        <w:rPr>
          <w:rFonts w:ascii="Arial" w:eastAsia="Times New Roman" w:hAnsi="Arial" w:cs="Arial"/>
          <w:color w:val="000000"/>
          <w:lang w:val="en-US" w:eastAsia="de-DE"/>
        </w:rPr>
        <w:instrText>opping-particle":"","parse-names":false,"suffix":""}],"container-title":"Journal of Biological Chemistry","id":"ITEM-1","issue":"11","issued":{"date-parts":[["2009","3","13"]]},"page":"6595-6599","publisher":"Elsevier","title":"Sensors, transducers, and ef</w:instrText>
      </w:r>
      <w:r>
        <w:rPr>
          <w:rFonts w:ascii="Arial" w:eastAsia="Times New Roman" w:hAnsi="Arial" w:cs="Arial"/>
          <w:color w:val="000000"/>
          <w:lang w:val="en-US" w:eastAsia="de-DE"/>
        </w:rPr>
        <w:instrText>fectors that regulate cell size and shape","type":"article-journal","volume":"284"},"uris":["http://www.mendeley.com/documents/?uuid=d7b16773-04e1-3172-8efa-20d425cd3b3e"]}],"mendeley":{"formattedCitation":"&lt;sup&gt;238&lt;/sup&gt;","plainTextFormattedCitation":"238</w:instrText>
      </w:r>
      <w:r>
        <w:rPr>
          <w:rFonts w:ascii="Arial" w:eastAsia="Times New Roman" w:hAnsi="Arial" w:cs="Arial"/>
          <w:color w:val="000000"/>
          <w:lang w:val="en-US" w:eastAsia="de-DE"/>
        </w:rPr>
        <w:instrText>","previouslyFormattedCitation":"&lt;sup&gt;238&lt;/sup&gt;"},"properties":{"noteIndex":0},"schema":"https://github.com/citation-style-language/schema/raw/master/csl-citation.json"}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238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may be vital for maintenance of size homeostasis in a dynamic environment.</w:t>
      </w:r>
      <w:r>
        <w:rPr>
          <w:rFonts w:ascii="Arial" w:eastAsia="Times New Roman" w:hAnsi="Arial" w:cs="Arial"/>
          <w:color w:val="000000"/>
          <w:lang w:val="en-US" w:eastAsia="de-DE"/>
        </w:rPr>
        <w:t> </w:t>
      </w:r>
    </w:p>
    <w:p w14:paraId="2110937C"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7.3 Cell size control in changing environments</w:t>
      </w:r>
    </w:p>
    <w:p w14:paraId="13F6C0FC"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Cell size adaptation to changing environments is implemented by regulation of both cell growth and cell cycle progression. In eukaryotes, this response to nutrient availability, and in the case of metazoans,</w:t>
      </w:r>
      <w:r>
        <w:rPr>
          <w:rFonts w:ascii="Arial" w:eastAsia="Times New Roman" w:hAnsi="Arial" w:cs="Arial"/>
          <w:color w:val="000000" w:themeColor="text1"/>
          <w:lang w:val="en-US" w:eastAsia="de-DE"/>
        </w:rPr>
        <w:t xml:space="preserve"> also to growth factors, is in part attributed to the TOR (Target of Rapamycin) signaling pathway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{"citationItems":[{"id":"ITEM-1","itemData":{"DOI":"10.1038/nrm3025","ISSN":"1471-0080","PMID":"21157483","abstract":"In eukaryotes, the tar</w:instrText>
      </w:r>
      <w:r>
        <w:rPr>
          <w:rFonts w:ascii="Arial" w:eastAsia="Times New Roman" w:hAnsi="Arial" w:cs="Arial"/>
          <w:color w:val="000000" w:themeColor="text1"/>
          <w:lang w:val="en-US" w:eastAsia="de-DE"/>
        </w:rPr>
        <w:instrText>get of rapamycin (TOR) protein kinase simultaneously senses energy, nutrients and stress (and growth factors in metazoans) to regulate cell growth and division. Advances in our understanding of the regulation and functions of mammalian TOR (mTOR) are revea</w:instrText>
      </w:r>
      <w:r>
        <w:rPr>
          <w:rFonts w:ascii="Arial" w:eastAsia="Times New Roman" w:hAnsi="Arial" w:cs="Arial"/>
          <w:color w:val="000000" w:themeColor="text1"/>
          <w:lang w:val="en-US" w:eastAsia="de-DE"/>
        </w:rPr>
        <w:instrText>ling its involvement in diabetes, cancer and ageing. In all eukaryotes, the target of rapamycin (TOR) signalling pathway couples energy and nutrient abundance to the execution of cell growth and division, owing to the ability of TOR protein kinase to simul</w:instrText>
      </w:r>
      <w:r>
        <w:rPr>
          <w:rFonts w:ascii="Arial" w:eastAsia="Times New Roman" w:hAnsi="Arial" w:cs="Arial"/>
          <w:color w:val="000000" w:themeColor="text1"/>
          <w:lang w:val="en-US" w:eastAsia="de-DE"/>
        </w:rPr>
        <w:instrText>taneously sense energy, nutrients and stress and, in metazoans, growth factors. Mammalian TOR complex 1 (mTORC1) and mTORC2 exert their actions by regulating other important kinases, such as S6 kinase (S6K) and Akt. In the past few years, a significant adv</w:instrText>
      </w:r>
      <w:r>
        <w:rPr>
          <w:rFonts w:ascii="Arial" w:eastAsia="Times New Roman" w:hAnsi="Arial" w:cs="Arial"/>
          <w:color w:val="000000" w:themeColor="text1"/>
          <w:lang w:val="en-US" w:eastAsia="de-DE"/>
        </w:rPr>
        <w:instrText>ance in our understanding of the regulation and functions of mTOR has revealed the crucial involvement of this signalling pathway in the onset and progression of diabetes, cancer and ageing.","author":[{"dropping-particle":"","family":"Zoncu","given":"Robe</w:instrText>
      </w:r>
      <w:r>
        <w:rPr>
          <w:rFonts w:ascii="Arial" w:eastAsia="Times New Roman" w:hAnsi="Arial" w:cs="Arial"/>
          <w:color w:val="000000" w:themeColor="text1"/>
          <w:lang w:val="en-US" w:eastAsia="de-DE"/>
        </w:rPr>
        <w:instrText>rto","non-dropping-particle":"","parse-names":false,"suffix":""},{"dropping-particle":"","family":"Efeyan","given":"Alejo","non-dropping-particle":"","parse-names":false,"suffix":""},{"dropping-particle":"","family":"Sabatini","given":"David M.","non-dropp</w:instrText>
      </w:r>
      <w:r>
        <w:rPr>
          <w:rFonts w:ascii="Arial" w:eastAsia="Times New Roman" w:hAnsi="Arial" w:cs="Arial"/>
          <w:color w:val="000000" w:themeColor="text1"/>
          <w:lang w:val="en-US" w:eastAsia="de-DE"/>
        </w:rPr>
        <w:instrText>ing-particle":"","parse-names":false,"suffix":""}],"container-title":"Nature Reviews Molecular Cell Biology 2010 12:1","id":"ITEM-1","issue":"1","issued":{"date-parts":[["2010","12","15"]]},"page":"21-35","publisher":"Nature Publishing Group","title":"mTOR</w:instrText>
      </w:r>
      <w:r>
        <w:rPr>
          <w:rFonts w:ascii="Arial" w:eastAsia="Times New Roman" w:hAnsi="Arial" w:cs="Arial"/>
          <w:color w:val="000000" w:themeColor="text1"/>
          <w:lang w:val="en-US" w:eastAsia="de-DE"/>
        </w:rPr>
        <w:instrText>: from growth signal integration to cancer, diabetes and ageing","type":"article-journal","volume":"12"},"uris":["http://www.mendeley.com/documents/?uuid=19400185-1d05-3ba7-aeca-d66e0e8db490"]},{"id":"ITEM-2","itemData":{"DOI":"10.1016/J.TCB.2022.06.008","</w:instrText>
      </w:r>
      <w:r>
        <w:rPr>
          <w:rFonts w:ascii="Arial" w:eastAsia="Times New Roman" w:hAnsi="Arial" w:cs="Arial"/>
          <w:color w:val="000000" w:themeColor="text1"/>
          <w:lang w:val="en-US" w:eastAsia="de-DE"/>
        </w:rPr>
        <w:instrText>ISSN":"0962-8924","PMID":"35851491","abstract":"Pioneering work carried out over 60 years ago discovered that bacterial cell size is proportional to the growth rate set by nutrient availability. This relationship is traditionally referred to as the ‘growth</w:instrText>
      </w:r>
      <w:r>
        <w:rPr>
          <w:rFonts w:ascii="Arial" w:eastAsia="Times New Roman" w:hAnsi="Arial" w:cs="Arial"/>
          <w:color w:val="000000" w:themeColor="text1"/>
          <w:lang w:val="en-US" w:eastAsia="de-DE"/>
        </w:rPr>
        <w:instrText xml:space="preserve"> law’. Subsequent studies revealed the growth law to hold across all orders of life, a remarkable degree of conservation. However, recent work suggests the relationship between growth rate, nutrients, and cell size is far more complicated and less determin</w:instrText>
      </w:r>
      <w:r>
        <w:rPr>
          <w:rFonts w:ascii="Arial" w:eastAsia="Times New Roman" w:hAnsi="Arial" w:cs="Arial"/>
          <w:color w:val="000000" w:themeColor="text1"/>
          <w:lang w:val="en-US" w:eastAsia="de-DE"/>
        </w:rPr>
        <w:instrText>istic than originally thought. Focusing on bacteria and yeast, here we review efforts to understand the molecular mechanisms underlying the relationship between growth rate and cell size.","author":[{"dropping-particle":"","family":"Kellogg","given":"Dougl</w:instrText>
      </w:r>
      <w:r>
        <w:rPr>
          <w:rFonts w:ascii="Arial" w:eastAsia="Times New Roman" w:hAnsi="Arial" w:cs="Arial"/>
          <w:color w:val="000000" w:themeColor="text1"/>
          <w:lang w:val="en-US" w:eastAsia="de-DE"/>
        </w:rPr>
        <w:instrText>as R.","non-dropping-particle":"","parse-names":false,"suffix":""},{"dropping-particle":"","family":"Levin","given":"Petra Anne","non-dropping-particle":"","parse-names":false,"suffix":""}],"container-title":"Trends in Cell Biology","id":"ITEM-2","issue":"</w:instrText>
      </w:r>
      <w:r>
        <w:rPr>
          <w:rFonts w:ascii="Arial" w:eastAsia="Times New Roman" w:hAnsi="Arial" w:cs="Arial"/>
          <w:color w:val="000000" w:themeColor="text1"/>
          <w:lang w:val="en-US" w:eastAsia="de-DE"/>
        </w:rPr>
        <w:instrText>11","issued":{"date-parts":[["2022","11","1"]]},"page":"908-919","publisher":"Elsevier Current Trends","title":"Nutrient availability as an arbiter of cell size","type":"article-journal","volume":"32"},"uris":["http://www.mendeley.com/documents/?uuid=8d774</w:instrText>
      </w:r>
      <w:r>
        <w:rPr>
          <w:rFonts w:ascii="Arial" w:eastAsia="Times New Roman" w:hAnsi="Arial" w:cs="Arial"/>
          <w:color w:val="000000" w:themeColor="text1"/>
          <w:lang w:val="en-US" w:eastAsia="de-DE"/>
        </w:rPr>
        <w:instrText>3f5-744c-3460-be85-dccebd7d7824"]},{"id":"ITEM-3","itemData":{"DOI":"10.1002/BIES.202200150","ISBN":"2022;44:2200150","ISSN":"1521-1878","PMID":"36222263","abstract":"Before a cell divides into two daughter cells, it typically doubles not only its DNA, but</w:instrText>
      </w:r>
      <w:r>
        <w:rPr>
          <w:rFonts w:ascii="Arial" w:eastAsia="Times New Roman" w:hAnsi="Arial" w:cs="Arial"/>
          <w:color w:val="000000" w:themeColor="text1"/>
          <w:lang w:val="en-US" w:eastAsia="de-DE"/>
        </w:rPr>
        <w:instrText xml:space="preserve"> also its mass. Numerous studies in cells ranging from yeast to mammals have shown that cellular growth, stimulated by nutrients and/or growth factor signaling, is a prerequisite for cell cycle progression in most types of cells. The textbook view of growt</w:instrText>
      </w:r>
      <w:r>
        <w:rPr>
          <w:rFonts w:ascii="Arial" w:eastAsia="Times New Roman" w:hAnsi="Arial" w:cs="Arial"/>
          <w:color w:val="000000" w:themeColor="text1"/>
          <w:lang w:val="en-US" w:eastAsia="de-DE"/>
        </w:rPr>
        <w:instrText>h-regulated cell cycles is that growth signaling activates the transcription of G1 Cyclin genes to induce cell proliferation, and also stimulates anabolic metabolism and cell growth in parallel. However, genetic knockout tests in model organisms indicate t</w:instrText>
      </w:r>
      <w:r>
        <w:rPr>
          <w:rFonts w:ascii="Arial" w:eastAsia="Times New Roman" w:hAnsi="Arial" w:cs="Arial"/>
          <w:color w:val="000000" w:themeColor="text1"/>
          <w:lang w:val="en-US" w:eastAsia="de-DE"/>
        </w:rPr>
        <w:instrText>hat this is not the whole story, and new studies show that additional, “smarter” mechanisms help to coordinate the cell cycle with growth itself. Here we summarize recent advances in this field, and discuss current models in which growth signaling regulate</w:instrText>
      </w:r>
      <w:r>
        <w:rPr>
          <w:rFonts w:ascii="Arial" w:eastAsia="Times New Roman" w:hAnsi="Arial" w:cs="Arial"/>
          <w:color w:val="000000" w:themeColor="text1"/>
          <w:lang w:val="en-US" w:eastAsia="de-DE"/>
        </w:rPr>
        <w:instrText>s cell proliferation by targeting core cell cycle regulators via non-transcriptional mechanisms.","author":[{"dropping-particle":"","family":"Øvrebø","given":"Jan Inge","non-dropping-particle":"","parse-names":false,"suffix":""},{"dropping-particle":"","fa</w:instrText>
      </w:r>
      <w:r>
        <w:rPr>
          <w:rFonts w:ascii="Arial" w:eastAsia="Times New Roman" w:hAnsi="Arial" w:cs="Arial"/>
          <w:color w:val="000000" w:themeColor="text1"/>
          <w:lang w:val="en-US" w:eastAsia="de-DE"/>
        </w:rPr>
        <w:instrText>mily":"Ma","given":"Yiqin","non-dropping-particle":"","parse-names":false,"suffix":""},{"dropping-particle":"","family":"Edgar","given":"Bruce A.","non-dropping-particle":"","parse-names":false,"suffix":""}],"container-title":"BioEssays","id":"ITEM-3","iss</w:instrText>
      </w:r>
      <w:r>
        <w:rPr>
          <w:rFonts w:ascii="Arial" w:eastAsia="Times New Roman" w:hAnsi="Arial" w:cs="Arial"/>
          <w:color w:val="000000" w:themeColor="text1"/>
          <w:lang w:val="en-US" w:eastAsia="de-DE"/>
        </w:rPr>
        <w:instrText>ue":"11","issued":{"date-parts":[["2022","11","1"]]},"page":"2200150","publisher":"John Wiley &amp; Sons, Ltd","title":"Cell growth and the cell cycle: New insights about persistent questions","type":"article-journal","volume":"44"},"uris":["http://www.mendele</w:instrText>
      </w:r>
      <w:r>
        <w:rPr>
          <w:rFonts w:ascii="Arial" w:eastAsia="Times New Roman" w:hAnsi="Arial" w:cs="Arial"/>
          <w:color w:val="000000" w:themeColor="text1"/>
          <w:lang w:val="en-US" w:eastAsia="de-DE"/>
        </w:rPr>
        <w:instrText>y.com/documents/?uuid=0fccfce5-9d1f-39f3-ab04-bf2d8fe466f7"]}],"mendeley":{"formattedCitation":"&lt;sup&gt;322–324&lt;/sup&gt;","plainTextFormattedCitation":"322–324","previouslyFormattedCitation":"&lt;sup&gt;322–324&lt;/sup&gt;"},"properties":{"noteIndex":0},"schema":"https://gi</w:instrText>
      </w:r>
      <w:r>
        <w:rPr>
          <w:rFonts w:ascii="Arial" w:eastAsia="Times New Roman" w:hAnsi="Arial" w:cs="Arial"/>
          <w:color w:val="000000" w:themeColor="text1"/>
          <w:lang w:val="en-US" w:eastAsia="de-DE"/>
        </w:rPr>
        <w:instrText>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322–324</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 PKA (protein kinase A) pathway is another signaling pathway found in both mammals and yeast, whose role as a cell growth and cell cycle regulator in response to </w:t>
      </w:r>
      <w:r>
        <w:rPr>
          <w:rFonts w:ascii="Arial" w:eastAsia="Times New Roman" w:hAnsi="Arial" w:cs="Arial"/>
          <w:color w:val="000000" w:themeColor="text1"/>
          <w:lang w:val="en-US" w:eastAsia="de-DE"/>
        </w:rPr>
        <w:t>nutrient availability is well-studied in budding yeast</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{"citationItems":[{"id":"ITEM-1","itemData":{"DOI":"10.1016/J.CEB.2008.09.009","ISSN":"0955-0674","PMID":"18930818","abstract":"Regulation of cell growth in response to nutrients is c</w:instrText>
      </w:r>
      <w:r>
        <w:rPr>
          <w:rFonts w:ascii="Arial" w:eastAsia="Times New Roman" w:hAnsi="Arial" w:cs="Arial"/>
          <w:color w:val="000000" w:themeColor="text1"/>
          <w:lang w:val="en-US" w:eastAsia="de-DE"/>
        </w:rPr>
        <w:instrText>rucial for the survival of all organisms. In yeast, cell growth and division require two signaling pathways, TORC1 and PKA. Activation of these pathways crucially depends on intracellular metabolic signals, but the mechanisms remain elusive. Recent studies</w:instrText>
      </w:r>
      <w:r>
        <w:rPr>
          <w:rFonts w:ascii="Arial" w:eastAsia="Times New Roman" w:hAnsi="Arial" w:cs="Arial"/>
          <w:color w:val="000000" w:themeColor="text1"/>
          <w:lang w:val="en-US" w:eastAsia="de-DE"/>
        </w:rPr>
        <w:instrText xml:space="preserve"> have identified potential activators of TORC1 and have highlighted a crucial role for the endomembrane system. Moreover, calcium was recognized as an important second messenger for TORC1 activation in response to amino acid levels. On the contrary, geneti</w:instrText>
      </w:r>
      <w:r>
        <w:rPr>
          <w:rFonts w:ascii="Arial" w:eastAsia="Times New Roman" w:hAnsi="Arial" w:cs="Arial"/>
          <w:color w:val="000000" w:themeColor="text1"/>
          <w:lang w:val="en-US" w:eastAsia="de-DE"/>
        </w:rPr>
        <w:instrText>c analysis indicates that PKA activation depends on an intracellular glucose metabolite. Together with novel quantitative approaches, these findings provide important groundwork in our understanding of the molecular mechanisms for nutrient sensing in yeast</w:instrText>
      </w:r>
      <w:r>
        <w:rPr>
          <w:rFonts w:ascii="Arial" w:eastAsia="Times New Roman" w:hAnsi="Arial" w:cs="Arial"/>
          <w:color w:val="000000" w:themeColor="text1"/>
          <w:lang w:val="en-US" w:eastAsia="de-DE"/>
        </w:rPr>
        <w:instrText xml:space="preserve"> and humans. © 2008 Elsevier Ltd. All rights reserved.","author":[{"dropping-particle":"","family":"Dechant","given":"Reinhard","non-dropping-particle":"","parse-names":false,"suffix":""},{"dropping-particle":"","family":"Peter","given":"Matthias","non-dro</w:instrText>
      </w:r>
      <w:r>
        <w:rPr>
          <w:rFonts w:ascii="Arial" w:eastAsia="Times New Roman" w:hAnsi="Arial" w:cs="Arial"/>
          <w:color w:val="000000" w:themeColor="text1"/>
          <w:lang w:val="en-US" w:eastAsia="de-DE"/>
        </w:rPr>
        <w:instrText xml:space="preserve">pping-particle":"","parse-names":false,"suffix":""}],"container-title":"Current Opinion in Cell Biology","id":"ITEM-1","issue":"6","issued":{"date-parts":[["2008","12","1"]]},"page":"678-687","publisher":"Elsevier Current Trends","title":"Nutrient signals </w:instrText>
      </w:r>
      <w:r>
        <w:rPr>
          <w:rFonts w:ascii="Arial" w:eastAsia="Times New Roman" w:hAnsi="Arial" w:cs="Arial"/>
          <w:color w:val="000000" w:themeColor="text1"/>
          <w:lang w:val="en-US" w:eastAsia="de-DE"/>
        </w:rPr>
        <w:instrText>driving cell growth","type":"article-journal","volume":"20"},"uris":["http://www.mendeley.com/documents/?uuid=147590ac-b0ff-3833-8a25-952e600285a8"]},{"id":"ITEM-2","itemData":{"DOI":"10.1016/J.MIB.2017.12.012","abstract":"All cells, especially single cell</w:instrText>
      </w:r>
      <w:r>
        <w:rPr>
          <w:rFonts w:ascii="Arial" w:eastAsia="Times New Roman" w:hAnsi="Arial" w:cs="Arial"/>
          <w:color w:val="000000" w:themeColor="text1"/>
          <w:lang w:val="en-US" w:eastAsia="de-DE"/>
        </w:rPr>
        <w:instrText xml:space="preserve"> organisms, need to adapt their metabolism, growth and division coordinately to the available nutrients. This coordination is mediated by extensive cross-talk between nutrient signaling, metabolism, growth, and the cell division cycle, which is only gradua</w:instrText>
      </w:r>
      <w:r>
        <w:rPr>
          <w:rFonts w:ascii="Arial" w:eastAsia="Times New Roman" w:hAnsi="Arial" w:cs="Arial"/>
          <w:color w:val="000000" w:themeColor="text1"/>
          <w:lang w:val="en-US" w:eastAsia="de-DE"/>
        </w:rPr>
        <w:instrText>lly being uncovered: Nutrient signaling not only controls entry into the cell cycle at the G1/S transition, but all phases of the cell cycle. Metabolites are even sensed directly by cell cycle regulators to prevent cell cycle progression in absence of suff</w:instrText>
      </w:r>
      <w:r>
        <w:rPr>
          <w:rFonts w:ascii="Arial" w:eastAsia="Times New Roman" w:hAnsi="Arial" w:cs="Arial"/>
          <w:color w:val="000000" w:themeColor="text1"/>
          <w:lang w:val="en-US" w:eastAsia="de-DE"/>
        </w:rPr>
        <w:instrText>icient metabolic fluxes. In turn, cell cycle regulators such as the cyclin-dependent kinase directly control metabolic fluxes during cell cycle progression. In this review, I highlight some recent advances in our understanding of how metabolism and the cel</w:instrText>
      </w:r>
      <w:r>
        <w:rPr>
          <w:rFonts w:ascii="Arial" w:eastAsia="Times New Roman" w:hAnsi="Arial" w:cs="Arial"/>
          <w:color w:val="000000" w:themeColor="text1"/>
          <w:lang w:val="en-US" w:eastAsia="de-DE"/>
        </w:rPr>
        <w:instrText>l division cycle are coordinated in the model organism Saccharomyces cerevisiae.","author":[{"dropping-particle":"","family":"Ewald","given":"Jennifer C","non-dropping-particle":"","parse-names":false,"suffix":""}],"container-title":"Current Opinion in Mic</w:instrText>
      </w:r>
      <w:r>
        <w:rPr>
          <w:rFonts w:ascii="Arial" w:eastAsia="Times New Roman" w:hAnsi="Arial" w:cs="Arial"/>
          <w:color w:val="000000" w:themeColor="text1"/>
          <w:lang w:val="en-US" w:eastAsia="de-DE"/>
        </w:rPr>
        <w:instrText>robiology","id":"ITEM-2","issued":{"date-parts":[["2018","10","1"]]},"page":"1-7","publisher":"Elsevier Current Trends","title":"How yeast coordinates metabolism, growth and division","type":"article-journal","volume":"45"},"uris":["http://www.mendeley.com</w:instrText>
      </w:r>
      <w:r>
        <w:rPr>
          <w:rFonts w:ascii="Arial" w:eastAsia="Times New Roman" w:hAnsi="Arial" w:cs="Arial"/>
          <w:color w:val="000000" w:themeColor="text1"/>
          <w:lang w:val="en-US" w:eastAsia="de-DE"/>
        </w:rPr>
        <w:instrText>/documents/?uuid=15b844d2-8d17-374c-88c4-94b177ea4422"]}],"mendeley":{"formattedCitation":"&lt;sup&gt;325,326&lt;/sup&gt;","plainTextFormattedCitation":"325,326","previouslyFormattedCitation":"&lt;sup&gt;325,326&lt;/sup&gt;"},"properties":{"noteIndex":0},"schema":"https://github.</w:instrText>
      </w:r>
      <w:r>
        <w:rPr>
          <w:rFonts w:ascii="Arial" w:eastAsia="Times New Roman" w:hAnsi="Arial" w:cs="Arial"/>
          <w:color w:val="000000" w:themeColor="text1"/>
          <w:lang w:val="en-US" w:eastAsia="de-DE"/>
        </w:rPr>
        <w:instrText>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325,326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Here, we provide a brief overview of how these pathways sense nutrients, regulate cell growth and cell cycle progression accordingly, </w:t>
      </w:r>
      <w:proofErr w:type="gramStart"/>
      <w:r>
        <w:rPr>
          <w:rFonts w:ascii="Arial" w:eastAsia="Times New Roman" w:hAnsi="Arial" w:cs="Arial"/>
          <w:color w:val="000000" w:themeColor="text1"/>
          <w:lang w:val="en-US" w:eastAsia="de-DE"/>
        </w:rPr>
        <w:t>and also</w:t>
      </w:r>
      <w:proofErr w:type="gramEnd"/>
      <w:r>
        <w:rPr>
          <w:rFonts w:ascii="Arial" w:eastAsia="Times New Roman" w:hAnsi="Arial" w:cs="Arial"/>
          <w:color w:val="000000" w:themeColor="text1"/>
          <w:lang w:val="en-US" w:eastAsia="de-DE"/>
        </w:rPr>
        <w:t xml:space="preserve"> how they affect each other (Fig. 7).</w:t>
      </w:r>
      <w:r>
        <w:rPr>
          <w:rFonts w:ascii="Arial" w:eastAsia="Times New Roman" w:hAnsi="Arial" w:cs="Arial"/>
          <w:color w:val="000000" w:themeColor="text1"/>
          <w:lang w:val="en-US" w:eastAsia="de-DE"/>
        </w:rPr>
        <w:t> </w:t>
      </w:r>
    </w:p>
    <w:p w14:paraId="7C563B37" w14:textId="77777777" w:rsidR="00066D11" w:rsidRDefault="00E55468">
      <w:pPr>
        <w:spacing w:before="240" w:after="240" w:line="240" w:lineRule="auto"/>
        <w:jc w:val="center"/>
      </w:pPr>
      <w:r>
        <w:rPr>
          <w:noProof/>
          <w:lang w:eastAsia="de-DE"/>
        </w:rPr>
        <w:lastRenderedPageBreak/>
        <w:drawing>
          <wp:inline distT="0" distB="0" distL="0" distR="0" wp14:anchorId="372E4592" wp14:editId="052FCA4F">
            <wp:extent cx="5724524" cy="4048125"/>
            <wp:effectExtent l="0" t="0" r="0" b="0"/>
            <wp:docPr id="437490590" name="Picture 43749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24524" cy="4048125"/>
                    </a:xfrm>
                    <a:prstGeom prst="rect">
                      <a:avLst/>
                    </a:prstGeom>
                  </pic:spPr>
                </pic:pic>
              </a:graphicData>
            </a:graphic>
          </wp:inline>
        </w:drawing>
      </w:r>
    </w:p>
    <w:p w14:paraId="132AAB9D" w14:textId="77777777" w:rsidR="00066D11" w:rsidRDefault="00E55468">
      <w:pPr>
        <w:spacing w:before="240" w:after="240" w:line="240" w:lineRule="auto"/>
        <w:jc w:val="both"/>
        <w:rPr>
          <w:rFonts w:ascii="Arial" w:eastAsia="Times New Roman" w:hAnsi="Arial" w:cs="Arial"/>
          <w:i/>
          <w:iCs/>
          <w:color w:val="000000"/>
          <w:lang w:val="en-US" w:eastAsia="de-DE"/>
        </w:rPr>
      </w:pPr>
      <w:r>
        <w:rPr>
          <w:rFonts w:ascii="Arial" w:eastAsia="Times New Roman" w:hAnsi="Arial" w:cs="Arial"/>
          <w:b/>
          <w:bCs/>
          <w:i/>
          <w:iCs/>
          <w:color w:val="000000" w:themeColor="text1"/>
          <w:lang w:val="en-US" w:eastAsia="de-DE"/>
        </w:rPr>
        <w:t xml:space="preserve">Fig. 7: </w:t>
      </w:r>
      <w:r>
        <w:rPr>
          <w:rFonts w:ascii="Arial" w:eastAsia="Times New Roman" w:hAnsi="Arial" w:cs="Arial"/>
          <w:i/>
          <w:iCs/>
          <w:color w:val="000000" w:themeColor="text1"/>
          <w:lang w:val="en-US" w:eastAsia="de-DE"/>
        </w:rPr>
        <w:t>Cell size is adapted in response to environmental stimuli, including nutrient conditions and growth factors. In part, this is achieved through the TOR and PKA signaling pathways, which feed into the regulatory networks controlling cell cycle pr</w:t>
      </w:r>
      <w:r>
        <w:rPr>
          <w:rFonts w:ascii="Arial" w:eastAsia="Times New Roman" w:hAnsi="Arial" w:cs="Arial"/>
          <w:i/>
          <w:iCs/>
          <w:color w:val="000000" w:themeColor="text1"/>
          <w:lang w:val="en-US" w:eastAsia="de-DE"/>
        </w:rPr>
        <w:t>ogression and cell growth. T</w:t>
      </w:r>
      <w:r>
        <w:rPr>
          <w:rFonts w:ascii="Arial" w:eastAsiaTheme="minorEastAsia" w:hAnsi="Arial" w:cs="Arial"/>
          <w:i/>
          <w:iCs/>
          <w:color w:val="000000" w:themeColor="text1"/>
          <w:lang w:val="en-US" w:eastAsia="de-DE"/>
        </w:rPr>
        <w:t>he nutrient-sensing arm of the mTORC1 pathway includes the following sensor proteins or protein complexes: the Sestrin2 complex detects cytosolic leucine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w:instrText>
      </w:r>
      <w:r>
        <w:rPr>
          <w:rFonts w:ascii="Arial" w:eastAsia="Times New Roman" w:hAnsi="Arial" w:cs="Arial"/>
          <w:color w:val="000000" w:themeColor="text1"/>
          <w:lang w:val="en-US" w:eastAsia="de-DE"/>
        </w:rPr>
        <w:instrText>016/j.cmet.2017.07.001","author":[{"dropping-particle":"","family":"Wolfson","given":"Rachel L","non-dropping-particle":"","parse-names":false,"suffix":""},{"dropping-particle":"","family":"Sabatini","given":"David M","non-dropping-particle":"","parse-name</w:instrText>
      </w:r>
      <w:r>
        <w:rPr>
          <w:rFonts w:ascii="Arial" w:eastAsia="Times New Roman" w:hAnsi="Arial" w:cs="Arial"/>
          <w:color w:val="000000" w:themeColor="text1"/>
          <w:lang w:val="en-US" w:eastAsia="de-DE"/>
        </w:rPr>
        <w:instrText>s":false,"suffix":""}],"container-title":"Cell Metabolism","id":"ITEM-1","issued":{"date-parts":[["2017"]]},"page":"301-309","title":"Cell Metabolism The Dawn of the Age of Amino Acid Sensors for the mTORC1 Pathway","type":"article-journal","volume":"26"},</w:instrText>
      </w:r>
      <w:r>
        <w:rPr>
          <w:rFonts w:ascii="Arial" w:eastAsia="Times New Roman" w:hAnsi="Arial" w:cs="Arial"/>
          <w:color w:val="000000" w:themeColor="text1"/>
          <w:lang w:val="en-US" w:eastAsia="de-DE"/>
        </w:rPr>
        <w:instrText>"uris":["http://www.mendeley.com/documents/?uuid=dd45d122-7663-357d-a4bd-16da7c7ffea9"]}],"mendeley":{"formattedCitation":"&lt;sup&gt;327&lt;/sup&gt;","plainTextFormattedCitation":"327","previouslyFormattedCitation":"&lt;sup&gt;327&lt;/sup&gt;"},"properties":{"noteIndex":0},"sche</w:instrText>
      </w:r>
      <w:r>
        <w:rPr>
          <w:rFonts w:ascii="Arial" w:eastAsia="Times New Roman" w:hAnsi="Arial" w:cs="Arial"/>
          <w:color w:val="000000" w:themeColor="text1"/>
          <w:lang w:val="en-US" w:eastAsia="de-DE"/>
        </w:rPr>
        <w:instrText>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327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r>
        <w:rPr>
          <w:rFonts w:ascii="Arial" w:eastAsia="Times New Roman" w:hAnsi="Arial" w:cs="Arial"/>
          <w:i/>
          <w:iCs/>
          <w:color w:val="000000" w:themeColor="text1"/>
          <w:lang w:val="en-US" w:eastAsia="de-DE"/>
        </w:rPr>
        <w:t xml:space="preserve"> the CASTOR1 complex detects cytosolic arginine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{"citationItems":[{"id":"ITEM-1","itemData":{"DOI":"10.1016/j.cell.2016.02.035","ISSN":"10974172",</w:instrText>
      </w:r>
      <w:r>
        <w:rPr>
          <w:rFonts w:ascii="Arial" w:eastAsia="Times New Roman" w:hAnsi="Arial" w:cs="Arial"/>
          <w:color w:val="000000" w:themeColor="text1"/>
          <w:lang w:val="en-US" w:eastAsia="de-DE"/>
        </w:rPr>
        <w:instrText>"PMID":"26972053","abstract":"Summary Amino acids signal to the mTOR complex I (mTORC1) growth pathway through the Rag GTPases. Multiple distinct complexes regulate the Rags, including GATOR1, a GTPase activating protein (GAP), and GATOR2, a positive regul</w:instrText>
      </w:r>
      <w:r>
        <w:rPr>
          <w:rFonts w:ascii="Arial" w:eastAsia="Times New Roman" w:hAnsi="Arial" w:cs="Arial"/>
          <w:color w:val="000000" w:themeColor="text1"/>
          <w:lang w:val="en-US" w:eastAsia="de-DE"/>
        </w:rPr>
        <w:instrText>ator of unknown molecular function. Arginine stimulation of cells activates mTORC1, but how it is sensed is not well understood. Recently, SLC38A9 was identified as a putative lysosomal arginine sensor required for arginine to activate mTORC1 but how argin</w:instrText>
      </w:r>
      <w:r>
        <w:rPr>
          <w:rFonts w:ascii="Arial" w:eastAsia="Times New Roman" w:hAnsi="Arial" w:cs="Arial"/>
          <w:color w:val="000000" w:themeColor="text1"/>
          <w:lang w:val="en-US" w:eastAsia="de-DE"/>
        </w:rPr>
        <w:instrText>ine deprivation represses mTORC1 is unknown. Here, we show that CASTOR1, a previously uncharacterized protein, interacts with GATOR2 and is required for arginine deprivation to inhibit mTORC1. CASTOR1 homodimerizes and can also heterodimerize with the rela</w:instrText>
      </w:r>
      <w:r>
        <w:rPr>
          <w:rFonts w:ascii="Arial" w:eastAsia="Times New Roman" w:hAnsi="Arial" w:cs="Arial"/>
          <w:color w:val="000000" w:themeColor="text1"/>
          <w:lang w:val="en-US" w:eastAsia="de-DE"/>
        </w:rPr>
        <w:instrText xml:space="preserve">ted protein, CASTOR2. Arginine disrupts the CASTOR1-GATOR2 complex by binding to CASTOR1 with a dissociation constant of </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30 μM, and its arginine-binding capacity is required for arginine to activate mTORC1 in cells. Collectively, these results establish C</w:instrText>
      </w:r>
      <w:r>
        <w:rPr>
          <w:rFonts w:ascii="Arial" w:eastAsia="Times New Roman" w:hAnsi="Arial" w:cs="Arial"/>
          <w:color w:val="000000" w:themeColor="text1"/>
          <w:lang w:val="en-US" w:eastAsia="de-DE"/>
        </w:rPr>
        <w:instrText>ASTOR1 as an arginine sensor for the mTORC1 pathway.","author":[{"dropping-particle":"","family":"Chantranupong","given":"Lynne","non-dropping-particle":"","parse-names":false,"suffix":""},{"dropping-particle":"","family":"Scaria","given":"Sonia M.","non-d</w:instrText>
      </w:r>
      <w:r>
        <w:rPr>
          <w:rFonts w:ascii="Arial" w:eastAsia="Times New Roman" w:hAnsi="Arial" w:cs="Arial"/>
          <w:color w:val="000000" w:themeColor="text1"/>
          <w:lang w:val="en-US" w:eastAsia="de-DE"/>
        </w:rPr>
        <w:instrText>ropping-particle":"","parse-names":false,"suffix":""},{"dropping-particle":"","family":"Saxton","given":"Robert A.","non-dropping-particle":"","parse-names":false,"suffix":""},{"dropping-particle":"","family":"Gygi","given":"Melanie P.","non-dropping-parti</w:instrText>
      </w:r>
      <w:r>
        <w:rPr>
          <w:rFonts w:ascii="Arial" w:eastAsia="Times New Roman" w:hAnsi="Arial" w:cs="Arial"/>
          <w:color w:val="000000" w:themeColor="text1"/>
          <w:lang w:val="en-US" w:eastAsia="de-DE"/>
        </w:rPr>
        <w:instrText>cle":"","parse-names":false,"suffix":""},{"dropping-particle":"","family":"Shen","given":"Kuang","non-dropping-particle":"","parse-names":false,"suffix":""},{"dropping-particle":"","family":"Wyant","given":"Gregory A.","non-dropping-particle":"","parse-nam</w:instrText>
      </w:r>
      <w:r>
        <w:rPr>
          <w:rFonts w:ascii="Arial" w:eastAsia="Times New Roman" w:hAnsi="Arial" w:cs="Arial"/>
          <w:color w:val="000000" w:themeColor="text1"/>
          <w:lang w:val="en-US" w:eastAsia="de-DE"/>
        </w:rPr>
        <w:instrText>es":false,"suffix":""},{"dropping-particle":"","family":"Wang","given":"Tim","non-dropping-particle":"","parse-names":false,"suffix":""},{"dropping-particle":"","family":"Harper","given":"J. Wade","non-dropping-particle":"","parse-names":false,"suffix":""}</w:instrText>
      </w:r>
      <w:r>
        <w:rPr>
          <w:rFonts w:ascii="Arial" w:eastAsia="Times New Roman" w:hAnsi="Arial" w:cs="Arial"/>
          <w:color w:val="000000" w:themeColor="text1"/>
          <w:lang w:val="en-US" w:eastAsia="de-DE"/>
        </w:rPr>
        <w:instrText>,{"dropping-particle":"","family":"Gygi","given":"Steven P.","non-dropping-particle":"","parse-names":false,"suffix":""},{"dropping-particle":"","family":"Sabatini","given":"David M.","non-dropping-particle":"","parse-names":false,"suffix":""}],"container-</w:instrText>
      </w:r>
      <w:r>
        <w:rPr>
          <w:rFonts w:ascii="Arial" w:eastAsia="Times New Roman" w:hAnsi="Arial" w:cs="Arial"/>
          <w:color w:val="000000" w:themeColor="text1"/>
          <w:lang w:val="en-US" w:eastAsia="de-DE"/>
        </w:rPr>
        <w:instrText>title":"Cell","id":"ITEM-1","issue":"1","issued":{"date-parts":[["2016","3","24"]]},"page":"153-164","publisher":"Cell Press","title":"The CASTOR Proteins Are Arginine Sensors for the mTORC1 Pathway","type":"article-journal","volume":"165"},"uris":["http:/</w:instrText>
      </w:r>
      <w:r>
        <w:rPr>
          <w:rFonts w:ascii="Arial" w:eastAsia="Times New Roman" w:hAnsi="Arial" w:cs="Arial"/>
          <w:color w:val="000000" w:themeColor="text1"/>
          <w:lang w:val="en-US" w:eastAsia="de-DE"/>
        </w:rPr>
        <w:instrText>/www.mendeley.com/documents/?uuid=6b2f3150-61ba-3131-a2a0-8d5121235814"]}],"mendeley":{"formattedCitation":"&lt;sup&gt;328&lt;/sup&gt;","plainTextFormattedCitation":"328","previouslyFormattedCitation":"&lt;sup&gt;328&lt;/sup&gt;"},"properties":{"noteIndex":0},"schema":"https://gi</w:instrText>
      </w:r>
      <w:r>
        <w:rPr>
          <w:rFonts w:ascii="Arial" w:eastAsia="Times New Roman" w:hAnsi="Arial" w:cs="Arial"/>
          <w:color w:val="000000" w:themeColor="text1"/>
          <w:lang w:val="en-US" w:eastAsia="de-DE"/>
        </w:rPr>
        <w:instrText>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328</w:t>
      </w:r>
      <w:r>
        <w:rPr>
          <w:rFonts w:ascii="Arial" w:eastAsia="Times New Roman" w:hAnsi="Arial" w:cs="Arial"/>
          <w:color w:val="000000" w:themeColor="text1"/>
          <w:lang w:val="en-US" w:eastAsia="de-DE"/>
        </w:rPr>
        <w:fldChar w:fldCharType="end"/>
      </w:r>
      <w:r>
        <w:rPr>
          <w:rFonts w:ascii="Arial" w:eastAsia="Times New Roman" w:hAnsi="Arial" w:cs="Arial"/>
          <w:i/>
          <w:iCs/>
          <w:color w:val="000000" w:themeColor="text1"/>
          <w:lang w:val="en-US" w:eastAsia="de-DE"/>
        </w:rPr>
        <w:t>, SLC38A9, a lysosomal transmembrane protein, detects lysosomal arginine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{"citationItems":[{"id":"ITEM-1","itemData":{"DOI":"10.1126/SCIENCE.1257132/SUPPL_FILE/12</w:instrText>
      </w:r>
      <w:r>
        <w:rPr>
          <w:rFonts w:ascii="Arial" w:eastAsia="Times New Roman" w:hAnsi="Arial" w:cs="Arial"/>
          <w:color w:val="000000" w:themeColor="text1"/>
          <w:lang w:val="en-US" w:eastAsia="de-DE"/>
        </w:rPr>
        <w:instrText>57132.WANG.SM.PDF","ISSN":"10959203","PMID":"25567906","abstract":"The mechanistic target of rapamycin complex 1 (mTORC1) protein kinase is a master growth regulator that responds to multiple environmental cues. Amino acids stimulate, in a Rag-, Ragulator-</w:instrText>
      </w:r>
      <w:r>
        <w:rPr>
          <w:rFonts w:ascii="Arial" w:eastAsia="Times New Roman" w:hAnsi="Arial" w:cs="Arial"/>
          <w:color w:val="000000" w:themeColor="text1"/>
          <w:lang w:val="en-US" w:eastAsia="de-DE"/>
        </w:rPr>
        <w:instrText>, and vacuolar adenosine triphosphatase-dependent fashion, the translocation of mTORC1 to the lysosomal surface, where it interacts with its activator Rheb. Here, we identify SLC38A9, an uncharacterized protein with sequence similarity to amino acid transp</w:instrText>
      </w:r>
      <w:r>
        <w:rPr>
          <w:rFonts w:ascii="Arial" w:eastAsia="Times New Roman" w:hAnsi="Arial" w:cs="Arial"/>
          <w:color w:val="000000" w:themeColor="text1"/>
          <w:lang w:val="en-US" w:eastAsia="de-DE"/>
        </w:rPr>
        <w:instrText xml:space="preserve">orters, as a lysosomal transmembrane protein that interacts with the Rag guanosine triphosphatases (GTPases) and Ragulator in an amino acid-sensitive fashion. SLC38A9 transports arginine with a high Michaelis constant, and loss of SLC38A9 represses mTORC1 </w:instrText>
      </w:r>
      <w:r>
        <w:rPr>
          <w:rFonts w:ascii="Arial" w:eastAsia="Times New Roman" w:hAnsi="Arial" w:cs="Arial"/>
          <w:color w:val="000000" w:themeColor="text1"/>
          <w:lang w:val="en-US" w:eastAsia="de-DE"/>
        </w:rPr>
        <w:instrText xml:space="preserve">activation by amino acids, particularly arginine. Overexpression of SLC38A9 or just its Ragulator-binding domain makes mTORC1 signaling insensitive to amino acid starvation but not to Rag activity.Thus, SLC38A9 functions upstream of the Rag GTPases and is </w:instrText>
      </w:r>
      <w:r>
        <w:rPr>
          <w:rFonts w:ascii="Arial" w:eastAsia="Times New Roman" w:hAnsi="Arial" w:cs="Arial"/>
          <w:color w:val="000000" w:themeColor="text1"/>
          <w:lang w:val="en-US" w:eastAsia="de-DE"/>
        </w:rPr>
        <w:instrText xml:space="preserve">an excellent candidate for being an arginine sensor for the mTORC1 pathway.","author":[{"dropping-particle":"","family":"Wang","given":"Shuyu","non-dropping-particle":"","parse-names":false,"suffix":""},{"dropping-particle":"","family":"Tsun","given":"Zhi </w:instrText>
      </w:r>
      <w:r>
        <w:rPr>
          <w:rFonts w:ascii="Arial" w:eastAsia="Times New Roman" w:hAnsi="Arial" w:cs="Arial"/>
          <w:color w:val="000000" w:themeColor="text1"/>
          <w:lang w:val="en-US" w:eastAsia="de-DE"/>
        </w:rPr>
        <w:instrText>Yang","non-dropping-particle":"","parse-names":false,"suffix":""},{"dropping-particle":"","family":"Wolfson","given":"Rachel L.","non-dropping-particle":"","parse-names":false,"suffix":""},{"dropping-particle":"","family":"Shen","given":"Kuang","non-droppi</w:instrText>
      </w:r>
      <w:r>
        <w:rPr>
          <w:rFonts w:ascii="Arial" w:eastAsia="Times New Roman" w:hAnsi="Arial" w:cs="Arial"/>
          <w:color w:val="000000" w:themeColor="text1"/>
          <w:lang w:val="en-US" w:eastAsia="de-DE"/>
        </w:rPr>
        <w:instrText>ng-particle":"","parse-names":false,"suffix":""},{"dropping-particle":"","family":"Wyant","given":"Gregory A.","non-dropping-particle":"","parse-names":false,"suffix":""},{"dropping-particle":"","family":"Plovanich","given":"Molly E.","non-dropping-particl</w:instrText>
      </w:r>
      <w:r>
        <w:rPr>
          <w:rFonts w:ascii="Arial" w:eastAsia="Times New Roman" w:hAnsi="Arial" w:cs="Arial"/>
          <w:color w:val="000000" w:themeColor="text1"/>
          <w:lang w:val="en-US" w:eastAsia="de-DE"/>
        </w:rPr>
        <w:instrText>e":"","parse-names":false,"suffix":""},{"dropping-particle":"","family":"Yuan","given":"Elizabeth D.","non-dropping-particle":"","parse-names":false,"suffix":""},{"dropping-particle":"","family":"Jones","given":"Tony D.","non-dropping-particle":"","parse-n</w:instrText>
      </w:r>
      <w:r>
        <w:rPr>
          <w:rFonts w:ascii="Arial" w:eastAsia="Times New Roman" w:hAnsi="Arial" w:cs="Arial"/>
          <w:color w:val="000000" w:themeColor="text1"/>
          <w:lang w:val="en-US" w:eastAsia="de-DE"/>
        </w:rPr>
        <w:instrText>ames":false,"suffix":""},{"dropping-particle":"","family":"Chantranupong","given":"Lynne","non-dropping-particle":"","parse-names":false,"suffix":""},{"dropping-particle":"","family":"Comb","given":"William","non-dropping-particle":"","parse-names":false,"</w:instrText>
      </w:r>
      <w:r>
        <w:rPr>
          <w:rFonts w:ascii="Arial" w:eastAsia="Times New Roman" w:hAnsi="Arial" w:cs="Arial"/>
          <w:color w:val="000000" w:themeColor="text1"/>
          <w:lang w:val="en-US" w:eastAsia="de-DE"/>
        </w:rPr>
        <w:instrText>suffix":""},{"dropping-particle":"","family":"Wang","given":"Tim","non-dropping-particle":"","parse-names":false,"suffix":""},{"dropping-particle":"","family":"Bar-Peled","given":"Liron","non-dropping-particle":"","parse-names":false,"suffix":""},{"droppin</w:instrText>
      </w:r>
      <w:r>
        <w:rPr>
          <w:rFonts w:ascii="Arial" w:eastAsia="Times New Roman" w:hAnsi="Arial" w:cs="Arial"/>
          <w:color w:val="000000" w:themeColor="text1"/>
          <w:lang w:val="en-US" w:eastAsia="de-DE"/>
        </w:rPr>
        <w:instrText>g-particle":"","family":"Zoncu","given":"Roberto","non-dropping-particle":"","parse-names":false,"suffix":""},{"dropping-particle":"","family":"Straub","given":"Christoph","non-dropping-particle":"","parse-names":false,"suffix":""},{"dropping-particle":"",</w:instrText>
      </w:r>
      <w:r>
        <w:rPr>
          <w:rFonts w:ascii="Arial" w:eastAsia="Times New Roman" w:hAnsi="Arial" w:cs="Arial"/>
          <w:color w:val="000000" w:themeColor="text1"/>
          <w:lang w:val="en-US" w:eastAsia="de-DE"/>
        </w:rPr>
        <w:instrText>"family":"Kim","given":"Choah","non-dropping-particle":"","parse-names":false,"suffix":""},{"dropping-particle":"","family":"Park","given":"Jiwon","non-dropping-particle":"","parse-names":false,"suffix":""},{"dropping-particle":"","family":"Sabatini","give</w:instrText>
      </w:r>
      <w:r>
        <w:rPr>
          <w:rFonts w:ascii="Arial" w:eastAsia="Times New Roman" w:hAnsi="Arial" w:cs="Arial"/>
          <w:color w:val="000000" w:themeColor="text1"/>
          <w:lang w:val="en-US" w:eastAsia="de-DE"/>
        </w:rPr>
        <w:instrText>n":"Bernardo L.","non-dropping-particle":"","parse-names":false,"suffix":""},{"dropping-particle":"","family":"Sabatini","given":"David M.","non-dropping-particle":"","parse-names":false,"suffix":""}],"container-title":"Science","id":"ITEM-1","issue":"6218</w:instrText>
      </w:r>
      <w:r>
        <w:rPr>
          <w:rFonts w:ascii="Arial" w:eastAsia="Times New Roman" w:hAnsi="Arial" w:cs="Arial"/>
          <w:color w:val="000000" w:themeColor="text1"/>
          <w:lang w:val="en-US" w:eastAsia="de-DE"/>
        </w:rPr>
        <w:instrText>","issued":{"date-parts":[["2015","1","9"]]},"page":"188-194","publisher":"American Association for the Advancement of Science","title":"Lysosomal amino acid transporter SLC38A9 signals arginine sufficiency to mTORC1","type":"article-journal","volume":"347</w:instrText>
      </w:r>
      <w:r>
        <w:rPr>
          <w:rFonts w:ascii="Arial" w:eastAsia="Times New Roman" w:hAnsi="Arial" w:cs="Arial"/>
          <w:color w:val="000000" w:themeColor="text1"/>
          <w:lang w:val="en-US" w:eastAsia="de-DE"/>
        </w:rPr>
        <w:instrText>"},"uris":["http://www.mendeley.com/documents/?uuid=694db7fe-08f3-3e5d-8787-2789bd1974dc"]}],"mendeley":{"formattedCitation":"&lt;sup&gt;329&lt;/sup&gt;","plainTextFormattedCitation":"329","previouslyFormattedCitation":"&lt;sup&gt;329&lt;/sup&gt;"},"properties":{"noteIndex":0},"s</w:instrText>
      </w:r>
      <w:r>
        <w:rPr>
          <w:rFonts w:ascii="Arial" w:eastAsia="Times New Roman" w:hAnsi="Arial" w:cs="Arial"/>
          <w:color w:val="000000" w:themeColor="text1"/>
          <w:lang w:val="en-US" w:eastAsia="de-DE"/>
        </w:rPr>
        <w:instrText>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329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w:t>
      </w:r>
      <w:r>
        <w:rPr>
          <w:rFonts w:ascii="Arial" w:eastAsia="Times New Roman" w:hAnsi="Arial" w:cs="Arial"/>
          <w:i/>
          <w:iCs/>
          <w:color w:val="000000" w:themeColor="text1"/>
          <w:lang w:val="en-US" w:eastAsia="de-DE"/>
        </w:rPr>
        <w:t>and SAMTOR detects cytosolic S-adenosylmethionine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w:instrText>
      </w:r>
      <w:r>
        <w:rPr>
          <w:rFonts w:ascii="Arial" w:eastAsia="Times New Roman" w:hAnsi="Arial" w:cs="Arial"/>
          <w:color w:val="000000" w:themeColor="text1"/>
          <w:lang w:val="en-US" w:eastAsia="de-DE"/>
        </w:rPr>
        <w:instrText>{"citationItems":[{"id":"ITEM-1","itemData":{"DOI":"10.1126/SCIENCE.AAO3265/SUPPL_FILE/AAO3265_GU_SM.PDF","ISSN":"10959203","PMID":"29123071","abstract":"mTOR complex 1 (mTORC1) regulates cell growth and metabolism in response to multiple environmental cue</w:instrText>
      </w:r>
      <w:r>
        <w:rPr>
          <w:rFonts w:ascii="Arial" w:eastAsia="Times New Roman" w:hAnsi="Arial" w:cs="Arial"/>
          <w:color w:val="000000" w:themeColor="text1"/>
          <w:lang w:val="en-US" w:eastAsia="de-DE"/>
        </w:rPr>
        <w:instrText>s. Nutrients signal via the Rag guanosine triphosphatases (GTPases) to promote the localization of mTORC1 to the lysosomal surface, its site of activation. We identified SAMTOR, a previously uncharacterized protein, which inhibits mTORC1 signaling by inter</w:instrText>
      </w:r>
      <w:r>
        <w:rPr>
          <w:rFonts w:ascii="Arial" w:eastAsia="Times New Roman" w:hAnsi="Arial" w:cs="Arial"/>
          <w:color w:val="000000" w:themeColor="text1"/>
          <w:lang w:val="en-US" w:eastAsia="de-DE"/>
        </w:rPr>
        <w:instrText>acting with GATOR1, the GTPase activating protein (GAP) for RagA/B. We found that the methyl donor S-adenosylmethionine (SAM) disrupts the SAMTOR-GATOR1 complex by binding directly to SAMTOR with a dissociation constant of approximately 7 μM. In cells, met</w:instrText>
      </w:r>
      <w:r>
        <w:rPr>
          <w:rFonts w:ascii="Arial" w:eastAsia="Times New Roman" w:hAnsi="Arial" w:cs="Arial"/>
          <w:color w:val="000000" w:themeColor="text1"/>
          <w:lang w:val="en-US" w:eastAsia="de-DE"/>
        </w:rPr>
        <w:instrText>hionine starvation reduces SAM levels below this dissociation constant and promotes the association of SAMTOR with GATOR1, thereby inhibiting mTORC1 signaling in a SAMTOR-dependent fashion. Methionine-induced activation of mTORC1 requires the SAM binding c</w:instrText>
      </w:r>
      <w:r>
        <w:rPr>
          <w:rFonts w:ascii="Arial" w:eastAsia="Times New Roman" w:hAnsi="Arial" w:cs="Arial"/>
          <w:color w:val="000000" w:themeColor="text1"/>
          <w:lang w:val="en-US" w:eastAsia="de-DE"/>
        </w:rPr>
        <w:instrText>apacity of SAMTOR. Thus, SAMTOR is a SAM sensor that links methionine and one-carbon metabolism to mTORC1 signaling.","author":[{"dropping-particle":"","family":"Gu","given":"Xin","non-dropping-particle":"","parse-names":false,"suffix":""},{"dropping-parti</w:instrText>
      </w:r>
      <w:r>
        <w:rPr>
          <w:rFonts w:ascii="Arial" w:eastAsia="Times New Roman" w:hAnsi="Arial" w:cs="Arial"/>
          <w:color w:val="000000" w:themeColor="text1"/>
          <w:lang w:val="en-US" w:eastAsia="de-DE"/>
        </w:rPr>
        <w:instrText>cle":"","family":"Orozco","given":"Jose M.","non-dropping-particle":"","parse-names":false,"suffix":""},{"dropping-particle":"","family":"Saxton","given":"Robert A.","non-dropping-particle":"","parse-names":false,"suffix":""},{"dropping-particle":"","famil</w:instrText>
      </w:r>
      <w:r>
        <w:rPr>
          <w:rFonts w:ascii="Arial" w:eastAsia="Times New Roman" w:hAnsi="Arial" w:cs="Arial"/>
          <w:color w:val="000000" w:themeColor="text1"/>
          <w:lang w:val="en-US" w:eastAsia="de-DE"/>
        </w:rPr>
        <w:instrText>y":"Condon","given":"Kendall J.","non-dropping-particle":"","parse-names":false,"suffix":""},{"dropping-particle":"","family":"Liu","given":"Grace Y.","non-dropping-particle":"","parse-names":false,"suffix":""},{"dropping-particle":"","family":"Krawczyk","</w:instrText>
      </w:r>
      <w:r>
        <w:rPr>
          <w:rFonts w:ascii="Arial" w:eastAsia="Times New Roman" w:hAnsi="Arial" w:cs="Arial"/>
          <w:color w:val="000000" w:themeColor="text1"/>
          <w:lang w:val="en-US" w:eastAsia="de-DE"/>
        </w:rPr>
        <w:instrText>given":"Patrycja A.","non-dropping-particle":"","parse-names":false,"suffix":""},{"dropping-particle":"","family":"Scaria","given":"Sonia M.","non-dropping-particle":"","parse-names":false,"suffix":""},{"dropping-particle":"","family":"Wade Harper","given"</w:instrText>
      </w:r>
      <w:r>
        <w:rPr>
          <w:rFonts w:ascii="Arial" w:eastAsia="Times New Roman" w:hAnsi="Arial" w:cs="Arial"/>
          <w:color w:val="000000" w:themeColor="text1"/>
          <w:lang w:val="en-US" w:eastAsia="de-DE"/>
        </w:rPr>
        <w:instrText>:"J.","non-dropping-particle":"","parse-names":false,"suffix":""},{"dropping-particle":"","family":"Gygi","given":"Steven P.","non-dropping-particle":"","parse-names":false,"suffix":""},{"dropping-particle":"","family":"Sabatini","given":"David M.","non-dr</w:instrText>
      </w:r>
      <w:r>
        <w:rPr>
          <w:rFonts w:ascii="Arial" w:eastAsia="Times New Roman" w:hAnsi="Arial" w:cs="Arial"/>
          <w:color w:val="000000" w:themeColor="text1"/>
          <w:lang w:val="en-US" w:eastAsia="de-DE"/>
        </w:rPr>
        <w:instrText>opping-particle":"","parse-names":false,"suffix":""}],"container-title":"Science","id":"ITEM-1","issue":"6364","issued":{"date-parts":[["2017","11","10"]]},"page":"813-818","publisher":"American Association for the Advancement of Science","title":"SAMTOR i</w:instrText>
      </w:r>
      <w:r>
        <w:rPr>
          <w:rFonts w:ascii="Arial" w:eastAsia="Times New Roman" w:hAnsi="Arial" w:cs="Arial"/>
          <w:color w:val="000000" w:themeColor="text1"/>
          <w:lang w:val="en-US" w:eastAsia="de-DE"/>
        </w:rPr>
        <w:instrText>s an S-adenosylmethionine sensor for the mTORC1 pathway","type":"article-journal","volume":"358"},"uris":["http://www.mendeley.com/documents/?uuid=4263627a-6fa7-343b-9298-7277dcb16a25"]}],"mendeley":{"formattedCitation":"&lt;sup&gt;330&lt;/sup&gt;","plainTextFormatted</w:instrText>
      </w:r>
      <w:r>
        <w:rPr>
          <w:rFonts w:ascii="Arial" w:eastAsia="Times New Roman" w:hAnsi="Arial" w:cs="Arial"/>
          <w:color w:val="000000" w:themeColor="text1"/>
          <w:lang w:val="en-US" w:eastAsia="de-DE"/>
        </w:rPr>
        <w:instrText>Citation":"330","previouslyFormattedCitation":"&lt;sup&gt;330&lt;/sup&gt;"},"properties":{"noteIndex":0},"schema":"https://github.com/citation-style-language/schema/raw/master/csl-citation.json"}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330</w:t>
      </w:r>
      <w:r>
        <w:rPr>
          <w:rFonts w:ascii="Arial" w:eastAsia="Times New Roman" w:hAnsi="Arial" w:cs="Arial"/>
          <w:color w:val="000000" w:themeColor="text1"/>
          <w:lang w:val="en-US" w:eastAsia="de-DE"/>
        </w:rPr>
        <w:fldChar w:fldCharType="end"/>
      </w:r>
      <w:r>
        <w:rPr>
          <w:rFonts w:ascii="Arial" w:eastAsia="Times New Roman" w:hAnsi="Arial" w:cs="Arial"/>
          <w:i/>
          <w:iCs/>
          <w:color w:val="000000" w:themeColor="text1"/>
          <w:lang w:val="en-US" w:eastAsia="de-DE"/>
        </w:rPr>
        <w:t xml:space="preserve">. Conserved regulators are shown in black, budding </w:t>
      </w:r>
      <w:proofErr w:type="gramStart"/>
      <w:r>
        <w:rPr>
          <w:rFonts w:ascii="Arial" w:eastAsia="Times New Roman" w:hAnsi="Arial" w:cs="Arial"/>
          <w:i/>
          <w:iCs/>
          <w:color w:val="000000" w:themeColor="text1"/>
          <w:lang w:val="en-US" w:eastAsia="de-DE"/>
        </w:rPr>
        <w:t>yeast-specific</w:t>
      </w:r>
      <w:proofErr w:type="gramEnd"/>
      <w:r>
        <w:rPr>
          <w:rFonts w:ascii="Arial" w:eastAsia="Times New Roman" w:hAnsi="Arial" w:cs="Arial"/>
          <w:i/>
          <w:iCs/>
          <w:color w:val="000000" w:themeColor="text1"/>
          <w:lang w:val="en-US" w:eastAsia="de-DE"/>
        </w:rPr>
        <w:t xml:space="preserve"> P</w:t>
      </w:r>
      <w:r>
        <w:rPr>
          <w:rFonts w:ascii="Arial" w:eastAsia="Times New Roman" w:hAnsi="Arial" w:cs="Arial"/>
          <w:i/>
          <w:iCs/>
          <w:color w:val="000000" w:themeColor="text1"/>
          <w:lang w:val="en-US" w:eastAsia="de-DE"/>
        </w:rPr>
        <w:t>KA signaling is shown in blue.</w:t>
      </w:r>
    </w:p>
    <w:p w14:paraId="6706589C"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 xml:space="preserve">7.3.1 Nutrient-sensing and regulation of growth by the PKA signaling </w:t>
      </w:r>
      <w:proofErr w:type="gramStart"/>
      <w:r>
        <w:rPr>
          <w:rFonts w:ascii="Arial" w:eastAsia="Times New Roman" w:hAnsi="Arial" w:cs="Arial"/>
          <w:i/>
          <w:iCs/>
          <w:color w:val="000000"/>
          <w:u w:val="single"/>
          <w:lang w:val="en-US" w:eastAsia="de-DE"/>
        </w:rPr>
        <w:t>pathway</w:t>
      </w:r>
      <w:proofErr w:type="gramEnd"/>
    </w:p>
    <w:p w14:paraId="798249CF"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In budding yeast, the PKA signaling pathway detects the presence of extracellular glucose or sucrose through Gpr1</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w:instrText>
      </w:r>
      <w:r>
        <w:rPr>
          <w:rFonts w:ascii="Arial" w:eastAsia="Times New Roman" w:hAnsi="Arial" w:cs="Arial"/>
          <w:color w:val="000000" w:themeColor="text1"/>
          <w:lang w:val="en-US" w:eastAsia="de-DE"/>
        </w:rPr>
        <w:instrText>:[{"id":"ITEM-1","itemData":{"DOI":"10.1016/J.MOLCEL.2004.10.004","ISSN":"1097-2765","PMID":"15494315","abstract":"Several examples of G protein-coupled receptors have recently been suggested to respond to common sugars in millimolar concentrations. This l</w:instrText>
      </w:r>
      <w:r>
        <w:rPr>
          <w:rFonts w:ascii="Arial" w:eastAsia="Times New Roman" w:hAnsi="Arial" w:cs="Arial"/>
          <w:color w:val="000000" w:themeColor="text1"/>
          <w:lang w:val="en-US" w:eastAsia="de-DE"/>
        </w:rPr>
        <w:instrText>ow affinity has made it difficult to demonstrate direct receptor-ligand interaction. In the yeast Saccharomyces cerevisiae, rapid activation of the cAMP pathway by glucose and sucrose requires the GPCR Gpr1. Our results obtained by cysteine scanning mutage</w:instrText>
      </w:r>
      <w:r>
        <w:rPr>
          <w:rFonts w:ascii="Arial" w:eastAsia="Times New Roman" w:hAnsi="Arial" w:cs="Arial"/>
          <w:color w:val="000000" w:themeColor="text1"/>
          <w:lang w:val="en-US" w:eastAsia="de-DE"/>
        </w:rPr>
        <w:instrText>nesis and SCAM (substituted cysteine accessibility method) of residues in TMD VI provide strong evidence that glucose and sucrose directly interact as ligands with Gpr1. The affinity for sucrose is much higher. Structurally similar sugars such as galactose</w:instrText>
      </w:r>
      <w:r>
        <w:rPr>
          <w:rFonts w:ascii="Arial" w:eastAsia="Times New Roman" w:hAnsi="Arial" w:cs="Arial"/>
          <w:color w:val="000000" w:themeColor="text1"/>
          <w:lang w:val="en-US" w:eastAsia="de-DE"/>
        </w:rPr>
        <w:instrText>, mannose, and fructose do not act as agonists, but mannose acts as an antagonist for both sucrose and glucose. These results support the idea that Gpr1 directly senses sugars and that sugars can effectively bind GPCRs with a low affinity in a binding pock</w:instrText>
      </w:r>
      <w:r>
        <w:rPr>
          <w:rFonts w:ascii="Arial" w:eastAsia="Times New Roman" w:hAnsi="Arial" w:cs="Arial"/>
          <w:color w:val="000000" w:themeColor="text1"/>
          <w:lang w:val="en-US" w:eastAsia="de-DE"/>
        </w:rPr>
        <w:instrText>et formed by the transmembrane domains. The ligand repertoire of GPCRs can thus be extended to common sugars in millimolar concentrations.","author":[{"dropping-particle":"","family":"Lemaire","given":"Katleen","non-dropping-particle":"","parse-names":fals</w:instrText>
      </w:r>
      <w:r>
        <w:rPr>
          <w:rFonts w:ascii="Arial" w:eastAsia="Times New Roman" w:hAnsi="Arial" w:cs="Arial"/>
          <w:color w:val="000000" w:themeColor="text1"/>
          <w:lang w:val="en-US" w:eastAsia="de-DE"/>
        </w:rPr>
        <w:instrText>e,"suffix":""},{"dropping-particle":"","family":"Velde","given":"Sam","non-dropping-particle":"Van De","parse-names":false,"suffix":""},{"dropping-particle":"","family":"Dijck","given":"Patrick","non-dropping-particle":"Van","parse-names":false,"suffix":""</w:instrText>
      </w:r>
      <w:r>
        <w:rPr>
          <w:rFonts w:ascii="Arial" w:eastAsia="Times New Roman" w:hAnsi="Arial" w:cs="Arial"/>
          <w:color w:val="000000" w:themeColor="text1"/>
          <w:lang w:val="en-US" w:eastAsia="de-DE"/>
        </w:rPr>
        <w:instrText>},{"dropping-particle":"","family":"Thevelein","given":"Johan M.","non-dropping-particle":"","parse-names":false,"suffix":""}],"container-title":"Molecular cell","id":"ITEM-1","issue":"2","issued":{"date-parts":[["2004","10","22"]]},"page":"293-299","publi</w:instrText>
      </w:r>
      <w:r>
        <w:rPr>
          <w:rFonts w:ascii="Arial" w:eastAsia="Times New Roman" w:hAnsi="Arial" w:cs="Arial"/>
          <w:color w:val="000000" w:themeColor="text1"/>
          <w:lang w:val="en-US" w:eastAsia="de-DE"/>
        </w:rPr>
        <w:instrText>sher":"Mol Cell","title":"Glucose and sucrose act as agonist and mannose as antagonist ligands of the G protein-coupled receptor Gpr1 in the yeast Saccharomyces cerevisiae","type":"article-journal","volume":"16"},"uris":["http://www.mendeley.com/documents/</w:instrText>
      </w:r>
      <w:r>
        <w:rPr>
          <w:rFonts w:ascii="Arial" w:eastAsia="Times New Roman" w:hAnsi="Arial" w:cs="Arial"/>
          <w:color w:val="000000" w:themeColor="text1"/>
          <w:lang w:val="en-US" w:eastAsia="de-DE"/>
        </w:rPr>
        <w:instrText>?uuid=802c3d49-676d-37fd-8519-dae404ce3de1"]}],"mendeley":{"formattedCitation":"&lt;sup&gt;331&lt;/sup&gt;","plainTextFormattedCitation":"331","previouslyFormattedCitation":"&lt;sup&gt;331&lt;/sup&gt;"},"properties":{"noteIndex":0},"schema":"https://github.com/citation-style-lang</w:instrText>
      </w:r>
      <w:r>
        <w:rPr>
          <w:rFonts w:ascii="Arial" w:eastAsia="Times New Roman" w:hAnsi="Arial" w:cs="Arial"/>
          <w:color w:val="000000" w:themeColor="text1"/>
          <w:lang w:val="en-US" w:eastAsia="de-DE"/>
        </w:rPr>
        <w:instrText>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331</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as well as intracellular glucose via Cdc25/Ras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{"citationItems":[{"id":"ITEM-1","itemData":{"DOI":"10.1046/J.1365-2958.2000.02125.X","ISSN":"1365-2958","PMID":"11069660","abstract":"In Sac</w:instrText>
      </w:r>
      <w:r>
        <w:rPr>
          <w:rFonts w:ascii="Arial" w:eastAsia="Times New Roman" w:hAnsi="Arial" w:cs="Arial"/>
          <w:color w:val="000000" w:themeColor="text1"/>
          <w:lang w:val="en-US" w:eastAsia="de-DE"/>
        </w:rPr>
        <w:instrText>charomyces cerevisiae, glucose activation of cAMP synthesis requires both the presence of the G-protein-coupled receptor (GPCR) system, Gpr1-Gpa2, and uptake and phosphorylation of the sugar. In a hxt-null strain that lacks all physiologically important gl</w:instrText>
      </w:r>
      <w:r>
        <w:rPr>
          <w:rFonts w:ascii="Arial" w:eastAsia="Times New Roman" w:hAnsi="Arial" w:cs="Arial"/>
          <w:color w:val="000000" w:themeColor="text1"/>
          <w:lang w:val="en-US" w:eastAsia="de-DE"/>
        </w:rPr>
        <w:instrText>ucose carriers, glucose transport as well as glucose-induced cAMP signalling can be restored by constitutive expression of the galactose permease. Hence, the glucose transporters do not seem to have a regulatory function but are only required for glucose u</w:instrText>
      </w:r>
      <w:r>
        <w:rPr>
          <w:rFonts w:ascii="Arial" w:eastAsia="Times New Roman" w:hAnsi="Arial" w:cs="Arial"/>
          <w:color w:val="000000" w:themeColor="text1"/>
          <w:lang w:val="en-US" w:eastAsia="de-DE"/>
        </w:rPr>
        <w:instrText>ptake. We established a system in which the GPCR-dependent glucose-sensing process is separated from the glucose phosphorylation process. It is based on the specific transport and hydrolysis of maltose providing intracellular glucose in the absence of gluc</w:instrText>
      </w:r>
      <w:r>
        <w:rPr>
          <w:rFonts w:ascii="Arial" w:eastAsia="Times New Roman" w:hAnsi="Arial" w:cs="Arial"/>
          <w:color w:val="000000" w:themeColor="text1"/>
          <w:lang w:val="en-US" w:eastAsia="de-DE"/>
        </w:rPr>
        <w:instrText>ose transport. Preaddition of a low concentration (0.7 mM) of maltose to derepressed hxt-null cells and subsequent addition of glucose restored the glucose-induced cAMP signalling, although there was no glucose uptake. Addition of a low concentration of ma</w:instrText>
      </w:r>
      <w:r>
        <w:rPr>
          <w:rFonts w:ascii="Arial" w:eastAsia="Times New Roman" w:hAnsi="Arial" w:cs="Arial"/>
          <w:color w:val="000000" w:themeColor="text1"/>
          <w:lang w:val="en-US" w:eastAsia="de-DE"/>
        </w:rPr>
        <w:instrText>ltose itself does not increase the cAMP level but enhances Glu6P and apparently fulfils the intracellular glucose phosphorylation requirement for activation of the cAMP pathway by extracellular glucose. This system enabled us to analyse the affinity and sp</w:instrText>
      </w:r>
      <w:r>
        <w:rPr>
          <w:rFonts w:ascii="Arial" w:eastAsia="Times New Roman" w:hAnsi="Arial" w:cs="Arial"/>
          <w:color w:val="000000" w:themeColor="text1"/>
          <w:lang w:val="en-US" w:eastAsia="de-DE"/>
        </w:rPr>
        <w:instrText>ecificity of the GPCR system for fermentable sugars. Gpr1 displayed a very low affinity for glucose (apparent K(a) = 75 rnM) and responded specifically to extracellular α and β D-glucose and sucrose, but not to fructose, mannose or any glucose analogues te</w:instrText>
      </w:r>
      <w:r>
        <w:rPr>
          <w:rFonts w:ascii="Arial" w:eastAsia="Times New Roman" w:hAnsi="Arial" w:cs="Arial"/>
          <w:color w:val="000000" w:themeColor="text1"/>
          <w:lang w:val="en-US" w:eastAsia="de-DE"/>
        </w:rPr>
        <w:instrText>sted. The presence of the constitutively active Gpa2(val132) allele in a wild-type strain bypassed the requirement for Gpr1 and increased the low cAMP signal induced by fructose and by low glucose up to the same intensity as the high glucose signal. Theref</w:instrText>
      </w:r>
      <w:r>
        <w:rPr>
          <w:rFonts w:ascii="Arial" w:eastAsia="Times New Roman" w:hAnsi="Arial" w:cs="Arial"/>
          <w:color w:val="000000" w:themeColor="text1"/>
          <w:lang w:val="en-US" w:eastAsia="de-DE"/>
        </w:rPr>
        <w:instrText>ore, the low CaMP increases observed with fructose and low glucose in wild-type cells result only from the low sensitivity of the Gpr1-Gpa2 system and not from the intracellular sugar kinase-dependent process. In conclusion, we have shown that the two esse</w:instrText>
      </w:r>
      <w:r>
        <w:rPr>
          <w:rFonts w:ascii="Arial" w:eastAsia="Times New Roman" w:hAnsi="Arial" w:cs="Arial"/>
          <w:color w:val="000000" w:themeColor="text1"/>
          <w:lang w:val="en-US" w:eastAsia="de-DE"/>
        </w:rPr>
        <w:instrText>ntial requirements for glucose-induced activation of cAMP synthesis can be fulfilled separately: an extra cellular glucose detection process dependent on Gpr1 and an intracellular sugar-sensing process requiring the hexose kinases.","author":[{"dropping-pa</w:instrText>
      </w:r>
      <w:r>
        <w:rPr>
          <w:rFonts w:ascii="Arial" w:eastAsia="Times New Roman" w:hAnsi="Arial" w:cs="Arial"/>
          <w:color w:val="000000" w:themeColor="text1"/>
          <w:lang w:val="en-US" w:eastAsia="de-DE"/>
        </w:rPr>
        <w:instrText>rticle":"","family":"Rolland","given":"Filip","non-dropping-particle":"","parse-names":false,"suffix":""},{"dropping-particle":"","family":"Winde","given":"Johannes H.","non-dropping-particle":"De","parse-names":false,"suffix":""},{"dropping-particle":"","</w:instrText>
      </w:r>
      <w:r>
        <w:rPr>
          <w:rFonts w:ascii="Arial" w:eastAsia="Times New Roman" w:hAnsi="Arial" w:cs="Arial"/>
          <w:color w:val="000000" w:themeColor="text1"/>
          <w:lang w:val="en-US" w:eastAsia="de-DE"/>
        </w:rPr>
        <w:instrText>family":"Lemaire","given":"Katleen","non-dropping-particle":"","parse-names":false,"suffix":""},{"dropping-particle":"","family":"Boles","given":"Eckhard","non-dropping-particle":"","parse-names":false,"suffix":""},{"dropping-particle":"","family":"Thevele</w:instrText>
      </w:r>
      <w:r>
        <w:rPr>
          <w:rFonts w:ascii="Arial" w:eastAsia="Times New Roman" w:hAnsi="Arial" w:cs="Arial"/>
          <w:color w:val="000000" w:themeColor="text1"/>
          <w:lang w:val="en-US" w:eastAsia="de-DE"/>
        </w:rPr>
        <w:instrText>in","given":"Johan M.","non-dropping-particle":"","parse-names":false,"suffix":""},{"dropping-particle":"","family":"Winderickx","given":"Joris","non-dropping-particle":"","parse-names":false,"suffix":""}],"container-title":"Molecular Microbiology","id":"I</w:instrText>
      </w:r>
      <w:r>
        <w:rPr>
          <w:rFonts w:ascii="Arial" w:eastAsia="Times New Roman" w:hAnsi="Arial" w:cs="Arial"/>
          <w:color w:val="000000" w:themeColor="text1"/>
          <w:lang w:val="en-US" w:eastAsia="de-DE"/>
        </w:rPr>
        <w:instrText>TEM-1","issue":"2","issued":{"date-parts":[["2000","10","1"]]},"page":"348-358","publisher":"John Wiley &amp; Sons, Ltd","title":"Glucose-induced cAMP signalling in yeast requires both a G-protein coupled receptor system for extracellular glucose detection and</w:instrText>
      </w:r>
      <w:r>
        <w:rPr>
          <w:rFonts w:ascii="Arial" w:eastAsia="Times New Roman" w:hAnsi="Arial" w:cs="Arial"/>
          <w:color w:val="000000" w:themeColor="text1"/>
          <w:lang w:val="en-US" w:eastAsia="de-DE"/>
        </w:rPr>
        <w:instrText xml:space="preserve"> a separable hexose kinase-dependent sensing process","type":"article-journal","volume":"38"},"uris":["http://www.mendeley.com/documents/?uuid=5b6e709a-3970-3f80-b8fb-0849105e1e14"]},{"id":"ITEM-2","itemData":{"DOI":"10.1038/s41467-017-01019-z","ISSN":"204</w:instrText>
      </w:r>
      <w:r>
        <w:rPr>
          <w:rFonts w:ascii="Arial" w:eastAsia="Times New Roman" w:hAnsi="Arial" w:cs="Arial"/>
          <w:color w:val="000000" w:themeColor="text1"/>
          <w:lang w:val="en-US" w:eastAsia="de-DE"/>
        </w:rPr>
        <w:instrText>1-1723","PMID":"29030545","abstract":"Yeast and cancer cells share the unusual characteristic of favoring fermentation of sugar over respiration. We now reveal an evolutionary conserved mechanism linking fermentation to activation of Ras, a major regulator</w:instrText>
      </w:r>
      <w:r>
        <w:rPr>
          <w:rFonts w:ascii="Arial" w:eastAsia="Times New Roman" w:hAnsi="Arial" w:cs="Arial"/>
          <w:color w:val="000000" w:themeColor="text1"/>
          <w:lang w:val="en-US" w:eastAsia="de-DE"/>
        </w:rPr>
        <w:instrText xml:space="preserve"> of cell proliferation in yeast and mammalian cells, and prime proto-oncogene product. A yeast mutant (tps1∆) with overactive influx of glucose into glycolysis and hyperaccumulation of Fru1,6bisP, shows hyperactivation of Ras, which causes its glucose grow</w:instrText>
      </w:r>
      <w:r>
        <w:rPr>
          <w:rFonts w:ascii="Arial" w:eastAsia="Times New Roman" w:hAnsi="Arial" w:cs="Arial"/>
          <w:color w:val="000000" w:themeColor="text1"/>
          <w:lang w:val="en-US" w:eastAsia="de-DE"/>
        </w:rPr>
        <w:instrText>th defect by triggering apoptosis. Fru1,6bisP is a potent activator of Ras in permeabilized yeast cells, likely acting through Cdc25. As in yeast, glucose triggers activation of Ras and its downstream targets MEK and ERK in mammalian cells. Biolayer interf</w:instrText>
      </w:r>
      <w:r>
        <w:rPr>
          <w:rFonts w:ascii="Arial" w:eastAsia="Times New Roman" w:hAnsi="Arial" w:cs="Arial"/>
          <w:color w:val="000000" w:themeColor="text1"/>
          <w:lang w:val="en-US" w:eastAsia="de-DE"/>
        </w:rPr>
        <w:instrText>erometry measurements show that physiological concentrations of Fru1,6bisP stimulate dissociation of the pure Sos1/H-Ras complex. Thermal shift assay confirms direct binding to Sos1, the mammalian ortholog of Cdc25. Our results suggest that the Warburg eff</w:instrText>
      </w:r>
      <w:r>
        <w:rPr>
          <w:rFonts w:ascii="Arial" w:eastAsia="Times New Roman" w:hAnsi="Arial" w:cs="Arial"/>
          <w:color w:val="000000" w:themeColor="text1"/>
          <w:lang w:val="en-US" w:eastAsia="de-DE"/>
        </w:rPr>
        <w:instrText xml:space="preserve">ect creates a vicious cycle through Fru1,6bisP activation of Ras, by which enhanced fermentation stimulates oncogenic potency. Yeast and cancer cells both favor sugar fermentation in aerobic conditions. Here the authors describe a conserved mechanism from </w:instrText>
      </w:r>
      <w:r>
        <w:rPr>
          <w:rFonts w:ascii="Arial" w:eastAsia="Times New Roman" w:hAnsi="Arial" w:cs="Arial"/>
          <w:color w:val="000000" w:themeColor="text1"/>
          <w:lang w:val="en-US" w:eastAsia="de-DE"/>
        </w:rPr>
        <w:instrText>yeast to mammals where the glycolysis intermediate fructose-1,6-bisphosphate binds Cdc25/Sos1 and couples increased glycolytic flux to increased Ras proto-oncoprotein activity.","author":[{"dropping-particle":"","family":"Peeters","given":"Ken","non-droppi</w:instrText>
      </w:r>
      <w:r>
        <w:rPr>
          <w:rFonts w:ascii="Arial" w:eastAsia="Times New Roman" w:hAnsi="Arial" w:cs="Arial"/>
          <w:color w:val="000000" w:themeColor="text1"/>
          <w:lang w:val="en-US" w:eastAsia="de-DE"/>
        </w:rPr>
        <w:instrText>ng-particle":"","parse-names":false,"suffix":""},{"dropping-particle":"","family":"Leemputte","given":"Frederik","non-dropping-particle":"Van","parse-names":false,"suffix":""},{"dropping-particle":"","family":"Fischer","given":"Baptiste","non-dropping-part</w:instrText>
      </w:r>
      <w:r>
        <w:rPr>
          <w:rFonts w:ascii="Arial" w:eastAsia="Times New Roman" w:hAnsi="Arial" w:cs="Arial"/>
          <w:color w:val="000000" w:themeColor="text1"/>
          <w:lang w:val="en-US" w:eastAsia="de-DE"/>
        </w:rPr>
        <w:instrText>icle":"","parse-names":false,"suffix":""},{"dropping-particle":"","family":"Bonini","given":"Beatriz M.","non-dropping-particle":"","parse-names":false,"suffix":""},{"dropping-particle":"","family":"Quezada","given":"Hector","non-dropping-particle":"","par</w:instrText>
      </w:r>
      <w:r>
        <w:rPr>
          <w:rFonts w:ascii="Arial" w:eastAsia="Times New Roman" w:hAnsi="Arial" w:cs="Arial"/>
          <w:color w:val="000000" w:themeColor="text1"/>
          <w:lang w:val="en-US" w:eastAsia="de-DE"/>
        </w:rPr>
        <w:instrText>se-names":false,"suffix":""},{"dropping-particle":"","family":"Tsytlonok","given":"Maksym","non-dropping-particle":"","parse-names":false,"suffix":""},{"dropping-particle":"","family":"Haesen","given":"Dorien","non-dropping-particle":"","parse-names":false</w:instrText>
      </w:r>
      <w:r>
        <w:rPr>
          <w:rFonts w:ascii="Arial" w:eastAsia="Times New Roman" w:hAnsi="Arial" w:cs="Arial"/>
          <w:color w:val="000000" w:themeColor="text1"/>
          <w:lang w:val="en-US" w:eastAsia="de-DE"/>
        </w:rPr>
        <w:instrText>,"suffix":""},{"dropping-particle":"","family":"Vanthienen","given":"Ward","non-dropping-particle":"","parse-names":false,"suffix":""},{"dropping-particle":"","family":"Bernardes","given":"Nuno","non-dropping-particle":"","parse-names":false,"suffix":""},{</w:instrText>
      </w:r>
      <w:r>
        <w:rPr>
          <w:rFonts w:ascii="Arial" w:eastAsia="Times New Roman" w:hAnsi="Arial" w:cs="Arial"/>
          <w:color w:val="000000" w:themeColor="text1"/>
          <w:lang w:val="en-US" w:eastAsia="de-DE"/>
        </w:rPr>
        <w:instrText>"dropping-particle":"","family":"Gonzalez-Blas","given":"Carmen Bravo","non-dropping-particle":"","parse-names":false,"suffix":""},{"dropping-particle":"","family":"Janssens","given":"Veerle","non-dropping-particle":"","parse-names":false,"suffix":""},{"dr</w:instrText>
      </w:r>
      <w:r>
        <w:rPr>
          <w:rFonts w:ascii="Arial" w:eastAsia="Times New Roman" w:hAnsi="Arial" w:cs="Arial"/>
          <w:color w:val="000000" w:themeColor="text1"/>
          <w:lang w:val="en-US" w:eastAsia="de-DE"/>
        </w:rPr>
        <w:instrText>opping-particle":"","family":"Tompa","given":"Peter","non-dropping-particle":"","parse-names":false,"suffix":""},{"dropping-particle":"","family":"Versées","given":"Wim","non-dropping-particle":"","parse-names":false,"suffix":""},{"dropping-particle":"","f</w:instrText>
      </w:r>
      <w:r>
        <w:rPr>
          <w:rFonts w:ascii="Arial" w:eastAsia="Times New Roman" w:hAnsi="Arial" w:cs="Arial"/>
          <w:color w:val="000000" w:themeColor="text1"/>
          <w:lang w:val="en-US" w:eastAsia="de-DE"/>
        </w:rPr>
        <w:instrText>amily":"Thevelein","given":"Johan M.","non-dropping-particle":"","parse-names":false,"suffix":""}],"container-title":"Nature Communications 2017 8:1","id":"ITEM-2","issue":"1","issued":{"date-parts":[["2017","10","13"]]},"page":"1-15","publisher":"Nature P</w:instrText>
      </w:r>
      <w:r>
        <w:rPr>
          <w:rFonts w:ascii="Arial" w:eastAsia="Times New Roman" w:hAnsi="Arial" w:cs="Arial"/>
          <w:color w:val="000000" w:themeColor="text1"/>
          <w:lang w:val="en-US" w:eastAsia="de-DE"/>
        </w:rPr>
        <w:instrText>ublishing Group","title":"Fructose-1,6-bisphosphate couples glycolytic flux to activation of Ras","type":"article-journal","volume":"8"},"uris":["http://www.mendeley.com/documents/?uuid=745bcfa0-6c31-3080-84e7-11b3cdffd3a2"]}],"mendeley":{"formattedCitatio</w:instrText>
      </w:r>
      <w:r>
        <w:rPr>
          <w:rFonts w:ascii="Arial" w:eastAsia="Times New Roman" w:hAnsi="Arial" w:cs="Arial"/>
          <w:color w:val="000000" w:themeColor="text1"/>
          <w:lang w:val="en-US" w:eastAsia="de-DE"/>
        </w:rPr>
        <w:instrText>n":"&lt;sup&gt;332,333&lt;/sup&gt;","plainTextFormattedCitation":"332,333","previouslyFormattedCitation":"&lt;sup&gt;332,333&lt;/sup&gt;"},"properties":{"noteIndex":0},"schema":"https://github.com/citation-style-language/schema/raw/master/csl-citation.json"}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332,333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Gpr1, a G-</w:t>
      </w:r>
      <w:r>
        <w:rPr>
          <w:rFonts w:ascii="Arial" w:eastAsia="Times New Roman" w:hAnsi="Arial" w:cs="Arial"/>
          <w:color w:val="000000" w:themeColor="text1"/>
          <w:lang w:val="en-US" w:eastAsia="de-DE"/>
        </w:rPr>
        <w:t>protein coupled transmembrane receptor (GPCR), together with the small GTPase Ras and its guanine nucleotide exchange factor Cdc25 (not to be confused with the phosphatase Cdc25 in mammals, mentioned below) then activates Cyr1, an adenylate cyclase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w:instrText>
      </w:r>
      <w:r>
        <w:rPr>
          <w:rFonts w:ascii="Arial" w:eastAsia="Times New Roman" w:hAnsi="Arial" w:cs="Arial"/>
          <w:color w:val="000000" w:themeColor="text1"/>
          <w:lang w:val="en-US" w:eastAsia="de-DE"/>
        </w:rPr>
        <w:instrText>L_CITATION {"citationItems":[{"id":"ITEM-1","itemData":{"DOI":"10.1016/0092-8674(87)90076-6","ISSN":"00928674","PMID":"3545497","abstract":"The gene corresponding to the S. cerevisiae cell division cycle mutant cdc25 has been cloned and sequenced, revealin</w:instrText>
      </w:r>
      <w:r>
        <w:rPr>
          <w:rFonts w:ascii="Arial" w:eastAsia="Times New Roman" w:hAnsi="Arial" w:cs="Arial"/>
          <w:color w:val="000000" w:themeColor="text1"/>
          <w:lang w:val="en-US" w:eastAsia="de-DE"/>
        </w:rPr>
        <w:instrText>g an open reading frame encoding a protein of 1589 amino acids that contains no significant homologies with other known proteins. Cells lacking CDC25 have low levels of cyclic AMP and decreased levels of Mg2+-dependent adenylate cyclase activity. The letha</w:instrText>
      </w:r>
      <w:r>
        <w:rPr>
          <w:rFonts w:ascii="Arial" w:eastAsia="Times New Roman" w:hAnsi="Arial" w:cs="Arial"/>
          <w:color w:val="000000" w:themeColor="text1"/>
          <w:lang w:val="en-US" w:eastAsia="de-DE"/>
        </w:rPr>
        <w:instrText>lity resulting from disruption of the CDC25 gene can be suppressed by the presence of the activated RAS2val19 gene, but not by high copy plasmids expressing a normal RAS2 or RAS1 gene. These results suggest that normal RAS is dependent on CDC25 function. F</w:instrText>
      </w:r>
      <w:r>
        <w:rPr>
          <w:rFonts w:ascii="Arial" w:eastAsia="Times New Roman" w:hAnsi="Arial" w:cs="Arial"/>
          <w:color w:val="000000" w:themeColor="text1"/>
          <w:lang w:val="en-US" w:eastAsia="de-DE"/>
        </w:rPr>
        <w:instrText>urthermore, mutationally activated alleles of CDC25 are capable of inducing a set of phenotypes similar to those observed in strains containing a genetically activated RAS/adenylate cyclase pathway, suggesting that CDC25 encodes a regulatory protein. We pr</w:instrText>
      </w:r>
      <w:r>
        <w:rPr>
          <w:rFonts w:ascii="Arial" w:eastAsia="Times New Roman" w:hAnsi="Arial" w:cs="Arial"/>
          <w:color w:val="000000" w:themeColor="text1"/>
          <w:lang w:val="en-US" w:eastAsia="de-DE"/>
        </w:rPr>
        <w:instrText>opose that CDC25 regulates adenylate cyclase by regulating the guanine nucleotide bound to RAS proteins. © 1987.","author":[{"dropping-particle":"","family":"Broek","given":"Daniel","non-dropping-particle":"","parse-names":false,"suffix":""},{"dropping-par</w:instrText>
      </w:r>
      <w:r>
        <w:rPr>
          <w:rFonts w:ascii="Arial" w:eastAsia="Times New Roman" w:hAnsi="Arial" w:cs="Arial"/>
          <w:color w:val="000000" w:themeColor="text1"/>
          <w:lang w:val="en-US" w:eastAsia="de-DE"/>
        </w:rPr>
        <w:instrText>ticle":"","family":"Toda","given":"Takashi","non-dropping-particle":"","parse-names":false,"suffix":""},{"dropping-particle":"","family":"Michaeli","given":"Tamar","non-dropping-particle":"","parse-names":false,"suffix":""},{"dropping-particle":"","family"</w:instrText>
      </w:r>
      <w:r>
        <w:rPr>
          <w:rFonts w:ascii="Arial" w:eastAsia="Times New Roman" w:hAnsi="Arial" w:cs="Arial"/>
          <w:color w:val="000000" w:themeColor="text1"/>
          <w:lang w:val="en-US" w:eastAsia="de-DE"/>
        </w:rPr>
        <w:instrText>:"Levin","given":"Lonny","non-dropping-particle":"","parse-names":false,"suffix":""},{"dropping-particle":"","family":"Birchmeier","given":"Carmen","non-dropping-particle":"","parse-names":false,"suffix":""},{"dropping-particle":"","family":"Zoller","given</w:instrText>
      </w:r>
      <w:r>
        <w:rPr>
          <w:rFonts w:ascii="Arial" w:eastAsia="Times New Roman" w:hAnsi="Arial" w:cs="Arial"/>
          <w:color w:val="000000" w:themeColor="text1"/>
          <w:lang w:val="en-US" w:eastAsia="de-DE"/>
        </w:rPr>
        <w:instrText>":"Mark","non-dropping-particle":"","parse-names":false,"suffix":""},{"dropping-particle":"","family":"Powers","given":"Scott","non-dropping-particle":"","parse-names":false,"suffix":""},{"dropping-particle":"","family":"Wigler","given":"Michael","non-drop</w:instrText>
      </w:r>
      <w:r>
        <w:rPr>
          <w:rFonts w:ascii="Arial" w:eastAsia="Times New Roman" w:hAnsi="Arial" w:cs="Arial"/>
          <w:color w:val="000000" w:themeColor="text1"/>
          <w:lang w:val="en-US" w:eastAsia="de-DE"/>
        </w:rPr>
        <w:instrText>ping-particle":"","parse-names":false,"suffix":""}],"container-title":"Cell","id":"ITEM-1","issue":"5","issued":{"date-parts":[["1987","3","13"]]},"page":"789-799","publisher":"Elsevier","title":"The S. cerevisiae CDC25 gene product regulates the RAS/adeny</w:instrText>
      </w:r>
      <w:r>
        <w:rPr>
          <w:rFonts w:ascii="Arial" w:eastAsia="Times New Roman" w:hAnsi="Arial" w:cs="Arial"/>
          <w:color w:val="000000" w:themeColor="text1"/>
          <w:lang w:val="en-US" w:eastAsia="de-DE"/>
        </w:rPr>
        <w:instrText>late cyclase pathway","type":"article-journal","volume":"48"},"uris":["http://www.mendeley.com/documents/?uuid=306669c2-e604-39cb-a773-3827bcc09bcc"]},{"id":"ITEM-2","itemData":{"DOI":"10.1093/EMBOJ/17.12.3326","ISSN":"02614189","PMID":"9628870","abstract"</w:instrText>
      </w:r>
      <w:r>
        <w:rPr>
          <w:rFonts w:ascii="Arial" w:eastAsia="Times New Roman" w:hAnsi="Arial" w:cs="Arial"/>
          <w:color w:val="000000" w:themeColor="text1"/>
          <w:lang w:val="en-US" w:eastAsia="de-DE"/>
        </w:rPr>
        <w:instrText>:"Adenylate cyclase activity in Saccharomyces cerevisiae is dependent on Ras proteins. Both addition of glucose to glucose</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deprived (derepressed) cells and intracellular acidification trigger an incr...","author":[{"dropping-particle":"","family":"Colombo"</w:instrText>
      </w:r>
      <w:r>
        <w:rPr>
          <w:rFonts w:ascii="Arial" w:eastAsia="Times New Roman" w:hAnsi="Arial" w:cs="Arial"/>
          <w:color w:val="000000" w:themeColor="text1"/>
          <w:lang w:val="en-US" w:eastAsia="de-DE"/>
        </w:rPr>
        <w:instrText>,"given":"Sonia","non-dropping-particle":"","parse-names":false,"suffix":""},{"dropping-particle":"","family":"Ma","given":"Pingsheng","non-dropping-particle":"","parse-names":false,"suffix":""},{"dropping-particle":"","family":"Cauwenberg","given":"Liesbe</w:instrText>
      </w:r>
      <w:r>
        <w:rPr>
          <w:rFonts w:ascii="Arial" w:eastAsia="Times New Roman" w:hAnsi="Arial" w:cs="Arial"/>
          <w:color w:val="000000" w:themeColor="text1"/>
          <w:lang w:val="en-US" w:eastAsia="de-DE"/>
        </w:rPr>
        <w:instrText>t","non-dropping-particle":"","parse-names":false,"suffix":""},{"dropping-particle":"","family":"Winderickx","given":"Joris","non-dropping-particle":"","parse-names":false,"suffix":""},{"dropping-particle":"","family":"Crauwels","given":"Marion","non-dropp</w:instrText>
      </w:r>
      <w:r>
        <w:rPr>
          <w:rFonts w:ascii="Arial" w:eastAsia="Times New Roman" w:hAnsi="Arial" w:cs="Arial"/>
          <w:color w:val="000000" w:themeColor="text1"/>
          <w:lang w:val="en-US" w:eastAsia="de-DE"/>
        </w:rPr>
        <w:instrText>ing-particle":"","parse-names":false,"suffix":""},{"dropping-particle":"","family":"Teunissen","given":"Aloys","non-dropping-particle":"","parse-names":false,"suffix":""},{"dropping-particle":"","family":"Nauwelaers","given":"David","non-dropping-particle"</w:instrText>
      </w:r>
      <w:r>
        <w:rPr>
          <w:rFonts w:ascii="Arial" w:eastAsia="Times New Roman" w:hAnsi="Arial" w:cs="Arial"/>
          <w:color w:val="000000" w:themeColor="text1"/>
          <w:lang w:val="en-US" w:eastAsia="de-DE"/>
        </w:rPr>
        <w:instrText>:"","parse-names":false,"suffix":""},{"dropping-particle":"","family":"Winde","given":"Johannes H.","non-dropping-particle":"De","parse-names":false,"suffix":""},{"dropping-particle":"","family":"Gorwa","given":"Marie Françoise","non-dropping-particle":"",</w:instrText>
      </w:r>
      <w:r>
        <w:rPr>
          <w:rFonts w:ascii="Arial" w:eastAsia="Times New Roman" w:hAnsi="Arial" w:cs="Arial"/>
          <w:color w:val="000000" w:themeColor="text1"/>
          <w:lang w:val="en-US" w:eastAsia="de-DE"/>
        </w:rPr>
        <w:instrText>"parse-names":false,"suffix":""},{"dropping-particle":"","family":"Colavizza","given":"Didier","non-dropping-particle":"","parse-names":false,"suffix":""},{"dropping-particle":"","family":"Thevelein","given":"Johan M.","non-dropping-particle":"","parse-nam</w:instrText>
      </w:r>
      <w:r>
        <w:rPr>
          <w:rFonts w:ascii="Arial" w:eastAsia="Times New Roman" w:hAnsi="Arial" w:cs="Arial"/>
          <w:color w:val="000000" w:themeColor="text1"/>
          <w:lang w:val="en-US" w:eastAsia="de-DE"/>
        </w:rPr>
        <w:instrText>es":false,"suffix":""}],"container-title":"The EMBO Journal","id":"ITEM-2","issue":"12","issued":{"date-parts":[["1998","6","15"]]},"page":"3326-3341","publisher":"John Wiley &amp; Sons, LtdChichester, UK","title":"Involvement of distinct G</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 xml:space="preserve">proteins, Gpa2 and </w:instrText>
      </w:r>
      <w:r>
        <w:rPr>
          <w:rFonts w:ascii="Arial" w:eastAsia="Times New Roman" w:hAnsi="Arial" w:cs="Arial"/>
          <w:color w:val="000000" w:themeColor="text1"/>
          <w:lang w:val="en-US" w:eastAsia="de-DE"/>
        </w:rPr>
        <w:instrText>Ras, in glucose</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 xml:space="preserve"> and intracellular acidification</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induced cAMP signalling in the yeast Saccharomyces cerevisiae","type":"article-journal","volume":"17"},"uris":["http://www.mendeley.com/documents/?uuid=674bf0af-2c8b-3454-8555-6f1d7336d7c7"]}],"mendeley":{"f</w:instrText>
      </w:r>
      <w:r>
        <w:rPr>
          <w:rFonts w:ascii="Arial" w:eastAsia="Times New Roman" w:hAnsi="Arial" w:cs="Arial"/>
          <w:color w:val="000000" w:themeColor="text1"/>
          <w:lang w:val="en-US" w:eastAsia="de-DE"/>
        </w:rPr>
        <w:instrText>ormattedCitation":"&lt;sup&gt;334,335&lt;/sup&gt;","plainTextFormattedCitation":"334,335","previouslyFormattedCitation":"&lt;sup&gt;334,335&lt;/sup&gt;"},"properties":{"noteIndex":0},"schema":"https://github.com/citation-style-language/schema/raw/master/csl-citation.json"}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334,335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The activated Cyr1 converts ATP to cyclic AMP (cAMP), which serves as a secondary messenger and regulates many physiological processes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{"citationItems":[{"id":"ITEM-1","itemData":{"DOI":"10.3390/biom12070958","ISSN":"2218273X","PMID"</w:instrText>
      </w:r>
      <w:r>
        <w:rPr>
          <w:rFonts w:ascii="Arial" w:eastAsia="Times New Roman" w:hAnsi="Arial" w:cs="Arial"/>
          <w:color w:val="000000" w:themeColor="text1"/>
          <w:lang w:val="en-US" w:eastAsia="de-DE"/>
        </w:rPr>
        <w:instrText>:"35883514","abstract":"Eukaryotic cells have developed a complex circuitry of signalling molecules which monitor changes in their intra-and extracellular environments. One of the most widely studied signalling pathways is the highly conserved cyclic AMP (</w:instrText>
      </w:r>
      <w:r>
        <w:rPr>
          <w:rFonts w:ascii="Arial" w:eastAsia="Times New Roman" w:hAnsi="Arial" w:cs="Arial"/>
          <w:color w:val="000000" w:themeColor="text1"/>
          <w:lang w:val="en-US" w:eastAsia="de-DE"/>
        </w:rPr>
        <w:instrText>cAMP)/protein kinase A (PKA) pathway, which is a major glucose sensing circuit in the yeast Saccharomyces cerevisiae. PKA activity regulates diverse targets in yeast, positively activating the processes that are associated with rapid cell growth (e.g., fer</w:instrText>
      </w:r>
      <w:r>
        <w:rPr>
          <w:rFonts w:ascii="Arial" w:eastAsia="Times New Roman" w:hAnsi="Arial" w:cs="Arial"/>
          <w:color w:val="000000" w:themeColor="text1"/>
          <w:lang w:val="en-US" w:eastAsia="de-DE"/>
        </w:rPr>
        <w:instrText xml:space="preserve">mentative metabolism, ribosome biogenesis and cell division) and negatively regulating the processes that are associated with slow growth, such as respiratory growth, carbohydrate storage and entry into stationary phase. As in higher eukaryotes, yeast has </w:instrText>
      </w:r>
      <w:r>
        <w:rPr>
          <w:rFonts w:ascii="Arial" w:eastAsia="Times New Roman" w:hAnsi="Arial" w:cs="Arial"/>
          <w:color w:val="000000" w:themeColor="text1"/>
          <w:lang w:val="en-US" w:eastAsia="de-DE"/>
        </w:rPr>
        <w:instrText>evolved complexity at the level of the PKA catalytic subunit, and Saccharomyces cerevisiae expresses three isoforms, denoted Tpk1-3. Despite evidence for isoform differences in multiple biological processes, the molecular basis of PKA signalling specificit</w:instrText>
      </w:r>
      <w:r>
        <w:rPr>
          <w:rFonts w:ascii="Arial" w:eastAsia="Times New Roman" w:hAnsi="Arial" w:cs="Arial"/>
          <w:color w:val="000000" w:themeColor="text1"/>
          <w:lang w:val="en-US" w:eastAsia="de-DE"/>
        </w:rPr>
        <w:instrText xml:space="preserve">y remains poorly defined, and many studies continue to assume redundancy with regards to PKA-mediated regulation. PKA has canonically been shown to play a key role in fine-tuning the cellular response to diverse stressors; however, recent studies have now </w:instrText>
      </w:r>
      <w:r>
        <w:rPr>
          <w:rFonts w:ascii="Arial" w:eastAsia="Times New Roman" w:hAnsi="Arial" w:cs="Arial"/>
          <w:color w:val="000000" w:themeColor="text1"/>
          <w:lang w:val="en-US" w:eastAsia="de-DE"/>
        </w:rPr>
        <w:instrText>begun to interrogate the requirement for individual PKA catalytic isoforms in coordinating distinct steps in stress response pathways. In this review, we discuss the known non-redundant functions of the Tpk catalytic subunits and the evolving picture of ho</w:instrText>
      </w:r>
      <w:r>
        <w:rPr>
          <w:rFonts w:ascii="Arial" w:eastAsia="Times New Roman" w:hAnsi="Arial" w:cs="Arial"/>
          <w:color w:val="000000" w:themeColor="text1"/>
          <w:lang w:val="en-US" w:eastAsia="de-DE"/>
        </w:rPr>
        <w:instrText>w these isoforms establish specificity in the response to different stress conditions.","author":[{"dropping-particle":"","family":"Creamer","given":"Declan R","non-dropping-particle":"","parse-names":false,"suffix":""},{"dropping-particle":"","family":"Hu</w:instrText>
      </w:r>
      <w:r>
        <w:rPr>
          <w:rFonts w:ascii="Arial" w:eastAsia="Times New Roman" w:hAnsi="Arial" w:cs="Arial"/>
          <w:color w:val="000000" w:themeColor="text1"/>
          <w:lang w:val="en-US" w:eastAsia="de-DE"/>
        </w:rPr>
        <w:instrText>bbard","given":"Simon J","non-dropping-particle":"","parse-names":false,"suffix":""},{"dropping-particle":"","family":"Ashe","given":"Mark P","non-dropping-particle":"","parse-names":false,"suffix":""},{"dropping-particle":"","family":"Grant","given":"Chri</w:instrText>
      </w:r>
      <w:r>
        <w:rPr>
          <w:rFonts w:ascii="Arial" w:eastAsia="Times New Roman" w:hAnsi="Arial" w:cs="Arial"/>
          <w:color w:val="000000" w:themeColor="text1"/>
          <w:lang w:val="en-US" w:eastAsia="de-DE"/>
        </w:rPr>
        <w:instrText>s M","non-dropping-particle":"","parse-names":false,"suffix":""}],"container-title":"Biomolecules","id":"ITEM-1","issue":"7","issued":{"date-parts":[["2022","7","8"]]},"page":"958","publisher":"Multidisciplinary Digital Publishing Institute","title":"Yeast</w:instrText>
      </w:r>
      <w:r>
        <w:rPr>
          <w:rFonts w:ascii="Arial" w:eastAsia="Times New Roman" w:hAnsi="Arial" w:cs="Arial"/>
          <w:color w:val="000000" w:themeColor="text1"/>
          <w:lang w:val="en-US" w:eastAsia="de-DE"/>
        </w:rPr>
        <w:instrText xml:space="preserve"> Protein Kinase A Isoforms: A Means of Encoding Specificity in the Response to Diverse Stress Conditions?","type":"article","volume":"12"},"uris":["http://www.mendeley.com/documents/?uuid=1089e461-e484-31f8-b838-2b27c17d694e"]}],"mendeley":{"formattedCitat</w:instrText>
      </w:r>
      <w:r>
        <w:rPr>
          <w:rFonts w:ascii="Arial" w:eastAsia="Times New Roman" w:hAnsi="Arial" w:cs="Arial"/>
          <w:color w:val="000000" w:themeColor="text1"/>
          <w:lang w:val="en-US" w:eastAsia="de-DE"/>
        </w:rPr>
        <w:instrText>ion":"&lt;sup&gt;336&lt;/sup&gt;","plainTextFormattedCitation":"336","previouslyFormattedCitation":"&lt;sup&gt;336&lt;/sup&gt;"},"properties":{"noteIndex":0},"schema":"https://github.com/citation-style-language/schema/raw/master/csl-citation.json"}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It activates PKA by bind</w:t>
      </w:r>
      <w:r>
        <w:rPr>
          <w:rFonts w:ascii="Arial" w:eastAsia="Times New Roman" w:hAnsi="Arial" w:cs="Arial"/>
          <w:color w:val="000000" w:themeColor="text1"/>
          <w:lang w:val="en-US" w:eastAsia="de-DE"/>
        </w:rPr>
        <w:t>ing to its regulatory subunit and releasing its catalytic unit, which in turn triggers phosphorylation cascades downstream of PKA’s multiple targets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{"citationItems":[{"id":"ITEM-1","itemData":{"DOI":"10.1016/j.str.2010.08.013","ISSN":"09</w:instrText>
      </w:r>
      <w:r>
        <w:rPr>
          <w:rFonts w:ascii="Arial" w:eastAsia="Times New Roman" w:hAnsi="Arial" w:cs="Arial"/>
          <w:color w:val="000000" w:themeColor="text1"/>
          <w:lang w:val="en-US" w:eastAsia="de-DE"/>
        </w:rPr>
        <w:instrText>692126","PMID":"21070946","abstract":"The major cAMP receptors in eukaryotes are the regulatory (R) subunits of PKA, an allosteric enzyme conserved in fungi through mammals. While mammals have four R-subunit genes, Saccharomyces cerevisiae has only one, Bc</w:instrText>
      </w:r>
      <w:r>
        <w:rPr>
          <w:rFonts w:ascii="Arial" w:eastAsia="Times New Roman" w:hAnsi="Arial" w:cs="Arial"/>
          <w:color w:val="000000" w:themeColor="text1"/>
          <w:lang w:val="en-US" w:eastAsia="de-DE"/>
        </w:rPr>
        <w:instrText xml:space="preserve">y1. To achieve a molecular understanding of PKA activation in yeast and to explore the evolution of cyclic-nucleotide binding (CNB) domains, we solved the structure of cAMP-bound Bcy1(168-416). Surprisingly, the relative orientation of the two CNB domains </w:instrText>
      </w:r>
      <w:r>
        <w:rPr>
          <w:rFonts w:ascii="Arial" w:eastAsia="Times New Roman" w:hAnsi="Arial" w:cs="Arial"/>
          <w:color w:val="000000" w:themeColor="text1"/>
          <w:lang w:val="en-US" w:eastAsia="de-DE"/>
        </w:rPr>
        <w:instrText>in Bcy1 is very different from mammalian R-subunits. This quaternary structure is defined primarily by a fungi-specific sequence in the hinge between the αB/αC helices of the CNB-A domain. The unique interface between the two CNB domains in Bcy1 defines th</w:instrText>
      </w:r>
      <w:r>
        <w:rPr>
          <w:rFonts w:ascii="Arial" w:eastAsia="Times New Roman" w:hAnsi="Arial" w:cs="Arial"/>
          <w:color w:val="000000" w:themeColor="text1"/>
          <w:lang w:val="en-US" w:eastAsia="de-DE"/>
        </w:rPr>
        <w:instrText>e allosteric mechanism for cooperative activation of PKA by cAMP. Some interface motifs are isoform-specific while others, although conserved, play surprisingly different roles in each R-subunit. Phylogenetic analysis shows that structural differences in B</w:instrText>
      </w:r>
      <w:r>
        <w:rPr>
          <w:rFonts w:ascii="Arial" w:eastAsia="Times New Roman" w:hAnsi="Arial" w:cs="Arial"/>
          <w:color w:val="000000" w:themeColor="text1"/>
          <w:lang w:val="en-US" w:eastAsia="de-DE"/>
        </w:rPr>
        <w:instrText>cy1 are shared by fungi of the subphylum Saccharomycotina. © 2010 Elsevier Ltd.","author":[{"dropping-particle":"","family":"Rinaldi","given":"Jimena","non-dropping-particle":"","parse-names":false,"suffix":""},{"dropping-particle":"","family":"Wu","given"</w:instrText>
      </w:r>
      <w:r>
        <w:rPr>
          <w:rFonts w:ascii="Arial" w:eastAsia="Times New Roman" w:hAnsi="Arial" w:cs="Arial"/>
          <w:color w:val="000000" w:themeColor="text1"/>
          <w:lang w:val="en-US" w:eastAsia="de-DE"/>
        </w:rPr>
        <w:instrText>:"Jian","non-dropping-particle":"","parse-names":false,"suffix":""},{"dropping-particle":"","family":"Yang","given":"Jie","non-dropping-particle":"","parse-names":false,"suffix":""},{"dropping-particle":"","family":"Ralston","given":"Corie Y","non-dropping</w:instrText>
      </w:r>
      <w:r>
        <w:rPr>
          <w:rFonts w:ascii="Arial" w:eastAsia="Times New Roman" w:hAnsi="Arial" w:cs="Arial"/>
          <w:color w:val="000000" w:themeColor="text1"/>
          <w:lang w:val="en-US" w:eastAsia="de-DE"/>
        </w:rPr>
        <w:instrText>-particle":"","parse-names":false,"suffix":""},{"dropping-particle":"","family":"Sankaran","given":"Banumathi","non-dropping-particle":"","parse-names":false,"suffix":""},{"dropping-particle":"","family":"Moreno","given":"Silvia","non-dropping-particle":""</w:instrText>
      </w:r>
      <w:r>
        <w:rPr>
          <w:rFonts w:ascii="Arial" w:eastAsia="Times New Roman" w:hAnsi="Arial" w:cs="Arial"/>
          <w:color w:val="000000" w:themeColor="text1"/>
          <w:lang w:val="en-US" w:eastAsia="de-DE"/>
        </w:rPr>
        <w:instrText>,"parse-names":false,"suffix":""},{"dropping-particle":"","family":"Taylor","given":"Susan S","non-dropping-particle":"","parse-names":false,"suffix":""}],"container-title":"Structure","id":"ITEM-1","issue":"11","issued":{"date-parts":[["2010"]]},"page":"1</w:instrText>
      </w:r>
      <w:r>
        <w:rPr>
          <w:rFonts w:ascii="Arial" w:eastAsia="Times New Roman" w:hAnsi="Arial" w:cs="Arial"/>
          <w:color w:val="000000" w:themeColor="text1"/>
          <w:lang w:val="en-US" w:eastAsia="de-DE"/>
        </w:rPr>
        <w:instrText>471-1482","title":"Structure of Yeast Regulatory Subunit: A Glimpse into the Evolution of PKA Signaling","type":"article-journal","volume":"18"},"uris":["http://www.mendeley.com/documents/?uuid=1a39019d-5432-3c92-925d-ccd366935949"]},{"id":"ITEM-2","itemDa</w:instrText>
      </w:r>
      <w:r>
        <w:rPr>
          <w:rFonts w:ascii="Arial" w:eastAsia="Times New Roman" w:hAnsi="Arial" w:cs="Arial"/>
          <w:color w:val="000000" w:themeColor="text1"/>
          <w:lang w:val="en-US" w:eastAsia="de-DE"/>
        </w:rPr>
        <w:instrText>ta":{"DOI":"10.3390/biom12070958","ISSN":"2218273X","PMID":"35883514","abstract":"Eukaryotic cells have developed a complex circuitry of signalling molecules which monitor changes in their intra-and extracellular environments. One of the most widely studie</w:instrText>
      </w:r>
      <w:r>
        <w:rPr>
          <w:rFonts w:ascii="Arial" w:eastAsia="Times New Roman" w:hAnsi="Arial" w:cs="Arial"/>
          <w:color w:val="000000" w:themeColor="text1"/>
          <w:lang w:val="en-US" w:eastAsia="de-DE"/>
        </w:rPr>
        <w:instrText>d signalling pathways is the highly conserved cyclic AMP (cAMP)/protein kinase A (PKA) pathway, which is a major glucose sensing circuit in the yeast Saccharomyces cerevisiae. PKA activity regulates diverse targets in yeast, positively activating the proce</w:instrText>
      </w:r>
      <w:r>
        <w:rPr>
          <w:rFonts w:ascii="Arial" w:eastAsia="Times New Roman" w:hAnsi="Arial" w:cs="Arial"/>
          <w:color w:val="000000" w:themeColor="text1"/>
          <w:lang w:val="en-US" w:eastAsia="de-DE"/>
        </w:rPr>
        <w:instrText xml:space="preserve">sses that are associated with rapid cell growth (e.g., fermentative metabolism, ribosome biogenesis and cell division) and negatively regulating the processes that are associated with slow growth, such as respiratory growth, carbohydrate storage and entry </w:instrText>
      </w:r>
      <w:r>
        <w:rPr>
          <w:rFonts w:ascii="Arial" w:eastAsia="Times New Roman" w:hAnsi="Arial" w:cs="Arial"/>
          <w:color w:val="000000" w:themeColor="text1"/>
          <w:lang w:val="en-US" w:eastAsia="de-DE"/>
        </w:rPr>
        <w:instrText>into stationary phase. As in higher eukaryotes, yeast has evolved complexity at the level of the PKA catalytic subunit, and Saccharomyces cerevisiae expresses three isoforms, denoted Tpk1-3. Despite evidence for isoform differences in multiple biological p</w:instrText>
      </w:r>
      <w:r>
        <w:rPr>
          <w:rFonts w:ascii="Arial" w:eastAsia="Times New Roman" w:hAnsi="Arial" w:cs="Arial"/>
          <w:color w:val="000000" w:themeColor="text1"/>
          <w:lang w:val="en-US" w:eastAsia="de-DE"/>
        </w:rPr>
        <w:instrText>rocesses, the molecular basis of PKA signalling specificity remains poorly defined, and many studies continue to assume redundancy with regards to PKA-mediated regulation. PKA has canonically been shown to play a key role in fine-tuning the cellular respon</w:instrText>
      </w:r>
      <w:r>
        <w:rPr>
          <w:rFonts w:ascii="Arial" w:eastAsia="Times New Roman" w:hAnsi="Arial" w:cs="Arial"/>
          <w:color w:val="000000" w:themeColor="text1"/>
          <w:lang w:val="en-US" w:eastAsia="de-DE"/>
        </w:rPr>
        <w:instrText>se to diverse stressors; however, recent studies have now begun to interrogate the requirement for individual PKA catalytic isoforms in coordinating distinct steps in stress response pathways. In this review, we discuss the known non-redundant functions of</w:instrText>
      </w:r>
      <w:r>
        <w:rPr>
          <w:rFonts w:ascii="Arial" w:eastAsia="Times New Roman" w:hAnsi="Arial" w:cs="Arial"/>
          <w:color w:val="000000" w:themeColor="text1"/>
          <w:lang w:val="en-US" w:eastAsia="de-DE"/>
        </w:rPr>
        <w:instrText xml:space="preserve"> the Tpk catalytic subunits and the evolving picture of how these isoforms establish specificity in the response to different stress conditions.","author":[{"dropping-particle":"","family":"Creamer","given":"Declan R","non-dropping-particle":"","parse-name</w:instrText>
      </w:r>
      <w:r>
        <w:rPr>
          <w:rFonts w:ascii="Arial" w:eastAsia="Times New Roman" w:hAnsi="Arial" w:cs="Arial"/>
          <w:color w:val="000000" w:themeColor="text1"/>
          <w:lang w:val="en-US" w:eastAsia="de-DE"/>
        </w:rPr>
        <w:instrText>s":false,"suffix":""},{"dropping-particle":"","family":"Hubbard","given":"Simon J","non-dropping-particle":"","parse-names":false,"suffix":""},{"dropping-particle":"","family":"Ashe","given":"Mark P","non-dropping-particle":"","parse-names":false,"suffix":</w:instrText>
      </w:r>
      <w:r>
        <w:rPr>
          <w:rFonts w:ascii="Arial" w:eastAsia="Times New Roman" w:hAnsi="Arial" w:cs="Arial"/>
          <w:color w:val="000000" w:themeColor="text1"/>
          <w:lang w:val="en-US" w:eastAsia="de-DE"/>
        </w:rPr>
        <w:instrText>""},{"dropping-particle":"","family":"Grant","given":"Chris M","non-dropping-particle":"","parse-names":false,"suffix":""}],"container-title":"Biomolecules","id":"ITEM-2","issue":"7","issued":{"date-parts":[["2022","7","8"]]},"page":"958","publisher":"Mult</w:instrText>
      </w:r>
      <w:r>
        <w:rPr>
          <w:rFonts w:ascii="Arial" w:eastAsia="Times New Roman" w:hAnsi="Arial" w:cs="Arial"/>
          <w:color w:val="000000" w:themeColor="text1"/>
          <w:lang w:val="en-US" w:eastAsia="de-DE"/>
        </w:rPr>
        <w:instrText>idisciplinary Digital Publishing Institute","title":"Yeast Protein Kinase A Isoforms: A Means of Encoding Specificity in the Response to Diverse Stress Conditions?","type":"article","volume":"12"},"uris":["http://www.mendeley.com/documents/?uuid=1089e461-e</w:instrText>
      </w:r>
      <w:r>
        <w:rPr>
          <w:rFonts w:ascii="Arial" w:eastAsia="Times New Roman" w:hAnsi="Arial" w:cs="Arial"/>
          <w:color w:val="000000" w:themeColor="text1"/>
          <w:lang w:val="en-US" w:eastAsia="de-DE"/>
        </w:rPr>
        <w:instrText>484-31f8-b838-2b27c17d694e"]}],"mendeley":{"formattedCitation":"&lt;sup&gt;336,337&lt;/sup&gt;","plainTextFormattedCitation":"336,337","previouslyFormattedCitation":"&lt;sup&gt;336,337&lt;/sup&gt;"},"properties":{"noteIndex":0},"schema":"https://github.com/citation-style-language</w:instrText>
      </w:r>
      <w:r>
        <w:rPr>
          <w:rFonts w:ascii="Arial" w:eastAsia="Times New Roman" w:hAnsi="Arial" w:cs="Arial"/>
          <w:color w:val="000000" w:themeColor="text1"/>
          <w:lang w:val="en-US" w:eastAsia="de-DE"/>
        </w:rPr>
        <w:instrText>/schema/raw/master/csl-citation.json"}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336,337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These signaling cascades mediate the increase in growth associated with the availability of fermentable sugars in the growth media</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{"citationItems":[{"id":"ITEM-1","itemData":{"DOI":"10.15</w:instrText>
      </w:r>
      <w:r>
        <w:rPr>
          <w:rFonts w:ascii="Arial" w:eastAsia="Times New Roman" w:hAnsi="Arial" w:cs="Arial"/>
          <w:color w:val="000000" w:themeColor="text1"/>
          <w:lang w:val="en-US" w:eastAsia="de-DE"/>
        </w:rPr>
        <w:instrText xml:space="preserve">698/MIC2021.01.740","ISSN":"23112638","PMID":"33490229","abstract":"A major signal transduction pathway regulating cell growth and many associated physiological properties as a function of nutrient availability in the yeast Saccharomyces cerevisiae is the </w:instrText>
      </w:r>
      <w:r>
        <w:rPr>
          <w:rFonts w:ascii="Arial" w:eastAsia="Times New Roman" w:hAnsi="Arial" w:cs="Arial"/>
          <w:color w:val="000000" w:themeColor="text1"/>
          <w:lang w:val="en-US" w:eastAsia="de-DE"/>
        </w:rPr>
        <w:instrText>protein kinase A (PKA) pathway. Glucose activation of PKA is mediated by G-protein coupled receptor (GPCR) Gpr1, and secondary messenger cAMP. Other nutrients, including nitrogen, phosphate and sulfate, activate PKA in accordingly-starved cells through nu-</w:instrText>
      </w:r>
      <w:r>
        <w:rPr>
          <w:rFonts w:ascii="Arial" w:eastAsia="Times New Roman" w:hAnsi="Arial" w:cs="Arial"/>
          <w:color w:val="000000" w:themeColor="text1"/>
          <w:lang w:val="en-US" w:eastAsia="de-DE"/>
        </w:rPr>
        <w:instrText>trient transceptors, but apparently without cAMP signaling. We have now used an optimized EPAC-based fluorescence resonance energy transfer (FRET) sensor to precisely monitor in vivo cAMP levels after nutrient addition. We show that GPCR-mediated glucose a</w:instrText>
      </w:r>
      <w:r>
        <w:rPr>
          <w:rFonts w:ascii="Arial" w:eastAsia="Times New Roman" w:hAnsi="Arial" w:cs="Arial"/>
          <w:color w:val="000000" w:themeColor="text1"/>
          <w:lang w:val="en-US" w:eastAsia="de-DE"/>
        </w:rPr>
        <w:instrText>ctivation of PKA is correlated with a rapid transient increase in the cAMP level in vivo, whereas nutrient transceptor-mediated activation by nitrogen, phosphate or sulfate, is not associated with any significant increase in cAMP in vivo. We also demonstra</w:instrText>
      </w:r>
      <w:r>
        <w:rPr>
          <w:rFonts w:ascii="Arial" w:eastAsia="Times New Roman" w:hAnsi="Arial" w:cs="Arial"/>
          <w:color w:val="000000" w:themeColor="text1"/>
          <w:lang w:val="en-US" w:eastAsia="de-DE"/>
        </w:rPr>
        <w:instrText xml:space="preserve">te direct physical interaction between the Gap1 amino acid transceptor and the catalytic subu-nits of PKA, Tpk1, 2 and 3. In addition, we reveal a conserved consensus motif in the nutrient transceptors that is also present in Bcy1, the regulatory subu-nit </w:instrText>
      </w:r>
      <w:r>
        <w:rPr>
          <w:rFonts w:ascii="Arial" w:eastAsia="Times New Roman" w:hAnsi="Arial" w:cs="Arial"/>
          <w:color w:val="000000" w:themeColor="text1"/>
          <w:lang w:val="en-US" w:eastAsia="de-DE"/>
        </w:rPr>
        <w:instrText>of PKA. This suggests that nutrient transceptor activation of PKA may be mediated by direct release of bound PKA catalytic subunits, triggered by the conformational changes occurring during transport of the substrate by the transceptor. Our results support</w:instrText>
      </w:r>
      <w:r>
        <w:rPr>
          <w:rFonts w:ascii="Arial" w:eastAsia="Times New Roman" w:hAnsi="Arial" w:cs="Arial"/>
          <w:color w:val="000000" w:themeColor="text1"/>
          <w:lang w:val="en-US" w:eastAsia="de-DE"/>
        </w:rPr>
        <w:instrText xml:space="preserve"> a model in which nutrient transceptors are evolutionary ancestors of GPCRs, employing a more primitive direct signaling mechanism compared to the indirect cAMP second-messenger signaling mechanism used by GPCRs for activation of PKA.","author":[{"dropping</w:instrText>
      </w:r>
      <w:r>
        <w:rPr>
          <w:rFonts w:ascii="Arial" w:eastAsia="Times New Roman" w:hAnsi="Arial" w:cs="Arial"/>
          <w:color w:val="000000" w:themeColor="text1"/>
          <w:lang w:val="en-US" w:eastAsia="de-DE"/>
        </w:rPr>
        <w:instrText>-particle":"","family":"Zeebroeck","given":"Griet","non-dropping-particle":"Van","parse-names":false,"suffix":""},{"dropping-particle":"","family":"Demuyser","given":"Liesbeth","non-dropping-particle":"","parse-names":false,"suffix":""},{"dropping-particle</w:instrText>
      </w:r>
      <w:r>
        <w:rPr>
          <w:rFonts w:ascii="Arial" w:eastAsia="Times New Roman" w:hAnsi="Arial" w:cs="Arial"/>
          <w:color w:val="000000" w:themeColor="text1"/>
          <w:lang w:val="en-US" w:eastAsia="de-DE"/>
        </w:rPr>
        <w:instrText>":"","family":"Zhang","given":"Zhiqiang","non-dropping-particle":"","parse-names":false,"suffix":""},{"dropping-particle":"","family":"Cottignie","given":"Ines","non-dropping-particle":"","parse-names":false,"suffix":""},{"dropping-particle":"","family":"T</w:instrText>
      </w:r>
      <w:r>
        <w:rPr>
          <w:rFonts w:ascii="Arial" w:eastAsia="Times New Roman" w:hAnsi="Arial" w:cs="Arial"/>
          <w:color w:val="000000" w:themeColor="text1"/>
          <w:lang w:val="en-US" w:eastAsia="de-DE"/>
        </w:rPr>
        <w:instrText>hevelein","given":"Johan M.","non-dropping-particle":"","parse-names":false,"suffix":""}],"container-title":"Microbial Cell","id":"ITEM-1","issue":"1","issued":{"date-parts":[["2021","1","1"]]},"page":"17","publisher":"Shared Science Publishers","title":"N</w:instrText>
      </w:r>
      <w:r>
        <w:rPr>
          <w:rFonts w:ascii="Arial" w:eastAsia="Times New Roman" w:hAnsi="Arial" w:cs="Arial"/>
          <w:color w:val="000000" w:themeColor="text1"/>
          <w:lang w:val="en-US" w:eastAsia="de-DE"/>
        </w:rPr>
        <w:instrText>utrient sensing and cAMP signaling in yeast: G-protein coupled receptor versus transceptor activation of PKA","type":"article-journal","volume":"8"},"uris":["http://www.mendeley.com/documents/?uuid=ccfbb9e0-670a-39b9-a146-a7ca6f0fc5cf"]}],"mendeley":{"form</w:instrText>
      </w:r>
      <w:r>
        <w:rPr>
          <w:rFonts w:ascii="Arial" w:eastAsia="Times New Roman" w:hAnsi="Arial" w:cs="Arial"/>
          <w:color w:val="000000" w:themeColor="text1"/>
          <w:lang w:val="en-US" w:eastAsia="de-DE"/>
        </w:rPr>
        <w:instrText>attedCitation":"&lt;sup&gt;338&lt;/sup&gt;","plainTextFormattedCitation":"338","previouslyFormattedCitation":"&lt;sup&gt;338&lt;/sup&gt;"},"properties":{"noteIndex":0},"schema":"https://github.com/citation-style-language/schema/raw/master/csl-citation.json"}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338</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Additionally, </w:t>
      </w:r>
      <w:r>
        <w:rPr>
          <w:rFonts w:ascii="Arial" w:eastAsia="Times New Roman" w:hAnsi="Arial" w:cs="Arial"/>
          <w:color w:val="000000" w:themeColor="text1"/>
          <w:lang w:val="en-US" w:eastAsia="de-DE"/>
        </w:rPr>
        <w:t>multiple cAMP-independent nutrient-signaling circuits for PKA activation have been proposed</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{"citationItems":[{"id":"ITEM-1","itemData":{"DOI":"10.1099/00221287-138-10-2035/CITE/REFWORKS","ISSN":"00221287","PMID":"1336029","abstract":"Sta</w:instrText>
      </w:r>
      <w:r>
        <w:rPr>
          <w:rFonts w:ascii="Arial" w:eastAsia="Times New Roman" w:hAnsi="Arial" w:cs="Arial"/>
          <w:color w:val="000000" w:themeColor="text1"/>
          <w:lang w:val="en-US" w:eastAsia="de-DE"/>
        </w:rPr>
        <w:instrText>rvation of Saccharomyces cerevisiae cells for specific nutrients such as nitrogen, phosphate or sulphate causes arrest in the G1 phase of the cell cycle at a specific point called 'start'. Re-addition of different nitrogen sources, phosphate or sulphate to</w:instrText>
      </w:r>
      <w:r>
        <w:rPr>
          <w:rFonts w:ascii="Arial" w:eastAsia="Times New Roman" w:hAnsi="Arial" w:cs="Arial"/>
          <w:color w:val="000000" w:themeColor="text1"/>
          <w:lang w:val="en-US" w:eastAsia="de-DE"/>
        </w:rPr>
        <w:instrText xml:space="preserve"> such starved cells causes activation of trehalase within a few minutes. Nitrogen-source- and sulphate-induced activation of trehalase were not associated with any change in the cAMP level, but in the case of phosphate there was a small transient increase.</w:instrText>
      </w:r>
      <w:r>
        <w:rPr>
          <w:rFonts w:ascii="Arial" w:eastAsia="Times New Roman" w:hAnsi="Arial" w:cs="Arial"/>
          <w:color w:val="000000" w:themeColor="text1"/>
          <w:lang w:val="en-US" w:eastAsia="de-DE"/>
        </w:rPr>
        <w:instrText xml:space="preserve"> When nitrogen-source-activated trehalase was isolated by immuno-affinity chromatography from crude extracts, the purified enzyme showed the same activity profile as in the original crude extracts, indicating that post-translational modification is respons</w:instrText>
      </w:r>
      <w:r>
        <w:rPr>
          <w:rFonts w:ascii="Arial" w:eastAsia="Times New Roman" w:hAnsi="Arial" w:cs="Arial"/>
          <w:color w:val="000000" w:themeColor="text1"/>
          <w:lang w:val="en-US" w:eastAsia="de-DE"/>
        </w:rPr>
        <w:instrText>ible for the activation. In the yeast mutants cdc25-5 and cdc35-10, which are temperature sensitive for cAMP synthesis, incubation at the restrictive temperature lowered but did not prevent nitrogen-, phosphate- or sulphate-induced activation of trehalase.</w:instrText>
      </w:r>
      <w:r>
        <w:rPr>
          <w:rFonts w:ascii="Arial" w:eastAsia="Times New Roman" w:hAnsi="Arial" w:cs="Arial"/>
          <w:color w:val="000000" w:themeColor="text1"/>
          <w:lang w:val="en-US" w:eastAsia="de-DE"/>
        </w:rPr>
        <w:instrText xml:space="preserve"> Since under these conditions the cAMP level in the cells is very low, it is unlikely that cAMP acts as a second messenger in this nutrient-induced effect. Nitrogen-source-induced activation of trehalase requires the presence of glucose at a concentration </w:instrText>
      </w:r>
      <w:r>
        <w:rPr>
          <w:rFonts w:ascii="Arial" w:eastAsia="Times New Roman" w:hAnsi="Arial" w:cs="Arial"/>
          <w:color w:val="000000" w:themeColor="text1"/>
          <w:lang w:val="en-US" w:eastAsia="de-DE"/>
        </w:rPr>
        <w:instrText>similar to that able to stimulate the RAS-adenylate cyclase pathway. This indicates that the same glucose-sensing system might be involved in both phenomena. Nitrogen-starved cells fractionated according to cell size all showed nitrogen-source-induced acti</w:instrText>
      </w:r>
      <w:r>
        <w:rPr>
          <w:rFonts w:ascii="Arial" w:eastAsia="Times New Roman" w:hAnsi="Arial" w:cs="Arial"/>
          <w:color w:val="000000" w:themeColor="text1"/>
          <w:lang w:val="en-US" w:eastAsia="de-DE"/>
        </w:rPr>
        <w:instrText>vation of trehalase to the same extent, indicating that the nitrogen-induced signalling pathway involved is not dependent on the well-known cell size requirement for progression over the start point of the cell cycle.","author":[{"dropping-particle":"","fa</w:instrText>
      </w:r>
      <w:r>
        <w:rPr>
          <w:rFonts w:ascii="Arial" w:eastAsia="Times New Roman" w:hAnsi="Arial" w:cs="Arial"/>
          <w:color w:val="000000" w:themeColor="text1"/>
          <w:lang w:val="en-US" w:eastAsia="de-DE"/>
        </w:rPr>
        <w:instrText>mily":"Hirimburegama","given":"K.","non-dropping-particle":"","parse-names":false,"suffix":""},{"dropping-particle":"","family":"Durnez","given":"P.","non-dropping-particle":"","parse-names":false,"suffix":""},{"dropping-particle":"","family":"Keleman","gi</w:instrText>
      </w:r>
      <w:r>
        <w:rPr>
          <w:rFonts w:ascii="Arial" w:eastAsia="Times New Roman" w:hAnsi="Arial" w:cs="Arial"/>
          <w:color w:val="000000" w:themeColor="text1"/>
          <w:lang w:val="en-US" w:eastAsia="de-DE"/>
        </w:rPr>
        <w:instrText>ven":"J.","non-dropping-particle":"","parse-names":false,"suffix":""},{"dropping-particle":"","family":"Oris","given":"E.","non-dropping-particle":"","parse-names":false,"suffix":""},{"dropping-particle":"","family":"Vergauwen","given":"R.","non-dropping-p</w:instrText>
      </w:r>
      <w:r>
        <w:rPr>
          <w:rFonts w:ascii="Arial" w:eastAsia="Times New Roman" w:hAnsi="Arial" w:cs="Arial"/>
          <w:color w:val="000000" w:themeColor="text1"/>
          <w:lang w:val="en-US" w:eastAsia="de-DE"/>
        </w:rPr>
        <w:instrText>article":"","parse-names":false,"suffix":""},{"dropping-particle":"","family":"Mergelsberg","given":"H.","non-dropping-particle":"","parse-names":false,"suffix":""},{"dropping-particle":"","family":"Thevelein","given":"J. M.","non-dropping-particle":"","pa</w:instrText>
      </w:r>
      <w:r>
        <w:rPr>
          <w:rFonts w:ascii="Arial" w:eastAsia="Times New Roman" w:hAnsi="Arial" w:cs="Arial"/>
          <w:color w:val="000000" w:themeColor="text1"/>
          <w:lang w:val="en-US" w:eastAsia="de-DE"/>
        </w:rPr>
        <w:instrText>rse-names":false,"suffix":""}],"container-title":"Journal of General Microbiology","id":"ITEM-1","issue":"10","issued":{"date-parts":[["1992","10","1"]]},"page":"2035-2043","publisher":"Microbiology Society","title":"Nutrient-induced activation of trehalas</w:instrText>
      </w:r>
      <w:r>
        <w:rPr>
          <w:rFonts w:ascii="Arial" w:eastAsia="Times New Roman" w:hAnsi="Arial" w:cs="Arial"/>
          <w:color w:val="000000" w:themeColor="text1"/>
          <w:lang w:val="en-US" w:eastAsia="de-DE"/>
        </w:rPr>
        <w:instrText>e in nutrient-starved cells of the yeast Saccharomyces cerevisiae: cAMP is not involved as second messenger","type":"article-journal","volume":"138"},"uris":["http://www.mendeley.com/documents/?uuid=6652a552-6550-333c-a2b1-1999898e0c24"]}],"mendeley":{"for</w:instrText>
      </w:r>
      <w:r>
        <w:rPr>
          <w:rFonts w:ascii="Arial" w:eastAsia="Times New Roman" w:hAnsi="Arial" w:cs="Arial"/>
          <w:color w:val="000000" w:themeColor="text1"/>
          <w:lang w:val="en-US" w:eastAsia="de-DE"/>
        </w:rPr>
        <w:instrText>mattedCitation":"&lt;sup&gt;339&lt;/sup&gt;","plainTextFormattedCitation":"339","previouslyFormattedCitation":"&lt;sup&gt;339&lt;/sup&gt;"},"properties":{"noteIndex":0},"schema":"https://github.com/citation-style-language/schema/raw/master/csl-citation.json"}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where the re-</w:t>
      </w:r>
      <w:r>
        <w:rPr>
          <w:rFonts w:ascii="Arial" w:eastAsia="Times New Roman" w:hAnsi="Arial" w:cs="Arial"/>
          <w:color w:val="000000" w:themeColor="text1"/>
          <w:lang w:val="en-US" w:eastAsia="de-DE"/>
        </w:rPr>
        <w:t xml:space="preserve">introduction of nutrients such as amino acids, ammonium, phosphate, sulphate, iron and zinc after a period of starvation leads to increased PKA activity via high-affinity </w:t>
      </w:r>
      <w:proofErr w:type="spellStart"/>
      <w:r>
        <w:rPr>
          <w:rFonts w:ascii="Arial" w:eastAsia="Times New Roman" w:hAnsi="Arial" w:cs="Arial"/>
          <w:color w:val="000000" w:themeColor="text1"/>
          <w:lang w:val="en-US" w:eastAsia="de-DE"/>
        </w:rPr>
        <w:t>transceptors</w:t>
      </w:r>
      <w:proofErr w:type="spellEnd"/>
      <w:r>
        <w:rPr>
          <w:rFonts w:ascii="Arial" w:eastAsia="Times New Roman" w:hAnsi="Arial" w:cs="Arial"/>
          <w:color w:val="000000" w:themeColor="text1"/>
          <w:lang w:val="en-US" w:eastAsia="de-DE"/>
        </w:rPr>
        <w:t xml:space="preserve"> (transporters with an additional receptor function)</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w:instrText>
      </w:r>
      <w:r>
        <w:rPr>
          <w:rFonts w:ascii="Arial" w:eastAsia="Times New Roman" w:hAnsi="Arial" w:cs="Arial"/>
          <w:color w:val="000000" w:themeColor="text1"/>
          <w:lang w:val="en-US" w:eastAsia="de-DE"/>
        </w:rPr>
        <w:instrText>citationItems":[{"id":"ITEM-1","itemData":{"DOI":"10.3389/FPHAR.2018.00191/BIBTEX","ISSN":"16639812","abstract":"The nutrient composition of the medium has dramatic effects on many cellular properties in the yeast Saccharomyces cerevisiae. In addition to t</w:instrText>
      </w:r>
      <w:r>
        <w:rPr>
          <w:rFonts w:ascii="Arial" w:eastAsia="Times New Roman" w:hAnsi="Arial" w:cs="Arial"/>
          <w:color w:val="000000" w:themeColor="text1"/>
          <w:lang w:val="en-US" w:eastAsia="de-DE"/>
        </w:rPr>
        <w:instrText>he well-known specific responses to starvation for an essential nutrient, like nitrogen or phosphate, the presence of fermentable sugar or a respirative carbon source leads to predominance of fermentation or respiration, respectively. Fermenting and respir</w:instrText>
      </w:r>
      <w:r>
        <w:rPr>
          <w:rFonts w:ascii="Arial" w:eastAsia="Times New Roman" w:hAnsi="Arial" w:cs="Arial"/>
          <w:color w:val="000000" w:themeColor="text1"/>
          <w:lang w:val="en-US" w:eastAsia="de-DE"/>
        </w:rPr>
        <w:instrText>ing cells also show strong differences in other properties, like storage carbohydrate levels, general stress tolerance and cellular growth rate. However, the main glucose repression pathway, which controls the switch between respiration and fermentation, i</w:instrText>
      </w:r>
      <w:r>
        <w:rPr>
          <w:rFonts w:ascii="Arial" w:eastAsia="Times New Roman" w:hAnsi="Arial" w:cs="Arial"/>
          <w:color w:val="000000" w:themeColor="text1"/>
          <w:lang w:val="en-US" w:eastAsia="de-DE"/>
        </w:rPr>
        <w:instrText>s not involved in control of these properties. They are controlled by the protein kinase A (PKA) pathway. Addition of glucose to respiring yeast cells triggers cAMP synthesis, activation of PKA and rapid modification of its targets, like storage carbohydra</w:instrText>
      </w:r>
      <w:r>
        <w:rPr>
          <w:rFonts w:ascii="Arial" w:eastAsia="Times New Roman" w:hAnsi="Arial" w:cs="Arial"/>
          <w:color w:val="000000" w:themeColor="text1"/>
          <w:lang w:val="en-US" w:eastAsia="de-DE"/>
        </w:rPr>
        <w:instrText>te levels, general stress tolerance and growth rate. However, starvation of fermenting cells in a glucose medium for any essential macro- or micro-nutrient counteracts this effect, leading to downregulation of PKA and its targets concomitant with growth ar</w:instrText>
      </w:r>
      <w:r>
        <w:rPr>
          <w:rFonts w:ascii="Arial" w:eastAsia="Times New Roman" w:hAnsi="Arial" w:cs="Arial"/>
          <w:color w:val="000000" w:themeColor="text1"/>
          <w:lang w:val="en-US" w:eastAsia="de-DE"/>
        </w:rPr>
        <w:instrText>rest and entrance into G0. Re-addition of the lacking nutrient triggers rapid activation of the PKA pathway, without involvement of cAMP as second messenger. Investigation of the sensing mechanism has revealed that the specific high-affinity nutrient trans</w:instrText>
      </w:r>
      <w:r>
        <w:rPr>
          <w:rFonts w:ascii="Arial" w:eastAsia="Times New Roman" w:hAnsi="Arial" w:cs="Arial"/>
          <w:color w:val="000000" w:themeColor="text1"/>
          <w:lang w:val="en-US" w:eastAsia="de-DE"/>
        </w:rPr>
        <w:instrText>porter(s) induced during starvation function as transporter-receptors or transceptors for rapid activation of PKA upon re-addition of the missing substrate. In this way, transceptors have been identified for amino acids, ammonium, phosphate, sulfate, iron,</w:instrText>
      </w:r>
      <w:r>
        <w:rPr>
          <w:rFonts w:ascii="Arial" w:eastAsia="Times New Roman" w:hAnsi="Arial" w:cs="Arial"/>
          <w:color w:val="000000" w:themeColor="text1"/>
          <w:lang w:val="en-US" w:eastAsia="de-DE"/>
        </w:rPr>
        <w:instrText xml:space="preserve"> and zinc. We propose a hypothesis for regulation of PKA activity by nutrient transceptors to serve as a conceptual framework for future experimentation. Many properties of transceptors appear to be similar to those of classical receptors and nutrient tran</w:instrText>
      </w:r>
      <w:r>
        <w:rPr>
          <w:rFonts w:ascii="Arial" w:eastAsia="Times New Roman" w:hAnsi="Arial" w:cs="Arial"/>
          <w:color w:val="000000" w:themeColor="text1"/>
          <w:lang w:val="en-US" w:eastAsia="de-DE"/>
        </w:rPr>
        <w:instrText>sceptors may constitute intermediate forms in the development of receptors from nutrient transporters during evolution. The nutrient-sensing transceptor system in yeast for activation of the PKA pathway has served as a paradigm for similar studies on candi</w:instrText>
      </w:r>
      <w:r>
        <w:rPr>
          <w:rFonts w:ascii="Arial" w:eastAsia="Times New Roman" w:hAnsi="Arial" w:cs="Arial"/>
          <w:color w:val="000000" w:themeColor="text1"/>
          <w:lang w:val="en-US" w:eastAsia="de-DE"/>
        </w:rPr>
        <w:instrText>date nutrient transceptors in other eukaryotes and we succinctly discuss the many examples of transceptors that have already been documented in other yeast species, filamentous fungi, plants, and animals, including the examples in human cells.","author":[{</w:instrText>
      </w:r>
      <w:r>
        <w:rPr>
          <w:rFonts w:ascii="Arial" w:eastAsia="Times New Roman" w:hAnsi="Arial" w:cs="Arial"/>
          <w:color w:val="000000" w:themeColor="text1"/>
          <w:lang w:val="en-US" w:eastAsia="de-DE"/>
        </w:rPr>
        <w:instrText>"dropping-particle":"","family":"Steyfkens","given":"Fenella","non-dropping-particle":"","parse-names":false,"suffix":""},{"dropping-particle":"","family":"Zhang","given":"Zhiqiang","non-dropping-particle":"","parse-names":false,"suffix":""},{"dropping-par</w:instrText>
      </w:r>
      <w:r>
        <w:rPr>
          <w:rFonts w:ascii="Arial" w:eastAsia="Times New Roman" w:hAnsi="Arial" w:cs="Arial"/>
          <w:color w:val="000000" w:themeColor="text1"/>
          <w:lang w:val="en-US" w:eastAsia="de-DE"/>
        </w:rPr>
        <w:instrText>ticle":"","family":"Zeebroeck","given":"Griet","non-dropping-particle":"Van","parse-names":false,"suffix":""},{"dropping-particle":"","family":"Thevelein","given":"Johan M.","non-dropping-particle":"","parse-names":false,"suffix":""}],"container-title":"Fr</w:instrText>
      </w:r>
      <w:r>
        <w:rPr>
          <w:rFonts w:ascii="Arial" w:eastAsia="Times New Roman" w:hAnsi="Arial" w:cs="Arial"/>
          <w:color w:val="000000" w:themeColor="text1"/>
          <w:lang w:val="en-US" w:eastAsia="de-DE"/>
        </w:rPr>
        <w:instrText>ontiers in Pharmacology","id":"ITEM-1","issue":"MAR","issued":{"date-parts":[["2018","3","13"]]},"page":"347749","publisher":"Frontiers Media S.A.","title":"Multiple transceptors for macro- and micro-nutrients control diverse cellular properties through th</w:instrText>
      </w:r>
      <w:r>
        <w:rPr>
          <w:rFonts w:ascii="Arial" w:eastAsia="Times New Roman" w:hAnsi="Arial" w:cs="Arial"/>
          <w:color w:val="000000" w:themeColor="text1"/>
          <w:lang w:val="en-US" w:eastAsia="de-DE"/>
        </w:rPr>
        <w:instrText>e PKA pathway in yeast: A paradigm for the rapidly expanding world of eukaryotic nutrient transceptors up to those in human cells","type":"article-journal","volume":"9"},"uris":["http://www.mendeley.com/documents/?uuid=fd9abd42-2008-39c5-a9c5-70b6e6b6fef3"</w:instrText>
      </w:r>
      <w:r>
        <w:rPr>
          <w:rFonts w:ascii="Arial" w:eastAsia="Times New Roman" w:hAnsi="Arial" w:cs="Arial"/>
          <w:color w:val="000000" w:themeColor="text1"/>
          <w:lang w:val="en-US" w:eastAsia="de-DE"/>
        </w:rPr>
        <w:instrText>]}],"mendeley":{"formattedCitation":"&lt;sup&gt;340&lt;/sup&gt;","plainTextFormattedCitation":"340","previouslyFormattedCitation":"&lt;sup&gt;340&lt;/sup&gt;"},"properties":{"noteIndex":0},"schema":"https://github.com/citation-style-language/schema/raw/master/csl-citation.json"}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w:t>
      </w:r>
      <w:r>
        <w:rPr>
          <w:rFonts w:ascii="Arial" w:eastAsia="Times New Roman" w:hAnsi="Arial" w:cs="Arial"/>
          <w:noProof/>
          <w:color w:val="000000" w:themeColor="text1"/>
          <w:vertAlign w:val="superscript"/>
          <w:lang w:val="en-US" w:eastAsia="de-DE"/>
        </w:rPr>
        <w:t>40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While the exact molecular mechanisms by which the </w:t>
      </w:r>
      <w:proofErr w:type="spellStart"/>
      <w:r>
        <w:rPr>
          <w:rFonts w:ascii="Arial" w:eastAsia="Times New Roman" w:hAnsi="Arial" w:cs="Arial"/>
          <w:color w:val="000000" w:themeColor="text1"/>
          <w:lang w:val="en-US" w:eastAsia="de-DE"/>
        </w:rPr>
        <w:t>transceptors</w:t>
      </w:r>
      <w:proofErr w:type="spellEnd"/>
      <w:r>
        <w:rPr>
          <w:rFonts w:ascii="Arial" w:eastAsia="Times New Roman" w:hAnsi="Arial" w:cs="Arial"/>
          <w:color w:val="000000" w:themeColor="text1"/>
          <w:lang w:val="en-US" w:eastAsia="de-DE"/>
        </w:rPr>
        <w:t xml:space="preserve"> activate PKA are still under investigation, it has been shown that some of these </w:t>
      </w:r>
      <w:proofErr w:type="spellStart"/>
      <w:r>
        <w:rPr>
          <w:rFonts w:ascii="Arial" w:eastAsia="Times New Roman" w:hAnsi="Arial" w:cs="Arial"/>
          <w:color w:val="000000" w:themeColor="text1"/>
          <w:lang w:val="en-US" w:eastAsia="de-DE"/>
        </w:rPr>
        <w:t>transceptors</w:t>
      </w:r>
      <w:proofErr w:type="spellEnd"/>
      <w:r>
        <w:rPr>
          <w:rFonts w:ascii="Arial" w:eastAsia="Times New Roman" w:hAnsi="Arial" w:cs="Arial"/>
          <w:color w:val="000000" w:themeColor="text1"/>
          <w:lang w:val="en-US" w:eastAsia="de-DE"/>
        </w:rPr>
        <w:t xml:space="preserve"> interact with Sch9, a PKA-associated protein kinase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w:instrText>
      </w:r>
      <w:r>
        <w:rPr>
          <w:rFonts w:ascii="Arial" w:eastAsia="Times New Roman" w:hAnsi="Arial" w:cs="Arial"/>
          <w:color w:val="000000" w:themeColor="text1"/>
          <w:lang w:val="en-US" w:eastAsia="de-DE"/>
        </w:rPr>
        <w:instrText>":"ITEM-1","itemData":{"DOI":"10.1042/BCJ20200722","ISSN":"0264-6021","PMID":"33394033","abstract":"Multiple starvation-induced, high-affinity nutrient transporters in yeast function as receptors for activation of the protein kinase A (PKA) pathway upon re</w:instrText>
      </w:r>
      <w:r>
        <w:rPr>
          <w:rFonts w:ascii="Arial" w:eastAsia="Times New Roman" w:hAnsi="Arial" w:cs="Arial"/>
          <w:color w:val="000000" w:themeColor="text1"/>
          <w:lang w:val="en-US" w:eastAsia="de-DE"/>
        </w:rPr>
        <w:instrText>-addition of their substrate. We now show that these transceptors may play more extended roles in nutrient regulation. The Gap1 amino acid, Mep2 ammonium, Pho84 phosphate and Sul1 sulfate transceptors physically interact in vitro and in vivo with the PKA-r</w:instrText>
      </w:r>
      <w:r>
        <w:rPr>
          <w:rFonts w:ascii="Arial" w:eastAsia="Times New Roman" w:hAnsi="Arial" w:cs="Arial"/>
          <w:color w:val="000000" w:themeColor="text1"/>
          <w:lang w:val="en-US" w:eastAsia="de-DE"/>
        </w:rPr>
        <w:instrText>elated Sch9 protein kinase, the yeast homolog of mammalian S6 protein kinase and protein kinase B. Sch9 is a phosphorylation target of TOR and well known to affect nutrient-controlled cellular processes, such as growth rate. Mapping with peptide microarray</w:instrText>
      </w:r>
      <w:r>
        <w:rPr>
          <w:rFonts w:ascii="Arial" w:eastAsia="Times New Roman" w:hAnsi="Arial" w:cs="Arial"/>
          <w:color w:val="000000" w:themeColor="text1"/>
          <w:lang w:val="en-US" w:eastAsia="de-DE"/>
        </w:rPr>
        <w:instrText>s suggests specific interaction domains in Gap1 for Sch9 binding. Mutagenesis of the major domain affects the upstart of growth upon the addition of L-citrulline to nitrogen-starved cells to different extents but apparently does not affect in vitro binding</w:instrText>
      </w:r>
      <w:r>
        <w:rPr>
          <w:rFonts w:ascii="Arial" w:eastAsia="Times New Roman" w:hAnsi="Arial" w:cs="Arial"/>
          <w:color w:val="000000" w:themeColor="text1"/>
          <w:lang w:val="en-US" w:eastAsia="de-DE"/>
        </w:rPr>
        <w:instrText>. It also does not correlate with the drop in L-citrulline uptake capacity or transceptor activation of the PKA target trehalase by the Gap1 mutant forms. Our results reveal a nutrient transceptor–Sch9–TOR axis in which Sch9 accessibility for phosphorylati</w:instrText>
      </w:r>
      <w:r>
        <w:rPr>
          <w:rFonts w:ascii="Arial" w:eastAsia="Times New Roman" w:hAnsi="Arial" w:cs="Arial"/>
          <w:color w:val="000000" w:themeColor="text1"/>
          <w:lang w:val="en-US" w:eastAsia="de-DE"/>
        </w:rPr>
        <w:instrText>on by TOR may be affected by nutrient transceptor–Sch9 interaction under conditions of nutrient starvation or other environmental challenges.","author":[{"dropping-particle":"","family":"Zhang","given":"Zhiqiang","non-dropping-particle":"","parse-names":fa</w:instrText>
      </w:r>
      <w:r>
        <w:rPr>
          <w:rFonts w:ascii="Arial" w:eastAsia="Times New Roman" w:hAnsi="Arial" w:cs="Arial"/>
          <w:color w:val="000000" w:themeColor="text1"/>
          <w:lang w:val="en-US" w:eastAsia="de-DE"/>
        </w:rPr>
        <w:instrText>lse,"suffix":""},{"dropping-particle":"","family":"Cottignie","given":"Ines","non-dropping-particle":"","parse-names":false,"suffix":""},{"dropping-particle":"","family":"Zeebroeck","given":"Griet","non-dropping-particle":"van","parse-names":false,"suffix"</w:instrText>
      </w:r>
      <w:r>
        <w:rPr>
          <w:rFonts w:ascii="Arial" w:eastAsia="Times New Roman" w:hAnsi="Arial" w:cs="Arial"/>
          <w:color w:val="000000" w:themeColor="text1"/>
          <w:lang w:val="en-US" w:eastAsia="de-DE"/>
        </w:rPr>
        <w:instrText>:""},{"dropping-particle":"","family":"Thevelein","given":"Johan M.","non-dropping-particle":"","parse-names":false,"suffix":""}],"container-title":"Biochemical Journal","id":"ITEM-1","issue":"2","issued":{"date-parts":[["2021","1","29"]]},"page":"357-375"</w:instrText>
      </w:r>
      <w:r>
        <w:rPr>
          <w:rFonts w:ascii="Arial" w:eastAsia="Times New Roman" w:hAnsi="Arial" w:cs="Arial"/>
          <w:color w:val="000000" w:themeColor="text1"/>
          <w:lang w:val="en-US" w:eastAsia="de-DE"/>
        </w:rPr>
        <w:instrText>,"publisher":"Portland Press","title":"Nutrient transceptors physically interact with the yeast S6/protein kinase B homolog, Sch9, a TOR kinase target","type":"article-journal","volume":"478"},"uris":["http://www.mendeley.com/documents/?uuid=65a1cc25-d598-</w:instrText>
      </w:r>
      <w:r>
        <w:rPr>
          <w:rFonts w:ascii="Arial" w:eastAsia="Times New Roman" w:hAnsi="Arial" w:cs="Arial"/>
          <w:color w:val="000000" w:themeColor="text1"/>
          <w:lang w:val="en-US" w:eastAsia="de-DE"/>
        </w:rPr>
        <w:instrText>34f4-b8d0-95a2d33f741d"]}],"mendeley":{"formattedCitation":"&lt;sup&gt;341&lt;/sup&gt;","plainTextFormattedCitation":"341","previouslyFormattedCitation":"&lt;sup&gt;341&lt;/sup&gt;"},"properties":{"noteIndex":0},"schema":"https://github.com/citation-style-language/schema/raw/mast</w:instrText>
      </w:r>
      <w:r>
        <w:rPr>
          <w:rFonts w:ascii="Arial" w:eastAsia="Times New Roman" w:hAnsi="Arial" w:cs="Arial"/>
          <w:color w:val="000000" w:themeColor="text1"/>
          <w:lang w:val="en-US" w:eastAsia="de-DE"/>
        </w:rPr>
        <w:instrTex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341</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t>
      </w:r>
    </w:p>
    <w:p w14:paraId="1656950B"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lastRenderedPageBreak/>
        <w:t>While the core of the PKA pathway is conserved among eukaryotes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 xml:space="preserve">ADDIN CSL_CITATION </w:instrText>
      </w:r>
      <w:r>
        <w:rPr>
          <w:rFonts w:ascii="Arial" w:eastAsia="Times New Roman" w:hAnsi="Arial" w:cs="Arial"/>
          <w:color w:val="000000"/>
          <w:lang w:val="en-US" w:eastAsia="de-DE"/>
        </w:rPr>
        <w:instrText>{"citationItems":[{"id":"ITEM-1","itemData":{"DOI":"10.3390/biom12070958","ISSN":"2218273X","PMID":"35883514","abstract":"Eukaryotic cells have developed a complex circuitry of signalling molecules which monitor changes in their intra-and extracellular env</w:instrText>
      </w:r>
      <w:r>
        <w:rPr>
          <w:rFonts w:ascii="Arial" w:eastAsia="Times New Roman" w:hAnsi="Arial" w:cs="Arial"/>
          <w:color w:val="000000"/>
          <w:lang w:val="en-US" w:eastAsia="de-DE"/>
        </w:rPr>
        <w:instrText>ironments. One of the most widely studied signalling pathways is the highly conserved cyclic AMP (cAMP)/protein kinase A (PKA) pathway, which is a major glucose sensing circuit in the yeast Saccharomyces cerevisiae. PKA activity regulates diverse targets i</w:instrText>
      </w:r>
      <w:r>
        <w:rPr>
          <w:rFonts w:ascii="Arial" w:eastAsia="Times New Roman" w:hAnsi="Arial" w:cs="Arial"/>
          <w:color w:val="000000"/>
          <w:lang w:val="en-US" w:eastAsia="de-DE"/>
        </w:rPr>
        <w:instrText>n yeast, positively activating the processes that are associated with rapid cell growth (e.g., fermentative metabolism, ribosome biogenesis and cell division) and negatively regulating the processes that are associated with slow growth, such as respiratory</w:instrText>
      </w:r>
      <w:r>
        <w:rPr>
          <w:rFonts w:ascii="Arial" w:eastAsia="Times New Roman" w:hAnsi="Arial" w:cs="Arial"/>
          <w:color w:val="000000"/>
          <w:lang w:val="en-US" w:eastAsia="de-DE"/>
        </w:rPr>
        <w:instrText xml:space="preserve"> growth, carbohydrate storage and entry into stationary phase. As in higher eukaryotes, yeast has evolved complexity at the level of the PKA catalytic subunit, and Saccharomyces cerevisiae expresses three isoforms, denoted Tpk1-3. Despite evidence for isof</w:instrText>
      </w:r>
      <w:r>
        <w:rPr>
          <w:rFonts w:ascii="Arial" w:eastAsia="Times New Roman" w:hAnsi="Arial" w:cs="Arial"/>
          <w:color w:val="000000"/>
          <w:lang w:val="en-US" w:eastAsia="de-DE"/>
        </w:rPr>
        <w:instrText>orm differences in multiple biological processes, the molecular basis of PKA signalling specificity remains poorly defined, and many studies continue to assume redundancy with regards to PKA-mediated regulation. PKA has canonically been shown to play a key</w:instrText>
      </w:r>
      <w:r>
        <w:rPr>
          <w:rFonts w:ascii="Arial" w:eastAsia="Times New Roman" w:hAnsi="Arial" w:cs="Arial"/>
          <w:color w:val="000000"/>
          <w:lang w:val="en-US" w:eastAsia="de-DE"/>
        </w:rPr>
        <w:instrText xml:space="preserve"> role in fine-tuning the cellular response to diverse stressors; however, recent studies have now begun to interrogate the requirement for individual PKA catalytic isoforms in coordinating distinct steps in stress response pathways. In this review, we disc</w:instrText>
      </w:r>
      <w:r>
        <w:rPr>
          <w:rFonts w:ascii="Arial" w:eastAsia="Times New Roman" w:hAnsi="Arial" w:cs="Arial"/>
          <w:color w:val="000000"/>
          <w:lang w:val="en-US" w:eastAsia="de-DE"/>
        </w:rPr>
        <w:instrText>uss the known non-redundant functions of the Tpk catalytic subunits and the evolving picture of how these isoforms establish specificity in the response to different stress conditions.","author":[{"dropping-particle":"","family":"Creamer","given":"Declan R</w:instrText>
      </w:r>
      <w:r>
        <w:rPr>
          <w:rFonts w:ascii="Arial" w:eastAsia="Times New Roman" w:hAnsi="Arial" w:cs="Arial"/>
          <w:color w:val="000000"/>
          <w:lang w:val="en-US" w:eastAsia="de-DE"/>
        </w:rPr>
        <w:instrText>","non-dropping-particle":"","parse-names":false,"suffix":""},{"dropping-particle":"","family":"Hubbard","given":"Simon J","non-dropping-particle":"","parse-names":false,"suffix":""},{"dropping-particle":"","family":"Ashe","given":"Mark P","non-dropping-pa</w:instrText>
      </w:r>
      <w:r>
        <w:rPr>
          <w:rFonts w:ascii="Arial" w:eastAsia="Times New Roman" w:hAnsi="Arial" w:cs="Arial"/>
          <w:color w:val="000000"/>
          <w:lang w:val="en-US" w:eastAsia="de-DE"/>
        </w:rPr>
        <w:instrText>rticle":"","parse-names":false,"suffix":""},{"dropping-particle":"","family":"Grant","given":"Chris M","non-dropping-particle":"","parse-names":false,"suffix":""}],"container-title":"Biomolecules","id":"ITEM-1","issue":"7","issued":{"date-parts":[["2022","</w:instrText>
      </w:r>
      <w:r>
        <w:rPr>
          <w:rFonts w:ascii="Arial" w:eastAsia="Times New Roman" w:hAnsi="Arial" w:cs="Arial"/>
          <w:color w:val="000000"/>
          <w:lang w:val="en-US" w:eastAsia="de-DE"/>
        </w:rPr>
        <w:instrText>7","8"]]},"page":"958","publisher":"Multidisciplinary Digital Publishing Institute","title":"Yeast Protein Kinase A Isoforms: A Means of Encoding Specificity in the Response to Diverse Stress Conditions?","type":"article","volume":"12"},"uris":["http://www</w:instrText>
      </w:r>
      <w:r>
        <w:rPr>
          <w:rFonts w:ascii="Arial" w:eastAsia="Times New Roman" w:hAnsi="Arial" w:cs="Arial"/>
          <w:color w:val="000000"/>
          <w:lang w:val="en-US" w:eastAsia="de-DE"/>
        </w:rPr>
        <w:instrText>.mendeley.com/documents/?uuid=1089e461-e484-31f8-b838-2b27c17d694e"]}],"mendeley":{"formattedCitation":"&lt;sup&gt;336&lt;/sup&gt;","plainTextFormattedCitation":"336","previouslyFormattedCitation":"&lt;sup&gt;336&lt;/sup&gt;"},"properties":{"noteIndex":0},"schema":"https://github</w:instrText>
      </w:r>
      <w:r>
        <w:rPr>
          <w:rFonts w:ascii="Arial" w:eastAsia="Times New Roman" w:hAnsi="Arial" w:cs="Arial"/>
          <w:color w:val="000000"/>
          <w:lang w:val="en-US" w:eastAsia="de-DE"/>
        </w:rPr>
        <w:instrText>.com/citation-style-language/schema/raw/master/csl-citation.json"}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336</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differences have been observed in its regulation and its upstream activators between species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{"citationItems":[{"id":"ITEM-1","itemData":{"DOI":"10.1016/J.CEB.2008.</w:instrText>
      </w:r>
      <w:r>
        <w:rPr>
          <w:rFonts w:ascii="Arial" w:eastAsia="Times New Roman" w:hAnsi="Arial" w:cs="Arial"/>
          <w:color w:val="000000"/>
          <w:lang w:val="en-US" w:eastAsia="de-DE"/>
        </w:rPr>
        <w:instrText xml:space="preserve">09.009","ISSN":"0955-0674","PMID":"18930818","abstract":"Regulation of cell growth in response to nutrients is crucial for the survival of all organisms. In yeast, cell growth and division require two signaling pathways, TORC1 and PKA. Activation of these </w:instrText>
      </w:r>
      <w:r>
        <w:rPr>
          <w:rFonts w:ascii="Arial" w:eastAsia="Times New Roman" w:hAnsi="Arial" w:cs="Arial"/>
          <w:color w:val="000000"/>
          <w:lang w:val="en-US" w:eastAsia="de-DE"/>
        </w:rPr>
        <w:instrText>pathways crucially depends on intracellular metabolic signals, but the mechanisms remain elusive. Recent studies have identified potential activators of TORC1 and have highlighted a crucial role for the endomembrane system. Moreover, calcium was recognized</w:instrText>
      </w:r>
      <w:r>
        <w:rPr>
          <w:rFonts w:ascii="Arial" w:eastAsia="Times New Roman" w:hAnsi="Arial" w:cs="Arial"/>
          <w:color w:val="000000"/>
          <w:lang w:val="en-US" w:eastAsia="de-DE"/>
        </w:rPr>
        <w:instrText xml:space="preserve"> as an important second messenger for TORC1 activation in response to amino acid levels. On the contrary, genetic analysis indicates that PKA activation depends on an intracellular glucose metabolite. Together with novel quantitative approaches, these find</w:instrText>
      </w:r>
      <w:r>
        <w:rPr>
          <w:rFonts w:ascii="Arial" w:eastAsia="Times New Roman" w:hAnsi="Arial" w:cs="Arial"/>
          <w:color w:val="000000"/>
          <w:lang w:val="en-US" w:eastAsia="de-DE"/>
        </w:rPr>
        <w:instrText>ings provide important groundwork in our understanding of the molecular mechanisms for nutrient sensing in yeast and humans. © 2008 Elsevier Ltd. All rights reserved.","author":[{"dropping-particle":"","family":"Dechant","given":"Reinhard","non-dropping-pa</w:instrText>
      </w:r>
      <w:r>
        <w:rPr>
          <w:rFonts w:ascii="Arial" w:eastAsia="Times New Roman" w:hAnsi="Arial" w:cs="Arial"/>
          <w:color w:val="000000"/>
          <w:lang w:val="en-US" w:eastAsia="de-DE"/>
        </w:rPr>
        <w:instrText>rticle":"","parse-names":false,"suffix":""},{"dropping-particle":"","family":"Peter","given":"Matthias","non-dropping-particle":"","parse-names":false,"suffix":""}],"container-title":"Current Opinion in Cell Biology","id":"ITEM-1","issue":"6","issued":{"da</w:instrText>
      </w:r>
      <w:r>
        <w:rPr>
          <w:rFonts w:ascii="Arial" w:eastAsia="Times New Roman" w:hAnsi="Arial" w:cs="Arial"/>
          <w:color w:val="000000"/>
          <w:lang w:val="en-US" w:eastAsia="de-DE"/>
        </w:rPr>
        <w:instrText>te-parts":[["2008","12","1"]]},"page":"678-687","publisher":"Elsevier Current Trends","title":"Nutrient signals driving cell growth","type":"article-journal","volume":"20"},"uris":["http://www.mendeley.com/documents/?uuid=147590ac-b0ff-3833-8a25-952e600285</w:instrText>
      </w:r>
      <w:r>
        <w:rPr>
          <w:rFonts w:ascii="Arial" w:eastAsia="Times New Roman" w:hAnsi="Arial" w:cs="Arial"/>
          <w:color w:val="000000"/>
          <w:lang w:val="en-US" w:eastAsia="de-DE"/>
        </w:rPr>
        <w:instrText>a8"]},{"id":"ITEM-2","itemData":{"DOI":"10.1101/2022.03.10.483795","abstract":"Eukaryotic cells create gradients of cAMP across space and time to regulate the cAMP dependent protein kinase (PKA) and, in turn, growth and metabolism. However, how PKA respond</w:instrText>
      </w:r>
      <w:r>
        <w:rPr>
          <w:rFonts w:ascii="Arial" w:eastAsia="Times New Roman" w:hAnsi="Arial" w:cs="Arial"/>
          <w:color w:val="000000"/>
          <w:lang w:val="en-US" w:eastAsia="de-DE"/>
        </w:rPr>
        <w:instrText>s to different concentrations of cAMP is unclear. Here, to address this question, we examine PKA signaling in S. cerevisiae in different conditions, timepoints, and concentrations of the chemical inhibitor 1-NM-PP1 using phosphoproteomics. These experiment</w:instrText>
      </w:r>
      <w:r>
        <w:rPr>
          <w:rFonts w:ascii="Arial" w:eastAsia="Times New Roman" w:hAnsi="Arial" w:cs="Arial"/>
          <w:color w:val="000000"/>
          <w:lang w:val="en-US" w:eastAsia="de-DE"/>
        </w:rPr>
        <w:instrText>s show that there are numerous proteins that are only phosphorylated when cAMP and PKA activity are at/near their maximum level, while other proteins are phosphorylated even when cAMP levels and PKA activity are low. The data also show that PKA drives cell</w:instrText>
      </w:r>
      <w:r>
        <w:rPr>
          <w:rFonts w:ascii="Arial" w:eastAsia="Times New Roman" w:hAnsi="Arial" w:cs="Arial"/>
          <w:color w:val="000000"/>
          <w:lang w:val="en-US" w:eastAsia="de-DE"/>
        </w:rPr>
        <w:instrText>s into distinct growth states by acting on proteins with different thresholds for phosphorylation in different conditions. Analysis of the sequences surrounding the 118 PKA-dependent phosphosites suggests that the phosphorylation thresholds are set, at lea</w:instrText>
      </w:r>
      <w:r>
        <w:rPr>
          <w:rFonts w:ascii="Arial" w:eastAsia="Times New Roman" w:hAnsi="Arial" w:cs="Arial"/>
          <w:color w:val="000000"/>
          <w:lang w:val="en-US" w:eastAsia="de-DE"/>
        </w:rPr>
        <w:instrText>st in part, by the affinity of PKA for each site.\n\n### Competing Interest Statement\n\nThe authors have declared no competing interest.","author":[{"dropping-particle":"","family":"Plank","given":"Michael","non-dropping-particle":"","parse-names":false,"</w:instrText>
      </w:r>
      <w:r>
        <w:rPr>
          <w:rFonts w:ascii="Arial" w:eastAsia="Times New Roman" w:hAnsi="Arial" w:cs="Arial"/>
          <w:color w:val="000000"/>
          <w:lang w:val="en-US" w:eastAsia="de-DE"/>
        </w:rPr>
        <w:instrText>suffix":""},{"dropping-particle":"","family":"Carmiol","given":"Nicole","non-dropping-particle":"","parse-names":false,"suffix":""},{"dropping-particle":"","family":"Mitri","given":"Bassam","non-dropping-particle":"","parse-names":false,"suffix":""},{"drop</w:instrText>
      </w:r>
      <w:r>
        <w:rPr>
          <w:rFonts w:ascii="Arial" w:eastAsia="Times New Roman" w:hAnsi="Arial" w:cs="Arial"/>
          <w:color w:val="000000"/>
          <w:lang w:val="en-US" w:eastAsia="de-DE"/>
        </w:rPr>
        <w:instrText xml:space="preserve">ping-particle":"","family":"Capaldi","given":"Andrew P.","non-dropping-particle":"","parse-names":false,"suffix":""}],"container-title":"bioRxiv","id":"ITEM-2","issued":{"date-parts":[["2022","3","13"]]},"page":"2022.03.10.483795","publisher":"Cold Spring </w:instrText>
      </w:r>
      <w:r>
        <w:rPr>
          <w:rFonts w:ascii="Arial" w:eastAsia="Times New Roman" w:hAnsi="Arial" w:cs="Arial"/>
          <w:color w:val="000000"/>
          <w:lang w:val="en-US" w:eastAsia="de-DE"/>
        </w:rPr>
        <w:instrText>Harbor Laboratory","title":"Systems level analysis of time and stimuli specific signaling through PKA","type":"article-journal"},"uris":["http://www.mendeley.com/documents/?uuid=2fa6bdb5-966b-35a7-b77a-ed0080f9f808"]}],"mendeley":{"formattedCitation":"&lt;sup</w:instrText>
      </w:r>
      <w:r>
        <w:rPr>
          <w:rFonts w:ascii="Arial" w:eastAsia="Times New Roman" w:hAnsi="Arial" w:cs="Arial"/>
          <w:color w:val="000000"/>
          <w:lang w:val="en-US" w:eastAsia="de-DE"/>
        </w:rPr>
        <w:instrText>&gt;325,342&lt;/sup&gt;","plainTextFormattedCitation":"325,342","previouslyFormattedCitation":"&lt;sup&gt;325,342&lt;/sup&gt;"},"properties":{"noteIndex":0},"schema":"https://github.com/citation-style-language/schema/raw/master/csl-citation.json"}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325,342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multicellular o</w:t>
      </w:r>
      <w:r>
        <w:rPr>
          <w:rFonts w:ascii="Arial" w:eastAsia="Times New Roman" w:hAnsi="Arial" w:cs="Arial"/>
          <w:color w:val="000000"/>
          <w:lang w:val="en-US" w:eastAsia="de-DE"/>
        </w:rPr>
        <w:t xml:space="preserve">rganisms, certain cell types, such as pancreatic </w:t>
      </w:r>
      <w:r>
        <w:rPr>
          <w:rFonts w:ascii="Arial" w:eastAsia="Times New Roman" w:hAnsi="Arial" w:cs="Arial"/>
          <w:color w:val="000000"/>
          <w:lang w:eastAsia="de-DE"/>
        </w:rPr>
        <w:t>α</w:t>
      </w:r>
      <w:r>
        <w:rPr>
          <w:rFonts w:ascii="Arial" w:eastAsia="Times New Roman" w:hAnsi="Arial" w:cs="Arial"/>
          <w:color w:val="000000"/>
          <w:lang w:val="en-US" w:eastAsia="de-DE"/>
        </w:rPr>
        <w:t xml:space="preserve">- and </w:t>
      </w:r>
      <w:r>
        <w:rPr>
          <w:rFonts w:ascii="Arial" w:eastAsia="Times New Roman" w:hAnsi="Arial" w:cs="Arial"/>
          <w:color w:val="000000"/>
          <w:lang w:eastAsia="de-DE"/>
        </w:rPr>
        <w:t>β</w:t>
      </w:r>
      <w:r>
        <w:rPr>
          <w:rFonts w:ascii="Arial" w:eastAsia="Times New Roman" w:hAnsi="Arial" w:cs="Arial"/>
          <w:color w:val="000000"/>
          <w:lang w:val="en-US" w:eastAsia="de-DE"/>
        </w:rPr>
        <w:t>-cells and neurons involved in the regulation of the pancreatic endocrine function, are specialized for sensing blood glucose levels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w:instrText>
      </w:r>
      <w:r>
        <w:rPr>
          <w:rFonts w:ascii="Arial" w:eastAsia="Times New Roman" w:hAnsi="Arial" w:cs="Arial"/>
          <w:color w:val="000000"/>
          <w:lang w:val="en-US" w:eastAsia="de-DE"/>
        </w:rPr>
        <w:instrText>I":"10.1007/S00424-020-02466-2","ISSN":"1432-2013","PMID":"32960363","abstract":"Glucose is a major source of energy in animals. Maintaining blood glucose levels within a physiological range is important for facilitating glucose uptake by cells, as require</w:instrText>
      </w:r>
      <w:r>
        <w:rPr>
          <w:rFonts w:ascii="Arial" w:eastAsia="Times New Roman" w:hAnsi="Arial" w:cs="Arial"/>
          <w:color w:val="000000"/>
          <w:lang w:val="en-US" w:eastAsia="de-DE"/>
        </w:rPr>
        <w:instrText>d for optimal functioning. Glucose homeostasis relies on multiple glucose-sensing cells in the body that constantly monitor blood glucose levels and respond accordingly to adjust its glycemia. These include not only pancreatic β-cells and α-cells that secr</w:instrText>
      </w:r>
      <w:r>
        <w:rPr>
          <w:rFonts w:ascii="Arial" w:eastAsia="Times New Roman" w:hAnsi="Arial" w:cs="Arial"/>
          <w:color w:val="000000"/>
          <w:lang w:val="en-US" w:eastAsia="de-DE"/>
        </w:rPr>
        <w:instrText>ete insulin and glucagon, but also central and peripheral neurons regulating pancreatic endocrine function. Different types of cells respond distinctively to changes in blood glucose levels, and the mechanisms involved in glucose sensing are diverse. Notab</w:instrText>
      </w:r>
      <w:r>
        <w:rPr>
          <w:rFonts w:ascii="Arial" w:eastAsia="Times New Roman" w:hAnsi="Arial" w:cs="Arial"/>
          <w:color w:val="000000"/>
          <w:lang w:val="en-US" w:eastAsia="de-DE"/>
        </w:rPr>
        <w:instrText>ly, recent studies have challenged the currently held views regarding glucose-sensing mechanisms. Furthermore, peripheral and central glucose-sensing cells appear to work in concert to control blood glucose level and maintain glucose and energy homeostasis</w:instrText>
      </w:r>
      <w:r>
        <w:rPr>
          <w:rFonts w:ascii="Arial" w:eastAsia="Times New Roman" w:hAnsi="Arial" w:cs="Arial"/>
          <w:color w:val="000000"/>
          <w:lang w:val="en-US" w:eastAsia="de-DE"/>
        </w:rPr>
        <w:instrText xml:space="preserve"> in organisms. In this review, we summarize the established concepts and recent advances in the understanding of cellular and systemic mechanisms that regulate glucose sensing and its homeostasis.","author":[{"dropping-particle":"","family":"Sohn","given":</w:instrText>
      </w:r>
      <w:r>
        <w:rPr>
          <w:rFonts w:ascii="Arial" w:eastAsia="Times New Roman" w:hAnsi="Arial" w:cs="Arial"/>
          <w:color w:val="000000"/>
          <w:lang w:val="en-US" w:eastAsia="de-DE"/>
        </w:rPr>
        <w:instrText>"Jong Woo","non-dropping-particle":"","parse-names":false,"suffix":""},{"dropping-particle":"","family":"Ho","given":"Won Kyung","non-dropping-particle":"","parse-names":false,"suffix":""}],"container-title":"Pflugers Archiv : European journal of physiolog</w:instrText>
      </w:r>
      <w:r>
        <w:rPr>
          <w:rFonts w:ascii="Arial" w:eastAsia="Times New Roman" w:hAnsi="Arial" w:cs="Arial"/>
          <w:color w:val="000000"/>
          <w:lang w:val="en-US" w:eastAsia="de-DE"/>
        </w:rPr>
        <w:instrText>y","id":"ITEM-1","issue":"11","issued":{"date-parts":[["2020","11","1"]]},"page":"1547-1561","publisher":"Pflugers Arch","title":"Cellular and systemic mechanisms for glucose sensing and homeostasis","type":"article-journal","volume":"472"},"uris":["http:/</w:instrText>
      </w:r>
      <w:r>
        <w:rPr>
          <w:rFonts w:ascii="Arial" w:eastAsia="Times New Roman" w:hAnsi="Arial" w:cs="Arial"/>
          <w:color w:val="000000"/>
          <w:lang w:val="en-US" w:eastAsia="de-DE"/>
        </w:rPr>
        <w:instrText>/www.mendeley.com/documents/?uuid=e8051b4d-94ee-3675-8b36-95c6863080e7"]}],"mendeley":{"formattedCitation":"&lt;sup&gt;343&lt;/sup&gt;","plainTextFormattedCitation":"343","previouslyFormattedCitation":"&lt;sup&gt;343&lt;/sup&gt;"},"properties":{"noteIndex":0},"schema":"https://gi</w:instrText>
      </w:r>
      <w:r>
        <w:rPr>
          <w:rFonts w:ascii="Arial" w:eastAsia="Times New Roman" w:hAnsi="Arial" w:cs="Arial"/>
          <w:color w:val="000000"/>
          <w:lang w:val="en-US" w:eastAsia="de-DE"/>
        </w:rPr>
        <w:instrText>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343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Glucose sensing and the subsequent glucagon or insulin secretion by pancreatic </w:t>
      </w:r>
      <w:r>
        <w:rPr>
          <w:rFonts w:ascii="Arial" w:eastAsia="Times New Roman" w:hAnsi="Arial" w:cs="Arial"/>
          <w:color w:val="000000"/>
          <w:lang w:eastAsia="de-DE"/>
        </w:rPr>
        <w:t>α</w:t>
      </w:r>
      <w:r>
        <w:rPr>
          <w:rFonts w:ascii="Arial" w:eastAsia="Times New Roman" w:hAnsi="Arial" w:cs="Arial"/>
          <w:color w:val="000000"/>
          <w:lang w:val="en-US" w:eastAsia="de-DE"/>
        </w:rPr>
        <w:t xml:space="preserve">- and </w:t>
      </w:r>
      <w:r>
        <w:rPr>
          <w:rFonts w:ascii="Arial" w:eastAsia="Times New Roman" w:hAnsi="Arial" w:cs="Arial"/>
          <w:color w:val="000000"/>
          <w:lang w:eastAsia="de-DE"/>
        </w:rPr>
        <w:t>β</w:t>
      </w:r>
      <w:r>
        <w:rPr>
          <w:rFonts w:ascii="Arial" w:eastAsia="Times New Roman" w:hAnsi="Arial" w:cs="Arial"/>
          <w:color w:val="000000"/>
          <w:lang w:val="en-US" w:eastAsia="de-DE"/>
        </w:rPr>
        <w:t>-cells, respectively, is mainly regulated via a network of GLUT2 glucose transporters, ATP-</w:t>
      </w:r>
      <w:r>
        <w:rPr>
          <w:rFonts w:ascii="Arial" w:eastAsia="Times New Roman" w:hAnsi="Arial" w:cs="Arial"/>
          <w:color w:val="000000"/>
          <w:lang w:val="en-US" w:eastAsia="de-DE"/>
        </w:rPr>
        <w:t>sensitive potassium channels, and voltage-gated calcium channels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{"citationItems":[{"id":"ITEM-1","itemData":{"DOI":"10.1530/JME-15-0316","ISSN":"14796813","PMID":"27194812","abstract":"In mammals, cyclic adenosine monophosphate (cAMP) is</w:instrText>
      </w:r>
      <w:r>
        <w:rPr>
          <w:rFonts w:ascii="Arial" w:eastAsia="Times New Roman" w:hAnsi="Arial" w:cs="Arial"/>
          <w:color w:val="000000"/>
          <w:lang w:val="en-US" w:eastAsia="de-DE"/>
        </w:rPr>
        <w:instrText xml:space="preserve"> an intracellular second messenger that is usually elicited by binding of hormones and neurotransmitters to G protein-coupled receptors (GPCRs). cAMP exerts many of its physiological effects by activating cAMPdependent protein kinase (PKA), which in turn p</w:instrText>
      </w:r>
      <w:r>
        <w:rPr>
          <w:rFonts w:ascii="Arial" w:eastAsia="Times New Roman" w:hAnsi="Arial" w:cs="Arial"/>
          <w:color w:val="000000"/>
          <w:lang w:val="en-US" w:eastAsia="de-DE"/>
        </w:rPr>
        <w:instrText>hosphorylates and regulates the functions of downstream protein targets including ion channels, enzymes, and transcription factors. cAMP/PKA signaling pathway regulates glucose homeostasis at multiple levels including insulin and glucagon secretion, glucos</w:instrText>
      </w:r>
      <w:r>
        <w:rPr>
          <w:rFonts w:ascii="Arial" w:eastAsia="Times New Roman" w:hAnsi="Arial" w:cs="Arial"/>
          <w:color w:val="000000"/>
          <w:lang w:val="en-US" w:eastAsia="de-DE"/>
        </w:rPr>
        <w:instrText>e uptake, glycogen synthesis and breakdown, gluconeogenesis, and neural control of glucose homeostasis. This review summarizes recent genetic and pharmacological studies concerning the regulation of glucose homeostasis by cAMP/PKA in pancreas, liver, skele</w:instrText>
      </w:r>
      <w:r>
        <w:rPr>
          <w:rFonts w:ascii="Arial" w:eastAsia="Times New Roman" w:hAnsi="Arial" w:cs="Arial"/>
          <w:color w:val="000000"/>
          <w:lang w:val="en-US" w:eastAsia="de-DE"/>
        </w:rPr>
        <w:instrText>tal muscle, adipose tissues, and brain. We also discuss the strategies for targeting cAMP/PKA pathway for research and potential therapeutic treatment of type 2 diabetes mellitus (T2D).","author":[{"dropping-particle":"","family":"Yang","given":"Haihua","n</w:instrText>
      </w:r>
      <w:r>
        <w:rPr>
          <w:rFonts w:ascii="Arial" w:eastAsia="Times New Roman" w:hAnsi="Arial" w:cs="Arial"/>
          <w:color w:val="000000"/>
          <w:lang w:val="en-US" w:eastAsia="de-DE"/>
        </w:rPr>
        <w:instrText>on-dropping-particle":"","parse-names":false,"suffix":""},{"dropping-particle":"","family":"Yang","given":"Linghai","non-dropping-particle":"","parse-names":false,"suffix":""}],"container-title":"Journal of Molecular Endocrinology","id":"ITEM-1","issue":"2</w:instrText>
      </w:r>
      <w:r>
        <w:rPr>
          <w:rFonts w:ascii="Arial" w:eastAsia="Times New Roman" w:hAnsi="Arial" w:cs="Arial"/>
          <w:color w:val="000000"/>
          <w:lang w:val="en-US" w:eastAsia="de-DE"/>
        </w:rPr>
        <w:instrText>","issued":{"date-parts":[["2016"]]},"page":"R93-R108","title":"Targeting cAMP/PKA pathway for glycemic control and type 2 diabetes therapy","type":"article","volume":"57"},"uris":["http://www.mendeley.com/documents/?uuid=4995f181-446c-3d34-84b0-64b553b69f</w:instrText>
      </w:r>
      <w:r>
        <w:rPr>
          <w:rFonts w:ascii="Arial" w:eastAsia="Times New Roman" w:hAnsi="Arial" w:cs="Arial"/>
          <w:color w:val="000000"/>
          <w:lang w:val="en-US" w:eastAsia="de-DE"/>
        </w:rPr>
        <w:instrText>51"]}],"mendeley":{"formattedCitation":"&lt;sup&gt;344&lt;/sup&gt;","plainTextFormattedCitation":"344","previouslyFormattedCitation":"&lt;sup&gt;344&lt;/sup&gt;"},"properties":{"noteIndex":0},"schema":"https://github.com/citation-style-language/schema/raw/master/csl-citation.json</w:instrText>
      </w:r>
      <w:r>
        <w:rPr>
          <w:rFonts w:ascii="Arial" w:eastAsia="Times New Roman" w:hAnsi="Arial" w:cs="Arial"/>
          <w:color w:val="000000"/>
          <w:lang w:val="en-US" w:eastAsia="de-DE"/>
        </w:rPr>
        <w:instrText>"}</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344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role of the PKA pathway in these cells is to enhance or suppress insulin or glucagon secretion by binding to extracellular signaling molecules such as hormones and neurotransmitters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w:instrText>
      </w:r>
      <w:r>
        <w:rPr>
          <w:rFonts w:ascii="Arial" w:eastAsia="Times New Roman" w:hAnsi="Arial" w:cs="Arial"/>
          <w:color w:val="000000"/>
          <w:lang w:val="en-US" w:eastAsia="de-DE"/>
        </w:rPr>
        <w:instrText>":{"DOI":"10.1530/JME-15-0316","ISSN":"14796813","PMID":"27194812","abstract":"In mammals, cyclic adenosine monophosphate (cAMP) is an intracellular second messenger that is usually elicited by binding of hormones and neurotransmitters to G protein-coupled</w:instrText>
      </w:r>
      <w:r>
        <w:rPr>
          <w:rFonts w:ascii="Arial" w:eastAsia="Times New Roman" w:hAnsi="Arial" w:cs="Arial"/>
          <w:color w:val="000000"/>
          <w:lang w:val="en-US" w:eastAsia="de-DE"/>
        </w:rPr>
        <w:instrText xml:space="preserve"> receptors (GPCRs). cAMP exerts many of its physiological effects by activating cAMPdependent protein kinase (PKA), which in turn phosphorylates and regulates the functions of downstream protein targets including ion channels, enzymes, and transcription fa</w:instrText>
      </w:r>
      <w:r>
        <w:rPr>
          <w:rFonts w:ascii="Arial" w:eastAsia="Times New Roman" w:hAnsi="Arial" w:cs="Arial"/>
          <w:color w:val="000000"/>
          <w:lang w:val="en-US" w:eastAsia="de-DE"/>
        </w:rPr>
        <w:instrText>ctors. cAMP/PKA signaling pathway regulates glucose homeostasis at multiple levels including insulin and glucagon secretion, glucose uptake, glycogen synthesis and breakdown, gluconeogenesis, and neural control of glucose homeostasis. This review summarize</w:instrText>
      </w:r>
      <w:r>
        <w:rPr>
          <w:rFonts w:ascii="Arial" w:eastAsia="Times New Roman" w:hAnsi="Arial" w:cs="Arial"/>
          <w:color w:val="000000"/>
          <w:lang w:val="en-US" w:eastAsia="de-DE"/>
        </w:rPr>
        <w:instrText>s recent genetic and pharmacological studies concerning the regulation of glucose homeostasis by cAMP/PKA in pancreas, liver, skeletal muscle, adipose tissues, and brain. We also discuss the strategies for targeting cAMP/PKA pathway for research and potent</w:instrText>
      </w:r>
      <w:r>
        <w:rPr>
          <w:rFonts w:ascii="Arial" w:eastAsia="Times New Roman" w:hAnsi="Arial" w:cs="Arial"/>
          <w:color w:val="000000"/>
          <w:lang w:val="en-US" w:eastAsia="de-DE"/>
        </w:rPr>
        <w:instrText>ial therapeutic treatment of type 2 diabetes mellitus (T2D).","author":[{"dropping-particle":"","family":"Yang","given":"Haihua","non-dropping-particle":"","parse-names":false,"suffix":""},{"dropping-particle":"","family":"Yang","given":"Linghai","non-drop</w:instrText>
      </w:r>
      <w:r>
        <w:rPr>
          <w:rFonts w:ascii="Arial" w:eastAsia="Times New Roman" w:hAnsi="Arial" w:cs="Arial"/>
          <w:color w:val="000000"/>
          <w:lang w:val="en-US" w:eastAsia="de-DE"/>
        </w:rPr>
        <w:instrText>ping-particle":"","parse-names":false,"suffix":""}],"container-title":"Journal of Molecular Endocrinology","id":"ITEM-1","issue":"2","issued":{"date-parts":[["2016"]]},"page":"R93-R108","title":"Targeting cAMP/PKA pathway for glycemic control and type 2 di</w:instrText>
      </w:r>
      <w:r>
        <w:rPr>
          <w:rFonts w:ascii="Arial" w:eastAsia="Times New Roman" w:hAnsi="Arial" w:cs="Arial"/>
          <w:color w:val="000000"/>
          <w:lang w:val="en-US" w:eastAsia="de-DE"/>
        </w:rPr>
        <w:instrText>abetes therapy","type":"article","volume":"57"},"uris":["http://www.mendeley.com/documents/?uuid=4995f181-446c-3d34-84b0-64b553b69f51"]}],"mendeley":{"formattedCitation":"&lt;sup&gt;344&lt;/sup&gt;","plainTextFormattedCitation":"344","previouslyFormattedCitation":"&lt;su</w:instrText>
      </w:r>
      <w:r>
        <w:rPr>
          <w:rFonts w:ascii="Arial" w:eastAsia="Times New Roman" w:hAnsi="Arial" w:cs="Arial"/>
          <w:color w:val="000000"/>
          <w:lang w:val="en-US" w:eastAsia="de-DE"/>
        </w:rPr>
        <w:instrText>p&gt;344&lt;/sup&gt;"},"properties":{"noteIndex":0},"schema":"https://github.com/citation-style-language/schema/raw/master/csl-citation.json"}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344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Thus, while the budding yeast PKA pathway can be activated by glucose binding, its mammalian counterpart is usually</w:t>
      </w:r>
      <w:r>
        <w:rPr>
          <w:rFonts w:ascii="Arial" w:eastAsia="Times New Roman" w:hAnsi="Arial" w:cs="Arial"/>
          <w:color w:val="000000"/>
          <w:lang w:val="en-US" w:eastAsia="de-DE"/>
        </w:rPr>
        <w:t xml:space="preserve"> activated by binding hormones or neurotransmitters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{"citationItems":[{"id":"ITEM-1","itemData":{"DOI":"10.1016/J.CEB.2008.09.009","ISSN":"0955-0674","PMID":"18930818","abstract":"Regulation of cell growth in response to nutrients is cruc</w:instrText>
      </w:r>
      <w:r>
        <w:rPr>
          <w:rFonts w:ascii="Arial" w:eastAsia="Times New Roman" w:hAnsi="Arial" w:cs="Arial"/>
          <w:color w:val="000000"/>
          <w:lang w:val="en-US" w:eastAsia="de-DE"/>
        </w:rPr>
        <w:instrText>ial for the survival of all organisms. In yeast, cell growth and division require two signaling pathways, TORC1 and PKA. Activation of these pathways crucially depends on intracellular metabolic signals, but the mechanisms remain elusive. Recent studies ha</w:instrText>
      </w:r>
      <w:r>
        <w:rPr>
          <w:rFonts w:ascii="Arial" w:eastAsia="Times New Roman" w:hAnsi="Arial" w:cs="Arial"/>
          <w:color w:val="000000"/>
          <w:lang w:val="en-US" w:eastAsia="de-DE"/>
        </w:rPr>
        <w:instrText>ve identified potential activators of TORC1 and have highlighted a crucial role for the endomembrane system. Moreover, calcium was recognized as an important second messenger for TORC1 activation in response to amino acid levels. On the contrary, genetic a</w:instrText>
      </w:r>
      <w:r>
        <w:rPr>
          <w:rFonts w:ascii="Arial" w:eastAsia="Times New Roman" w:hAnsi="Arial" w:cs="Arial"/>
          <w:color w:val="000000"/>
          <w:lang w:val="en-US" w:eastAsia="de-DE"/>
        </w:rPr>
        <w:instrText>nalysis indicates that PKA activation depends on an intracellular glucose metabolite. Together with novel quantitative approaches, these findings provide important groundwork in our understanding of the molecular mechanisms for nutrient sensing in yeast an</w:instrText>
      </w:r>
      <w:r>
        <w:rPr>
          <w:rFonts w:ascii="Arial" w:eastAsia="Times New Roman" w:hAnsi="Arial" w:cs="Arial"/>
          <w:color w:val="000000"/>
          <w:lang w:val="en-US" w:eastAsia="de-DE"/>
        </w:rPr>
        <w:instrText>d humans. © 2008 Elsevier Ltd. All rights reserved.","author":[{"dropping-particle":"","family":"Dechant","given":"Reinhard","non-dropping-particle":"","parse-names":false,"suffix":""},{"dropping-particle":"","family":"Peter","given":"Matthias","non-droppi</w:instrText>
      </w:r>
      <w:r>
        <w:rPr>
          <w:rFonts w:ascii="Arial" w:eastAsia="Times New Roman" w:hAnsi="Arial" w:cs="Arial"/>
          <w:color w:val="000000"/>
          <w:lang w:val="en-US" w:eastAsia="de-DE"/>
        </w:rPr>
        <w:instrText>ng-particle":"","parse-names":false,"suffix":""}],"container-title":"Current Opinion in Cell Biology","id":"ITEM-1","issue":"6","issued":{"date-parts":[["2008","12","1"]]},"page":"678-687","publisher":"Elsevier Current Trends","title":"Nutrient signals dri</w:instrText>
      </w:r>
      <w:r>
        <w:rPr>
          <w:rFonts w:ascii="Arial" w:eastAsia="Times New Roman" w:hAnsi="Arial" w:cs="Arial"/>
          <w:color w:val="000000"/>
          <w:lang w:val="en-US" w:eastAsia="de-DE"/>
        </w:rPr>
        <w:instrText>ving cell growth","type":"article-journal","volume":"20"},"uris":["http://www.mendeley.com/documents/?uuid=147590ac-b0ff-3833-8a25-952e600285a8"]},{"id":"ITEM-2","itemData":{"DOI":"10.1016/J.CELLSIG.2017.05.012","ISSN":"0898-6568","PMID":"28528970","abstra</w:instrText>
      </w:r>
      <w:r>
        <w:rPr>
          <w:rFonts w:ascii="Arial" w:eastAsia="Times New Roman" w:hAnsi="Arial" w:cs="Arial"/>
          <w:color w:val="000000"/>
          <w:lang w:val="en-US" w:eastAsia="de-DE"/>
        </w:rPr>
        <w:instrText>ct":"Cellular signal transmission requires the dynamic formation of spatiotemporally controlled molecular interactions. At the cell surface information is received by receptor complexes and relayed through intracellular signaling platforms which organize t</w:instrText>
      </w:r>
      <w:r>
        <w:rPr>
          <w:rFonts w:ascii="Arial" w:eastAsia="Times New Roman" w:hAnsi="Arial" w:cs="Arial"/>
          <w:color w:val="000000"/>
          <w:lang w:val="en-US" w:eastAsia="de-DE"/>
        </w:rPr>
        <w:instrText>he actions of functionally interacting signaling enzymes and substrates. The list of hormone or neurotransmitter pathways that utilize the ubiquitous cAMP-sensing protein kinase A (PKA) system is expansive. This requires that the specificity, duration, and</w:instrText>
      </w:r>
      <w:r>
        <w:rPr>
          <w:rFonts w:ascii="Arial" w:eastAsia="Times New Roman" w:hAnsi="Arial" w:cs="Arial"/>
          <w:color w:val="000000"/>
          <w:lang w:val="en-US" w:eastAsia="de-DE"/>
        </w:rPr>
        <w:instrText xml:space="preserve"> intensity of PKA responses are spatially and temporally restricted. Hereby, scaffolding proteins take the center stage for ensuring proper signal transmission. They unite second messenger sensors, activators, effectors, and kinase substrates within cellul</w:instrText>
      </w:r>
      <w:r>
        <w:rPr>
          <w:rFonts w:ascii="Arial" w:eastAsia="Times New Roman" w:hAnsi="Arial" w:cs="Arial"/>
          <w:color w:val="000000"/>
          <w:lang w:val="en-US" w:eastAsia="de-DE"/>
        </w:rPr>
        <w:instrText>ar micro-domains to precisely control and route signal propagation. A-kinase anchoring proteins (AKAPs) organize such subcellular signalosomes by tethering the PKA holoenzyme to distinct cell compartments. AKAPs differ in their modular organization showing</w:instrText>
      </w:r>
      <w:r>
        <w:rPr>
          <w:rFonts w:ascii="Arial" w:eastAsia="Times New Roman" w:hAnsi="Arial" w:cs="Arial"/>
          <w:color w:val="000000"/>
          <w:lang w:val="en-US" w:eastAsia="de-DE"/>
        </w:rPr>
        <w:instrText xml:space="preserve"> pathway specific arrangements of interaction motifs or domains. This enables the cell- and compartment- guided assembly of signalosomes with unique enzyme composition and function. The AKAP-mediated clustering of cAMP and other second messenger sensing an</w:instrText>
      </w:r>
      <w:r>
        <w:rPr>
          <w:rFonts w:ascii="Arial" w:eastAsia="Times New Roman" w:hAnsi="Arial" w:cs="Arial"/>
          <w:color w:val="000000"/>
          <w:lang w:val="en-US" w:eastAsia="de-DE"/>
        </w:rPr>
        <w:instrText>d interacting signaling components along with functional successive enzymes facilitates the rapid and precise dissemination of incoming signals. This review article delineates examples for different means of PKA regulation and for snapshots of compartmenta</w:instrText>
      </w:r>
      <w:r>
        <w:rPr>
          <w:rFonts w:ascii="Arial" w:eastAsia="Times New Roman" w:hAnsi="Arial" w:cs="Arial"/>
          <w:color w:val="000000"/>
          <w:lang w:val="en-US" w:eastAsia="de-DE"/>
        </w:rPr>
        <w:instrText>lized PKA signalosomes.","author":[{"dropping-particle":"","family":"Torres-Quesada","given":"Omar","non-dropping-particle":"","parse-names":false,"suffix":""},{"dropping-particle":"","family":"Mayrhofer","given":"Johanna E.","non-dropping-particle":"","pa</w:instrText>
      </w:r>
      <w:r>
        <w:rPr>
          <w:rFonts w:ascii="Arial" w:eastAsia="Times New Roman" w:hAnsi="Arial" w:cs="Arial"/>
          <w:color w:val="000000"/>
          <w:lang w:val="en-US" w:eastAsia="de-DE"/>
        </w:rPr>
        <w:instrText>rse-names":false,"suffix":""},{"dropping-particle":"","family":"Stefan","given":"Eduard","non-dropping-particle":"","parse-names":false,"suffix":""}],"container-title":"Cellular Signalling","id":"ITEM-2","issued":{"date-parts":[["2017","9","1"]]},"page":"1</w:instrText>
      </w:r>
      <w:r>
        <w:rPr>
          <w:rFonts w:ascii="Arial" w:eastAsia="Times New Roman" w:hAnsi="Arial" w:cs="Arial"/>
          <w:color w:val="000000"/>
          <w:lang w:val="en-US" w:eastAsia="de-DE"/>
        </w:rPr>
        <w:instrText>-11","publisher":"Pergamon","title":"The many faces of compartmentalized PKA signalosomes","type":"article-journal","volume":"37"},"uris":["http://www.mendeley.com/documents/?uuid=656c7603-6ab5-351e-b6b4-2ebcbfc1a04b"]}],"mendeley":{"formattedCitation":"&lt;s</w:instrText>
      </w:r>
      <w:r>
        <w:rPr>
          <w:rFonts w:ascii="Arial" w:eastAsia="Times New Roman" w:hAnsi="Arial" w:cs="Arial"/>
          <w:color w:val="000000"/>
          <w:lang w:val="en-US" w:eastAsia="de-DE"/>
        </w:rPr>
        <w:instrText>up&gt;325,345&lt;/sup&gt;","plainTextFormattedCitation":"325,345","previouslyFormattedCitation":"&lt;sup&gt;325,345&lt;/sup&gt;"},"properties":{"noteIndex":0},"schema":"https://github.com/citation-style-language/schema/raw/master/csl-citation.json"}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325,345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Additionally, a </w:t>
      </w:r>
      <w:r>
        <w:rPr>
          <w:rFonts w:ascii="Arial" w:eastAsia="Times New Roman" w:hAnsi="Arial" w:cs="Arial"/>
          <w:color w:val="000000"/>
          <w:lang w:val="en-US" w:eastAsia="de-DE"/>
        </w:rPr>
        <w:t>role for PKA in the regulation of the mTOR pathway has recently been described in mammalian cells. Hormone-sensing GPCRs coupled to a specific type of G</w:t>
      </w:r>
      <w:r>
        <w:rPr>
          <w:rFonts w:ascii="Arial" w:eastAsia="Times New Roman" w:hAnsi="Arial" w:cs="Arial"/>
          <w:color w:val="000000"/>
          <w:lang w:eastAsia="de-DE"/>
        </w:rPr>
        <w:t>α</w:t>
      </w:r>
      <w:r>
        <w:rPr>
          <w:rFonts w:ascii="Arial" w:eastAsia="Times New Roman" w:hAnsi="Arial" w:cs="Arial"/>
          <w:color w:val="000000"/>
          <w:lang w:val="en-US" w:eastAsia="de-DE"/>
        </w:rPr>
        <w:t xml:space="preserve"> protein, G</w:t>
      </w:r>
      <w:r>
        <w:rPr>
          <w:rFonts w:ascii="Arial" w:eastAsia="Times New Roman" w:hAnsi="Arial" w:cs="Arial"/>
          <w:color w:val="000000"/>
          <w:lang w:eastAsia="de-DE"/>
        </w:rPr>
        <w:t>α</w:t>
      </w:r>
      <w:r>
        <w:rPr>
          <w:rFonts w:ascii="Arial" w:eastAsia="Times New Roman" w:hAnsi="Arial" w:cs="Arial"/>
          <w:color w:val="000000"/>
          <w:vertAlign w:val="subscript"/>
          <w:lang w:val="en-US" w:eastAsia="de-DE"/>
        </w:rPr>
        <w:t>s</w:t>
      </w:r>
      <w:r>
        <w:rPr>
          <w:rFonts w:ascii="Arial" w:eastAsia="Times New Roman" w:hAnsi="Arial" w:cs="Arial"/>
          <w:color w:val="000000"/>
          <w:lang w:val="en-US" w:eastAsia="de-DE"/>
        </w:rPr>
        <w:t>, can activate PKA, which can in turn inhibit mTORC1, an important complex of the mTOR pat</w:t>
      </w:r>
      <w:r>
        <w:rPr>
          <w:rFonts w:ascii="Arial" w:eastAsia="Times New Roman" w:hAnsi="Arial" w:cs="Arial"/>
          <w:color w:val="000000"/>
          <w:lang w:val="en-US" w:eastAsia="de-DE"/>
        </w:rPr>
        <w:t>hway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{"citationItems":[{"id":"ITEM-1","itemData":{"DOI":"10.7554/ELIFE.43038","ISSN":"2050084X","PMID":"31112131","abstract":"The mammalian target of rapamycin complex 1 (mTORC1) regulates cell growth, metabolism, and autophagy. Extensive</w:instrText>
      </w:r>
      <w:r>
        <w:rPr>
          <w:rFonts w:ascii="Arial" w:eastAsia="Times New Roman" w:hAnsi="Arial" w:cs="Arial"/>
          <w:color w:val="000000"/>
          <w:lang w:val="en-US" w:eastAsia="de-DE"/>
        </w:rPr>
        <w:instrText xml:space="preserve"> research has focused on pathways that activate mTORC1 like growth factors and amino acids; however, much less is known about signaling cues that directly inhibit mTORC1 activity. Here, we report that G-protein coupled receptors (GPCRs) paired to Gαs prote</w:instrText>
      </w:r>
      <w:r>
        <w:rPr>
          <w:rFonts w:ascii="Arial" w:eastAsia="Times New Roman" w:hAnsi="Arial" w:cs="Arial"/>
          <w:color w:val="000000"/>
          <w:lang w:val="en-US" w:eastAsia="de-DE"/>
        </w:rPr>
        <w:instrText>ins increase cyclic adenosine 3’5’ monophosphate (cAMP) to activate protein kinase A (PKA) and inhibit mTORC1. Mechanistically, PKA phosphorylates the mTORC1 component Raptor on Ser 791, leading to decreased mTORC1 activity. Consistently, in cells where Ra</w:instrText>
      </w:r>
      <w:r>
        <w:rPr>
          <w:rFonts w:ascii="Arial" w:eastAsia="Times New Roman" w:hAnsi="Arial" w:cs="Arial"/>
          <w:color w:val="000000"/>
          <w:lang w:val="en-US" w:eastAsia="de-DE"/>
        </w:rPr>
        <w:instrText>ptor Ser 791 is mutated to Ala, mTORC1 activity is partially rescued even after PKA activation. Gαs-coupled GPCRs stimulation leads to inhibition of mTORC1 in multiple cell lines and mouse tissues. Our results uncover a signaling pathway that directly inhi</w:instrText>
      </w:r>
      <w:r>
        <w:rPr>
          <w:rFonts w:ascii="Arial" w:eastAsia="Times New Roman" w:hAnsi="Arial" w:cs="Arial"/>
          <w:color w:val="000000"/>
          <w:lang w:val="en-US" w:eastAsia="de-DE"/>
        </w:rPr>
        <w:instrText>bits mTORC1, and suggest that GPCRs paired to Gαs proteins may be potential therapeutic targets for human diseases with hyperactivated mTORC1.","author":[{"dropping-particle":"","family":"Jewell","given":"Jenna L.","non-dropping-particle":"","parse-names":</w:instrText>
      </w:r>
      <w:r>
        <w:rPr>
          <w:rFonts w:ascii="Arial" w:eastAsia="Times New Roman" w:hAnsi="Arial" w:cs="Arial"/>
          <w:color w:val="000000"/>
          <w:lang w:val="en-US" w:eastAsia="de-DE"/>
        </w:rPr>
        <w:instrText>false,"suffix":""},{"dropping-particle":"","family":"Fu","given":"Vivian","non-dropping-particle":"","parse-names":false,"suffix":""},{"dropping-particle":"","family":"Hong","given":"Audrey W.","non-dropping-particle":"","parse-names":false,"suffix":""},{"</w:instrText>
      </w:r>
      <w:r>
        <w:rPr>
          <w:rFonts w:ascii="Arial" w:eastAsia="Times New Roman" w:hAnsi="Arial" w:cs="Arial"/>
          <w:color w:val="000000"/>
          <w:lang w:val="en-US" w:eastAsia="de-DE"/>
        </w:rPr>
        <w:instrText>dropping-particle":"","family":"Yu","given":"Fa Xing","non-dropping-particle":"","parse-names":false,"suffix":""},{"dropping-particle":"","family":"Meng","given":"Delong","non-dropping-particle":"","parse-names":false,"suffix":""},{"dropping-particle":"","</w:instrText>
      </w:r>
      <w:r>
        <w:rPr>
          <w:rFonts w:ascii="Arial" w:eastAsia="Times New Roman" w:hAnsi="Arial" w:cs="Arial"/>
          <w:color w:val="000000"/>
          <w:lang w:val="en-US" w:eastAsia="de-DE"/>
        </w:rPr>
        <w:instrText>family":"Melick","given":"Chase H.","non-dropping-particle":"","parse-names":false,"suffix":""},{"dropping-particle":"","family":"Wang","given":"Huanyu","non-dropping-particle":"","parse-names":false,"suffix":""},{"dropping-particle":"","family":"Lam","giv</w:instrText>
      </w:r>
      <w:r>
        <w:rPr>
          <w:rFonts w:ascii="Arial" w:eastAsia="Times New Roman" w:hAnsi="Arial" w:cs="Arial"/>
          <w:color w:val="000000"/>
          <w:lang w:val="en-US" w:eastAsia="de-DE"/>
        </w:rPr>
        <w:instrText>en":"Wai Ling Macrina","non-dropping-particle":"","parse-names":false,"suffix":""},{"dropping-particle":"","family":"Yuan","given":"Hai Xin","non-dropping-particle":"","parse-names":false,"suffix":""},{"dropping-particle":"","family":"Taylor","given":"Susa</w:instrText>
      </w:r>
      <w:r>
        <w:rPr>
          <w:rFonts w:ascii="Arial" w:eastAsia="Times New Roman" w:hAnsi="Arial" w:cs="Arial"/>
          <w:color w:val="000000"/>
          <w:lang w:val="en-US" w:eastAsia="de-DE"/>
        </w:rPr>
        <w:instrText>n S.","non-dropping-particle":"","parse-names":false,"suffix":""},{"dropping-particle":"","family":"Guan","given":"Kun Liang","non-dropping-particle":"","parse-names":false,"suffix":""}],"container-title":"eLife","id":"ITEM-1","issued":{"date-parts":[["201</w:instrText>
      </w:r>
      <w:r>
        <w:rPr>
          <w:rFonts w:ascii="Arial" w:eastAsia="Times New Roman" w:hAnsi="Arial" w:cs="Arial"/>
          <w:color w:val="000000"/>
          <w:lang w:val="en-US" w:eastAsia="de-DE"/>
        </w:rPr>
        <w:instrText>9","5","1"]]},"publisher":"eLife Sciences Publications Ltd","title":"GPCR signaling inhibits mTORC1 via PKA phosphorylation of raptor","type":"article-journal","volume":"8"},"uris":["http://www.mendeley.com/documents/?uuid=2cf90c48-7935-32f6-aaec-6fa83b059</w:instrText>
      </w:r>
      <w:r>
        <w:rPr>
          <w:rFonts w:ascii="Arial" w:eastAsia="Times New Roman" w:hAnsi="Arial" w:cs="Arial"/>
          <w:color w:val="000000"/>
          <w:lang w:val="en-US" w:eastAsia="de-DE"/>
        </w:rPr>
        <w:instrText>ab8"]},{"id":"ITEM-2","itemData":{"DOI":"10.1124/molpharm.121.000302","ISSN":"15210111","PMID":"34965982","abstract":"The mammalian target of rapamycin (mTOR) senses upstream stimuli to regulate numerous cellular functions such as metabolism, growth, and a</w:instrText>
      </w:r>
      <w:r>
        <w:rPr>
          <w:rFonts w:ascii="Arial" w:eastAsia="Times New Roman" w:hAnsi="Arial" w:cs="Arial"/>
          <w:color w:val="000000"/>
          <w:lang w:val="en-US" w:eastAsia="de-DE"/>
        </w:rPr>
        <w:instrText>utophagy. Increased activation of mTOR complex 1 (mTORC1) is typically observed in human disease and continues to be an important therapeutic target. Understanding the upstream regulators of mTORC1 will provide a crucial link in targeting hyperactivated mT</w:instrText>
      </w:r>
      <w:r>
        <w:rPr>
          <w:rFonts w:ascii="Arial" w:eastAsia="Times New Roman" w:hAnsi="Arial" w:cs="Arial"/>
          <w:color w:val="000000"/>
          <w:lang w:val="en-US" w:eastAsia="de-DE"/>
        </w:rPr>
        <w:instrText>ORC1 in human disease. In this mini-review, we will discuss the regulation of mTORC1 by upstream stimuli, with a specific focus on G-protein coupled receptor signaling to mTORC1.","author":[{"dropping-particle":"","family":"Melick","given":"Chase H.","non-</w:instrText>
      </w:r>
      <w:r>
        <w:rPr>
          <w:rFonts w:ascii="Arial" w:eastAsia="Times New Roman" w:hAnsi="Arial" w:cs="Arial"/>
          <w:color w:val="000000"/>
          <w:lang w:val="en-US" w:eastAsia="de-DE"/>
        </w:rPr>
        <w:instrText>dropping-particle":"","parse-names":false,"suffix":""},{"dropping-particle":"","family":"Lama-Sherpa","given":"Tshering D.","non-dropping-particle":"","parse-names":false,"suffix":""},{"dropping-particle":"","family":"Curukovic","given":"Adna","non-droppin</w:instrText>
      </w:r>
      <w:r>
        <w:rPr>
          <w:rFonts w:ascii="Arial" w:eastAsia="Times New Roman" w:hAnsi="Arial" w:cs="Arial"/>
          <w:color w:val="000000"/>
          <w:lang w:val="en-US" w:eastAsia="de-DE"/>
        </w:rPr>
        <w:instrText>g-particle":"","parse-names":false,"suffix":""},{"dropping-particle":"","family":"Jewell","given":"Jenna L.","non-dropping-particle":"","parse-names":false,"suffix":""}],"container-title":"Molecular Pharmacology","id":"ITEM-2","issue":"4","issued":{"date-p</w:instrText>
      </w:r>
      <w:r>
        <w:rPr>
          <w:rFonts w:ascii="Arial" w:eastAsia="Times New Roman" w:hAnsi="Arial" w:cs="Arial"/>
          <w:color w:val="000000"/>
          <w:lang w:val="en-US" w:eastAsia="de-DE"/>
        </w:rPr>
        <w:instrText>arts":[["2022","4","1"]]},"page":"181-190","publisher":"American Society for Pharmacology and Experimental Therapeutics","title":"G-Protein Coupled Receptor Signaling and Mammalian Target of Rapamycin Complex 1 Regulation","type":"article","volume":"101"},</w:instrText>
      </w:r>
      <w:r>
        <w:rPr>
          <w:rFonts w:ascii="Arial" w:eastAsia="Times New Roman" w:hAnsi="Arial" w:cs="Arial"/>
          <w:color w:val="000000"/>
          <w:lang w:val="en-US" w:eastAsia="de-DE"/>
        </w:rPr>
        <w:instrText>"uris":["http://www.mendeley.com/documents/?uuid=892f8a4f-96ca-3c90-a159-03458648124a"]}],"mendeley":{"formattedCitation":"&lt;sup&gt;346,347&lt;/sup&gt;","plainTextFormattedCitation":"346,347","previouslyFormattedCitation":"&lt;sup&gt;346,347&lt;/sup&gt;"},"properties":{"noteInd</w:instrText>
      </w:r>
      <w:r>
        <w:rPr>
          <w:rFonts w:ascii="Arial" w:eastAsia="Times New Roman" w:hAnsi="Arial" w:cs="Arial"/>
          <w:color w:val="000000"/>
          <w:lang w:val="en-US" w:eastAsia="de-DE"/>
        </w:rPr>
        <w:instrText>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346,347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interaction could add a layer of hormonal control in cell growth and size regulation. </w:t>
      </w:r>
    </w:p>
    <w:p w14:paraId="12A090CE"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 xml:space="preserve">7.3.2 Nutrient/growth factor-sensing and regulation of </w:t>
      </w:r>
      <w:r>
        <w:rPr>
          <w:rFonts w:ascii="Arial" w:eastAsia="Times New Roman" w:hAnsi="Arial" w:cs="Arial"/>
          <w:i/>
          <w:iCs/>
          <w:color w:val="000000"/>
          <w:u w:val="single"/>
          <w:lang w:val="en-US" w:eastAsia="de-DE"/>
        </w:rPr>
        <w:t>growth by mTOR</w:t>
      </w:r>
    </w:p>
    <w:p w14:paraId="34DFDF17"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The mammalian TOR protein (mTOR, which is also the accepted abbreviation for mechanistic TOR</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{"citationItems":[{"id":"ITEM-1","itemData":{"DOI":"10.1038/nrm3025","ISSN":"1471-0080","PMID":"21157483","abstract":"In eukaryote</w:instrText>
      </w:r>
      <w:r>
        <w:rPr>
          <w:rFonts w:ascii="Arial" w:eastAsia="Times New Roman" w:hAnsi="Arial" w:cs="Arial"/>
          <w:color w:val="000000" w:themeColor="text1"/>
          <w:lang w:val="en-US" w:eastAsia="de-DE"/>
        </w:rPr>
        <w:instrText>s, the target of rapamycin (TOR) protein kinase simultaneously senses energy, nutrients and stress (and growth factors in metazoans) to regulate cell growth and division. Advances in our understanding of the regulation and functions of mammalian TOR (mTOR)</w:instrText>
      </w:r>
      <w:r>
        <w:rPr>
          <w:rFonts w:ascii="Arial" w:eastAsia="Times New Roman" w:hAnsi="Arial" w:cs="Arial"/>
          <w:color w:val="000000" w:themeColor="text1"/>
          <w:lang w:val="en-US" w:eastAsia="de-DE"/>
        </w:rPr>
        <w:instrText xml:space="preserve"> are revealing its involvement in diabetes, cancer and ageing. In all eukaryotes, the target of rapamycin (TOR) signalling pathway couples energy and nutrient abundance to the execution of cell growth and division, owing to the ability of TOR protein kinas</w:instrText>
      </w:r>
      <w:r>
        <w:rPr>
          <w:rFonts w:ascii="Arial" w:eastAsia="Times New Roman" w:hAnsi="Arial" w:cs="Arial"/>
          <w:color w:val="000000" w:themeColor="text1"/>
          <w:lang w:val="en-US" w:eastAsia="de-DE"/>
        </w:rPr>
        <w:instrText>e to simultaneously sense energy, nutrients and stress and, in metazoans, growth factors. Mammalian TOR complex 1 (mTORC1) and mTORC2 exert their actions by regulating other important kinases, such as S6 kinase (S6K) and Akt. In the past few years, a signi</w:instrText>
      </w:r>
      <w:r>
        <w:rPr>
          <w:rFonts w:ascii="Arial" w:eastAsia="Times New Roman" w:hAnsi="Arial" w:cs="Arial"/>
          <w:color w:val="000000" w:themeColor="text1"/>
          <w:lang w:val="en-US" w:eastAsia="de-DE"/>
        </w:rPr>
        <w:instrText>ficant advance in our understanding of the regulation and functions of mTOR has revealed the crucial involvement of this signalling pathway in the onset and progression of diabetes, cancer and ageing.","author":[{"dropping-particle":"","family":"Zoncu","gi</w:instrText>
      </w:r>
      <w:r>
        <w:rPr>
          <w:rFonts w:ascii="Arial" w:eastAsia="Times New Roman" w:hAnsi="Arial" w:cs="Arial"/>
          <w:color w:val="000000" w:themeColor="text1"/>
          <w:lang w:val="en-US" w:eastAsia="de-DE"/>
        </w:rPr>
        <w:instrText>ven":"Roberto","non-dropping-particle":"","parse-names":false,"suffix":""},{"dropping-particle":"","family":"Efeyan","given":"Alejo","non-dropping-particle":"","parse-names":false,"suffix":""},{"dropping-particle":"","family":"Sabatini","given":"David M.",</w:instrText>
      </w:r>
      <w:r>
        <w:rPr>
          <w:rFonts w:ascii="Arial" w:eastAsia="Times New Roman" w:hAnsi="Arial" w:cs="Arial"/>
          <w:color w:val="000000" w:themeColor="text1"/>
          <w:lang w:val="en-US" w:eastAsia="de-DE"/>
        </w:rPr>
        <w:instrText>"non-dropping-particle":"","parse-names":false,"suffix":""}],"container-title":"Nature Reviews Molecular Cell Biology 2010 12:1","id":"ITEM-1","issue":"1","issued":{"date-parts":[["2010","12","15"]]},"page":"21-35","publisher":"Nature Publishing Group","ti</w:instrText>
      </w:r>
      <w:r>
        <w:rPr>
          <w:rFonts w:ascii="Arial" w:eastAsia="Times New Roman" w:hAnsi="Arial" w:cs="Arial"/>
          <w:color w:val="000000" w:themeColor="text1"/>
          <w:lang w:val="en-US" w:eastAsia="de-DE"/>
        </w:rPr>
        <w:instrText>tle":"mTOR: from growth signal integration to cancer, diabetes and ageing","type":"article-journal","volume":"12"},"uris":["http://www.mendeley.com/documents/?uuid=19400185-1d05-3ba7-aeca-d66e0e8db490"]}],"mendeley":{"formattedCitation":"&lt;sup&gt;322&lt;/sup&gt;","p</w:instrText>
      </w:r>
      <w:r>
        <w:rPr>
          <w:rFonts w:ascii="Arial" w:eastAsia="Times New Roman" w:hAnsi="Arial" w:cs="Arial"/>
          <w:color w:val="000000" w:themeColor="text1"/>
          <w:lang w:val="en-US" w:eastAsia="de-DE"/>
        </w:rPr>
        <w:instrText>lainTextFormattedCitation":"322","previouslyFormattedCitation":"&lt;sup&gt;322&lt;/sup&gt;"},"properties":{"noteIndex":0},"schema":"https://github.com/citation-style-language/schema/raw/master/csl-citation.json"}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322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is a highly conserved protein kinase, which </w:t>
      </w:r>
      <w:r>
        <w:rPr>
          <w:rFonts w:ascii="Arial" w:eastAsia="Times New Roman" w:hAnsi="Arial" w:cs="Arial"/>
          <w:color w:val="000000" w:themeColor="text1"/>
          <w:lang w:val="en-US" w:eastAsia="de-DE"/>
        </w:rPr>
        <w:t>acts as the catalytic subunit of two protein complexes, mTORC1 (mammalian TOR complex 1) and mTORC2</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{"citationItems":[{"id":"ITEM-1","itemData":{"DOI":"10.1073/PNAS.1716173114","ISSN":"10916490","PMID":"29078414","abstract":"SignificanceT</w:instrText>
      </w:r>
      <w:r>
        <w:rPr>
          <w:rFonts w:ascii="Arial" w:eastAsia="Times New Roman" w:hAnsi="Arial" w:cs="Arial"/>
          <w:color w:val="000000" w:themeColor="text1"/>
          <w:lang w:val="en-US" w:eastAsia="de-DE"/>
        </w:rPr>
        <w:instrText>he mechanisms that regulate organismal growth and coordinate it with the availability of nutrients were unknown until a few decades ago. We now know that one pathway—the mechanistic ta...","author":[{"dropping-particle":"","family":"Sabatini","given":"Davi</w:instrText>
      </w:r>
      <w:r>
        <w:rPr>
          <w:rFonts w:ascii="Arial" w:eastAsia="Times New Roman" w:hAnsi="Arial" w:cs="Arial"/>
          <w:color w:val="000000" w:themeColor="text1"/>
          <w:lang w:val="en-US" w:eastAsia="de-DE"/>
        </w:rPr>
        <w:instrText>d M.","non-dropping-particle":"","parse-names":false,"suffix":""}],"container-title":"Proceedings of the National Academy of Sciences","id":"ITEM-1","issue":"45","issued":{"date-parts":[["2017","11","7"]]},"page":"11818-11825","publisher":"National Academy</w:instrText>
      </w:r>
      <w:r>
        <w:rPr>
          <w:rFonts w:ascii="Arial" w:eastAsia="Times New Roman" w:hAnsi="Arial" w:cs="Arial"/>
          <w:color w:val="000000" w:themeColor="text1"/>
          <w:lang w:val="en-US" w:eastAsia="de-DE"/>
        </w:rPr>
        <w:instrText xml:space="preserve"> of Sciences","title":"Twenty-five years of mTOR: Uncovering the link from nutrients to growth","type":"article-journal","volume":"114"},"uris":["http://www.mendeley.com/documents/?uuid=4158f135-e3e7-3da9-92df-f787e73b7f6a"]}],"mendeley":{"formattedCitatio</w:instrText>
      </w:r>
      <w:r>
        <w:rPr>
          <w:rFonts w:ascii="Arial" w:eastAsia="Times New Roman" w:hAnsi="Arial" w:cs="Arial"/>
          <w:color w:val="000000" w:themeColor="text1"/>
          <w:lang w:val="en-US" w:eastAsia="de-DE"/>
        </w:rPr>
        <w:instrText>n":"&lt;sup&gt;348&lt;/sup&gt;","manualFormatting":"333, ","plainTextFormattedCitation":"348","previouslyFormattedCitation":"&lt;sup&gt;348&lt;/sup&gt;"},"properties":{"noteIndex":0},"schema":"https://github.com/citation-style-language/schema/raw/master/csl-citation.json"}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333</w:t>
      </w:r>
      <w:r>
        <w:rPr>
          <w:rFonts w:ascii="Arial" w:eastAsia="Times New Roman" w:hAnsi="Arial" w:cs="Arial"/>
          <w:noProof/>
          <w:color w:val="000000" w:themeColor="text1"/>
          <w:lang w:val="en-US" w:eastAsia="de-DE"/>
        </w:rPr>
        <w:t>,</w:t>
      </w:r>
      <w:r>
        <w:rPr>
          <w:rFonts w:ascii="Arial" w:eastAsia="Times New Roman" w:hAnsi="Arial" w:cs="Arial"/>
          <w:noProof/>
          <w:color w:val="000000" w:themeColor="text1"/>
          <w:vertAlign w:val="superscript"/>
          <w:lang w:val="en-US" w:eastAsia="de-DE"/>
        </w:rPr>
        <w:t xml:space="preserve"> </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both of which have been extensively reviewed previously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{"citationItems":[{"id":"ITEM-1","itemData":{"DOI":"10.1073/PNAS.1716173114","ISSN":"10916490","PMID":"29078414","abstract":"SignificanceThe mechanisms that regulate organismal grow</w:instrText>
      </w:r>
      <w:r>
        <w:rPr>
          <w:rFonts w:ascii="Arial" w:eastAsia="Times New Roman" w:hAnsi="Arial" w:cs="Arial"/>
          <w:color w:val="000000" w:themeColor="text1"/>
          <w:lang w:val="en-US" w:eastAsia="de-DE"/>
        </w:rPr>
        <w:instrText>th and coordinate it with the availability of nutrients were unknown until a few decades ago. We now know that one pathway—the mechanistic ta...","author":[{"dropping-particle":"","family":"Sabatini","given":"David M.","non-dropping-particle":"","parse-nam</w:instrText>
      </w:r>
      <w:r>
        <w:rPr>
          <w:rFonts w:ascii="Arial" w:eastAsia="Times New Roman" w:hAnsi="Arial" w:cs="Arial"/>
          <w:color w:val="000000" w:themeColor="text1"/>
          <w:lang w:val="en-US" w:eastAsia="de-DE"/>
        </w:rPr>
        <w:instrText>es":false,"suffix":""}],"container-title":"Proceedings of the National Academy of Sciences","id":"ITEM-1","issue":"45","issued":{"date-parts":[["2017","11","7"]]},"page":"11818-11825","publisher":"National Academy of Sciences","title":"Twenty-five years of</w:instrText>
      </w:r>
      <w:r>
        <w:rPr>
          <w:rFonts w:ascii="Arial" w:eastAsia="Times New Roman" w:hAnsi="Arial" w:cs="Arial"/>
          <w:color w:val="000000" w:themeColor="text1"/>
          <w:lang w:val="en-US" w:eastAsia="de-DE"/>
        </w:rPr>
        <w:instrText xml:space="preserve"> mTOR: Uncovering the link from nutrients to growth","type":"article-journal","volume":"114"},"uris":["http://www.mendeley.com/documents/?uuid=4158f135-e3e7-3da9-92df-f787e73b7f6a"]},{"id":"ITEM-2","itemData":{"DOI":"10.1016/j.cell.2017.02.004","author":[{</w:instrText>
      </w:r>
      <w:r>
        <w:rPr>
          <w:rFonts w:ascii="Arial" w:eastAsia="Times New Roman" w:hAnsi="Arial" w:cs="Arial"/>
          <w:color w:val="000000" w:themeColor="text1"/>
          <w:lang w:val="en-US" w:eastAsia="de-DE"/>
        </w:rPr>
        <w:instrText>"dropping-particle":"","family":"Saxton","given":"Robert A","non-dropping-particle":"","parse-names":false,"suffix":""},{"dropping-particle":"","family":"Sabatini","given":"David M","non-dropping-particle":"","parse-names":false,"suffix":""}],"id":"ITEM-2"</w:instrText>
      </w:r>
      <w:r>
        <w:rPr>
          <w:rFonts w:ascii="Arial" w:eastAsia="Times New Roman" w:hAnsi="Arial" w:cs="Arial"/>
          <w:color w:val="000000" w:themeColor="text1"/>
          <w:lang w:val="en-US" w:eastAsia="de-DE"/>
        </w:rPr>
        <w:instrText>,"issued":{"date-parts":[["0"]]},"title":"Leading Edge mTOR Signaling in Growth, Metabolism, and Disease","type":"article-journal"},"uris":["http://www.mendeley.com/documents/?uuid=5bd5d0ab-b8c6-3196-bc7d-dd430eb2cb9e"]},{"id":"ITEM-3","itemData":{"DOI":"1</w:instrText>
      </w:r>
      <w:r>
        <w:rPr>
          <w:rFonts w:ascii="Arial" w:eastAsia="Times New Roman" w:hAnsi="Arial" w:cs="Arial"/>
          <w:color w:val="000000" w:themeColor="text1"/>
          <w:lang w:val="en-US" w:eastAsia="de-DE"/>
        </w:rPr>
        <w:instrText>0.1016/J.SBI.2023.102663","ISSN":"0959-440X","PMID":"37572585","abstract":"The mTOR signaling pathway is essential for regulating cell growth and mammalian metabolism. The mTOR kinase forms two complexes, mTORC1 and mTORC2, which respond to external stimul</w:instrText>
      </w:r>
      <w:r>
        <w:rPr>
          <w:rFonts w:ascii="Arial" w:eastAsia="Times New Roman" w:hAnsi="Arial" w:cs="Arial"/>
          <w:color w:val="000000" w:themeColor="text1"/>
          <w:lang w:val="en-US" w:eastAsia="de-DE"/>
        </w:rPr>
        <w:instrText>i and regulate differential downstream targets. Cellular membrane-associated translocation mediates function and assembly of the mTOR complexes, and recent structural studies have begun uncovering the molecular basis by which the mTOR pathway (1) regulates</w:instrText>
      </w:r>
      <w:r>
        <w:rPr>
          <w:rFonts w:ascii="Arial" w:eastAsia="Times New Roman" w:hAnsi="Arial" w:cs="Arial"/>
          <w:color w:val="000000" w:themeColor="text1"/>
          <w:lang w:val="en-US" w:eastAsia="de-DE"/>
        </w:rPr>
        <w:instrText xml:space="preserve"> signaling inputs, (2) recruits substrates, (3) localizes to biological membranes, and (4) becomes activated. Moreover, indications of dysregulated mTOR signaling are implicated in a wide range of diseases and an increasingly comprehensive understanding of</w:instrText>
      </w:r>
      <w:r>
        <w:rPr>
          <w:rFonts w:ascii="Arial" w:eastAsia="Times New Roman" w:hAnsi="Arial" w:cs="Arial"/>
          <w:color w:val="000000" w:themeColor="text1"/>
          <w:lang w:val="en-US" w:eastAsia="de-DE"/>
        </w:rPr>
        <w:instrText xml:space="preserve"> structural mechanisms is driving novel translational development.","author":[{"dropping-particle":"","family":"Linde-Garelli","given":"Karen Y.","non-dropping-particle":"","parse-names":false,"suffix":""},{"dropping-particle":"","family":"Rogala","given":</w:instrText>
      </w:r>
      <w:r>
        <w:rPr>
          <w:rFonts w:ascii="Arial" w:eastAsia="Times New Roman" w:hAnsi="Arial" w:cs="Arial"/>
          <w:color w:val="000000" w:themeColor="text1"/>
          <w:lang w:val="en-US" w:eastAsia="de-DE"/>
        </w:rPr>
        <w:instrText>"Kacper B.","non-dropping-particle":"","parse-names":false,"suffix":""}],"container-title":"Current Opinion in Structural Biology","id":"ITEM-3","issued":{"date-parts":[["2023","10","1"]]},"page":"102663","publisher":"Elsevier Current Trends","title":"Stru</w:instrText>
      </w:r>
      <w:r>
        <w:rPr>
          <w:rFonts w:ascii="Arial" w:eastAsia="Times New Roman" w:hAnsi="Arial" w:cs="Arial"/>
          <w:color w:val="000000" w:themeColor="text1"/>
          <w:lang w:val="en-US" w:eastAsia="de-DE"/>
        </w:rPr>
        <w:instrText>ctural mechanisms of the mTOR pathway","type":"article-journal","volume":"82"},"uris":["http://www.mendeley.com/documents/?uuid=0dc5ad00-02f0-39a5-8d91-2da873d107fd"]}],"mendeley":{"formattedCitation":"&lt;sup&gt;348–350&lt;/sup&gt;","plainTextFormattedCitation":"348–</w:instrText>
      </w:r>
      <w:r>
        <w:rPr>
          <w:rFonts w:ascii="Arial" w:eastAsia="Times New Roman" w:hAnsi="Arial" w:cs="Arial"/>
          <w:color w:val="000000" w:themeColor="text1"/>
          <w:lang w:val="en-US" w:eastAsia="de-DE"/>
        </w:rPr>
        <w:instrText>350","previouslyFormattedCitation":"&lt;sup&gt;348–350&lt;/sup&gt;"},"properties":{"noteIndex":0},"schema":"https://github.com/citation-style-language/schema/raw/master/csl-citation.json"}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348–350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 coincidence detector model describes how mTORC1, upon detecting </w:t>
      </w:r>
      <w:r>
        <w:rPr>
          <w:rFonts w:ascii="Arial" w:eastAsia="Times New Roman" w:hAnsi="Arial" w:cs="Arial"/>
          <w:color w:val="000000" w:themeColor="text1"/>
          <w:lang w:val="en-US" w:eastAsia="de-DE"/>
        </w:rPr>
        <w:t>the presence of both nutrients and growth factors, upregulates growth by upregulating ribosome biogenesis, mRNA translation, lipid synthesis, nucleotide synthesis, and by downregulating autophagy and lysosome biogenesis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w:instrText>
      </w:r>
      <w:r>
        <w:rPr>
          <w:rFonts w:ascii="Arial" w:eastAsia="Times New Roman" w:hAnsi="Arial" w:cs="Arial"/>
          <w:color w:val="000000" w:themeColor="text1"/>
          <w:lang w:val="en-US" w:eastAsia="de-DE"/>
        </w:rPr>
        <w:instrText>{"id":"ITEM-1","itemData":{"DOI":"10.1016/j.cell.2017.02.004","author":[{"dropping-particle":"","family":"Saxton","given":"Robert A","non-dropping-particle":"","parse-names":false,"suffix":""},{"dropping-particle":"","family":"Sabatini","given":"David M","</w:instrText>
      </w:r>
      <w:r>
        <w:rPr>
          <w:rFonts w:ascii="Arial" w:eastAsia="Times New Roman" w:hAnsi="Arial" w:cs="Arial"/>
          <w:color w:val="000000" w:themeColor="text1"/>
          <w:lang w:val="en-US" w:eastAsia="de-DE"/>
        </w:rPr>
        <w:instrText>non-dropping-particle":"","parse-names":false,"suffix":""}],"id":"ITEM-1","issued":{"date-parts":[["0"]]},"title":"Leading Edge mTOR Signaling in Growth, Metabolism, and Disease","type":"article-journal"},"uris":["http://www.mendeley.com/documents/?uuid=5b</w:instrText>
      </w:r>
      <w:r>
        <w:rPr>
          <w:rFonts w:ascii="Arial" w:eastAsia="Times New Roman" w:hAnsi="Arial" w:cs="Arial"/>
          <w:color w:val="000000" w:themeColor="text1"/>
          <w:lang w:val="en-US" w:eastAsia="de-DE"/>
        </w:rPr>
        <w:instrText>d5d0ab-b8c6-3196-bc7d-dd430eb2cb9e"]}],"mendeley":{"formattedCitation":"&lt;sup&gt;349&lt;/sup&gt;","plainTextFormattedCitation":"349","previouslyFormattedCitation":"&lt;sup&gt;349&lt;/sup&gt;"},"properties":{"noteIndex":0},"schema":"https://github.com/citation-style-language/sch</w:instrText>
      </w:r>
      <w:r>
        <w:rPr>
          <w:rFonts w:ascii="Arial" w:eastAsia="Times New Roman" w:hAnsi="Arial" w:cs="Arial"/>
          <w:color w:val="000000" w:themeColor="text1"/>
          <w:lang w:val="en-US" w:eastAsia="de-DE"/>
        </w:rPr>
        <w:instrText>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t>
      </w:r>
    </w:p>
    <w:p w14:paraId="0B7E4E4D"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 xml:space="preserve">The nutrient-sensing arm of the mTORC1 pathway consists of many dedicated sensor proteins or protein complexes, each specialized to detect the availability of either a particular amino-acid or </w:t>
      </w:r>
      <w:r>
        <w:rPr>
          <w:rFonts w:ascii="Arial" w:eastAsia="Times New Roman" w:hAnsi="Arial" w:cs="Arial"/>
          <w:i/>
          <w:iCs/>
          <w:color w:val="000000" w:themeColor="text1"/>
          <w:lang w:val="en-US" w:eastAsia="de-DE"/>
        </w:rPr>
        <w:t>S</w:t>
      </w:r>
      <w:r>
        <w:rPr>
          <w:rFonts w:ascii="Arial" w:eastAsia="Times New Roman" w:hAnsi="Arial" w:cs="Arial"/>
          <w:color w:val="000000" w:themeColor="text1"/>
          <w:lang w:val="en-US" w:eastAsia="de-DE"/>
        </w:rPr>
        <w:t>-adenosylmethionine</w:t>
      </w:r>
      <w:r>
        <w:rPr>
          <w:rFonts w:ascii="Arial" w:eastAsia="Times New Roman" w:hAnsi="Arial" w:cs="Arial"/>
          <w:color w:val="000000" w:themeColor="text1"/>
          <w:lang w:val="en-US" w:eastAsia="de-DE"/>
        </w:rPr>
        <w:t xml:space="preserve"> (SAM), by binding to it</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{"citationItems":[{"id":"ITEM-1","itemData":{"DOI":"10.1073/PNAS.1716173114","ISSN":"10916490","PMID":"29078414","abstract":"SignificanceThe mechanisms that regulate organismal growth and coordinate it with the av</w:instrText>
      </w:r>
      <w:r>
        <w:rPr>
          <w:rFonts w:ascii="Arial" w:eastAsia="Times New Roman" w:hAnsi="Arial" w:cs="Arial"/>
          <w:color w:val="000000" w:themeColor="text1"/>
          <w:lang w:val="en-US" w:eastAsia="de-DE"/>
        </w:rPr>
        <w:instrText>ailability of nutrients were unknown until a few decades ago. We now know that one pathway—the mechanistic ta...","author":[{"dropping-particle":"","family":"Sabatini","given":"David M.","non-dropping-particle":"","parse-names":false,"suffix":""}],"contain</w:instrText>
      </w:r>
      <w:r>
        <w:rPr>
          <w:rFonts w:ascii="Arial" w:eastAsia="Times New Roman" w:hAnsi="Arial" w:cs="Arial"/>
          <w:color w:val="000000" w:themeColor="text1"/>
          <w:lang w:val="en-US" w:eastAsia="de-DE"/>
        </w:rPr>
        <w:instrText xml:space="preserve">er-title":"Proceedings of the National Academy of Sciences","id":"ITEM-1","issue":"45","issued":{"date-parts":[["2017","11","7"]]},"page":"11818-11825","publisher":"National Academy of Sciences","title":"Twenty-five years of mTOR: Uncovering the link from </w:instrText>
      </w:r>
      <w:r>
        <w:rPr>
          <w:rFonts w:ascii="Arial" w:eastAsia="Times New Roman" w:hAnsi="Arial" w:cs="Arial"/>
          <w:color w:val="000000" w:themeColor="text1"/>
          <w:lang w:val="en-US" w:eastAsia="de-DE"/>
        </w:rPr>
        <w:instrText>nutrients to growth","type":"article-journal","volume":"114"},"uris":["http://www.mendeley.com/documents/?uuid=4158f135-e3e7-3da9-92df-f787e73b7f6a"]}],"mendeley":{"formattedCitation":"&lt;sup&gt;348&lt;/sup&gt;","plainTextFormattedCitation":"348","previouslyFormatted</w:instrText>
      </w:r>
      <w:r>
        <w:rPr>
          <w:rFonts w:ascii="Arial" w:eastAsia="Times New Roman" w:hAnsi="Arial" w:cs="Arial"/>
          <w:color w:val="000000" w:themeColor="text1"/>
          <w:lang w:val="en-US" w:eastAsia="de-DE"/>
        </w:rPr>
        <w:instrText>Citation":"&lt;sup&gt;348&lt;/sup&gt;"},"properties":{"noteIndex":0},"schema":"https://github.com/citation-style-language/schema/raw/master/csl-citation.json"}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348</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(Fig. 7). This nutrient detection is communicated to the mTORC1 pathway by the GATOR </w:t>
      </w:r>
      <w:proofErr w:type="spellStart"/>
      <w:r>
        <w:rPr>
          <w:rFonts w:ascii="Arial" w:eastAsia="Times New Roman" w:hAnsi="Arial" w:cs="Arial"/>
          <w:color w:val="000000" w:themeColor="text1"/>
          <w:lang w:val="en-US" w:eastAsia="de-DE"/>
        </w:rPr>
        <w:t>supercomplex</w:t>
      </w:r>
      <w:proofErr w:type="spellEnd"/>
      <w:r>
        <w:rPr>
          <w:rFonts w:ascii="Arial" w:eastAsia="Times New Roman" w:hAnsi="Arial" w:cs="Arial"/>
          <w:color w:val="000000" w:themeColor="text1"/>
          <w:lang w:val="en-US" w:eastAsia="de-DE"/>
        </w:rPr>
        <w:t>, com</w:t>
      </w:r>
      <w:r>
        <w:rPr>
          <w:rFonts w:ascii="Arial" w:eastAsia="Times New Roman" w:hAnsi="Arial" w:cs="Arial"/>
          <w:color w:val="000000" w:themeColor="text1"/>
          <w:lang w:val="en-US" w:eastAsia="de-DE"/>
        </w:rPr>
        <w:t xml:space="preserve">prising the GATOR1, GATOR2 and KICSTOR protein complexes. The GATOR </w:t>
      </w:r>
      <w:proofErr w:type="spellStart"/>
      <w:r>
        <w:rPr>
          <w:rFonts w:ascii="Arial" w:eastAsia="Times New Roman" w:hAnsi="Arial" w:cs="Arial"/>
          <w:color w:val="000000" w:themeColor="text1"/>
          <w:lang w:val="en-US" w:eastAsia="de-DE"/>
        </w:rPr>
        <w:t>supercomplex</w:t>
      </w:r>
      <w:proofErr w:type="spellEnd"/>
      <w:r>
        <w:rPr>
          <w:rFonts w:ascii="Arial" w:eastAsia="Times New Roman" w:hAnsi="Arial" w:cs="Arial"/>
          <w:color w:val="000000" w:themeColor="text1"/>
          <w:lang w:val="en-US" w:eastAsia="de-DE"/>
        </w:rPr>
        <w:t xml:space="preserve"> alters the nucleotide state of RAG GTPases, which are localized to the lysosome by binding to the lysosome-tethered </w:t>
      </w:r>
      <w:proofErr w:type="spellStart"/>
      <w:r>
        <w:rPr>
          <w:rFonts w:ascii="Arial" w:eastAsia="Times New Roman" w:hAnsi="Arial" w:cs="Arial"/>
          <w:color w:val="000000" w:themeColor="text1"/>
          <w:lang w:val="en-US" w:eastAsia="de-DE"/>
        </w:rPr>
        <w:t>Ragulator</w:t>
      </w:r>
      <w:proofErr w:type="spellEnd"/>
      <w:r>
        <w:rPr>
          <w:rFonts w:ascii="Arial" w:eastAsia="Times New Roman" w:hAnsi="Arial" w:cs="Arial"/>
          <w:color w:val="000000" w:themeColor="text1"/>
          <w:lang w:val="en-US" w:eastAsia="de-DE"/>
        </w:rPr>
        <w:t xml:space="preserve"> complex</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w:instrText>
      </w:r>
      <w:r>
        <w:rPr>
          <w:rFonts w:ascii="Arial" w:eastAsia="Times New Roman" w:hAnsi="Arial" w:cs="Arial"/>
          <w:color w:val="000000" w:themeColor="text1"/>
          <w:lang w:val="en-US" w:eastAsia="de-DE"/>
        </w:rPr>
        <w:instrText>:"ITEM-1","itemData":{"DOI":"10.1016/J.SBI.2023.102663","ISSN":"0959-440X","PMID":"37572585","abstract":"The mTOR signaling pathway is essential for regulating cell growth and mammalian metabolism. The mTOR kinase forms two complexes, mTORC1 and mTORC2, wh</w:instrText>
      </w:r>
      <w:r>
        <w:rPr>
          <w:rFonts w:ascii="Arial" w:eastAsia="Times New Roman" w:hAnsi="Arial" w:cs="Arial"/>
          <w:color w:val="000000" w:themeColor="text1"/>
          <w:lang w:val="en-US" w:eastAsia="de-DE"/>
        </w:rPr>
        <w:instrText xml:space="preserve">ich respond to external stimuli and regulate differential downstream targets. Cellular membrane-associated translocation mediates function and assembly of the mTOR complexes, and recent structural studies have begun uncovering the molecular basis by which </w:instrText>
      </w:r>
      <w:r>
        <w:rPr>
          <w:rFonts w:ascii="Arial" w:eastAsia="Times New Roman" w:hAnsi="Arial" w:cs="Arial"/>
          <w:color w:val="000000" w:themeColor="text1"/>
          <w:lang w:val="en-US" w:eastAsia="de-DE"/>
        </w:rPr>
        <w:instrText xml:space="preserve">the mTOR pathway (1) regulates signaling inputs, (2) recruits substrates, (3) localizes to biological membranes, and (4) becomes activated. Moreover, indications of dysregulated mTOR signaling are implicated in a wide range of diseases and an increasingly </w:instrText>
      </w:r>
      <w:r>
        <w:rPr>
          <w:rFonts w:ascii="Arial" w:eastAsia="Times New Roman" w:hAnsi="Arial" w:cs="Arial"/>
          <w:color w:val="000000" w:themeColor="text1"/>
          <w:lang w:val="en-US" w:eastAsia="de-DE"/>
        </w:rPr>
        <w:instrText>comprehensive understanding of structural mechanisms is driving novel translational development.","author":[{"dropping-particle":"","family":"Linde-Garelli","given":"Karen Y.","non-dropping-particle":"","parse-names":false,"suffix":""},{"dropping-particle"</w:instrText>
      </w:r>
      <w:r>
        <w:rPr>
          <w:rFonts w:ascii="Arial" w:eastAsia="Times New Roman" w:hAnsi="Arial" w:cs="Arial"/>
          <w:color w:val="000000" w:themeColor="text1"/>
          <w:lang w:val="en-US" w:eastAsia="de-DE"/>
        </w:rPr>
        <w:instrText>:"","family":"Rogala","given":"Kacper B.","non-dropping-particle":"","parse-names":false,"suffix":""}],"container-title":"Current Opinion in Structural Biology","id":"ITEM-1","issued":{"date-parts":[["2023","10","1"]]},"page":"102663","publisher":"Elsevier</w:instrText>
      </w:r>
      <w:r>
        <w:rPr>
          <w:rFonts w:ascii="Arial" w:eastAsia="Times New Roman" w:hAnsi="Arial" w:cs="Arial"/>
          <w:color w:val="000000" w:themeColor="text1"/>
          <w:lang w:val="en-US" w:eastAsia="de-DE"/>
        </w:rPr>
        <w:instrText xml:space="preserve"> Current Trends","title":"Structural mechanisms of the mTOR pathway","type":"article-journal","volume":"82"},"uris":["http://www.mendeley.com/documents/?uuid=0dc5ad00-02f0-39a5-8d91-2da873d107fd"]}],"mendeley":{"formattedCitation":"&lt;sup&gt;350&lt;/sup&gt;","plainTe</w:instrText>
      </w:r>
      <w:r>
        <w:rPr>
          <w:rFonts w:ascii="Arial" w:eastAsia="Times New Roman" w:hAnsi="Arial" w:cs="Arial"/>
          <w:color w:val="000000" w:themeColor="text1"/>
          <w:lang w:val="en-US" w:eastAsia="de-DE"/>
        </w:rPr>
        <w:instrText>xtFormattedCitation":"350","previouslyFormattedCitation":"&lt;sup&gt;350&lt;/sup&gt;"},"properties":{"noteIndex":0},"schema":"https://github.com/citation-style-language/schema/raw/master/csl-citation.json"}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350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RAG GTPases are small guanosine triphosphatases belong</w:t>
      </w:r>
      <w:r>
        <w:rPr>
          <w:rFonts w:ascii="Arial" w:eastAsia="Times New Roman" w:hAnsi="Arial" w:cs="Arial"/>
          <w:color w:val="000000" w:themeColor="text1"/>
          <w:lang w:val="en-US" w:eastAsia="de-DE"/>
        </w:rPr>
        <w:t>ing to the Ras superfamily. Upon nutrient detection, the RAG GTPase heterodimers acquire a specific nucleotide configuration, which allows them to promote mTORC1 localization at the lysosome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w:instrText>
      </w:r>
      <w:r>
        <w:rPr>
          <w:rFonts w:ascii="Arial" w:eastAsia="Times New Roman" w:hAnsi="Arial" w:cs="Arial"/>
          <w:color w:val="000000" w:themeColor="text1"/>
          <w:lang w:val="en-US" w:eastAsia="de-DE"/>
        </w:rPr>
        <w:instrText>OI":"10.1073/PNAS.1716173114","ISSN":"10916490","PMID":"29078414","abstract":"SignificanceThe mechanisms that regulate organismal growth and coordinate it with the availability of nutrients were unknown until a few decades ago. We now know that one pathway</w:instrText>
      </w:r>
      <w:r>
        <w:rPr>
          <w:rFonts w:ascii="Arial" w:eastAsia="Times New Roman" w:hAnsi="Arial" w:cs="Arial"/>
          <w:color w:val="000000" w:themeColor="text1"/>
          <w:lang w:val="en-US" w:eastAsia="de-DE"/>
        </w:rPr>
        <w:instrText>—the mechanistic ta...","author":[{"dropping-particle":"","family":"Sabatini","given":"David M.","non-dropping-particle":"","parse-names":false,"suffix":""}],"container-title":"Proceedings of the National Academy of Sciences","id":"ITEM-1","issue":"45","is</w:instrText>
      </w:r>
      <w:r>
        <w:rPr>
          <w:rFonts w:ascii="Arial" w:eastAsia="Times New Roman" w:hAnsi="Arial" w:cs="Arial"/>
          <w:color w:val="000000" w:themeColor="text1"/>
          <w:lang w:val="en-US" w:eastAsia="de-DE"/>
        </w:rPr>
        <w:instrText>sued":{"date-parts":[["2017","11","7"]]},"page":"11818-11825","publisher":"National Academy of Sciences","title":"Twenty-five years of mTOR: Uncovering the link from nutrients to growth","type":"article-journal","volume":"114"},"uris":["http://www.mendeley</w:instrText>
      </w:r>
      <w:r>
        <w:rPr>
          <w:rFonts w:ascii="Arial" w:eastAsia="Times New Roman" w:hAnsi="Arial" w:cs="Arial"/>
          <w:color w:val="000000" w:themeColor="text1"/>
          <w:lang w:val="en-US" w:eastAsia="de-DE"/>
        </w:rPr>
        <w:instrText>.com/documents/?uuid=4158f135-e3e7-3da9-92df-f787e73b7f6a"]},{"id":"ITEM-2","itemData":{"DOI":"10.1016/J.SBI.2023.102663","ISSN":"0959-440X","PMID":"37572585","abstract":"The mTOR signaling pathway is essential for regulating cell growth and mammalian meta</w:instrText>
      </w:r>
      <w:r>
        <w:rPr>
          <w:rFonts w:ascii="Arial" w:eastAsia="Times New Roman" w:hAnsi="Arial" w:cs="Arial"/>
          <w:color w:val="000000" w:themeColor="text1"/>
          <w:lang w:val="en-US" w:eastAsia="de-DE"/>
        </w:rPr>
        <w:instrText>bolism. The mTOR kinase forms two complexes, mTORC1 and mTORC2, which respond to external stimuli and regulate differential downstream targets. Cellular membrane-associated translocation mediates function and assembly of the mTOR complexes, and recent stru</w:instrText>
      </w:r>
      <w:r>
        <w:rPr>
          <w:rFonts w:ascii="Arial" w:eastAsia="Times New Roman" w:hAnsi="Arial" w:cs="Arial"/>
          <w:color w:val="000000" w:themeColor="text1"/>
          <w:lang w:val="en-US" w:eastAsia="de-DE"/>
        </w:rPr>
        <w:instrText>ctural studies have begun uncovering the molecular basis by which the mTOR pathway (1) regulates signaling inputs, (2) recruits substrates, (3) localizes to biological membranes, and (4) becomes activated. Moreover, indications of dysregulated mTOR signali</w:instrText>
      </w:r>
      <w:r>
        <w:rPr>
          <w:rFonts w:ascii="Arial" w:eastAsia="Times New Roman" w:hAnsi="Arial" w:cs="Arial"/>
          <w:color w:val="000000" w:themeColor="text1"/>
          <w:lang w:val="en-US" w:eastAsia="de-DE"/>
        </w:rPr>
        <w:instrText>ng are implicated in a wide range of diseases and an increasingly comprehensive understanding of structural mechanisms is driving novel translational development.","author":[{"dropping-particle":"","family":"Linde-Garelli","given":"Karen Y.","non-dropping-</w:instrText>
      </w:r>
      <w:r>
        <w:rPr>
          <w:rFonts w:ascii="Arial" w:eastAsia="Times New Roman" w:hAnsi="Arial" w:cs="Arial"/>
          <w:color w:val="000000" w:themeColor="text1"/>
          <w:lang w:val="en-US" w:eastAsia="de-DE"/>
        </w:rPr>
        <w:instrText>particle":"","parse-names":false,"suffix":""},{"dropping-particle":"","family":"Rogala","given":"Kacper B.","non-dropping-particle":"","parse-names":false,"suffix":""}],"container-title":"Current Opinion in Structural Biology","id":"ITEM-2","issued":{"date</w:instrText>
      </w:r>
      <w:r>
        <w:rPr>
          <w:rFonts w:ascii="Arial" w:eastAsia="Times New Roman" w:hAnsi="Arial" w:cs="Arial"/>
          <w:color w:val="000000" w:themeColor="text1"/>
          <w:lang w:val="en-US" w:eastAsia="de-DE"/>
        </w:rPr>
        <w:instrText>-parts":[["2023","10","1"]]},"page":"102663","publisher":"Elsevier Current Trends","title":"Structural mechanisms of the mTOR pathway","type":"article-journal","volume":"82"},"uris":["http://www.mendeley.com/documents/?uuid=0dc5ad00-02f0-39a5-8d91-2da873d1</w:instrText>
      </w:r>
      <w:r>
        <w:rPr>
          <w:rFonts w:ascii="Arial" w:eastAsia="Times New Roman" w:hAnsi="Arial" w:cs="Arial"/>
          <w:color w:val="000000" w:themeColor="text1"/>
          <w:lang w:val="en-US" w:eastAsia="de-DE"/>
        </w:rPr>
        <w:instrText>07fd"]}],"mendeley":{"formattedCitation":"&lt;sup&gt;348,350&lt;/sup&gt;","plainTextFormattedCitation":"348,350","previouslyFormattedCitation":"&lt;sup&gt;348,350&lt;/sup&gt;"},"properties":{"noteIndex":0},"schema":"https://github.com/citation-style-language/schema/raw/master/csl</w:instrText>
      </w:r>
      <w:r>
        <w:rPr>
          <w:rFonts w:ascii="Arial" w:eastAsia="Times New Roman" w:hAnsi="Arial" w:cs="Arial"/>
          <w:color w:val="000000" w:themeColor="text1"/>
          <w:lang w:val="en-US" w:eastAsia="de-DE"/>
        </w:rPr>
        <w:instrText>-citation.json"}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348,350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Finally, since the activation of mTORC1 follows the principle of coincidence detection, it functions as a molecular AND gate and needs a second ‘on’ input, for which it relies on the growth-factor-sensing arm of the mTORC1 pathw</w:t>
      </w:r>
      <w:r>
        <w:rPr>
          <w:rFonts w:ascii="Arial" w:eastAsia="Times New Roman" w:hAnsi="Arial" w:cs="Arial"/>
          <w:color w:val="000000" w:themeColor="text1"/>
          <w:lang w:val="en-US" w:eastAsia="de-DE"/>
        </w:rPr>
        <w:t>ay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{"citationItems":[{"id":"ITEM-1","itemData":{"DOI":"10.1073/PNAS.1716173114","ISSN":"10916490","PMID":"29078414","abstract":"SignificanceThe mechanisms that regulate organismal growth and coordinate it with the availability of nutrient</w:instrText>
      </w:r>
      <w:r>
        <w:rPr>
          <w:rFonts w:ascii="Arial" w:eastAsia="Times New Roman" w:hAnsi="Arial" w:cs="Arial"/>
          <w:color w:val="000000" w:themeColor="text1"/>
          <w:lang w:val="en-US" w:eastAsia="de-DE"/>
        </w:rPr>
        <w:instrText>s were unknown until a few decades ago. We now know that one pathway—the mechanistic ta...","author":[{"dropping-particle":"","family":"Sabatini","given":"David M.","non-dropping-particle":"","parse-names":false,"suffix":""}],"container-title":"Proceedings</w:instrText>
      </w:r>
      <w:r>
        <w:rPr>
          <w:rFonts w:ascii="Arial" w:eastAsia="Times New Roman" w:hAnsi="Arial" w:cs="Arial"/>
          <w:color w:val="000000" w:themeColor="text1"/>
          <w:lang w:val="en-US" w:eastAsia="de-DE"/>
        </w:rPr>
        <w:instrText xml:space="preserve"> of the National Academy of Sciences","id":"ITEM-1","issue":"45","issued":{"date-parts":[["2017","11","7"]]},"page":"11818-11825","publisher":"National Academy of Sciences","title":"Twenty-five years of mTOR: Uncovering the link from nutrients to growth","</w:instrText>
      </w:r>
      <w:r>
        <w:rPr>
          <w:rFonts w:ascii="Arial" w:eastAsia="Times New Roman" w:hAnsi="Arial" w:cs="Arial"/>
          <w:color w:val="000000" w:themeColor="text1"/>
          <w:lang w:val="en-US" w:eastAsia="de-DE"/>
        </w:rPr>
        <w:instrText>type":"article-journal","volume":"114"},"uris":["http://www.mendeley.com/documents/?uuid=4158f135-e3e7-3da9-92df-f787e73b7f6a"]},{"id":"ITEM-2","itemData":{"DOI":"10.1016/J.SBI.2023.102663","ISSN":"0959-440X","PMID":"37572585","abstract":"The mTOR signalin</w:instrText>
      </w:r>
      <w:r>
        <w:rPr>
          <w:rFonts w:ascii="Arial" w:eastAsia="Times New Roman" w:hAnsi="Arial" w:cs="Arial"/>
          <w:color w:val="000000" w:themeColor="text1"/>
          <w:lang w:val="en-US" w:eastAsia="de-DE"/>
        </w:rPr>
        <w:instrText>g pathway is essential for regulating cell growth and mammalian metabolism. The mTOR kinase forms two complexes, mTORC1 and mTORC2, which respond to external stimuli and regulate differential downstream targets. Cellular membrane-associated translocation m</w:instrText>
      </w:r>
      <w:r>
        <w:rPr>
          <w:rFonts w:ascii="Arial" w:eastAsia="Times New Roman" w:hAnsi="Arial" w:cs="Arial"/>
          <w:color w:val="000000" w:themeColor="text1"/>
          <w:lang w:val="en-US" w:eastAsia="de-DE"/>
        </w:rPr>
        <w:instrText>ediates function and assembly of the mTOR complexes, and recent structural studies have begun uncovering the molecular basis by which the mTOR pathway (1) regulates signaling inputs, (2) recruits substrates, (3) localizes to biological membranes, and (4) b</w:instrText>
      </w:r>
      <w:r>
        <w:rPr>
          <w:rFonts w:ascii="Arial" w:eastAsia="Times New Roman" w:hAnsi="Arial" w:cs="Arial"/>
          <w:color w:val="000000" w:themeColor="text1"/>
          <w:lang w:val="en-US" w:eastAsia="de-DE"/>
        </w:rPr>
        <w:instrText>ecomes activated. Moreover, indications of dysregulated mTOR signaling are implicated in a wide range of diseases and an increasingly comprehensive understanding of structural mechanisms is driving novel translational development.","author":[{"dropping-par</w:instrText>
      </w:r>
      <w:r>
        <w:rPr>
          <w:rFonts w:ascii="Arial" w:eastAsia="Times New Roman" w:hAnsi="Arial" w:cs="Arial"/>
          <w:color w:val="000000" w:themeColor="text1"/>
          <w:lang w:val="en-US" w:eastAsia="de-DE"/>
        </w:rPr>
        <w:instrText>ticle":"","family":"Linde-Garelli","given":"Karen Y.","non-dropping-particle":"","parse-names":false,"suffix":""},{"dropping-particle":"","family":"Rogala","given":"Kacper B.","non-dropping-particle":"","parse-names":false,"suffix":""}],"container-title":"</w:instrText>
      </w:r>
      <w:r>
        <w:rPr>
          <w:rFonts w:ascii="Arial" w:eastAsia="Times New Roman" w:hAnsi="Arial" w:cs="Arial"/>
          <w:color w:val="000000" w:themeColor="text1"/>
          <w:lang w:val="en-US" w:eastAsia="de-DE"/>
        </w:rPr>
        <w:instrText>Current Opinion in Structural Biology","id":"ITEM-2","issued":{"date-parts":[["2023","10","1"]]},"page":"102663","publisher":"Elsevier Current Trends","title":"Structural mechanisms of the mTOR pathway","type":"article-journal","volume":"82"},"uris":["http</w:instrText>
      </w:r>
      <w:r>
        <w:rPr>
          <w:rFonts w:ascii="Arial" w:eastAsia="Times New Roman" w:hAnsi="Arial" w:cs="Arial"/>
          <w:color w:val="000000" w:themeColor="text1"/>
          <w:lang w:val="en-US" w:eastAsia="de-DE"/>
        </w:rPr>
        <w:instrText>://www.mendeley.com/documents/?uuid=0dc5ad00-02f0-39a5-8d91-2da873d107fd"]}],"mendeley":{"formattedCitation":"&lt;sup&gt;348,350&lt;/sup&gt;","plainTextFormattedCitation":"348,350","previouslyFormattedCitation":"&lt;sup&gt;348,350&lt;/sup&gt;"},"properties":{"noteIndex":0},"schem</w:instrText>
      </w:r>
      <w:r>
        <w:rPr>
          <w:rFonts w:ascii="Arial" w:eastAsia="Times New Roman" w:hAnsi="Arial" w:cs="Arial"/>
          <w:color w:val="000000" w:themeColor="text1"/>
          <w:lang w:val="en-US" w:eastAsia="de-DE"/>
        </w:rPr>
        <w:instrText>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348,350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078E8464"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 xml:space="preserve">The growth-factor-sensing arm of the coincidence detector model relies on the </w:t>
      </w:r>
      <w:proofErr w:type="spellStart"/>
      <w:r>
        <w:rPr>
          <w:rFonts w:ascii="Arial" w:eastAsia="Times New Roman" w:hAnsi="Arial" w:cs="Arial"/>
          <w:color w:val="000000"/>
          <w:lang w:val="en-US" w:eastAsia="de-DE"/>
        </w:rPr>
        <w:t>Rheb</w:t>
      </w:r>
      <w:proofErr w:type="spellEnd"/>
      <w:r>
        <w:rPr>
          <w:rFonts w:ascii="Arial" w:eastAsia="Times New Roman" w:hAnsi="Arial" w:cs="Arial"/>
          <w:color w:val="000000"/>
          <w:lang w:val="en-US" w:eastAsia="de-DE"/>
        </w:rPr>
        <w:t xml:space="preserve"> GTPase and the TSC protein complex. The TSC protein complex can detect multip</w:t>
      </w:r>
      <w:r>
        <w:rPr>
          <w:rFonts w:ascii="Arial" w:eastAsia="Times New Roman" w:hAnsi="Arial" w:cs="Arial"/>
          <w:color w:val="000000"/>
          <w:lang w:val="en-US" w:eastAsia="de-DE"/>
        </w:rPr>
        <w:t xml:space="preserve">le stimuli from the environment, such as growth factors, energy, oxygen, and insulin. TSC is localized to the lysosome by tethering to </w:t>
      </w:r>
      <w:proofErr w:type="spellStart"/>
      <w:r>
        <w:rPr>
          <w:rFonts w:ascii="Arial" w:eastAsia="Times New Roman" w:hAnsi="Arial" w:cs="Arial"/>
          <w:color w:val="000000"/>
          <w:lang w:val="en-US" w:eastAsia="de-DE"/>
        </w:rPr>
        <w:t>Rheb</w:t>
      </w:r>
      <w:proofErr w:type="spellEnd"/>
      <w:r>
        <w:rPr>
          <w:rFonts w:ascii="Arial" w:eastAsia="Times New Roman" w:hAnsi="Arial" w:cs="Arial"/>
          <w:color w:val="000000"/>
          <w:lang w:val="en-US" w:eastAsia="de-DE"/>
        </w:rPr>
        <w:t xml:space="preserve"> and upon detection of these stimuli leads to a nucleotide configuration switch in </w:t>
      </w:r>
      <w:proofErr w:type="spellStart"/>
      <w:r>
        <w:rPr>
          <w:rFonts w:ascii="Arial" w:eastAsia="Times New Roman" w:hAnsi="Arial" w:cs="Arial"/>
          <w:color w:val="000000"/>
          <w:lang w:val="en-US" w:eastAsia="de-DE"/>
        </w:rPr>
        <w:t>Rheb</w:t>
      </w:r>
      <w:proofErr w:type="spellEnd"/>
      <w:r>
        <w:rPr>
          <w:rFonts w:ascii="Arial" w:eastAsia="Times New Roman" w:hAnsi="Arial" w:cs="Arial"/>
          <w:color w:val="000000"/>
          <w:lang w:val="en-US" w:eastAsia="de-DE"/>
        </w:rPr>
        <w:t>, making it GTP-bound. GTP-bou</w:t>
      </w:r>
      <w:r>
        <w:rPr>
          <w:rFonts w:ascii="Arial" w:eastAsia="Times New Roman" w:hAnsi="Arial" w:cs="Arial"/>
          <w:color w:val="000000"/>
          <w:lang w:val="en-US" w:eastAsia="de-DE"/>
        </w:rPr>
        <w:t xml:space="preserve">nd </w:t>
      </w:r>
      <w:proofErr w:type="spellStart"/>
      <w:r>
        <w:rPr>
          <w:rFonts w:ascii="Arial" w:eastAsia="Times New Roman" w:hAnsi="Arial" w:cs="Arial"/>
          <w:color w:val="000000"/>
          <w:lang w:val="en-US" w:eastAsia="de-DE"/>
        </w:rPr>
        <w:t>Rheb</w:t>
      </w:r>
      <w:proofErr w:type="spellEnd"/>
      <w:r>
        <w:rPr>
          <w:rFonts w:ascii="Arial" w:eastAsia="Times New Roman" w:hAnsi="Arial" w:cs="Arial"/>
          <w:color w:val="000000"/>
          <w:lang w:val="en-US" w:eastAsia="de-DE"/>
        </w:rPr>
        <w:t xml:space="preserve"> acts as an allosteric activator of mTORC1 kinase activity and provides the second ‘on’ input for the mTORC1 activation AND gate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{"citationItems":[{"id":"ITEM-1","itemData":{"DOI":"10.1073/PNAS.1716173114","ISSN":"10916490","PMID":</w:instrText>
      </w:r>
      <w:r>
        <w:rPr>
          <w:rFonts w:ascii="Arial" w:eastAsia="Times New Roman" w:hAnsi="Arial" w:cs="Arial"/>
          <w:color w:val="000000"/>
          <w:lang w:val="en-US" w:eastAsia="de-DE"/>
        </w:rPr>
        <w:instrText>"29078414","abstract":"SignificanceThe mechanisms that regulate organismal growth and coordinate it with the availability of nutrients were unknown until a few decades ago. We now know that one pathway—the mechanistic ta...","author":[{"dropping-particle":</w:instrText>
      </w:r>
      <w:r>
        <w:rPr>
          <w:rFonts w:ascii="Arial" w:eastAsia="Times New Roman" w:hAnsi="Arial" w:cs="Arial"/>
          <w:color w:val="000000"/>
          <w:lang w:val="en-US" w:eastAsia="de-DE"/>
        </w:rPr>
        <w:instrText>"","family":"Sabatini","given":"David M.","non-dropping-particle":"","parse-names":false,"suffix":""}],"container-title":"Proceedings of the National Academy of Sciences","id":"ITEM-1","issue":"45","issued":{"date-parts":[["2017","11","7"]]},"page":"11818-</w:instrText>
      </w:r>
      <w:r>
        <w:rPr>
          <w:rFonts w:ascii="Arial" w:eastAsia="Times New Roman" w:hAnsi="Arial" w:cs="Arial"/>
          <w:color w:val="000000"/>
          <w:lang w:val="en-US" w:eastAsia="de-DE"/>
        </w:rPr>
        <w:instrText>11825","publisher":"National Academy of Sciences","title":"Twenty-five years of mTOR: Uncovering the link from nutrients to growth","type":"article-journal","volume":"114"},"uris":["http://www.mendeley.com/documents/?uuid=4158f135-e3e7-3da9-92df-f787e73b7f</w:instrText>
      </w:r>
      <w:r>
        <w:rPr>
          <w:rFonts w:ascii="Arial" w:eastAsia="Times New Roman" w:hAnsi="Arial" w:cs="Arial"/>
          <w:color w:val="000000"/>
          <w:lang w:val="en-US" w:eastAsia="de-DE"/>
        </w:rPr>
        <w:instrText>6a"]},{"id":"ITEM-2","itemData":{"DOI":"10.1016/J.SBI.2023.102663","ISSN":"0959-440X","PMID":"37572585","abstract":"The mTOR signaling pathway is essential for regulating cell growth and mammalian metabolism. The mTOR kinase forms two complexes, mTORC1 and</w:instrText>
      </w:r>
      <w:r>
        <w:rPr>
          <w:rFonts w:ascii="Arial" w:eastAsia="Times New Roman" w:hAnsi="Arial" w:cs="Arial"/>
          <w:color w:val="000000"/>
          <w:lang w:val="en-US" w:eastAsia="de-DE"/>
        </w:rPr>
        <w:instrText xml:space="preserve"> mTORC2, which respond to external stimuli and regulate differential downstream targets. Cellular membrane-associated translocation mediates function and assembly of the mTOR complexes, and recent structural studies have begun uncovering the molecular basi</w:instrText>
      </w:r>
      <w:r>
        <w:rPr>
          <w:rFonts w:ascii="Arial" w:eastAsia="Times New Roman" w:hAnsi="Arial" w:cs="Arial"/>
          <w:color w:val="000000"/>
          <w:lang w:val="en-US" w:eastAsia="de-DE"/>
        </w:rPr>
        <w:instrText>s by which the mTOR pathway (1) regulates signaling inputs, (2) recruits substrates, (3) localizes to biological membranes, and (4) becomes activated. Moreover, indications of dysregulated mTOR signaling are implicated in a wide range of diseases and an in</w:instrText>
      </w:r>
      <w:r>
        <w:rPr>
          <w:rFonts w:ascii="Arial" w:eastAsia="Times New Roman" w:hAnsi="Arial" w:cs="Arial"/>
          <w:color w:val="000000"/>
          <w:lang w:val="en-US" w:eastAsia="de-DE"/>
        </w:rPr>
        <w:instrText>creasingly comprehensive understanding of structural mechanisms is driving novel translational development.","author":[{"dropping-particle":"","family":"Linde-Garelli","given":"Karen Y.","non-dropping-particle":"","parse-names":false,"suffix":""},{"droppin</w:instrText>
      </w:r>
      <w:r>
        <w:rPr>
          <w:rFonts w:ascii="Arial" w:eastAsia="Times New Roman" w:hAnsi="Arial" w:cs="Arial"/>
          <w:color w:val="000000"/>
          <w:lang w:val="en-US" w:eastAsia="de-DE"/>
        </w:rPr>
        <w:instrText>g-particle":"","family":"Rogala","given":"Kacper B.","non-dropping-particle":"","parse-names":false,"suffix":""}],"container-title":"Current Opinion in Structural Biology","id":"ITEM-2","issued":{"date-parts":[["2023","10","1"]]},"page":"102663","publisher</w:instrText>
      </w:r>
      <w:r>
        <w:rPr>
          <w:rFonts w:ascii="Arial" w:eastAsia="Times New Roman" w:hAnsi="Arial" w:cs="Arial"/>
          <w:color w:val="000000"/>
          <w:lang w:val="en-US" w:eastAsia="de-DE"/>
        </w:rPr>
        <w:instrText>":"Elsevier Current Trends","title":"Structural mechanisms of the mTOR pathway","type":"article-journal","volume":"82"},"uris":["http://www.mendeley.com/documents/?uuid=0dc5ad00-02f0-39a5-8d91-2da873d107fd"]}],"mendeley":{"formattedCitation":"&lt;sup&gt;348,350&lt;</w:instrText>
      </w:r>
      <w:r>
        <w:rPr>
          <w:rFonts w:ascii="Arial" w:eastAsia="Times New Roman" w:hAnsi="Arial" w:cs="Arial"/>
          <w:color w:val="000000"/>
          <w:lang w:val="en-US" w:eastAsia="de-DE"/>
        </w:rPr>
        <w:instrText>/sup&gt;","plainTextFormattedCitation":"348,350","previouslyFormattedCitation":"&lt;sup&gt;348,350&lt;/sup&gt;"},"properties":{"noteIndex":0},"schema":"https://github.com/citation-style-language/schema/raw/master/csl-citation.json"}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348,350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0179AE73"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While the GATOR </w:t>
      </w:r>
      <w:r>
        <w:rPr>
          <w:rFonts w:ascii="Arial" w:eastAsia="Times New Roman" w:hAnsi="Arial" w:cs="Arial"/>
          <w:color w:val="000000"/>
          <w:lang w:val="en-US" w:eastAsia="de-DE"/>
        </w:rPr>
        <w:t>complexes and RAG GTPases are conserved across most model organisms, conservation of the nutrient sensing components of the mTORC1 pathway is largely limited to vertebrates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{"citationItems":[{"id":"ITEM-1","itemData":{"DOI":"10.1016/j.cme</w:instrText>
      </w:r>
      <w:r>
        <w:rPr>
          <w:rFonts w:ascii="Arial" w:eastAsia="Times New Roman" w:hAnsi="Arial" w:cs="Arial"/>
          <w:color w:val="000000"/>
          <w:lang w:val="en-US" w:eastAsia="de-DE"/>
        </w:rPr>
        <w:instrText>t.2017.07.001","author":[{"dropping-particle":"","family":"Wolfson","given":"Rachel L","non-dropping-particle":"","parse-names":false,"suffix":""},{"dropping-particle":"","family":"Sabatini","given":"David M","non-dropping-particle":"","parse-names":false,</w:instrText>
      </w:r>
      <w:r>
        <w:rPr>
          <w:rFonts w:ascii="Arial" w:eastAsia="Times New Roman" w:hAnsi="Arial" w:cs="Arial"/>
          <w:color w:val="000000"/>
          <w:lang w:val="en-US" w:eastAsia="de-DE"/>
        </w:rPr>
        <w:instrText>"suffix":""}],"container-title":"Cell Metabolism","id":"ITEM-1","issued":{"date-parts":[["2017"]]},"page":"301-309","title":"Cell Metabolism The Dawn of the Age of Amino Acid Sensors for the mTORC1 Pathway","type":"article-journal","volume":"26"},"uris":["</w:instrText>
      </w:r>
      <w:r>
        <w:rPr>
          <w:rFonts w:ascii="Arial" w:eastAsia="Times New Roman" w:hAnsi="Arial" w:cs="Arial"/>
          <w:color w:val="000000"/>
          <w:lang w:val="en-US" w:eastAsia="de-DE"/>
        </w:rPr>
        <w:instrText>http://www.mendeley.com/documents/?uuid=dd45d122-7663-357d-a4bd-16da7c7ffea9"]}],"mendeley":{"formattedCitation":"&lt;sup&gt;327&lt;/sup&gt;","plainTextFormattedCitation":"327","previouslyFormattedCitation":"&lt;sup&gt;327&lt;/sup&gt;"},"properties":{"noteIndex":0},"schema":"http</w:instrText>
      </w:r>
      <w:r>
        <w:rPr>
          <w:rFonts w:ascii="Arial" w:eastAsia="Times New Roman" w:hAnsi="Arial" w:cs="Arial"/>
          <w:color w:val="000000"/>
          <w:lang w:val="en-US" w:eastAsia="de-DE"/>
        </w:rPr>
        <w:instrText>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indicates the existence of different nutrient sensors in organisms inhabiting unique environments or prioritizing nutrients different from those important to vertebrat</w:t>
      </w:r>
      <w:r>
        <w:rPr>
          <w:rFonts w:ascii="Arial" w:eastAsia="Times New Roman" w:hAnsi="Arial" w:cs="Arial"/>
          <w:color w:val="000000"/>
          <w:lang w:val="en-US" w:eastAsia="de-DE"/>
        </w:rPr>
        <w:t>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{"citationItems":[{"id":"ITEM-1","itemData":{"DOI":"10.1073/PNAS.1716173114","ISSN":"10916490","PMID":"29078414","abstract":"SignificanceThe mechanisms that regulate organismal growth and coordinate it with the availability of nutrient</w:instrText>
      </w:r>
      <w:r>
        <w:rPr>
          <w:rFonts w:ascii="Arial" w:eastAsia="Times New Roman" w:hAnsi="Arial" w:cs="Arial"/>
          <w:color w:val="000000"/>
          <w:lang w:val="en-US" w:eastAsia="de-DE"/>
        </w:rPr>
        <w:instrText>s were unknown until a few decades ago. We now know that one pathway—the mechanistic ta...","author":[{"dropping-particle":"","family":"Sabatini","given":"David M.","non-dropping-particle":"","parse-names":false,"suffix":""}],"container-title":"Proceedings</w:instrText>
      </w:r>
      <w:r>
        <w:rPr>
          <w:rFonts w:ascii="Arial" w:eastAsia="Times New Roman" w:hAnsi="Arial" w:cs="Arial"/>
          <w:color w:val="000000"/>
          <w:lang w:val="en-US" w:eastAsia="de-DE"/>
        </w:rPr>
        <w:instrText xml:space="preserve"> of the National Academy of Sciences","id":"ITEM-1","issue":"45","issued":{"date-parts":[["2017","11","7"]]},"page":"11818-11825","publisher":"National Academy of Sciences","title":"Twenty-five years of mTOR: Uncovering the link from nutrients to growth","</w:instrText>
      </w:r>
      <w:r>
        <w:rPr>
          <w:rFonts w:ascii="Arial" w:eastAsia="Times New Roman" w:hAnsi="Arial" w:cs="Arial"/>
          <w:color w:val="000000"/>
          <w:lang w:val="en-US" w:eastAsia="de-DE"/>
        </w:rPr>
        <w:instrText>type":"article-journal","volume":"114"},"uris":["http://www.mendeley.com/documents/?uuid=4158f135-e3e7-3da9-92df-f787e73b7f6a"]}],"mendeley":{"formattedCitation":"&lt;sup&gt;348&lt;/sup&gt;","plainTextFormattedCitation":"348","previouslyFormattedCitation":"&lt;sup&gt;348&lt;/s</w:instrText>
      </w:r>
      <w:r>
        <w:rPr>
          <w:rFonts w:ascii="Arial" w:eastAsia="Times New Roman" w:hAnsi="Arial" w:cs="Arial"/>
          <w:color w:val="000000"/>
          <w:lang w:val="en-US" w:eastAsia="de-DE"/>
        </w:rPr>
        <w:instrText>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348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Indeed, </w:t>
      </w:r>
      <w:r>
        <w:rPr>
          <w:rFonts w:ascii="Arial" w:eastAsia="Times New Roman" w:hAnsi="Arial" w:cs="Arial"/>
          <w:i/>
          <w:iCs/>
          <w:color w:val="000000"/>
          <w:lang w:val="en-US" w:eastAsia="de-DE"/>
        </w:rPr>
        <w:t>Drosophila</w:t>
      </w:r>
      <w:r>
        <w:rPr>
          <w:rFonts w:ascii="Arial" w:eastAsia="Times New Roman" w:hAnsi="Arial" w:cs="Arial"/>
          <w:color w:val="000000"/>
          <w:lang w:val="en-US" w:eastAsia="de-DE"/>
        </w:rPr>
        <w:t xml:space="preserve"> flies were found to have a unique </w:t>
      </w:r>
      <w:r>
        <w:rPr>
          <w:rFonts w:ascii="Arial" w:eastAsia="Times New Roman" w:hAnsi="Arial" w:cs="Arial"/>
          <w:i/>
          <w:iCs/>
          <w:color w:val="000000"/>
          <w:lang w:val="en-US" w:eastAsia="de-DE"/>
        </w:rPr>
        <w:t>S</w:t>
      </w:r>
      <w:r>
        <w:rPr>
          <w:rFonts w:ascii="Arial" w:eastAsia="Times New Roman" w:hAnsi="Arial" w:cs="Arial"/>
          <w:color w:val="000000"/>
          <w:lang w:val="en-US" w:eastAsia="de-DE"/>
        </w:rPr>
        <w:t>-adenosylmethionine (SAM) sensor that signaled methionine availabilit</w:t>
      </w:r>
      <w:r>
        <w:rPr>
          <w:rFonts w:ascii="Arial" w:eastAsia="Times New Roman" w:hAnsi="Arial" w:cs="Arial"/>
          <w:color w:val="000000"/>
          <w:lang w:val="en-US" w:eastAsia="de-DE"/>
        </w:rPr>
        <w:t xml:space="preserve">y to the mTORC1 </w:t>
      </w:r>
      <w:r>
        <w:rPr>
          <w:rFonts w:ascii="Arial" w:eastAsia="Times New Roman" w:hAnsi="Arial" w:cs="Arial"/>
          <w:color w:val="000000"/>
          <w:lang w:val="en-US" w:eastAsia="de-DE"/>
        </w:rPr>
        <w:lastRenderedPageBreak/>
        <w:t>pathway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{"citationItems":[{"id":"ITEM-1","itemData":{"DOI":"10.1101/2023.05.25.541239","PMID":"37292894","abstract":"Animals must sense and respond to nutrient availability in their local niche. This task is coordinated in</w:instrText>
      </w:r>
      <w:r>
        <w:rPr>
          <w:rFonts w:ascii="Arial" w:eastAsia="Times New Roman" w:hAnsi="Arial" w:cs="Arial"/>
          <w:color w:val="000000"/>
          <w:lang w:val="en-US" w:eastAsia="de-DE"/>
        </w:rPr>
        <w:instrText xml:space="preserve"> part by the mTOR complex 1 (mTORC1) pathway, which regulates growth and metabolism in response to nutrients1-5. In mammals, mTORC1 senses specific amino acids through specialized sensors that act through the upstream GATOR1/2 signaling hub6-8. To reconcil</w:instrText>
      </w:r>
      <w:r>
        <w:rPr>
          <w:rFonts w:ascii="Arial" w:eastAsia="Times New Roman" w:hAnsi="Arial" w:cs="Arial"/>
          <w:color w:val="000000"/>
          <w:lang w:val="en-US" w:eastAsia="de-DE"/>
        </w:rPr>
        <w:instrText xml:space="preserve">e the conserved architecture of the mTORC1 pathway with the diversity of environments that animals can occupy, we hypothesized that the pathway might maintain plasticity by evolving distinct nutrient sensors in different metazoan phyla1,9,10. Whether such </w:instrText>
      </w:r>
      <w:r>
        <w:rPr>
          <w:rFonts w:ascii="Arial" w:eastAsia="Times New Roman" w:hAnsi="Arial" w:cs="Arial"/>
          <w:color w:val="000000"/>
          <w:lang w:val="en-US" w:eastAsia="de-DE"/>
        </w:rPr>
        <w:instrText>customization occurs-and how the mTORC1 pathway might capture new nutrient inputs-is not known. Here, we identify the Drosophila melanogaster protein Unmet expectations (Unmet, formerly CG11596) as a species-restricted nutrient sensor and trace its incorpo</w:instrText>
      </w:r>
      <w:r>
        <w:rPr>
          <w:rFonts w:ascii="Arial" w:eastAsia="Times New Roman" w:hAnsi="Arial" w:cs="Arial"/>
          <w:color w:val="000000"/>
          <w:lang w:val="en-US" w:eastAsia="de-DE"/>
        </w:rPr>
        <w:instrText>ration into the mTORC1 pathway. Upon methionine starvation, Unmet binds to the fly GATOR2 complex to inhibit dTORC1. S-adenosylmethionine (SAM), a proxy for methionine availability, directly relieves this inhibition. Unmet expression is elevated in the ova</w:instrText>
      </w:r>
      <w:r>
        <w:rPr>
          <w:rFonts w:ascii="Arial" w:eastAsia="Times New Roman" w:hAnsi="Arial" w:cs="Arial"/>
          <w:color w:val="000000"/>
          <w:lang w:val="en-US" w:eastAsia="de-DE"/>
        </w:rPr>
        <w:instrText xml:space="preserve">ry, a methionine-sensitive niche11, and flies lacking Unmet fail to maintain the integrity of the female germline under methionine restriction. By monitoring the evolutionary history of the Unmet-GATOR2 interaction, we show that the GATOR2 complex evolved </w:instrText>
      </w:r>
      <w:r>
        <w:rPr>
          <w:rFonts w:ascii="Arial" w:eastAsia="Times New Roman" w:hAnsi="Arial" w:cs="Arial"/>
          <w:color w:val="000000"/>
          <w:lang w:val="en-US" w:eastAsia="de-DE"/>
        </w:rPr>
        <w:instrText>rapidly in Dipterans to recruit and repurpose an independent methyltransferase as a SAM sensor. Thus, the modular architecture of the mTORC1 pathway allows it to co-opt preexisting enzymes and expand its nutrient sensing capabilities, revealing a mechanism</w:instrText>
      </w:r>
      <w:r>
        <w:rPr>
          <w:rFonts w:ascii="Arial" w:eastAsia="Times New Roman" w:hAnsi="Arial" w:cs="Arial"/>
          <w:color w:val="000000"/>
          <w:lang w:val="en-US" w:eastAsia="de-DE"/>
        </w:rPr>
        <w:instrText xml:space="preserve"> for conferring evolvability on an otherwise highly conserved system.","author":[{"dropping-particle":"","family":"Liu","given":"Grace Y.","non-dropping-particle":"","parse-names":false,"suffix":""},{"dropping-particle":"","family":"Jouandin","given":"Patr</w:instrText>
      </w:r>
      <w:r>
        <w:rPr>
          <w:rFonts w:ascii="Arial" w:eastAsia="Times New Roman" w:hAnsi="Arial" w:cs="Arial"/>
          <w:color w:val="000000"/>
          <w:lang w:val="en-US" w:eastAsia="de-DE"/>
        </w:rPr>
        <w:instrText>ick","non-dropping-particle":"","parse-names":false,"suffix":""},{"dropping-particle":"","family":"Bahng","given":"Raymond E.","non-dropping-particle":"","parse-names":false,"suffix":""},{"dropping-particle":"","family":"Perrimon","given":"Norbert","non-dr</w:instrText>
      </w:r>
      <w:r>
        <w:rPr>
          <w:rFonts w:ascii="Arial" w:eastAsia="Times New Roman" w:hAnsi="Arial" w:cs="Arial"/>
          <w:color w:val="000000"/>
          <w:lang w:val="en-US" w:eastAsia="de-DE"/>
        </w:rPr>
        <w:instrText>opping-particle":"","parse-names":false,"suffix":""},{"dropping-particle":"","family":"Sabatini","given":"David M.","non-dropping-particle":"","parse-names":false,"suffix":""}],"container-title":"bioRxiv","id":"ITEM-1","issued":{"date-parts":[["2023","5","</w:instrText>
      </w:r>
      <w:r>
        <w:rPr>
          <w:rFonts w:ascii="Arial" w:eastAsia="Times New Roman" w:hAnsi="Arial" w:cs="Arial"/>
          <w:color w:val="000000"/>
          <w:lang w:val="en-US" w:eastAsia="de-DE"/>
        </w:rPr>
        <w:instrText>26"]]},"publisher":"Cold Spring Harbor Laboratory Preprints","title":"An evolutionary mechanism to assimilate new nutrient sensors into the mTORC1 pathway","type":"article-journal"},"uris":["http://www.mendeley.com/documents/?uuid=45795474-4b21-3f88-8b0f-5</w:instrText>
      </w:r>
      <w:r>
        <w:rPr>
          <w:rFonts w:ascii="Arial" w:eastAsia="Times New Roman" w:hAnsi="Arial" w:cs="Arial"/>
          <w:color w:val="000000"/>
          <w:lang w:val="en-US" w:eastAsia="de-DE"/>
        </w:rPr>
        <w:instrText>5c5f944ad81"]}],"mendeley":{"formattedCitation":"&lt;sup&gt;351&lt;/sup&gt;","plainTextFormattedCitation":"351","previouslyFormattedCitation":"&lt;sup&gt;351&lt;/sup&gt;"},"properties":{"noteIndex":0},"schema":"https://github.com/citation-style-language/schema/raw/master/csl-cita</w:instrText>
      </w:r>
      <w:r>
        <w:rPr>
          <w:rFonts w:ascii="Arial" w:eastAsia="Times New Roman" w:hAnsi="Arial" w:cs="Arial"/>
          <w:color w:val="000000"/>
          <w:lang w:val="en-US" w:eastAsia="de-DE"/>
        </w:rPr>
        <w:instrText>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351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Thus, while additional sensors remain to be discovered in other organisms, it seems that modular composition of the mTORC1 pathway allows for evolutionarily flexible nutrient-sensing modules to signal to the conserved core of the pathway</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{"citationItems":[{"id":"ITEM-1","itemData":{"DOI":"10.1101/2023.05.25.541239","PMID":"37292894","abstract":"Animals must sense and respond to nutrient availability in their local niche. This task is coordinated in part by the mTOR compl</w:instrText>
      </w:r>
      <w:r>
        <w:rPr>
          <w:rFonts w:ascii="Arial" w:eastAsia="Times New Roman" w:hAnsi="Arial" w:cs="Arial"/>
          <w:color w:val="000000"/>
          <w:lang w:val="en-US" w:eastAsia="de-DE"/>
        </w:rPr>
        <w:instrText>ex 1 (mTORC1) pathway, which regulates growth and metabolism in response to nutrients1-5. In mammals, mTORC1 senses specific amino acids through specialized sensors that act through the upstream GATOR1/2 signaling hub6-8. To reconcile the conserved archite</w:instrText>
      </w:r>
      <w:r>
        <w:rPr>
          <w:rFonts w:ascii="Arial" w:eastAsia="Times New Roman" w:hAnsi="Arial" w:cs="Arial"/>
          <w:color w:val="000000"/>
          <w:lang w:val="en-US" w:eastAsia="de-DE"/>
        </w:rPr>
        <w:instrText>cture of the mTORC1 pathway with the diversity of environments that animals can occupy, we hypothesized that the pathway might maintain plasticity by evolving distinct nutrient sensors in different metazoan phyla1,9,10. Whether such customization occurs-an</w:instrText>
      </w:r>
      <w:r>
        <w:rPr>
          <w:rFonts w:ascii="Arial" w:eastAsia="Times New Roman" w:hAnsi="Arial" w:cs="Arial"/>
          <w:color w:val="000000"/>
          <w:lang w:val="en-US" w:eastAsia="de-DE"/>
        </w:rPr>
        <w:instrText xml:space="preserve">d how the mTORC1 pathway might capture new nutrient inputs-is not known. Here, we identify the Drosophila melanogaster protein Unmet expectations (Unmet, formerly CG11596) as a species-restricted nutrient sensor and trace its incorporation into the mTORC1 </w:instrText>
      </w:r>
      <w:r>
        <w:rPr>
          <w:rFonts w:ascii="Arial" w:eastAsia="Times New Roman" w:hAnsi="Arial" w:cs="Arial"/>
          <w:color w:val="000000"/>
          <w:lang w:val="en-US" w:eastAsia="de-DE"/>
        </w:rPr>
        <w:instrText>pathway. Upon methionine starvation, Unmet binds to the fly GATOR2 complex to inhibit dTORC1. S-adenosylmethionine (SAM), a proxy for methionine availability, directly relieves this inhibition. Unmet expression is elevated in the ovary, a methionine-sensit</w:instrText>
      </w:r>
      <w:r>
        <w:rPr>
          <w:rFonts w:ascii="Arial" w:eastAsia="Times New Roman" w:hAnsi="Arial" w:cs="Arial"/>
          <w:color w:val="000000"/>
          <w:lang w:val="en-US" w:eastAsia="de-DE"/>
        </w:rPr>
        <w:instrText>ive niche11, and flies lacking Unmet fail to maintain the integrity of the female germline under methionine restriction. By monitoring the evolutionary history of the Unmet-GATOR2 interaction, we show that the GATOR2 complex evolved rapidly in Dipterans to</w:instrText>
      </w:r>
      <w:r>
        <w:rPr>
          <w:rFonts w:ascii="Arial" w:eastAsia="Times New Roman" w:hAnsi="Arial" w:cs="Arial"/>
          <w:color w:val="000000"/>
          <w:lang w:val="en-US" w:eastAsia="de-DE"/>
        </w:rPr>
        <w:instrText xml:space="preserve"> recruit and repurpose an independent methyltransferase as a SAM sensor. Thus, the modular architecture of the mTORC1 pathway allows it to co-opt preexisting enzymes and expand its nutrient sensing capabilities, revealing a mechanism for conferring evolvab</w:instrText>
      </w:r>
      <w:r>
        <w:rPr>
          <w:rFonts w:ascii="Arial" w:eastAsia="Times New Roman" w:hAnsi="Arial" w:cs="Arial"/>
          <w:color w:val="000000"/>
          <w:lang w:val="en-US" w:eastAsia="de-DE"/>
        </w:rPr>
        <w:instrText>ility on an otherwise highly conserved system.","author":[{"dropping-particle":"","family":"Liu","given":"Grace Y.","non-dropping-particle":"","parse-names":false,"suffix":""},{"dropping-particle":"","family":"Jouandin","given":"Patrick","non-dropping-part</w:instrText>
      </w:r>
      <w:r>
        <w:rPr>
          <w:rFonts w:ascii="Arial" w:eastAsia="Times New Roman" w:hAnsi="Arial" w:cs="Arial"/>
          <w:color w:val="000000"/>
          <w:lang w:val="en-US" w:eastAsia="de-DE"/>
        </w:rPr>
        <w:instrText>icle":"","parse-names":false,"suffix":""},{"dropping-particle":"","family":"Bahng","given":"Raymond E.","non-dropping-particle":"","parse-names":false,"suffix":""},{"dropping-particle":"","family":"Perrimon","given":"Norbert","non-dropping-particle":"","pa</w:instrText>
      </w:r>
      <w:r>
        <w:rPr>
          <w:rFonts w:ascii="Arial" w:eastAsia="Times New Roman" w:hAnsi="Arial" w:cs="Arial"/>
          <w:color w:val="000000"/>
          <w:lang w:val="en-US" w:eastAsia="de-DE"/>
        </w:rPr>
        <w:instrText>rse-names":false,"suffix":""},{"dropping-particle":"","family":"Sabatini","given":"David M.","non-dropping-particle":"","parse-names":false,"suffix":""}],"container-title":"bioRxiv","id":"ITEM-1","issued":{"date-parts":[["2023","5","26"]]},"publisher":"Col</w:instrText>
      </w:r>
      <w:r>
        <w:rPr>
          <w:rFonts w:ascii="Arial" w:eastAsia="Times New Roman" w:hAnsi="Arial" w:cs="Arial"/>
          <w:color w:val="000000"/>
          <w:lang w:val="en-US" w:eastAsia="de-DE"/>
        </w:rPr>
        <w:instrText>d Spring Harbor Laboratory Preprints","title":"An evolutionary mechanism to assimilate new nutrient sensors into the mTORC1 pathway","type":"article-journal"},"uris":["http://www.mendeley.com/documents/?uuid=45795474-4b21-3f88-8b0f-55c5f944ad81"]}],"mendel</w:instrText>
      </w:r>
      <w:r>
        <w:rPr>
          <w:rFonts w:ascii="Arial" w:eastAsia="Times New Roman" w:hAnsi="Arial" w:cs="Arial"/>
          <w:color w:val="000000"/>
          <w:lang w:val="en-US" w:eastAsia="de-DE"/>
        </w:rPr>
        <w:instrText>ey":{"formattedCitation":"&lt;sup&gt;351&lt;/sup&gt;","plainTextFormattedCitation":"351","previouslyFormattedCitation":"&lt;sup&gt;351&lt;/sup&gt;"},"properties":{"noteIndex":0},"schema":"https://github.com/citation-style-language/schema/raw/master/csl-citation.json"}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351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w:t>
      </w:r>
    </w:p>
    <w:p w14:paraId="34261525"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The</w:t>
      </w:r>
      <w:r>
        <w:rPr>
          <w:rFonts w:ascii="Arial" w:eastAsia="Times New Roman" w:hAnsi="Arial" w:cs="Arial"/>
          <w:color w:val="000000" w:themeColor="text1"/>
          <w:lang w:val="en-US" w:eastAsia="de-DE"/>
        </w:rPr>
        <w:t xml:space="preserve"> mTORC2 complex is also relevant to nutrient sensing as it plays an important role in glucose metabolism</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{"citationItems":[{"id":"ITEM-1","itemData":{"DOI":"10.1016/j.cell.2017.02.004","author":[{"dropping-particle":"","family":"Saxton","</w:instrText>
      </w:r>
      <w:r>
        <w:rPr>
          <w:rFonts w:ascii="Arial" w:eastAsia="Times New Roman" w:hAnsi="Arial" w:cs="Arial"/>
          <w:color w:val="000000" w:themeColor="text1"/>
          <w:lang w:val="en-US" w:eastAsia="de-DE"/>
        </w:rPr>
        <w:instrText>given":"Robert A","non-dropping-particle":"","parse-names":false,"suffix":""},{"dropping-particle":"","family":"Sabatini","given":"David M","non-dropping-particle":"","parse-names":false,"suffix":""}],"id":"ITEM-1","issued":{"date-parts":[["0"]]},"title":"</w:instrText>
      </w:r>
      <w:r>
        <w:rPr>
          <w:rFonts w:ascii="Arial" w:eastAsia="Times New Roman" w:hAnsi="Arial" w:cs="Arial"/>
          <w:color w:val="000000" w:themeColor="text1"/>
          <w:lang w:val="en-US" w:eastAsia="de-DE"/>
        </w:rPr>
        <w:instrText>Leading Edge mTOR Signaling in Growth, Metabolism, and Disease","type":"article-journal"},"uris":["http://www.mendeley.com/documents/?uuid=5bd5d0ab-b8c6-3196-bc7d-dd430eb2cb9e"]}],"mendeley":{"formattedCitation":"&lt;sup&gt;349&lt;/sup&gt;","plainTextFormattedCitation</w:instrText>
      </w:r>
      <w:r>
        <w:rPr>
          <w:rFonts w:ascii="Arial" w:eastAsia="Times New Roman" w:hAnsi="Arial" w:cs="Arial"/>
          <w:color w:val="000000" w:themeColor="text1"/>
          <w:lang w:val="en-US" w:eastAsia="de-DE"/>
        </w:rPr>
        <w:instrText>":"349","previouslyFormattedCitation":"&lt;sup&gt;349&lt;/sup&gt;"},"properties":{"noteIndex":0},"schema":"https://github.com/citation-style-language/schema/raw/master/csl-citation.json"}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When insulin binds its receptor at the plasma membrane, it triggers a cas</w:t>
      </w:r>
      <w:r>
        <w:rPr>
          <w:rFonts w:ascii="Arial" w:eastAsia="Times New Roman" w:hAnsi="Arial" w:cs="Arial"/>
          <w:color w:val="000000" w:themeColor="text1"/>
          <w:lang w:val="en-US" w:eastAsia="de-DE"/>
        </w:rPr>
        <w:t>cade of activation of PI3K (phosphoinositide 3-kinase), mTORC2 and Akt (protein kinase-B)</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{"citationItems":[{"id":"ITEM-1","itemData":{"DOI":"10.1038/s41574-020-0329-9","ISSN":"1759-5037","PMID":"32127696","abstract":"Cancer is driven by </w:instrText>
      </w:r>
      <w:r>
        <w:rPr>
          <w:rFonts w:ascii="Arial" w:eastAsia="Times New Roman" w:hAnsi="Arial" w:cs="Arial"/>
          <w:color w:val="000000" w:themeColor="text1"/>
          <w:lang w:val="en-US" w:eastAsia="de-DE"/>
        </w:rPr>
        <w:instrText>incremental changes that accumulate, eventually leading to oncogenic transformation. Although genetic alterations dominate the way cancer biologists think about oncogenesis, growing evidence suggests that systemic factors (for example, insulin, oestrogen a</w:instrText>
      </w:r>
      <w:r>
        <w:rPr>
          <w:rFonts w:ascii="Arial" w:eastAsia="Times New Roman" w:hAnsi="Arial" w:cs="Arial"/>
          <w:color w:val="000000" w:themeColor="text1"/>
          <w:lang w:val="en-US" w:eastAsia="de-DE"/>
        </w:rPr>
        <w:instrText>nd inflammatory cytokines) and their intracellular pathways activate oncogenic signals and contribute to targetable phenotypes. Systemic factors can have a critical role in both tumour initiation and therapeutic responses as increasingly targeted and perso</w:instrText>
      </w:r>
      <w:r>
        <w:rPr>
          <w:rFonts w:ascii="Arial" w:eastAsia="Times New Roman" w:hAnsi="Arial" w:cs="Arial"/>
          <w:color w:val="000000" w:themeColor="text1"/>
          <w:lang w:val="en-US" w:eastAsia="de-DE"/>
        </w:rPr>
        <w:instrText>nalized therapeutic regimens are used to treat patients with cancer. The endocrine system controls cell growth and metabolism by providing extracellular cues that integrate systemic nutrient status with cellular activities such as proliferation and surviva</w:instrText>
      </w:r>
      <w:r>
        <w:rPr>
          <w:rFonts w:ascii="Arial" w:eastAsia="Times New Roman" w:hAnsi="Arial" w:cs="Arial"/>
          <w:color w:val="000000" w:themeColor="text1"/>
          <w:lang w:val="en-US" w:eastAsia="de-DE"/>
        </w:rPr>
        <w:instrText>l via the production of metabolites and hormones such as insulin. When insulin binds to its receptor, it initiates a sequence of phosphorylation events that lead to activation of the catalytic activity of phosphoinositide 3-kinase (PI3K), a lipid kinase th</w:instrText>
      </w:r>
      <w:r>
        <w:rPr>
          <w:rFonts w:ascii="Arial" w:eastAsia="Times New Roman" w:hAnsi="Arial" w:cs="Arial"/>
          <w:color w:val="000000" w:themeColor="text1"/>
          <w:lang w:val="en-US" w:eastAsia="de-DE"/>
        </w:rPr>
        <w:instrText>at coordinates the intake and utilization of glucose, and mTOR, a kinase downstream of PI3K that stimulates transcription and translation. When chronically activated, the PI3K pathway can drive malignant transformation. Here, we discuss the insulin–PI3K si</w:instrText>
      </w:r>
      <w:r>
        <w:rPr>
          <w:rFonts w:ascii="Arial" w:eastAsia="Times New Roman" w:hAnsi="Arial" w:cs="Arial"/>
          <w:color w:val="000000" w:themeColor="text1"/>
          <w:lang w:val="en-US" w:eastAsia="de-DE"/>
        </w:rPr>
        <w:instrText>gnalling cascade and emphasize its roles in normal cells (including coordinating cell metabolism and growth), highlighting the features of this network that make it ideal for co-option by cancer cells. Furthermore, we discuss how this signalling network ca</w:instrText>
      </w:r>
      <w:r>
        <w:rPr>
          <w:rFonts w:ascii="Arial" w:eastAsia="Times New Roman" w:hAnsi="Arial" w:cs="Arial"/>
          <w:color w:val="000000" w:themeColor="text1"/>
          <w:lang w:val="en-US" w:eastAsia="de-DE"/>
        </w:rPr>
        <w:instrText>n affect therapeutic responses and how novel metabolic-based strategies might enhance treatment efficacy for cancer. This Review discusses the connections between insulin signalling and oncogenic transformation, highlighting the potential effect of insulin</w:instrText>
      </w:r>
      <w:r>
        <w:rPr>
          <w:rFonts w:ascii="Arial" w:eastAsia="Times New Roman" w:hAnsi="Arial" w:cs="Arial"/>
          <w:color w:val="000000" w:themeColor="text1"/>
          <w:lang w:val="en-US" w:eastAsia="de-DE"/>
        </w:rPr>
        <w:instrText xml:space="preserve"> as a pro-tumorigenic factor. The latest studies examining new approaches to circumvent systemic insulin feedback to increase the antitumour effect of agents targeting the insulin signalling pathway are discussed.","author":[{"dropping-particle":"","family</w:instrText>
      </w:r>
      <w:r>
        <w:rPr>
          <w:rFonts w:ascii="Arial" w:eastAsia="Times New Roman" w:hAnsi="Arial" w:cs="Arial"/>
          <w:color w:val="000000" w:themeColor="text1"/>
          <w:lang w:val="en-US" w:eastAsia="de-DE"/>
        </w:rPr>
        <w:instrText>":"Hopkins","given":"Benjamin D.","non-dropping-particle":"","parse-names":false,"suffix":""},{"dropping-particle":"","family":"Goncalves","given":"Marcus D.","non-dropping-particle":"","parse-names":false,"suffix":""},{"dropping-particle":"","family":"Can</w:instrText>
      </w:r>
      <w:r>
        <w:rPr>
          <w:rFonts w:ascii="Arial" w:eastAsia="Times New Roman" w:hAnsi="Arial" w:cs="Arial"/>
          <w:color w:val="000000" w:themeColor="text1"/>
          <w:lang w:val="en-US" w:eastAsia="de-DE"/>
        </w:rPr>
        <w:instrText>tley","given":"Lewis C.","non-dropping-particle":"","parse-names":false,"suffix":""}],"container-title":"Nature Reviews Endocrinology 2020 16:5","id":"ITEM-1","issue":"5","issued":{"date-parts":[["2020","3","3"]]},"page":"276-283","publisher":"Nature Publi</w:instrText>
      </w:r>
      <w:r>
        <w:rPr>
          <w:rFonts w:ascii="Arial" w:eastAsia="Times New Roman" w:hAnsi="Arial" w:cs="Arial"/>
          <w:color w:val="000000" w:themeColor="text1"/>
          <w:lang w:val="en-US" w:eastAsia="de-DE"/>
        </w:rPr>
        <w:instrText>shing Group","title":"Insulin–PI3K signalling: an evolutionarily insulated metabolic driver of cancer","type":"article-journal","volume":"16"},"uris":["http://www.mendeley.com/documents/?uuid=103092d6-c9be-359b-822e-4db18fff8263"]},{"id":"ITEM-2","itemData</w:instrText>
      </w:r>
      <w:r>
        <w:rPr>
          <w:rFonts w:ascii="Arial" w:eastAsia="Times New Roman" w:hAnsi="Arial" w:cs="Arial"/>
          <w:color w:val="000000" w:themeColor="text1"/>
          <w:lang w:val="en-US" w:eastAsia="de-DE"/>
        </w:rPr>
        <w:instrText>":{"DOI":"10.1101/CSHPERSPECT.A011189","ISSN":"19430264","PMID":"22952397","author":[{"dropping-particle":"","family":"Hemmings","given":"Brian A.","non-dropping-particle":"","parse-names":false,"suffix":""},{"dropping-particle":"","family":"Restuccia","gi</w:instrText>
      </w:r>
      <w:r>
        <w:rPr>
          <w:rFonts w:ascii="Arial" w:eastAsia="Times New Roman" w:hAnsi="Arial" w:cs="Arial"/>
          <w:color w:val="000000" w:themeColor="text1"/>
          <w:lang w:val="en-US" w:eastAsia="de-DE"/>
        </w:rPr>
        <w:instrText>ven":"David F.","non-dropping-particle":"","parse-names":false,"suffix":""}],"container-title":"Cold Spring Harbor Perspectives in Biology","id":"ITEM-2","issue":"9","issued":{"date-parts":[["2012","9","1"]]},"page":"a011189","publisher":"Cold Spring Harbo</w:instrText>
      </w:r>
      <w:r>
        <w:rPr>
          <w:rFonts w:ascii="Arial" w:eastAsia="Times New Roman" w:hAnsi="Arial" w:cs="Arial"/>
          <w:color w:val="000000" w:themeColor="text1"/>
          <w:lang w:val="en-US" w:eastAsia="de-DE"/>
        </w:rPr>
        <w:instrText>r Laboratory Press","title":"PI3K-PKB/Akt Pathway","type":"article-journal","volume":"4"},"uris":["http://www.mendeley.com/documents/?uuid=e4a62b29-3876-355b-a009-5c824886a569"]},{"id":"ITEM-3","itemData":{"DOI":"10.1016/j.cell.2017.02.004","author":[{"dro</w:instrText>
      </w:r>
      <w:r>
        <w:rPr>
          <w:rFonts w:ascii="Arial" w:eastAsia="Times New Roman" w:hAnsi="Arial" w:cs="Arial"/>
          <w:color w:val="000000" w:themeColor="text1"/>
          <w:lang w:val="en-US" w:eastAsia="de-DE"/>
        </w:rPr>
        <w:instrText>pping-particle":"","family":"Saxton","given":"Robert A","non-dropping-particle":"","parse-names":false,"suffix":""},{"dropping-particle":"","family":"Sabatini","given":"David M","non-dropping-particle":"","parse-names":false,"suffix":""}],"id":"ITEM-3","is</w:instrText>
      </w:r>
      <w:r>
        <w:rPr>
          <w:rFonts w:ascii="Arial" w:eastAsia="Times New Roman" w:hAnsi="Arial" w:cs="Arial"/>
          <w:color w:val="000000" w:themeColor="text1"/>
          <w:lang w:val="en-US" w:eastAsia="de-DE"/>
        </w:rPr>
        <w:instrText>sued":{"date-parts":[["0"]]},"title":"Leading Edge mTOR Signaling in Growth, Metabolism, and Disease","type":"article-journal"},"uris":["http://www.mendeley.com/documents/?uuid=5bd5d0ab-b8c6-3196-bc7d-dd430eb2cb9e"]}],"mendeley":{"formattedCitation":"&lt;sup&gt;</w:instrText>
      </w:r>
      <w:r>
        <w:rPr>
          <w:rFonts w:ascii="Arial" w:eastAsia="Times New Roman" w:hAnsi="Arial" w:cs="Arial"/>
          <w:color w:val="000000" w:themeColor="text1"/>
          <w:lang w:val="en-US" w:eastAsia="de-DE"/>
        </w:rPr>
        <w:instrText>349,352,353&lt;/sup&gt;","plainTextFormattedCitation":"349,352,353","previouslyFormattedCitation":"&lt;sup&gt;349,352,353&lt;/sup&gt;"},"properties":{"noteIndex":0},"schema":"https://github.com/citation-style-language/schema/raw/master/csl-citation.json"}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349,352,353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PI3</w:t>
      </w:r>
      <w:r>
        <w:rPr>
          <w:rFonts w:ascii="Arial" w:eastAsia="Times New Roman" w:hAnsi="Arial" w:cs="Arial"/>
          <w:color w:val="000000" w:themeColor="text1"/>
          <w:lang w:val="en-US" w:eastAsia="de-DE"/>
        </w:rPr>
        <w:t>K coordinates glucose intake and utilization</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{"citationItems":[{"id":"ITEM-1","itemData":{"DOI":"10.1038/s41574-020-0329-9","ISSN":"1759-5037","PMID":"32127696","abstract":"Cancer is driven by incremental changes that accumulate, eventual</w:instrText>
      </w:r>
      <w:r>
        <w:rPr>
          <w:rFonts w:ascii="Arial" w:eastAsia="Times New Roman" w:hAnsi="Arial" w:cs="Arial"/>
          <w:color w:val="000000" w:themeColor="text1"/>
          <w:lang w:val="en-US" w:eastAsia="de-DE"/>
        </w:rPr>
        <w:instrText>ly leading to oncogenic transformation. Although genetic alterations dominate the way cancer biologists think about oncogenesis, growing evidence suggests that systemic factors (for example, insulin, oestrogen and inflammatory cytokines) and their intracel</w:instrText>
      </w:r>
      <w:r>
        <w:rPr>
          <w:rFonts w:ascii="Arial" w:eastAsia="Times New Roman" w:hAnsi="Arial" w:cs="Arial"/>
          <w:color w:val="000000" w:themeColor="text1"/>
          <w:lang w:val="en-US" w:eastAsia="de-DE"/>
        </w:rPr>
        <w:instrText>lular pathways activate oncogenic signals and contribute to targetable phenotypes. Systemic factors can have a critical role in both tumour initiation and therapeutic responses as increasingly targeted and personalized therapeutic regimens are used to trea</w:instrText>
      </w:r>
      <w:r>
        <w:rPr>
          <w:rFonts w:ascii="Arial" w:eastAsia="Times New Roman" w:hAnsi="Arial" w:cs="Arial"/>
          <w:color w:val="000000" w:themeColor="text1"/>
          <w:lang w:val="en-US" w:eastAsia="de-DE"/>
        </w:rPr>
        <w:instrText>t patients with cancer. The endocrine system controls cell growth and metabolism by providing extracellular cues that integrate systemic nutrient status with cellular activities such as proliferation and survival via the production of metabolites and hormo</w:instrText>
      </w:r>
      <w:r>
        <w:rPr>
          <w:rFonts w:ascii="Arial" w:eastAsia="Times New Roman" w:hAnsi="Arial" w:cs="Arial"/>
          <w:color w:val="000000" w:themeColor="text1"/>
          <w:lang w:val="en-US" w:eastAsia="de-DE"/>
        </w:rPr>
        <w:instrText xml:space="preserve">nes such as insulin. When insulin binds to its receptor, it initiates a sequence of phosphorylation events that lead to activation of the catalytic activity of phosphoinositide 3-kinase (PI3K), a lipid kinase that coordinates the intake and utilization of </w:instrText>
      </w:r>
      <w:r>
        <w:rPr>
          <w:rFonts w:ascii="Arial" w:eastAsia="Times New Roman" w:hAnsi="Arial" w:cs="Arial"/>
          <w:color w:val="000000" w:themeColor="text1"/>
          <w:lang w:val="en-US" w:eastAsia="de-DE"/>
        </w:rPr>
        <w:instrText>glucose, and mTOR, a kinase downstream of PI3K that stimulates transcription and translation. When chronically activated, the PI3K pathway can drive malignant transformation. Here, we discuss the insulin–PI3K signalling cascade and emphasize its roles in n</w:instrText>
      </w:r>
      <w:r>
        <w:rPr>
          <w:rFonts w:ascii="Arial" w:eastAsia="Times New Roman" w:hAnsi="Arial" w:cs="Arial"/>
          <w:color w:val="000000" w:themeColor="text1"/>
          <w:lang w:val="en-US" w:eastAsia="de-DE"/>
        </w:rPr>
        <w:instrText xml:space="preserve">ormal cells (including coordinating cell metabolism and growth), highlighting the features of this network that make it ideal for co-option by cancer cells. Furthermore, we discuss how this signalling network can affect therapeutic responses and how novel </w:instrText>
      </w:r>
      <w:r>
        <w:rPr>
          <w:rFonts w:ascii="Arial" w:eastAsia="Times New Roman" w:hAnsi="Arial" w:cs="Arial"/>
          <w:color w:val="000000" w:themeColor="text1"/>
          <w:lang w:val="en-US" w:eastAsia="de-DE"/>
        </w:rPr>
        <w:instrText>metabolic-based strategies might enhance treatment efficacy for cancer. This Review discusses the connections between insulin signalling and oncogenic transformation, highlighting the potential effect of insulin as a pro-tumorigenic factor. The latest stud</w:instrText>
      </w:r>
      <w:r>
        <w:rPr>
          <w:rFonts w:ascii="Arial" w:eastAsia="Times New Roman" w:hAnsi="Arial" w:cs="Arial"/>
          <w:color w:val="000000" w:themeColor="text1"/>
          <w:lang w:val="en-US" w:eastAsia="de-DE"/>
        </w:rPr>
        <w:instrText>ies examining new approaches to circumvent systemic insulin feedback to increase the antitumour effect of agents targeting the insulin signalling pathway are discussed.","author":[{"dropping-particle":"","family":"Hopkins","given":"Benjamin D.","non-droppi</w:instrText>
      </w:r>
      <w:r>
        <w:rPr>
          <w:rFonts w:ascii="Arial" w:eastAsia="Times New Roman" w:hAnsi="Arial" w:cs="Arial"/>
          <w:color w:val="000000" w:themeColor="text1"/>
          <w:lang w:val="en-US" w:eastAsia="de-DE"/>
        </w:rPr>
        <w:instrText>ng-particle":"","parse-names":false,"suffix":""},{"dropping-particle":"","family":"Goncalves","given":"Marcus D.","non-dropping-particle":"","parse-names":false,"suffix":""},{"dropping-particle":"","family":"Cantley","given":"Lewis C.","non-dropping-partic</w:instrText>
      </w:r>
      <w:r>
        <w:rPr>
          <w:rFonts w:ascii="Arial" w:eastAsia="Times New Roman" w:hAnsi="Arial" w:cs="Arial"/>
          <w:color w:val="000000" w:themeColor="text1"/>
          <w:lang w:val="en-US" w:eastAsia="de-DE"/>
        </w:rPr>
        <w:instrText>le":"","parse-names":false,"suffix":""}],"container-title":"Nature Reviews Endocrinology 2020 16:5","id":"ITEM-1","issue":"5","issued":{"date-parts":[["2020","3","3"]]},"page":"276-283","publisher":"Nature Publishing Group","title":"Insulin–PI3K signalling</w:instrText>
      </w:r>
      <w:r>
        <w:rPr>
          <w:rFonts w:ascii="Arial" w:eastAsia="Times New Roman" w:hAnsi="Arial" w:cs="Arial"/>
          <w:color w:val="000000" w:themeColor="text1"/>
          <w:lang w:val="en-US" w:eastAsia="de-DE"/>
        </w:rPr>
        <w:instrText>: an evolutionarily insulated metabolic driver of cancer","type":"article-journal","volume":"16"},"uris":["http://www.mendeley.com/documents/?uuid=103092d6-c9be-359b-822e-4db18fff8263"]}],"mendeley":{"formattedCitation":"&lt;sup&gt;352&lt;/sup&gt;","plainTextFormatted</w:instrText>
      </w:r>
      <w:r>
        <w:rPr>
          <w:rFonts w:ascii="Arial" w:eastAsia="Times New Roman" w:hAnsi="Arial" w:cs="Arial"/>
          <w:color w:val="000000" w:themeColor="text1"/>
          <w:lang w:val="en-US" w:eastAsia="de-DE"/>
        </w:rPr>
        <w:instrText>Citation":"352","previouslyFormattedCitation":"&lt;sup&gt;352&lt;/sup&gt;"},"properties":{"noteIndex":0},"schema":"https://github.com/citation-style-language/schema/raw/master/csl-citation.json"}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352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while Akt promotes cell growth, proliferation, and survival by in</w:t>
      </w:r>
      <w:r>
        <w:rPr>
          <w:rFonts w:ascii="Arial" w:eastAsia="Times New Roman" w:hAnsi="Arial" w:cs="Arial"/>
          <w:color w:val="000000" w:themeColor="text1"/>
          <w:lang w:val="en-US" w:eastAsia="de-DE"/>
        </w:rPr>
        <w:t>hibiting a range of substrates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{"citationItems":[{"id":"ITEM-1","itemData":{"DOI":"10.1016/j.cell.2017.02.004","author":[{"dropping-particle":"","family":"Saxton","given":"Robert A","non-dropping-particle":"","parse-names":false,"suffix":</w:instrText>
      </w:r>
      <w:r>
        <w:rPr>
          <w:rFonts w:ascii="Arial" w:eastAsia="Times New Roman" w:hAnsi="Arial" w:cs="Arial"/>
          <w:color w:val="000000" w:themeColor="text1"/>
          <w:lang w:val="en-US" w:eastAsia="de-DE"/>
        </w:rPr>
        <w:instrText>""},{"dropping-particle":"","family":"Sabatini","given":"David M","non-dropping-particle":"","parse-names":false,"suffix":""}],"id":"ITEM-1","issued":{"date-parts":[["0"]]},"title":"Leading Edge mTOR Signaling in Growth, Metabolism, and Disease","type":"ar</w:instrText>
      </w:r>
      <w:r>
        <w:rPr>
          <w:rFonts w:ascii="Arial" w:eastAsia="Times New Roman" w:hAnsi="Arial" w:cs="Arial"/>
          <w:color w:val="000000" w:themeColor="text1"/>
          <w:lang w:val="en-US" w:eastAsia="de-DE"/>
        </w:rPr>
        <w:instrText>ticle-journal"},"uris":["http://www.mendeley.com/documents/?uuid=5bd5d0ab-b8c6-3196-bc7d-dd430eb2cb9e"]}],"mendeley":{"formattedCitation":"&lt;sup&gt;349&lt;/sup&gt;","plainTextFormattedCitation":"349","previouslyFormattedCitation":"&lt;sup&gt;349&lt;/sup&gt;"},"properties":{"not</w:instrText>
      </w:r>
      <w:r>
        <w:rPr>
          <w:rFonts w:ascii="Arial" w:eastAsia="Times New Roman" w:hAnsi="Arial" w:cs="Arial"/>
          <w:color w:val="000000" w:themeColor="text1"/>
          <w:lang w:val="en-US" w:eastAsia="de-DE"/>
        </w:rPr>
        <w:instrTex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One of these substrates is the TSC complex, the aforementioned inhibitor of mTORC1</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w:instrText>
      </w:r>
      <w:r>
        <w:rPr>
          <w:rFonts w:ascii="Arial" w:eastAsia="Times New Roman" w:hAnsi="Arial" w:cs="Arial"/>
          <w:color w:val="000000" w:themeColor="text1"/>
          <w:lang w:val="en-US" w:eastAsia="de-DE"/>
        </w:rPr>
        <w:instrText>DOI":"10.1016/j.cell.2017.02.004","author":[{"dropping-particle":"","family":"Saxton","given":"Robert A","non-dropping-particle":"","parse-names":false,"suffix":""},{"dropping-particle":"","family":"Sabatini","given":"David M","non-dropping-particle":"","p</w:instrText>
      </w:r>
      <w:r>
        <w:rPr>
          <w:rFonts w:ascii="Arial" w:eastAsia="Times New Roman" w:hAnsi="Arial" w:cs="Arial"/>
          <w:color w:val="000000" w:themeColor="text1"/>
          <w:lang w:val="en-US" w:eastAsia="de-DE"/>
        </w:rPr>
        <w:instrText>arse-names":false,"suffix":""}],"id":"ITEM-1","issued":{"date-parts":[["0"]]},"title":"Leading Edge mTOR Signaling in Growth, Metabolism, and Disease","type":"article-journal"},"uris":["http://www.mendeley.com/documents/?uuid=5bd5d0ab-b8c6-3196-bc7d-dd430e</w:instrText>
      </w:r>
      <w:r>
        <w:rPr>
          <w:rFonts w:ascii="Arial" w:eastAsia="Times New Roman" w:hAnsi="Arial" w:cs="Arial"/>
          <w:color w:val="000000" w:themeColor="text1"/>
          <w:lang w:val="en-US" w:eastAsia="de-DE"/>
        </w:rPr>
        <w:instrText>b2cb9e"]}],"mendeley":{"formattedCitation":"&lt;sup&gt;349&lt;/sup&gt;","plainTextFormattedCitation":"349","previouslyFormattedCitation":"&lt;sup&gt;349&lt;/sup&gt;"},"properties":{"noteIndex":0},"schema":"https://github.com/citation-style-language/schema/raw/master/csl-citation.</w:instrText>
      </w:r>
      <w:r>
        <w:rPr>
          <w:rFonts w:ascii="Arial" w:eastAsia="Times New Roman" w:hAnsi="Arial" w:cs="Arial"/>
          <w:color w:val="000000" w:themeColor="text1"/>
          <w:lang w:val="en-US" w:eastAsia="de-DE"/>
        </w:rPr>
        <w:instrText>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349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In this manner, insulin detection can lead to activation of the mTORC1 pathway via the mTORC2 complex. </w:t>
      </w:r>
    </w:p>
    <w:p w14:paraId="3405FC18"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The role of the mTOR network in cell size control is evident from cell size studies performed under mTOR disruption. Inactivating mutations of the </w:t>
      </w:r>
      <w:r>
        <w:rPr>
          <w:rFonts w:ascii="Arial" w:eastAsia="Times New Roman" w:hAnsi="Arial" w:cs="Arial"/>
          <w:i/>
          <w:iCs/>
          <w:color w:val="000000"/>
          <w:lang w:val="en-US" w:eastAsia="de-DE"/>
        </w:rPr>
        <w:t xml:space="preserve">Drosophila </w:t>
      </w:r>
      <w:r>
        <w:rPr>
          <w:rFonts w:ascii="Arial" w:eastAsia="Times New Roman" w:hAnsi="Arial" w:cs="Arial"/>
          <w:color w:val="000000"/>
          <w:lang w:val="en-US" w:eastAsia="de-DE"/>
        </w:rPr>
        <w:t>mTOR homolog led to a reduced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w:instrText>
      </w:r>
      <w:r>
        <w:rPr>
          <w:rFonts w:ascii="Arial" w:eastAsia="Times New Roman" w:hAnsi="Arial" w:cs="Arial"/>
          <w:color w:val="000000"/>
          <w:lang w:val="en-US" w:eastAsia="de-DE"/>
        </w:rPr>
        <w:instrText>ta":{"DOI":"10.1101/GAD.835000","ISBN":"08909369/00","ISSN":"0890-9369","PMID":"11069888","abstract":"The TOR protein kinases (TOR1 and TOR2 in yeast; mTOR/FRAP/RAFT1 in mammals) promote cellular proliferation in response to nutrients and growth factors, b</w:instrText>
      </w:r>
      <w:r>
        <w:rPr>
          <w:rFonts w:ascii="Arial" w:eastAsia="Times New Roman" w:hAnsi="Arial" w:cs="Arial"/>
          <w:color w:val="000000"/>
          <w:lang w:val="en-US" w:eastAsia="de-DE"/>
        </w:rPr>
        <w:instrText xml:space="preserve">ut their role in development is poorly understood. Here, we show that the Drosophila TOR homolog dTOR is required cell autonomously for normal growth and proliferation during larval development, and for increases in cellular growth caused by activation of </w:instrText>
      </w:r>
      <w:r>
        <w:rPr>
          <w:rFonts w:ascii="Arial" w:eastAsia="Times New Roman" w:hAnsi="Arial" w:cs="Arial"/>
          <w:color w:val="000000"/>
          <w:lang w:val="en-US" w:eastAsia="de-DE"/>
        </w:rPr>
        <w:instrText xml:space="preserve">the phosphoinositide 3-kinase (PI3K) signaling pathway. As in mammalian cells, the kinase activity of dTOR is required for growth factor-dependent phosphorylation of p70 S6 kinase (p70S6K) in vitro, and we demonstrate that overexpression of p70S6K in vivo </w:instrText>
      </w:r>
      <w:r>
        <w:rPr>
          <w:rFonts w:ascii="Arial" w:eastAsia="Times New Roman" w:hAnsi="Arial" w:cs="Arial"/>
          <w:color w:val="000000"/>
          <w:lang w:val="en-US" w:eastAsia="de-DE"/>
        </w:rPr>
        <w:instrText xml:space="preserve">can rescue dTOR mutant animals to viability. Loss of dTOR also results in cellular phenotypes characteristic of amino acid deprivation, including reduced nucleolar size, lipid vesicle aggregation in the larval fat body, and a cell type-specific pattern of </w:instrText>
      </w:r>
      <w:r>
        <w:rPr>
          <w:rFonts w:ascii="Arial" w:eastAsia="Times New Roman" w:hAnsi="Arial" w:cs="Arial"/>
          <w:color w:val="000000"/>
          <w:lang w:val="en-US" w:eastAsia="de-DE"/>
        </w:rPr>
        <w:instrText>cell cycle arrest that can be bypassed by overexpression of the S-phase regulator cyclin E. Our results suggest that dTOR regulates growth during animal development by coupling growth factor signaling to nutrient availability.","author":[{"dropping-particl</w:instrText>
      </w:r>
      <w:r>
        <w:rPr>
          <w:rFonts w:ascii="Arial" w:eastAsia="Times New Roman" w:hAnsi="Arial" w:cs="Arial"/>
          <w:color w:val="000000"/>
          <w:lang w:val="en-US" w:eastAsia="de-DE"/>
        </w:rPr>
        <w:instrText>e":"","family":"Zhang","given":"Hongbing","non-dropping-particle":"","parse-names":false,"suffix":""},{"dropping-particle":"","family":"Stallock","given":"James P.","non-dropping-particle":"","parse-names":false,"suffix":""},{"dropping-particle":"","family</w:instrText>
      </w:r>
      <w:r>
        <w:rPr>
          <w:rFonts w:ascii="Arial" w:eastAsia="Times New Roman" w:hAnsi="Arial" w:cs="Arial"/>
          <w:color w:val="000000"/>
          <w:lang w:val="en-US" w:eastAsia="de-DE"/>
        </w:rPr>
        <w:instrText>":"Ng","given":"Joyce C.","non-dropping-particle":"","parse-names":false,"suffix":""},{"dropping-particle":"","family":"Reinhard","given":"Christoph","non-dropping-particle":"","parse-names":false,"suffix":""},{"dropping-particle":"","family":"Neufeld","gi</w:instrText>
      </w:r>
      <w:r>
        <w:rPr>
          <w:rFonts w:ascii="Arial" w:eastAsia="Times New Roman" w:hAnsi="Arial" w:cs="Arial"/>
          <w:color w:val="000000"/>
          <w:lang w:val="en-US" w:eastAsia="de-DE"/>
        </w:rPr>
        <w:instrText>ven":"Thomas P.","non-dropping-particle":"","parse-names":false,"suffix":""}],"container-title":"Genes &amp; Development","id":"ITEM-1","issue":"21","issued":{"date-parts":[["2000","11","1"]]},"page":"2712-2724","publisher":"Cold Spring Harbor Laboratory Press</w:instrText>
      </w:r>
      <w:r>
        <w:rPr>
          <w:rFonts w:ascii="Arial" w:eastAsia="Times New Roman" w:hAnsi="Arial" w:cs="Arial"/>
          <w:color w:val="000000"/>
          <w:lang w:val="en-US" w:eastAsia="de-DE"/>
        </w:rPr>
        <w:instrText>","title":"Regulation of cellular growth by the Drosophila target of rapamycin dTOR","type":"article-journal","volume":"14"},"uris":["http://www.mendeley.com/documents/?uuid=69b0355c-b2e5-3a26-864a-337a70fd1850"]}],"mendeley":{"formattedCitation":"&lt;sup&gt;354</w:instrText>
      </w:r>
      <w:r>
        <w:rPr>
          <w:rFonts w:ascii="Arial" w:eastAsia="Times New Roman" w:hAnsi="Arial" w:cs="Arial"/>
          <w:color w:val="000000"/>
          <w:lang w:val="en-US" w:eastAsia="de-DE"/>
        </w:rPr>
        <w:instrText>&lt;/sup&gt;","plainTextFormattedCitation":"354","previouslyFormattedCitation":"&lt;sup&gt;354&lt;/sup&gt;"},"properties":{"noteIndex":0},"schema":"https://github.com/citation-style-language/schema/raw/master/csl-citation.json"}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354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Genetic analyses linked this cell size</w:t>
      </w:r>
      <w:r>
        <w:rPr>
          <w:rFonts w:ascii="Arial" w:eastAsia="Times New Roman" w:hAnsi="Arial" w:cs="Arial"/>
          <w:color w:val="000000"/>
          <w:lang w:val="en-US" w:eastAsia="de-DE"/>
        </w:rPr>
        <w:t xml:space="preserve"> phenotype to the S6K kinase downstream of mTORC1. An inactivating mutation of the </w:t>
      </w:r>
      <w:r>
        <w:rPr>
          <w:rFonts w:ascii="Arial" w:eastAsia="Times New Roman" w:hAnsi="Arial" w:cs="Arial"/>
          <w:i/>
          <w:iCs/>
          <w:color w:val="000000"/>
          <w:lang w:val="en-US" w:eastAsia="de-DE"/>
        </w:rPr>
        <w:t xml:space="preserve">Drosophila </w:t>
      </w:r>
      <w:r>
        <w:rPr>
          <w:rFonts w:ascii="Arial" w:eastAsia="Times New Roman" w:hAnsi="Arial" w:cs="Arial"/>
          <w:color w:val="000000"/>
          <w:lang w:val="en-US" w:eastAsia="de-DE"/>
        </w:rPr>
        <w:t>S6K indeed led to a small cell and body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{"citationItems":[{"id":"ITEM-1","itemData":{"DOI":"10.1126/SCIENCE.285.5436.2126/ASSET/1638908C-E1</w:instrText>
      </w:r>
      <w:r>
        <w:rPr>
          <w:rFonts w:ascii="Arial" w:eastAsia="Times New Roman" w:hAnsi="Arial" w:cs="Arial"/>
          <w:color w:val="000000"/>
          <w:lang w:val="en-US" w:eastAsia="de-DE"/>
        </w:rPr>
        <w:instrText>E9-4A58-82FA-EAF7F26BC5B3/ASSETS/GRAPHIC/SE3797858004.JPEG","ISSN":"00368075","PMID":"10497130","abstract":"Cell proliferation requires cell growth; that is, cells only divide after they reach a critical size. However the mechanisms by which cells grow and</w:instrText>
      </w:r>
      <w:r>
        <w:rPr>
          <w:rFonts w:ascii="Arial" w:eastAsia="Times New Roman" w:hAnsi="Arial" w:cs="Arial"/>
          <w:color w:val="000000"/>
          <w:lang w:val="en-US" w:eastAsia="de-DE"/>
        </w:rPr>
        <w:instrText xml:space="preserve"> maintain their appropriate size have remained elusive. Drosophila deficient in the 56 kinase gene (dS6K) exhibited an extreme delay in development and a severe reduction in body size. These flies had smaller cells rather than fewer cells. The effect was c</w:instrText>
      </w:r>
      <w:r>
        <w:rPr>
          <w:rFonts w:ascii="Arial" w:eastAsia="Times New Roman" w:hAnsi="Arial" w:cs="Arial"/>
          <w:color w:val="000000"/>
          <w:lang w:val="en-US" w:eastAsia="de-DE"/>
        </w:rPr>
        <w:instrText>ell-autonomous, displayed throughout larval development, and distinct from that of ribosomal protein mutants (Minutes). Thus, the dS6K gene product regulates cell size in a cell- autonomous manner without impinging on cell number.","author":[{"dropping-par</w:instrText>
      </w:r>
      <w:r>
        <w:rPr>
          <w:rFonts w:ascii="Arial" w:eastAsia="Times New Roman" w:hAnsi="Arial" w:cs="Arial"/>
          <w:color w:val="000000"/>
          <w:lang w:val="en-US" w:eastAsia="de-DE"/>
        </w:rPr>
        <w:instrText>ticle":"","family":"Montagne","given":"Jacques","non-dropping-particle":"","parse-names":false,"suffix":""},{"dropping-particle":"","family":"Stewart","given":"Mary J.","non-dropping-particle":"","parse-names":false,"suffix":""},{"dropping-particle":"","fa</w:instrText>
      </w:r>
      <w:r>
        <w:rPr>
          <w:rFonts w:ascii="Arial" w:eastAsia="Times New Roman" w:hAnsi="Arial" w:cs="Arial"/>
          <w:color w:val="000000"/>
          <w:lang w:val="en-US" w:eastAsia="de-DE"/>
        </w:rPr>
        <w:instrText>mily":"Stocker","given":"Hugo","non-dropping-particle":"","parse-names":false,"suffix":""},{"dropping-particle":"","family":"Hafen","given":"Ernst","non-dropping-particle":"","parse-names":false,"suffix":""},{"dropping-particle":"","family":"Kozma","given"</w:instrText>
      </w:r>
      <w:r>
        <w:rPr>
          <w:rFonts w:ascii="Arial" w:eastAsia="Times New Roman" w:hAnsi="Arial" w:cs="Arial"/>
          <w:color w:val="000000"/>
          <w:lang w:val="en-US" w:eastAsia="de-DE"/>
        </w:rPr>
        <w:instrText>:"Sara C.","non-dropping-particle":"","parse-names":false,"suffix":""},{"dropping-particle":"","family":"Thomas","given":"George","non-dropping-particle":"","parse-names":false,"suffix":""}],"container-title":"Science","id":"ITEM-1","issue":"5436","issued"</w:instrText>
      </w:r>
      <w:r>
        <w:rPr>
          <w:rFonts w:ascii="Arial" w:eastAsia="Times New Roman" w:hAnsi="Arial" w:cs="Arial"/>
          <w:color w:val="000000"/>
          <w:lang w:val="en-US" w:eastAsia="de-DE"/>
        </w:rPr>
        <w:instrText>:{"date-parts":[["1999"]]},"page":"2126-2129","publisher":"American Association for the Advancement of Science","title":"Drosophila S6 kinase: A regulator of cell size","type":"article-journal","volume":"285"},"uris":["http://www.mendeley.com/documents/?uu</w:instrText>
      </w:r>
      <w:r>
        <w:rPr>
          <w:rFonts w:ascii="Arial" w:eastAsia="Times New Roman" w:hAnsi="Arial" w:cs="Arial"/>
          <w:color w:val="000000"/>
          <w:lang w:val="en-US" w:eastAsia="de-DE"/>
        </w:rPr>
        <w:instrText>id=403a9035-4f12-3314-b772-04dd66abeefe"]}],"mendeley":{"formattedCitation":"&lt;sup&gt;355&lt;/sup&gt;","plainTextFormattedCitation":"355","previouslyFormattedCitation":"&lt;sup&gt;355&lt;/sup&gt;"},"properties":{"noteIndex":0},"schema":"https://github.com/citation-style-languag</w:instrText>
      </w:r>
      <w:r>
        <w:rPr>
          <w:rFonts w:ascii="Arial" w:eastAsia="Times New Roman" w:hAnsi="Arial" w:cs="Arial"/>
          <w:color w:val="000000"/>
          <w:lang w:val="en-US" w:eastAsia="de-DE"/>
        </w:rPr>
        <w:instrText>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355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In mammals, disruption of the mTOR kinase by rapamycin or of the PI3K kinase (of the PI3K/Akt/mTORC1 circuit) by the drug LY294002 led to a decreased growth rate and a smaller cell size</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w:instrText>
      </w:r>
      <w:r>
        <w:rPr>
          <w:rFonts w:ascii="Arial" w:eastAsia="Times New Roman" w:hAnsi="Arial" w:cs="Arial"/>
          <w:color w:val="000000"/>
          <w:lang w:val="en-US" w:eastAsia="de-DE"/>
        </w:rPr>
        <w:instrText xml:space="preserve">ationItems":[{"id":"ITEM-1","itemData":{"DOI":"10.1101/GAD.995802","ISSN":"08909369","PMID":"12080086","abstract":"The coordinated action of cell cycle progression and cell growth (an increase in cell size and cell mass) is critical for sustained cellular </w:instrText>
      </w:r>
      <w:r>
        <w:rPr>
          <w:rFonts w:ascii="Arial" w:eastAsia="Times New Roman" w:hAnsi="Arial" w:cs="Arial"/>
          <w:color w:val="000000"/>
          <w:lang w:val="en-US" w:eastAsia="de-DE"/>
        </w:rPr>
        <w:instrText>proliferation, yet the biochemical signals that control cell growth are poorly defined, particularly in mammalian systems. We find that cell growth and cell cycle progression are separable processes in mammalian cells and that growth to appropriate cell si</w:instrText>
      </w:r>
      <w:r>
        <w:rPr>
          <w:rFonts w:ascii="Arial" w:eastAsia="Times New Roman" w:hAnsi="Arial" w:cs="Arial"/>
          <w:color w:val="000000"/>
          <w:lang w:val="en-US" w:eastAsia="de-DE"/>
        </w:rPr>
        <w:instrText>ze requires mTOR- and PI3K-dependent signals. Expression of a rapamycin-resistant mutant of mTOR rescues the reduced cell size phenotype induced by rapamycin in a kinase-dependent manner, showing the evolutionarily conserved role of mTOR in control of cell</w:instrText>
      </w:r>
      <w:r>
        <w:rPr>
          <w:rFonts w:ascii="Arial" w:eastAsia="Times New Roman" w:hAnsi="Arial" w:cs="Arial"/>
          <w:color w:val="000000"/>
          <w:lang w:val="en-US" w:eastAsia="de-DE"/>
        </w:rPr>
        <w:instrText xml:space="preserve"> growth. Expression of S6K1 mutants that possess partial rapamycin-resistant activity or overexpression of eIF4E individually and additively partially rescues the rapamycin-induced decrease in cell size. In the absence of rapamycin, overexpression of S6K1 </w:instrText>
      </w:r>
      <w:r>
        <w:rPr>
          <w:rFonts w:ascii="Arial" w:eastAsia="Times New Roman" w:hAnsi="Arial" w:cs="Arial"/>
          <w:color w:val="000000"/>
          <w:lang w:val="en-US" w:eastAsia="de-DE"/>
        </w:rPr>
        <w:instrText>or eIF4E increases cell size, and, when coexpressed, they cooperate to increase cell size further. Expression of a phosphorylation site-defective mutant of 4EBP1 that constitutively binds the eIF4E-Cap complex to inhibit translation initiation reduces cell</w:instrText>
      </w:r>
      <w:r>
        <w:rPr>
          <w:rFonts w:ascii="Arial" w:eastAsia="Times New Roman" w:hAnsi="Arial" w:cs="Arial"/>
          <w:color w:val="000000"/>
          <w:lang w:val="en-US" w:eastAsia="de-DE"/>
        </w:rPr>
        <w:instrText xml:space="preserve"> size and blocks eIF4E effects on cell size. These data show that mTOR signals downstream to at least two independent targets, S6K1 and 4EBP1/eIF4E, that function in translational control to regulate mammalian cell size.","author":[{"dropping-particle":"",</w:instrText>
      </w:r>
      <w:r>
        <w:rPr>
          <w:rFonts w:ascii="Arial" w:eastAsia="Times New Roman" w:hAnsi="Arial" w:cs="Arial"/>
          <w:color w:val="000000"/>
          <w:lang w:val="en-US" w:eastAsia="de-DE"/>
        </w:rPr>
        <w:instrText>"family":"Fingar","given":"Diane C.","non-dropping-particle":"","parse-names":false,"suffix":""},{"dropping-particle":"","family":"Salama","given":"Sofie","non-dropping-particle":"","parse-names":false,"suffix":""},{"dropping-particle":"","family":"Tsou","</w:instrText>
      </w:r>
      <w:r>
        <w:rPr>
          <w:rFonts w:ascii="Arial" w:eastAsia="Times New Roman" w:hAnsi="Arial" w:cs="Arial"/>
          <w:color w:val="000000"/>
          <w:lang w:val="en-US" w:eastAsia="de-DE"/>
        </w:rPr>
        <w:instrText>given":"Christina","non-dropping-particle":"","parse-names":false,"suffix":""},{"dropping-particle":"","family":"Harlow","given":"Ed","non-dropping-particle":"","parse-names":false,"suffix":""},{"dropping-particle":"","family":"Blenis","given":"John","non-</w:instrText>
      </w:r>
      <w:r>
        <w:rPr>
          <w:rFonts w:ascii="Arial" w:eastAsia="Times New Roman" w:hAnsi="Arial" w:cs="Arial"/>
          <w:color w:val="000000"/>
          <w:lang w:val="en-US" w:eastAsia="de-DE"/>
        </w:rPr>
        <w:instrText>dropping-particle":"","parse-names":false,"suffix":""}],"container-title":"Genes &amp; Development","id":"ITEM-1","issue":"12","issued":{"date-parts":[["2002","6","6"]]},"page":"1472","publisher":"Cold Spring Harbor Laboratory Press","title":"Mammalian cell si</w:instrText>
      </w:r>
      <w:r>
        <w:rPr>
          <w:rFonts w:ascii="Arial" w:eastAsia="Times New Roman" w:hAnsi="Arial" w:cs="Arial"/>
          <w:color w:val="000000"/>
          <w:lang w:val="en-US" w:eastAsia="de-DE"/>
        </w:rPr>
        <w:instrText>ze is controlled by mTOR and its downstream targets S6K1 and 4EBP1/eIF4E","type":"article-journal","volume":"16"},"uris":["http://www.mendeley.com/documents/?uuid=3a048761-ce3a-3ca5-8a65-3f432bd2c8ab"]},{"id":"ITEM-2","itemData":{"DOI":"10.1038/sj.cdd.4401</w:instrText>
      </w:r>
      <w:r>
        <w:rPr>
          <w:rFonts w:ascii="Arial" w:eastAsia="Times New Roman" w:hAnsi="Arial" w:cs="Arial"/>
          <w:color w:val="000000"/>
          <w:lang w:val="en-US" w:eastAsia="de-DE"/>
        </w:rPr>
        <w:instrText>660","ISSN":"1476-5403","PMID":"15905878","abstract":"In Jurkat cells, the decreased cell growth rate associated with a long-lasting deactivation of the mammalian target of rapamycin (mTOR)/p70 ribosomal S6 kinase (S6K)-signaling pathway generates a cell p</w:instrText>
      </w:r>
      <w:r>
        <w:rPr>
          <w:rFonts w:ascii="Arial" w:eastAsia="Times New Roman" w:hAnsi="Arial" w:cs="Arial"/>
          <w:color w:val="000000"/>
          <w:lang w:val="en-US" w:eastAsia="de-DE"/>
        </w:rPr>
        <w:instrText>opulation of progressively reduced cellular mass and size. When promoted by rapamycin as prototype inhibitor, the mTOR deactivation-dependent cell size reduction was associated with slowed, but not suppressed, proliferation. Small-size cells were significa</w:instrText>
      </w:r>
      <w:r>
        <w:rPr>
          <w:rFonts w:ascii="Arial" w:eastAsia="Times New Roman" w:hAnsi="Arial" w:cs="Arial"/>
          <w:color w:val="000000"/>
          <w:lang w:val="en-US" w:eastAsia="de-DE"/>
        </w:rPr>
        <w:instrText>ntly protected from apoptosis induced by Fas/Apo-1 death-receptor activation (as shown by reduced procaspase cleavage and decreased catalytic activity of relevant caspases) or by stress signals-dependent mitochondrial perturbation (as shown by reduced clea</w:instrText>
      </w:r>
      <w:r>
        <w:rPr>
          <w:rFonts w:ascii="Arial" w:eastAsia="Times New Roman" w:hAnsi="Arial" w:cs="Arial"/>
          <w:color w:val="000000"/>
          <w:lang w:val="en-US" w:eastAsia="de-DE"/>
        </w:rPr>
        <w:instrText>vage of caspase-2, lower dissipation of mitochondrial membrane potential and decreased release of cytochorome c and apoptosis-inducing factor from mitochondria). Protection faded when reactivation of the mTOR/S6K pathway promoted the cell recovery to norma</w:instrText>
      </w:r>
      <w:r>
        <w:rPr>
          <w:rFonts w:ascii="Arial" w:eastAsia="Times New Roman" w:hAnsi="Arial" w:cs="Arial"/>
          <w:color w:val="000000"/>
          <w:lang w:val="en-US" w:eastAsia="de-DE"/>
        </w:rPr>
        <w:instrText>l size. These results suggest that cells induced to reduce their mass by the mTOR deactivation-dependent inhibition of cell growth become more resilient to lethal assaults by curbing the cell's suicidal response.","author":[{"dropping-particle":"","family"</w:instrText>
      </w:r>
      <w:r>
        <w:rPr>
          <w:rFonts w:ascii="Arial" w:eastAsia="Times New Roman" w:hAnsi="Arial" w:cs="Arial"/>
          <w:color w:val="000000"/>
          <w:lang w:val="en-US" w:eastAsia="de-DE"/>
        </w:rPr>
        <w:instrText>:"Fumarola","given":"Claudia","non-dropping-particle":"","parse-names":false,"suffix":""},{"dropping-particle":"","family":"Monica","given":"S.","non-dropping-particle":"La","parse-names":false,"suffix":""},{"dropping-particle":"","family":"Alfieri","given</w:instrText>
      </w:r>
      <w:r>
        <w:rPr>
          <w:rFonts w:ascii="Arial" w:eastAsia="Times New Roman" w:hAnsi="Arial" w:cs="Arial"/>
          <w:color w:val="000000"/>
          <w:lang w:val="en-US" w:eastAsia="de-DE"/>
        </w:rPr>
        <w:instrText>":"R. R.","non-dropping-particle":"","parse-names":false,"suffix":""},{"dropping-particle":"","family":"Borra","given":"E.","non-dropping-particle":"","parse-names":false,"suffix":""},{"dropping-particle":"","family":"Guidotti","given":"G. G.","non-droppin</w:instrText>
      </w:r>
      <w:r>
        <w:rPr>
          <w:rFonts w:ascii="Arial" w:eastAsia="Times New Roman" w:hAnsi="Arial" w:cs="Arial"/>
          <w:color w:val="000000"/>
          <w:lang w:val="en-US" w:eastAsia="de-DE"/>
        </w:rPr>
        <w:instrText xml:space="preserve">g-particle":"","parse-names":false,"suffix":""}],"container-title":"Cell Death &amp; Differentiation 2005 12:10","id":"ITEM-2","issue":"10","issued":{"date-parts":[["2005","5","20"]]},"page":"1344-1357","publisher":"Nature Publishing Group","title":"Cell size </w:instrText>
      </w:r>
      <w:r>
        <w:rPr>
          <w:rFonts w:ascii="Arial" w:eastAsia="Times New Roman" w:hAnsi="Arial" w:cs="Arial"/>
          <w:color w:val="000000"/>
          <w:lang w:val="en-US" w:eastAsia="de-DE"/>
        </w:rPr>
        <w:instrText>reduction induced by inhibition of the mTOR/S6K-signaling pathway protects Jurkat cells from apoptosis","type":"article-journal","volume":"12"},"uris":["http://www.mendeley.com/documents/?uuid=73fdeefc-66eb-3f28-8529-84d4a21fd891"]}],"mendeley":{"formatted</w:instrText>
      </w:r>
      <w:r>
        <w:rPr>
          <w:rFonts w:ascii="Arial" w:eastAsia="Times New Roman" w:hAnsi="Arial" w:cs="Arial"/>
          <w:color w:val="000000"/>
          <w:lang w:val="en-US" w:eastAsia="de-DE"/>
        </w:rPr>
        <w:instrText>Citation":"&lt;sup&gt;356,357&lt;/sup&gt;","plainTextFormattedCitation":"356,357","previouslyFormattedCitation":"&lt;sup&gt;356,357&lt;/sup&gt;"},"properties":{"noteIndex":0},"schema":"https://github.com/citation-style-language/schema/raw/master/csl-citation.json"}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356,357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In </w:t>
      </w:r>
      <w:r>
        <w:rPr>
          <w:rFonts w:ascii="Arial" w:eastAsia="Times New Roman" w:hAnsi="Arial" w:cs="Arial"/>
          <w:color w:val="000000"/>
          <w:lang w:val="en-US" w:eastAsia="de-DE"/>
        </w:rPr>
        <w:t>budding yeast, Kellogg and co-workers proposed that TORC2 is involved in nutrient-dependent regulation of cell size and cell growth, in a manner that is dependent on ceramides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{"citationItems":[{"id":"ITEM-1","itemData":{"DOI":"10.1371/JO</w:instrText>
      </w:r>
      <w:r>
        <w:rPr>
          <w:rFonts w:ascii="Arial" w:eastAsia="Times New Roman" w:hAnsi="Arial" w:cs="Arial"/>
          <w:color w:val="000000"/>
          <w:lang w:val="en-US" w:eastAsia="de-DE"/>
        </w:rPr>
        <w:instrText>URNAL.PGEN.1000727","ISSN":"1553-7404","PMID":"19911052","abstract":"The key molecular event that marks entry into the cell cycle is transcription of G1 cyclins, which bind and activate cyclin-dependent kinases. In yeast cells, initiation of G1 cyclin tran</w:instrText>
      </w:r>
      <w:r>
        <w:rPr>
          <w:rFonts w:ascii="Arial" w:eastAsia="Times New Roman" w:hAnsi="Arial" w:cs="Arial"/>
          <w:color w:val="000000"/>
          <w:lang w:val="en-US" w:eastAsia="de-DE"/>
        </w:rPr>
        <w:instrText>scription is linked to achievement of a critical cell size, which contributes to cell-size homeostasis. The critical cell size is modulated by nutrients, such that cells growing in poor nutrients are smaller than cells growing in rich nutrients. Nutrient m</w:instrText>
      </w:r>
      <w:r>
        <w:rPr>
          <w:rFonts w:ascii="Arial" w:eastAsia="Times New Roman" w:hAnsi="Arial" w:cs="Arial"/>
          <w:color w:val="000000"/>
          <w:lang w:val="en-US" w:eastAsia="de-DE"/>
        </w:rPr>
        <w:instrText>odulation of cell size does not work through known critical regulators of G1 cyclin transcription and is therefore thought to work through a distinct pathway. Here, we report that Rts1, a highly conserved regulatory subunit of protein phosphatase 2A (PP2A)</w:instrText>
      </w:r>
      <w:r>
        <w:rPr>
          <w:rFonts w:ascii="Arial" w:eastAsia="Times New Roman" w:hAnsi="Arial" w:cs="Arial"/>
          <w:color w:val="000000"/>
          <w:lang w:val="en-US" w:eastAsia="de-DE"/>
        </w:rPr>
        <w:instrText>, is required for normal control of G1 cyclin transcription. Loss of Rts1 caused delayed initiation of bud growth and delayed and reduced accumulation of G1 cyclins. Expression of the G1 cyclin CLN2 from an inducible promoter rescued the delayed bud growth</w:instrText>
      </w:r>
      <w:r>
        <w:rPr>
          <w:rFonts w:ascii="Arial" w:eastAsia="Times New Roman" w:hAnsi="Arial" w:cs="Arial"/>
          <w:color w:val="000000"/>
          <w:lang w:val="en-US" w:eastAsia="de-DE"/>
        </w:rPr>
        <w:instrText xml:space="preserve"> in rts1Δ cells, indicating that Rts1 acts at the level of transcription. Moreover, loss of Rts1 caused altered regulation of Swi6, a key component of the SBF transcription factor that controls G1 cyclin transcription. Epistasis analysis revealed that Rts1</w:instrText>
      </w:r>
      <w:r>
        <w:rPr>
          <w:rFonts w:ascii="Arial" w:eastAsia="Times New Roman" w:hAnsi="Arial" w:cs="Arial"/>
          <w:color w:val="000000"/>
          <w:lang w:val="en-US" w:eastAsia="de-DE"/>
        </w:rPr>
        <w:instrText xml:space="preserve"> does not work solely through several known critical upstream regulators of G1 cyclin transcription. Cells lacking Rts1 failed to undergo nutrient modulation of cell size. Together, these observations demonstrate that Rts1 is a key player in pathways that </w:instrText>
      </w:r>
      <w:r>
        <w:rPr>
          <w:rFonts w:ascii="Arial" w:eastAsia="Times New Roman" w:hAnsi="Arial" w:cs="Arial"/>
          <w:color w:val="000000"/>
          <w:lang w:val="en-US" w:eastAsia="de-DE"/>
        </w:rPr>
        <w:instrText>link nutrient availability, cell size, and G1 cyclin transcription. Since Rts1 is highly conserved, it may function in similar pathways in vertebrates.","author":[{"dropping-particle":"","family":"Artiles","given":"Karen","non-dropping-particle":"","parse-</w:instrText>
      </w:r>
      <w:r>
        <w:rPr>
          <w:rFonts w:ascii="Arial" w:eastAsia="Times New Roman" w:hAnsi="Arial" w:cs="Arial"/>
          <w:color w:val="000000"/>
          <w:lang w:val="en-US" w:eastAsia="de-DE"/>
        </w:rPr>
        <w:instrText>names":false,"suffix":""},{"dropping-particle":"","family":"Anastasia","given":"Stephanie","non-dropping-particle":"","parse-names":false,"suffix":""},{"dropping-particle":"","family":"McCusker","given":"Derek","non-dropping-particle":"","parse-names":fals</w:instrText>
      </w:r>
      <w:r>
        <w:rPr>
          <w:rFonts w:ascii="Arial" w:eastAsia="Times New Roman" w:hAnsi="Arial" w:cs="Arial"/>
          <w:color w:val="000000"/>
          <w:lang w:val="en-US" w:eastAsia="de-DE"/>
        </w:rPr>
        <w:instrText>e,"suffix":""},{"dropping-particle":"","family":"Kellogg","given":"Douglas R.","non-dropping-particle":"","parse-names":false,"suffix":""}],"container-title":"PLOS Genetics","id":"ITEM-1","issue":"11","issued":{"date-parts":[["2009","11"]]},"page":"e100072</w:instrText>
      </w:r>
      <w:r>
        <w:rPr>
          <w:rFonts w:ascii="Arial" w:eastAsia="Times New Roman" w:hAnsi="Arial" w:cs="Arial"/>
          <w:color w:val="000000"/>
          <w:lang w:val="en-US" w:eastAsia="de-DE"/>
        </w:rPr>
        <w:instrText>7","publisher":"Public Library of Science","title":"The Rts1 Regulatory Subunit of Protein Phosphatase 2A Is Required for Control of G1 Cyclin Transcription and Nutrient Modulation of Cell Size","type":"article-journal","volume":"5"},"uris":["http://www.me</w:instrText>
      </w:r>
      <w:r>
        <w:rPr>
          <w:rFonts w:ascii="Arial" w:eastAsia="Times New Roman" w:hAnsi="Arial" w:cs="Arial"/>
          <w:color w:val="000000"/>
          <w:lang w:val="en-US" w:eastAsia="de-DE"/>
        </w:rPr>
        <w:instrText>ndeley.com/documents/?uuid=bf08b0fb-a711-38ff-badc-ec230c3fc3ce"]},{"id":"ITEM-2","itemData":{"DOI":"10.1016/j.cub.2017.11.069","ISSN":"09609822","abstract":"The size of all cells, from bacteria to vertebrates, is proportional to the growth rate set by nut</w:instrText>
      </w:r>
      <w:r>
        <w:rPr>
          <w:rFonts w:ascii="Arial" w:eastAsia="Times New Roman" w:hAnsi="Arial" w:cs="Arial"/>
          <w:color w:val="000000"/>
          <w:lang w:val="en-US" w:eastAsia="de-DE"/>
        </w:rPr>
        <w:instrText>rient availability, but the underlying mechanisms are unknown. Here, we show that nutrients modulate cell size and growth rate via the TORC2 signaling network in budding yeast. An important function of the TORC2 network is to modulate synthesis of ceramide</w:instrText>
      </w:r>
      <w:r>
        <w:rPr>
          <w:rFonts w:ascii="Arial" w:eastAsia="Times New Roman" w:hAnsi="Arial" w:cs="Arial"/>
          <w:color w:val="000000"/>
          <w:lang w:val="en-US" w:eastAsia="de-DE"/>
        </w:rPr>
        <w:instrText xml:space="preserve"> lipids, which play roles in signaling. TORC2-dependent control of ceramide signaling strongly influences both cell size and growth rate. Thus, cells that cannot make ceramides fail to modulate their growth rate or size in response to changes in nutrients.</w:instrText>
      </w:r>
      <w:r>
        <w:rPr>
          <w:rFonts w:ascii="Arial" w:eastAsia="Times New Roman" w:hAnsi="Arial" w:cs="Arial"/>
          <w:color w:val="000000"/>
          <w:lang w:val="en-US" w:eastAsia="de-DE"/>
        </w:rPr>
        <w:instrText xml:space="preserve"> PP2A associated with the Rts1 regulatory subunit (PP2ARts1) is embedded in a feedback loop that controls TORC2 signaling and helps set the level of TORC2 signaling to match nutrient availability. Together, the data suggest a model in which growth rate and</w:instrText>
      </w:r>
      <w:r>
        <w:rPr>
          <w:rFonts w:ascii="Arial" w:eastAsia="Times New Roman" w:hAnsi="Arial" w:cs="Arial"/>
          <w:color w:val="000000"/>
          <w:lang w:val="en-US" w:eastAsia="de-DE"/>
        </w:rPr>
        <w:instrText xml:space="preserve"> cell size are mechanistically linked by ceramide-dependent signals arising from the TORC2 network. Cell size is proportional to the growth rate set by nutrients. Lucena, Alcaide-Gavilán, et al. define a TORC2 signaling network that responds to nutrients a</w:instrText>
      </w:r>
      <w:r>
        <w:rPr>
          <w:rFonts w:ascii="Arial" w:eastAsia="Times New Roman" w:hAnsi="Arial" w:cs="Arial"/>
          <w:color w:val="000000"/>
          <w:lang w:val="en-US" w:eastAsia="de-DE"/>
        </w:rPr>
        <w:instrText>nd controls cell size and growth rate. The data suggest a model in which TORC2 modulates ceramide-dependent signals that coordinately control cell size and growth rate.","author":[{"dropping-particle":"","family":"Lucena","given":"Rafael","non-dropping-par</w:instrText>
      </w:r>
      <w:r>
        <w:rPr>
          <w:rFonts w:ascii="Arial" w:eastAsia="Times New Roman" w:hAnsi="Arial" w:cs="Arial"/>
          <w:color w:val="000000"/>
          <w:lang w:val="en-US" w:eastAsia="de-DE"/>
        </w:rPr>
        <w:instrText>ticle":"","parse-names":false,"suffix":""},{"dropping-particle":"","family":"Alcaide-Gavilán","given":"Maria","non-dropping-particle":"","parse-names":false,"suffix":""},{"dropping-particle":"","family":"Schubert","given":"Katherine","non-dropping-particle</w:instrText>
      </w:r>
      <w:r>
        <w:rPr>
          <w:rFonts w:ascii="Arial" w:eastAsia="Times New Roman" w:hAnsi="Arial" w:cs="Arial"/>
          <w:color w:val="000000"/>
          <w:lang w:val="en-US" w:eastAsia="de-DE"/>
        </w:rPr>
        <w:instrText>":"","parse-names":false,"suffix":""},{"dropping-particle":"","family":"He","given":"Maybo","non-dropping-particle":"","parse-names":false,"suffix":""},{"dropping-particle":"","family":"Domnauer","given":"Matthew G.","non-dropping-particle":"","parse-names</w:instrText>
      </w:r>
      <w:r>
        <w:rPr>
          <w:rFonts w:ascii="Arial" w:eastAsia="Times New Roman" w:hAnsi="Arial" w:cs="Arial"/>
          <w:color w:val="000000"/>
          <w:lang w:val="en-US" w:eastAsia="de-DE"/>
        </w:rPr>
        <w:instrText>":false,"suffix":""},{"dropping-particle":"","family":"Marquer","given":"Catherine","non-dropping-particle":"","parse-names":false,"suffix":""},{"dropping-particle":"","family":"Klose","given":"Christian","non-dropping-particle":"","parse-names":false,"suf</w:instrText>
      </w:r>
      <w:r>
        <w:rPr>
          <w:rFonts w:ascii="Arial" w:eastAsia="Times New Roman" w:hAnsi="Arial" w:cs="Arial"/>
          <w:color w:val="000000"/>
          <w:lang w:val="en-US" w:eastAsia="de-DE"/>
        </w:rPr>
        <w:instrText>fix":""},{"dropping-particle":"","family":"Surma","given":"Michal A.","non-dropping-particle":"","parse-names":false,"suffix":""},{"dropping-particle":"","family":"Kellogg","given":"Douglas R.","non-dropping-particle":"","parse-names":false,"suffix":""}],"</w:instrText>
      </w:r>
      <w:r>
        <w:rPr>
          <w:rFonts w:ascii="Arial" w:eastAsia="Times New Roman" w:hAnsi="Arial" w:cs="Arial"/>
          <w:color w:val="000000"/>
          <w:lang w:val="en-US" w:eastAsia="de-DE"/>
        </w:rPr>
        <w:instrText>container-title":"Current Biology","id":"ITEM-2","issue":"2","issued":{"date-parts":[["2018"]]},"page":"196-210.e4","title":"Cell Size and Growth Rate Are Modulated by TORC2-Dependent Signals","type":"article-journal","volume":"28"},"uris":["http://www.men</w:instrText>
      </w:r>
      <w:r>
        <w:rPr>
          <w:rFonts w:ascii="Arial" w:eastAsia="Times New Roman" w:hAnsi="Arial" w:cs="Arial"/>
          <w:color w:val="000000"/>
          <w:lang w:val="en-US" w:eastAsia="de-DE"/>
        </w:rPr>
        <w:instrText>deley.com/documents/?uuid=33cf6210-d6dc-495c-8e97-2af44f6a7b7a"]},{"id":"ITEM-3","itemData":{"DOI":"10.1534/GENETICS.119.301012","ISSN":"19432631","PMID":"31488515","abstract":"Cell size is proportional to growth rate. Thus, cells growing rapidly in rich n</w:instrText>
      </w:r>
      <w:r>
        <w:rPr>
          <w:rFonts w:ascii="Arial" w:eastAsia="Times New Roman" w:hAnsi="Arial" w:cs="Arial"/>
          <w:color w:val="000000"/>
          <w:lang w:val="en-US" w:eastAsia="de-DE"/>
        </w:rPr>
        <w:instrText>utrients can be nearly twice the size of cells growing slowly in poor nutrients. This proportional relationship appears to hold across all orders of life, yet the underlying mechanisms are unknown. In budding yeast, most growth occurs during mitosis, and t</w:instrText>
      </w:r>
      <w:r>
        <w:rPr>
          <w:rFonts w:ascii="Arial" w:eastAsia="Times New Roman" w:hAnsi="Arial" w:cs="Arial"/>
          <w:color w:val="000000"/>
          <w:lang w:val="en-US" w:eastAsia="de-DE"/>
        </w:rPr>
        <w:instrText>he proportional relationship between cell size and growth rate is therefore enforced primarily by modulating growth in mitosis. When growth is slow, the duration of mitosis is increased to allow more time for growth, yet the amount of growth required to co</w:instrText>
      </w:r>
      <w:r>
        <w:rPr>
          <w:rFonts w:ascii="Arial" w:eastAsia="Times New Roman" w:hAnsi="Arial" w:cs="Arial"/>
          <w:color w:val="000000"/>
          <w:lang w:val="en-US" w:eastAsia="de-DE"/>
        </w:rPr>
        <w:instrText xml:space="preserve">mplete mitosis is reduced, which leads to the birth of small daughter cells. Previous studies have found that Rts1, a member of the conserved B56 family of protein phosphatase 2A regulatory subunits, works in a TORC2 signaling network that influences cell </w:instrText>
      </w:r>
      <w:r>
        <w:rPr>
          <w:rFonts w:ascii="Arial" w:eastAsia="Times New Roman" w:hAnsi="Arial" w:cs="Arial"/>
          <w:color w:val="000000"/>
          <w:lang w:val="en-US" w:eastAsia="de-DE"/>
        </w:rPr>
        <w:instrText>size and growth rate. However, it was unclear whether Rts1 influences cell growth and size in mitosis. Here, we show that Rts1 is required for the proportional relationship between cell size and growth rate during mitosis. Moreover, nutrients and Rts1 infl</w:instrText>
      </w:r>
      <w:r>
        <w:rPr>
          <w:rFonts w:ascii="Arial" w:eastAsia="Times New Roman" w:hAnsi="Arial" w:cs="Arial"/>
          <w:color w:val="000000"/>
          <w:lang w:val="en-US" w:eastAsia="de-DE"/>
        </w:rPr>
        <w:instrText>uence the duration and extent of growth in mitosis via Wee1 and Pds1/securin, two conserved regulators of mitotic progression. Together, the data are consistent with a model in which global signals that set growth rate also set the critical amount of growt</w:instrText>
      </w:r>
      <w:r>
        <w:rPr>
          <w:rFonts w:ascii="Arial" w:eastAsia="Times New Roman" w:hAnsi="Arial" w:cs="Arial"/>
          <w:color w:val="000000"/>
          <w:lang w:val="en-US" w:eastAsia="de-DE"/>
        </w:rPr>
        <w:instrText>h required for cell cycle progression, which would provide a simple mechanistic explanation for the proportional relationship between cell size and growth rate.","author":[{"dropping-particle":"","family":"Leitao","given":"Ricardo M.","non-dropping-particl</w:instrText>
      </w:r>
      <w:r>
        <w:rPr>
          <w:rFonts w:ascii="Arial" w:eastAsia="Times New Roman" w:hAnsi="Arial" w:cs="Arial"/>
          <w:color w:val="000000"/>
          <w:lang w:val="en-US" w:eastAsia="de-DE"/>
        </w:rPr>
        <w:instrText>e":"","parse-names":false,"suffix":""},{"dropping-particle":"","family":"Jasani","given":"Akshi","non-dropping-particle":"","parse-names":false,"suffix":""},{"dropping-particle":"","family":"Talavera","given":"Rafael A.","non-dropping-particle":"","parse-n</w:instrText>
      </w:r>
      <w:r>
        <w:rPr>
          <w:rFonts w:ascii="Arial" w:eastAsia="Times New Roman" w:hAnsi="Arial" w:cs="Arial"/>
          <w:color w:val="000000"/>
          <w:lang w:val="en-US" w:eastAsia="de-DE"/>
        </w:rPr>
        <w:instrText>ames":false,"suffix":""},{"dropping-particle":"","family":"Pham","given":"Annie","non-dropping-particle":"","parse-names":false,"suffix":""},{"dropping-particle":"","family":"Okobi","given":"Quincy J.","non-dropping-particle":"","parse-names":false,"suffix</w:instrText>
      </w:r>
      <w:r>
        <w:rPr>
          <w:rFonts w:ascii="Arial" w:eastAsia="Times New Roman" w:hAnsi="Arial" w:cs="Arial"/>
          <w:color w:val="000000"/>
          <w:lang w:val="en-US" w:eastAsia="de-DE"/>
        </w:rPr>
        <w:instrText>":""},{"dropping-particle":"","family":"Kellogg","given":"Douglas R.","non-dropping-particle":"","parse-names":false,"suffix":""}],"container-title":"Genetics","id":"ITEM-3","issue":"2","issued":{"date-parts":[["2019","10","1"]]},"page":"517-528","publishe</w:instrText>
      </w:r>
      <w:r>
        <w:rPr>
          <w:rFonts w:ascii="Arial" w:eastAsia="Times New Roman" w:hAnsi="Arial" w:cs="Arial"/>
          <w:color w:val="000000"/>
          <w:lang w:val="en-US" w:eastAsia="de-DE"/>
        </w:rPr>
        <w:instrText>r":"Oxford Academic","title":"A Conserved PP2A Regulatory Subunit Enforces Proportional Relationships Between Cell Size and Growth Rate","type":"article-journal","volume":"213"},"uris":["http://www.mendeley.com/documents/?uuid=0b02d9a7-ccfb-3d06-aefa-6428e</w:instrText>
      </w:r>
      <w:r>
        <w:rPr>
          <w:rFonts w:ascii="Arial" w:eastAsia="Times New Roman" w:hAnsi="Arial" w:cs="Arial"/>
          <w:color w:val="000000"/>
          <w:lang w:val="en-US" w:eastAsia="de-DE"/>
        </w:rPr>
        <w:instrText>085c789"]}],"mendeley":{"formattedCitation":"&lt;sup&gt;358–360&lt;/sup&gt;","plainTextFormattedCitation":"358–360","previouslyFormattedCitation":"&lt;sup&gt;358–360&lt;/sup&gt;"},"properties":{"noteIndex":0},"schema":"https://github.com/citation-style-language/schema/raw/master/</w:instrText>
      </w:r>
      <w:r>
        <w:rPr>
          <w:rFonts w:ascii="Arial" w:eastAsia="Times New Roman" w:hAnsi="Arial" w:cs="Arial"/>
          <w:color w:val="000000"/>
          <w:lang w:val="en-US" w:eastAsia="de-DE"/>
        </w:rPr>
        <w:instrText>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358–360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64A4E6EA"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i/>
          <w:iCs/>
          <w:color w:val="000000"/>
          <w:u w:val="single"/>
          <w:lang w:val="en-US" w:eastAsia="de-DE"/>
        </w:rPr>
        <w:t>7.3.3 Regulation of cell cycle progression by mTOR and PKA </w:t>
      </w:r>
    </w:p>
    <w:p w14:paraId="253B9E6D"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Apart from regulating growth, the nutrient and growth-factor sensing module of the mTOR network also directly affects cell cycle progression. The phosphorylation cas</w:t>
      </w:r>
      <w:r>
        <w:rPr>
          <w:rFonts w:ascii="Arial" w:eastAsia="Times New Roman" w:hAnsi="Arial" w:cs="Arial"/>
          <w:color w:val="000000"/>
          <w:lang w:val="en-US" w:eastAsia="de-DE"/>
        </w:rPr>
        <w:t>cade initiated by the binding of growth factors to their receptors leads to increased transcription of cell cycle genes, such as G1 cyclins and cyclin-dependent kinases (CDKs)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{"citationItems":[{"id":"ITEM-1","itemData":{"DOI":"10.1002/BI</w:instrText>
      </w:r>
      <w:r>
        <w:rPr>
          <w:rFonts w:ascii="Arial" w:eastAsia="Times New Roman" w:hAnsi="Arial" w:cs="Arial"/>
          <w:color w:val="000000"/>
          <w:lang w:val="en-US" w:eastAsia="de-DE"/>
        </w:rPr>
        <w:instrText>ES.202200150","ISBN":"2022;44:2200150","ISSN":"1521-1878","PMID":"36222263","abstract":"Before a cell divides into two daughter cells, it typically doubles not only its DNA, but also its mass. Numerous studies in cells ranging from yeast to mammals have sh</w:instrText>
      </w:r>
      <w:r>
        <w:rPr>
          <w:rFonts w:ascii="Arial" w:eastAsia="Times New Roman" w:hAnsi="Arial" w:cs="Arial"/>
          <w:color w:val="000000"/>
          <w:lang w:val="en-US" w:eastAsia="de-DE"/>
        </w:rPr>
        <w:instrText>own that cellular growth, stimulated by nutrients and/or growth factor signaling, is a prerequisite for cell cycle progression in most types of cells. The textbook view of growth-regulated cell cycles is that growth signaling activates the transcription of</w:instrText>
      </w:r>
      <w:r>
        <w:rPr>
          <w:rFonts w:ascii="Arial" w:eastAsia="Times New Roman" w:hAnsi="Arial" w:cs="Arial"/>
          <w:color w:val="000000"/>
          <w:lang w:val="en-US" w:eastAsia="de-DE"/>
        </w:rPr>
        <w:instrText xml:space="preserve"> G1 Cyclin genes to induce cell proliferation, and also stimulates anabolic metabolism and cell growth in parallel. However, genetic knockout tests in model organisms indicate that this is not the whole story, and new studies show that additional, “smarter</w:instrText>
      </w:r>
      <w:r>
        <w:rPr>
          <w:rFonts w:ascii="Arial" w:eastAsia="Times New Roman" w:hAnsi="Arial" w:cs="Arial"/>
          <w:color w:val="000000"/>
          <w:lang w:val="en-US" w:eastAsia="de-DE"/>
        </w:rPr>
        <w:instrText>” mechanisms help to coordinate the cell cycle with growth itself. Here we summarize recent advances in this field, and discuss current models in which growth signaling regulates cell proliferation by targeting core cell cycle regulators via non-transcript</w:instrText>
      </w:r>
      <w:r>
        <w:rPr>
          <w:rFonts w:ascii="Arial" w:eastAsia="Times New Roman" w:hAnsi="Arial" w:cs="Arial"/>
          <w:color w:val="000000"/>
          <w:lang w:val="en-US" w:eastAsia="de-DE"/>
        </w:rPr>
        <w:instrText>ional mechanisms.","author":[{"dropping-particle":"","family":"Øvrebø","given":"Jan Inge","non-dropping-particle":"","parse-names":false,"suffix":""},{"dropping-particle":"","family":"Ma","given":"Yiqin","non-dropping-particle":"","parse-names":false,"suff</w:instrText>
      </w:r>
      <w:r>
        <w:rPr>
          <w:rFonts w:ascii="Arial" w:eastAsia="Times New Roman" w:hAnsi="Arial" w:cs="Arial"/>
          <w:color w:val="000000"/>
          <w:lang w:val="en-US" w:eastAsia="de-DE"/>
        </w:rPr>
        <w:instrText>ix":""},{"dropping-particle":"","family":"Edgar","given":"Bruce A.","non-dropping-particle":"","parse-names":false,"suffix":""}],"container-title":"BioEssays","id":"ITEM-1","issue":"11","issued":{"date-parts":[["2022","11","1"]]},"page":"2200150","publishe</w:instrText>
      </w:r>
      <w:r>
        <w:rPr>
          <w:rFonts w:ascii="Arial" w:eastAsia="Times New Roman" w:hAnsi="Arial" w:cs="Arial"/>
          <w:color w:val="000000"/>
          <w:lang w:val="en-US" w:eastAsia="de-DE"/>
        </w:rPr>
        <w:instrText>r":"John Wiley &amp; Sons, Ltd","title":"Cell growth and the cell cycle: New insights about persistent questions","type":"article-journal","volume":"44"},"uris":["http://www.mendeley.com/documents/?uuid=0fccfce5-9d1f-39f3-ab04-bf2d8fe466f7"]}],"mendeley":{"for</w:instrText>
      </w:r>
      <w:r>
        <w:rPr>
          <w:rFonts w:ascii="Arial" w:eastAsia="Times New Roman" w:hAnsi="Arial" w:cs="Arial"/>
          <w:color w:val="000000"/>
          <w:lang w:val="en-US" w:eastAsia="de-DE"/>
        </w:rPr>
        <w:instrText>mattedCitation":"&lt;sup&gt;324&lt;/sup&gt;","plainTextFormattedCitation":"324","previouslyFormattedCitation":"&lt;sup&gt;324&lt;/sup&gt;"},"properties":{"noteIndex":0},"schema":"https://github.com/citation-style-language/schema/raw/master/csl-citation.json"}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In </w:t>
      </w:r>
      <w:r>
        <w:rPr>
          <w:rFonts w:ascii="Arial" w:eastAsia="Times New Roman" w:hAnsi="Arial" w:cs="Arial"/>
          <w:color w:val="000000"/>
          <w:lang w:val="en-US" w:eastAsia="de-DE"/>
        </w:rPr>
        <w:t>addition, growth factor signaling stabilizes G1 cyclins by protecting them from protein degradation</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{"citationItems":[{"id":"ITEM-1","itemData":{"DOI":"10.1002/BIES.202200150","ISBN":"2022;44:2200150","ISSN":"1521-1878","PMID":"36222263",</w:instrText>
      </w:r>
      <w:r>
        <w:rPr>
          <w:rFonts w:ascii="Arial" w:eastAsia="Times New Roman" w:hAnsi="Arial" w:cs="Arial"/>
          <w:color w:val="000000"/>
          <w:lang w:val="en-US" w:eastAsia="de-DE"/>
        </w:rPr>
        <w:instrText>"abstract":"Before a cell divides into two daughter cells, it typically doubles not only its DNA, but also its mass. Numerous studies in cells ranging from yeast to mammals have shown that cellular growth, stimulated by nutrients and/or growth factor signa</w:instrText>
      </w:r>
      <w:r>
        <w:rPr>
          <w:rFonts w:ascii="Arial" w:eastAsia="Times New Roman" w:hAnsi="Arial" w:cs="Arial"/>
          <w:color w:val="000000"/>
          <w:lang w:val="en-US" w:eastAsia="de-DE"/>
        </w:rPr>
        <w:instrText xml:space="preserve">ling, is a prerequisite for cell cycle progression in most types of cells. The textbook view of growth-regulated cell cycles is that growth signaling activates the transcription of G1 Cyclin genes to induce cell proliferation, and also stimulates anabolic </w:instrText>
      </w:r>
      <w:r>
        <w:rPr>
          <w:rFonts w:ascii="Arial" w:eastAsia="Times New Roman" w:hAnsi="Arial" w:cs="Arial"/>
          <w:color w:val="000000"/>
          <w:lang w:val="en-US" w:eastAsia="de-DE"/>
        </w:rPr>
        <w:instrText>metabolism and cell growth in parallel. However, genetic knockout tests in model organisms indicate that this is not the whole story, and new studies show that additional, “smarter” mechanisms help to coordinate the cell cycle with growth itself. Here we s</w:instrText>
      </w:r>
      <w:r>
        <w:rPr>
          <w:rFonts w:ascii="Arial" w:eastAsia="Times New Roman" w:hAnsi="Arial" w:cs="Arial"/>
          <w:color w:val="000000"/>
          <w:lang w:val="en-US" w:eastAsia="de-DE"/>
        </w:rPr>
        <w:instrText>ummarize recent advances in this field, and discuss current models in which growth signaling regulates cell proliferation by targeting core cell cycle regulators via non-transcriptional mechanisms.","author":[{"dropping-particle":"","family":"Øvrebø","give</w:instrText>
      </w:r>
      <w:r>
        <w:rPr>
          <w:rFonts w:ascii="Arial" w:eastAsia="Times New Roman" w:hAnsi="Arial" w:cs="Arial"/>
          <w:color w:val="000000"/>
          <w:lang w:val="en-US" w:eastAsia="de-DE"/>
        </w:rPr>
        <w:instrText>n":"Jan Inge","non-dropping-particle":"","parse-names":false,"suffix":""},{"dropping-particle":"","family":"Ma","given":"Yiqin","non-dropping-particle":"","parse-names":false,"suffix":""},{"dropping-particle":"","family":"Edgar","given":"Bruce A.","non-dro</w:instrText>
      </w:r>
      <w:r>
        <w:rPr>
          <w:rFonts w:ascii="Arial" w:eastAsia="Times New Roman" w:hAnsi="Arial" w:cs="Arial"/>
          <w:color w:val="000000"/>
          <w:lang w:val="en-US" w:eastAsia="de-DE"/>
        </w:rPr>
        <w:instrText>pping-particle":"","parse-names":false,"suffix":""}],"container-title":"BioEssays","id":"ITEM-1","issue":"11","issued":{"date-parts":[["2022","11","1"]]},"page":"2200150","publisher":"John Wiley &amp; Sons, Ltd","title":"Cell growth and the cell cycle: New ins</w:instrText>
      </w:r>
      <w:r>
        <w:rPr>
          <w:rFonts w:ascii="Arial" w:eastAsia="Times New Roman" w:hAnsi="Arial" w:cs="Arial"/>
          <w:color w:val="000000"/>
          <w:lang w:val="en-US" w:eastAsia="de-DE"/>
        </w:rPr>
        <w:instrText>ights about persistent questions","type":"article-journal","volume":"44"},"uris":["http://www.mendeley.com/documents/?uuid=0fccfce5-9d1f-39f3-ab04-bf2d8fe466f7"]}],"mendeley":{"formattedCitation":"&lt;sup&gt;324&lt;/sup&gt;","plainTextFormattedCitation":"324","previou</w:instrText>
      </w:r>
      <w:r>
        <w:rPr>
          <w:rFonts w:ascii="Arial" w:eastAsia="Times New Roman" w:hAnsi="Arial" w:cs="Arial"/>
          <w:color w:val="000000"/>
          <w:lang w:val="en-US" w:eastAsia="de-DE"/>
        </w:rPr>
        <w:instrText>slyFormattedCitation":"&lt;sup&gt;324&lt;/sup&gt;"},"properties":{"noteIndex":0},"schema":"https://github.com/citation-style-language/schema/raw/master/csl-citation.json"}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324</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thereby promoting G1/S transition in the presence of nutrients and growth factors. </w:t>
      </w:r>
    </w:p>
    <w:p w14:paraId="7B397DAE"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In bu</w:t>
      </w:r>
      <w:r>
        <w:rPr>
          <w:rFonts w:ascii="Arial" w:eastAsia="Times New Roman" w:hAnsi="Arial" w:cs="Arial"/>
          <w:color w:val="000000" w:themeColor="text1"/>
          <w:lang w:val="en-US" w:eastAsia="de-DE"/>
        </w:rPr>
        <w:t xml:space="preserve">dding and fission yeasts, cell size adaptation to changing nutrients can be partly explained by the regulation of the </w:t>
      </w:r>
      <w:proofErr w:type="spellStart"/>
      <w:r>
        <w:rPr>
          <w:rFonts w:ascii="Arial" w:eastAsia="Times New Roman" w:hAnsi="Arial" w:cs="Arial"/>
          <w:color w:val="000000" w:themeColor="text1"/>
          <w:lang w:val="en-US" w:eastAsia="de-DE"/>
        </w:rPr>
        <w:t>Greatwall-Endosulfine</w:t>
      </w:r>
      <w:proofErr w:type="spellEnd"/>
      <w:r>
        <w:rPr>
          <w:rFonts w:ascii="Arial" w:eastAsia="Times New Roman" w:hAnsi="Arial" w:cs="Arial"/>
          <w:color w:val="000000" w:themeColor="text1"/>
          <w:lang w:val="en-US" w:eastAsia="de-DE"/>
        </w:rPr>
        <w:t xml:space="preserve"> pathway by mTOR and, in the case of budding yeast, also by PKA</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w:instrText>
      </w:r>
      <w:r>
        <w:rPr>
          <w:rFonts w:ascii="Arial" w:eastAsia="Times New Roman" w:hAnsi="Arial" w:cs="Arial"/>
          <w:color w:val="000000" w:themeColor="text1"/>
          <w:lang w:val="en-US" w:eastAsia="de-DE"/>
        </w:rPr>
        <w:instrText>temData":{"DOI":"10.1016/j.cub.2015.12.035","abstract":"Correspondence smo@usal.es In Brief Cells are large in rich media and small in poor media. Here, Chica et al. show that the greatwall-endosulfine pathway couples the nutritional environment to the cel</w:instrText>
      </w:r>
      <w:r>
        <w:rPr>
          <w:rFonts w:ascii="Arial" w:eastAsia="Times New Roman" w:hAnsi="Arial" w:cs="Arial"/>
          <w:color w:val="000000" w:themeColor="text1"/>
          <w:lang w:val="en-US" w:eastAsia="de-DE"/>
        </w:rPr>
        <w:instrText>l-cycle machinery by regulating the activity of PP2A$B55. This pathway links cell growth (TORC1) with cell division (Cdk1) and controls cell size homeostasis in fission yeast","author":[{"dropping-particle":"","family":"Chica","given":"Nathalia","non-dropp</w:instrText>
      </w:r>
      <w:r>
        <w:rPr>
          <w:rFonts w:ascii="Arial" w:eastAsia="Times New Roman" w:hAnsi="Arial" w:cs="Arial"/>
          <w:color w:val="000000" w:themeColor="text1"/>
          <w:lang w:val="en-US" w:eastAsia="de-DE"/>
        </w:rPr>
        <w:instrText>ing-particle":"","parse-names":false,"suffix":""},{"dropping-particle":"","family":"Rozalé","given":"Ana Elisa","non-dropping-particle":"","parse-names":false,"suffix":""},{"dropping-particle":"","family":"Pé Rez-Hidalgo","given":"Livia","non-dropping-part</w:instrText>
      </w:r>
      <w:r>
        <w:rPr>
          <w:rFonts w:ascii="Arial" w:eastAsia="Times New Roman" w:hAnsi="Arial" w:cs="Arial"/>
          <w:color w:val="000000" w:themeColor="text1"/>
          <w:lang w:val="en-US" w:eastAsia="de-DE"/>
        </w:rPr>
        <w:instrText>icle":"","parse-names":false,"suffix":""},{"dropping-particle":"","family":"Rubio","given":"Angela","non-dropping-particle":"","parse-names":false,"suffix":""},{"dropping-particle":"","family":"Novak","given":"Bela","non-dropping-particle":"","parse-names"</w:instrText>
      </w:r>
      <w:r>
        <w:rPr>
          <w:rFonts w:ascii="Arial" w:eastAsia="Times New Roman" w:hAnsi="Arial" w:cs="Arial"/>
          <w:color w:val="000000" w:themeColor="text1"/>
          <w:lang w:val="en-US" w:eastAsia="de-DE"/>
        </w:rPr>
        <w:instrText>:false,"suffix":""},{"dropping-particle":"","family":"Moreno","given":"Sergio","non-dropping-particle":"","parse-names":false,"suffix":""}],"container-title":"Current Biology","id":"ITEM-1","issued":{"date-parts":[["2016"]]},"page":"319-330","title":"Artic</w:instrText>
      </w:r>
      <w:r>
        <w:rPr>
          <w:rFonts w:ascii="Arial" w:eastAsia="Times New Roman" w:hAnsi="Arial" w:cs="Arial"/>
          <w:color w:val="000000" w:themeColor="text1"/>
          <w:lang w:val="en-US" w:eastAsia="de-DE"/>
        </w:rPr>
        <w:instrText>le Nutritional Control of Cell Size by the Greatwall-Endosulfine-PP2A$B55 Pathway","type":"article-journal","volume":"26"},"uris":["http://www.mendeley.com/documents/?uuid=bb2f0122-46af-3962-85ff-31e09a773a91"]},{"id":"ITEM-2","itemData":{"DOI":"10.3390/IJ</w:instrText>
      </w:r>
      <w:r>
        <w:rPr>
          <w:rFonts w:ascii="Arial" w:eastAsia="Times New Roman" w:hAnsi="Arial" w:cs="Arial"/>
          <w:color w:val="000000" w:themeColor="text1"/>
          <w:lang w:val="en-US" w:eastAsia="de-DE"/>
        </w:rPr>
        <w:instrText>MS20246228","ISSN":"1422-0067","PMID":"31835586","abstract":"During the cell cycle, hundreds of proteins become phosphorylated and dephosphorylated, indicating that protein kinases and protein phosphatases play a central role in its regulation. It has been</w:instrText>
      </w:r>
      <w:r>
        <w:rPr>
          <w:rFonts w:ascii="Arial" w:eastAsia="Times New Roman" w:hAnsi="Arial" w:cs="Arial"/>
          <w:color w:val="000000" w:themeColor="text1"/>
          <w:lang w:val="en-US" w:eastAsia="de-DE"/>
        </w:rPr>
        <w:instrText xml:space="preserve"> widely recognized that oscillation in cyclin-dependent kinase (CDK) activity promotes DNA replication, during S-phase, and chromosome segregation, during mitosis. Each CDK substrate phosphorylation status is defined by the balance between CDKs and CDK-cou</w:instrText>
      </w:r>
      <w:r>
        <w:rPr>
          <w:rFonts w:ascii="Arial" w:eastAsia="Times New Roman" w:hAnsi="Arial" w:cs="Arial"/>
          <w:color w:val="000000" w:themeColor="text1"/>
          <w:lang w:val="en-US" w:eastAsia="de-DE"/>
        </w:rPr>
        <w:instrText>nteracting phosphatases. In fission yeast and animal cells, PP2A/B55 is the main protein phosphatase that counteracts CDK activity. PP2A/B55 plays a key role in mitotic entry and mitotic exit, and it is regulated by the Greatwall-Endosulfine (ENSA) molecul</w:instrText>
      </w:r>
      <w:r>
        <w:rPr>
          <w:rFonts w:ascii="Arial" w:eastAsia="Times New Roman" w:hAnsi="Arial" w:cs="Arial"/>
          <w:color w:val="000000" w:themeColor="text1"/>
          <w:lang w:val="en-US" w:eastAsia="de-DE"/>
        </w:rPr>
        <w:instrText>ar switch that inactivates PP2A/B55 at the onset of mitosis, allowing maximal CDK activity at metaphase. The Greatwall-ENSA-PP2A/B55 pathway is highly conserved from yeast to animal cells. In yeasts, Greatwall is negatively regulated by nutrients through T</w:instrText>
      </w:r>
      <w:r>
        <w:rPr>
          <w:rFonts w:ascii="Arial" w:eastAsia="Times New Roman" w:hAnsi="Arial" w:cs="Arial"/>
          <w:color w:val="000000" w:themeColor="text1"/>
          <w:lang w:val="en-US" w:eastAsia="de-DE"/>
        </w:rPr>
        <w:instrText>ORC1 and S6 kinase, and couples cell growth, regulated by TORC1, to cell cycle progression, driven by CDK activity. In animal cells, Greatwall is phosphorylated and activated by Cdk1 at G2/M, generating a bistable molecular switch that results in full acti</w:instrText>
      </w:r>
      <w:r>
        <w:rPr>
          <w:rFonts w:ascii="Arial" w:eastAsia="Times New Roman" w:hAnsi="Arial" w:cs="Arial"/>
          <w:color w:val="000000" w:themeColor="text1"/>
          <w:lang w:val="en-US" w:eastAsia="de-DE"/>
        </w:rPr>
        <w:instrText>vation of Cdk1/CyclinB. Here we review the current knowledge of the Greatwall-ENSA-PP2A/B55 pathway and discuss its role in cell cycle progression and as an integrator of nutritional cues.","author":[{"dropping-particle":"","family":"García-Blanco","given"</w:instrText>
      </w:r>
      <w:r>
        <w:rPr>
          <w:rFonts w:ascii="Arial" w:eastAsia="Times New Roman" w:hAnsi="Arial" w:cs="Arial"/>
          <w:color w:val="000000" w:themeColor="text1"/>
          <w:lang w:val="en-US" w:eastAsia="de-DE"/>
        </w:rPr>
        <w:instrText>:"Natalia","non-dropping-particle":"","parse-names":false,"suffix":""},{"dropping-particle":"","family":"Vázquez-Bolado","given":"Alicia","non-dropping-particle":"","parse-names":false,"suffix":""},{"dropping-particle":"","family":"Moreno","given":"Sergio"</w:instrText>
      </w:r>
      <w:r>
        <w:rPr>
          <w:rFonts w:ascii="Arial" w:eastAsia="Times New Roman" w:hAnsi="Arial" w:cs="Arial"/>
          <w:color w:val="000000" w:themeColor="text1"/>
          <w:lang w:val="en-US" w:eastAsia="de-DE"/>
        </w:rPr>
        <w:instrText>,"non-dropping-particle":"","parse-names":false,"suffix":""}],"container-title":"International Journal of Molecular Sciences 2019, Vol. 20, Page 6228","id":"ITEM-2","issue":"24","issued":{"date-parts":[["2019","12","10"]]},"page":"6228","publisher":"Multid</w:instrText>
      </w:r>
      <w:r>
        <w:rPr>
          <w:rFonts w:ascii="Arial" w:eastAsia="Times New Roman" w:hAnsi="Arial" w:cs="Arial"/>
          <w:color w:val="000000" w:themeColor="text1"/>
          <w:lang w:val="en-US" w:eastAsia="de-DE"/>
        </w:rPr>
        <w:instrText>isciplinary Digital Publishing Institute","title":"Greatwall-Endosulfine: A Molecular Switch that Regulates PP2A/B55 Protein Phosphatase Activity in Dividing and Quiescent Cells","type":"article-journal","volume":"20"},"uris":["http://www.mendeley.com/docu</w:instrText>
      </w:r>
      <w:r>
        <w:rPr>
          <w:rFonts w:ascii="Arial" w:eastAsia="Times New Roman" w:hAnsi="Arial" w:cs="Arial"/>
          <w:color w:val="000000" w:themeColor="text1"/>
          <w:lang w:val="en-US" w:eastAsia="de-DE"/>
        </w:rPr>
        <w:instrText>ments/?uuid=54a60385-206b-3bec-b131-3ae9edbd17d7"]}],"mendeley":{"formattedCitation":"&lt;sup&gt;361,362&lt;/sup&gt;","plainTextFormattedCitation":"361,362","previouslyFormattedCitation":"&lt;sup&gt;361,362&lt;/sup&gt;"},"properties":{"noteIndex":0},"schema":"https://github.com/c</w:instrText>
      </w:r>
      <w:r>
        <w:rPr>
          <w:rFonts w:ascii="Arial" w:eastAsia="Times New Roman" w:hAnsi="Arial" w:cs="Arial"/>
          <w:color w:val="000000" w:themeColor="text1"/>
          <w:lang w:val="en-US" w:eastAsia="de-DE"/>
        </w:rPr>
        <w:instrText>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361,362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(Fig. 8). The </w:t>
      </w:r>
      <w:proofErr w:type="spellStart"/>
      <w:r>
        <w:rPr>
          <w:rFonts w:ascii="Arial" w:eastAsia="Times New Roman" w:hAnsi="Arial" w:cs="Arial"/>
          <w:color w:val="000000" w:themeColor="text1"/>
          <w:lang w:val="en-US" w:eastAsia="de-DE"/>
        </w:rPr>
        <w:t>Greatwall-Endosulfine</w:t>
      </w:r>
      <w:proofErr w:type="spellEnd"/>
      <w:r>
        <w:rPr>
          <w:rFonts w:ascii="Arial" w:eastAsia="Times New Roman" w:hAnsi="Arial" w:cs="Arial"/>
          <w:color w:val="000000" w:themeColor="text1"/>
          <w:lang w:val="en-US" w:eastAsia="de-DE"/>
        </w:rPr>
        <w:t xml:space="preserve"> pathway is highly conserved from yeast to mammals and serves as a molecular switch to aid cell-cycle transitions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w:instrText>
      </w:r>
      <w:r>
        <w:rPr>
          <w:rFonts w:ascii="Arial" w:eastAsia="Times New Roman" w:hAnsi="Arial" w:cs="Arial"/>
          <w:color w:val="000000" w:themeColor="text1"/>
          <w:lang w:val="en-US" w:eastAsia="de-DE"/>
        </w:rPr>
        <w:instrText>{"id":"ITEM-1","itemData":{"DOI":"10.1098/RSOB.120023","ISSN":"20462441","PMID":"22754657","abstract":"The role of the dual specificity protein phosphatase, Cdc25, in activating the cyclin-dependent kinase-cyclin B complex (Cdk1-CycB) by overcoming the inh</w:instrText>
      </w:r>
      <w:r>
        <w:rPr>
          <w:rFonts w:ascii="Arial" w:eastAsia="Times New Roman" w:hAnsi="Arial" w:cs="Arial"/>
          <w:color w:val="000000" w:themeColor="text1"/>
          <w:lang w:val="en-US" w:eastAsia="de-DE"/>
        </w:rPr>
        <w:instrText>ibitory Wee1 kinase is a long-established pr...","author":[{"dropping-particle":"","family":"Glover","given":"David M.","non-dropping-particle":"","parse-names":false,"suffix":""}],"container-title":"Open Biology","id":"ITEM-1","issue":"MARCH","issued":{"d</w:instrText>
      </w:r>
      <w:r>
        <w:rPr>
          <w:rFonts w:ascii="Arial" w:eastAsia="Times New Roman" w:hAnsi="Arial" w:cs="Arial"/>
          <w:color w:val="000000" w:themeColor="text1"/>
          <w:lang w:val="en-US" w:eastAsia="de-DE"/>
        </w:rPr>
        <w:instrText>ate-parts":[["2012"]]},"publisher":"\nThe Royal Society\n","title":"The overlooked greatwall: a new perspective on mitotic control","type":"article-journal","volume":"2"},"uris":["http://www.mendeley.com/documents/?uuid=92e2fbb7-e441-3cf4-ab14-636d6a1678a9</w:instrText>
      </w:r>
      <w:r>
        <w:rPr>
          <w:rFonts w:ascii="Arial" w:eastAsia="Times New Roman" w:hAnsi="Arial" w:cs="Arial"/>
          <w:color w:val="000000" w:themeColor="text1"/>
          <w:lang w:val="en-US" w:eastAsia="de-DE"/>
        </w:rPr>
        <w:instrText>"]},{"id":"ITEM-2","itemData":{"DOI":"10.3390/IJMS20246228","ISSN":"1422-0067","PMID":"31835586","abstract":"During the cell cycle, hundreds of proteins become phosphorylated and dephosphorylated, indicating that protein kinases and protein phosphatases pl</w:instrText>
      </w:r>
      <w:r>
        <w:rPr>
          <w:rFonts w:ascii="Arial" w:eastAsia="Times New Roman" w:hAnsi="Arial" w:cs="Arial"/>
          <w:color w:val="000000" w:themeColor="text1"/>
          <w:lang w:val="en-US" w:eastAsia="de-DE"/>
        </w:rPr>
        <w:instrText>ay a central role in its regulation. It has been widely recognized that oscillation in cyclin-dependent kinase (CDK) activity promotes DNA replication, during S-phase, and chromosome segregation, during mitosis. Each CDK substrate phosphorylation status is</w:instrText>
      </w:r>
      <w:r>
        <w:rPr>
          <w:rFonts w:ascii="Arial" w:eastAsia="Times New Roman" w:hAnsi="Arial" w:cs="Arial"/>
          <w:color w:val="000000" w:themeColor="text1"/>
          <w:lang w:val="en-US" w:eastAsia="de-DE"/>
        </w:rPr>
        <w:instrText xml:space="preserve"> defined by the balance between CDKs and CDK-counteracting phosphatases. In fission yeast and animal cells, PP2A/B55 is the main protein phosphatase that counteracts CDK activity. PP2A/B55 plays a key role in mitotic entry and mitotic exit, and it is regul</w:instrText>
      </w:r>
      <w:r>
        <w:rPr>
          <w:rFonts w:ascii="Arial" w:eastAsia="Times New Roman" w:hAnsi="Arial" w:cs="Arial"/>
          <w:color w:val="000000" w:themeColor="text1"/>
          <w:lang w:val="en-US" w:eastAsia="de-DE"/>
        </w:rPr>
        <w:instrText>ated by the Greatwall-Endosulfine (ENSA) molecular switch that inactivates PP2A/B55 at the onset of mitosis, allowing maximal CDK activity at metaphase. The Greatwall-ENSA-PP2A/B55 pathway is highly conserved from yeast to animal cells. In yeasts, Greatwal</w:instrText>
      </w:r>
      <w:r>
        <w:rPr>
          <w:rFonts w:ascii="Arial" w:eastAsia="Times New Roman" w:hAnsi="Arial" w:cs="Arial"/>
          <w:color w:val="000000" w:themeColor="text1"/>
          <w:lang w:val="en-US" w:eastAsia="de-DE"/>
        </w:rPr>
        <w:instrText>l is negatively regulated by nutrients through TORC1 and S6 kinase, and couples cell growth, regulated by TORC1, to cell cycle progression, driven by CDK activity. In animal cells, Greatwall is phosphorylated and activated by Cdk1 at G2/M, generating a bis</w:instrText>
      </w:r>
      <w:r>
        <w:rPr>
          <w:rFonts w:ascii="Arial" w:eastAsia="Times New Roman" w:hAnsi="Arial" w:cs="Arial"/>
          <w:color w:val="000000" w:themeColor="text1"/>
          <w:lang w:val="en-US" w:eastAsia="de-DE"/>
        </w:rPr>
        <w:instrText>table molecular switch that results in full activation of Cdk1/CyclinB. Here we review the current knowledge of the Greatwall-ENSA-PP2A/B55 pathway and discuss its role in cell cycle progression and as an integrator of nutritional cues.","author":[{"droppi</w:instrText>
      </w:r>
      <w:r>
        <w:rPr>
          <w:rFonts w:ascii="Arial" w:eastAsia="Times New Roman" w:hAnsi="Arial" w:cs="Arial"/>
          <w:color w:val="000000" w:themeColor="text1"/>
          <w:lang w:val="en-US" w:eastAsia="de-DE"/>
        </w:rPr>
        <w:instrText>ng-particle":"","family":"García-Blanco","given":"Natalia","non-dropping-particle":"","parse-names":false,"suffix":""},{"dropping-particle":"","family":"Vázquez-Bolado","given":"Alicia","non-dropping-particle":"","parse-names":false,"suffix":""},{"dropping</w:instrText>
      </w:r>
      <w:r>
        <w:rPr>
          <w:rFonts w:ascii="Arial" w:eastAsia="Times New Roman" w:hAnsi="Arial" w:cs="Arial"/>
          <w:color w:val="000000" w:themeColor="text1"/>
          <w:lang w:val="en-US" w:eastAsia="de-DE"/>
        </w:rPr>
        <w:instrText>-particle":"","family":"Moreno","given":"Sergio","non-dropping-particle":"","parse-names":false,"suffix":""}],"container-title":"International Journal of Molecular Sciences 2019, Vol. 20, Page 6228","id":"ITEM-2","issue":"24","issued":{"date-parts":[["2019</w:instrText>
      </w:r>
      <w:r>
        <w:rPr>
          <w:rFonts w:ascii="Arial" w:eastAsia="Times New Roman" w:hAnsi="Arial" w:cs="Arial"/>
          <w:color w:val="000000" w:themeColor="text1"/>
          <w:lang w:val="en-US" w:eastAsia="de-DE"/>
        </w:rPr>
        <w:instrText>","12","10"]]},"page":"6228","publisher":"Multidisciplinary Digital Publishing Institute","title":"Greatwall-Endosulfine: A Molecular Switch that Regulates PP2A/B55 Protein Phosphatase Activity in Dividing and Quiescent Cells","type":"article-journal","vol</w:instrText>
      </w:r>
      <w:r>
        <w:rPr>
          <w:rFonts w:ascii="Arial" w:eastAsia="Times New Roman" w:hAnsi="Arial" w:cs="Arial"/>
          <w:color w:val="000000" w:themeColor="text1"/>
          <w:lang w:val="en-US" w:eastAsia="de-DE"/>
        </w:rPr>
        <w:instrText>ume":"20"},"uris":["http://www.mendeley.com/documents/?uuid=54a60385-206b-3bec-b131-3ae9edbd17d7"]}],"mendeley":{"formattedCitation":"&lt;sup&gt;362,363&lt;/sup&gt;","plainTextFormattedCitation":"362,363","previouslyFormattedCitation":"&lt;sup&gt;362,363&lt;/sup&gt;"},"properties</w:instrText>
      </w:r>
      <w:r>
        <w:rPr>
          <w:rFonts w:ascii="Arial" w:eastAsia="Times New Roman" w:hAnsi="Arial" w:cs="Arial"/>
          <w:color w:val="000000" w:themeColor="text1"/>
          <w:lang w:val="en-US" w:eastAsia="de-DE"/>
        </w:rPr>
        <w:instrText>":{"noteIndex":0},"schema":"https://github.com/citation-style-language/schema/raw/master/csl-citation.json"}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362,363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 </w:t>
      </w:r>
      <w:proofErr w:type="spellStart"/>
      <w:r>
        <w:rPr>
          <w:rFonts w:ascii="Arial" w:eastAsia="Times New Roman" w:hAnsi="Arial" w:cs="Arial"/>
          <w:color w:val="000000" w:themeColor="text1"/>
          <w:lang w:val="en-US" w:eastAsia="de-DE"/>
        </w:rPr>
        <w:t>greatwall</w:t>
      </w:r>
      <w:proofErr w:type="spellEnd"/>
      <w:r>
        <w:rPr>
          <w:rFonts w:ascii="Arial" w:eastAsia="Times New Roman" w:hAnsi="Arial" w:cs="Arial"/>
          <w:color w:val="000000" w:themeColor="text1"/>
          <w:lang w:val="en-US" w:eastAsia="de-DE"/>
        </w:rPr>
        <w:t xml:space="preserve"> kinase </w:t>
      </w:r>
      <w:proofErr w:type="spellStart"/>
      <w:r>
        <w:rPr>
          <w:rFonts w:ascii="Arial" w:eastAsia="Times New Roman" w:hAnsi="Arial" w:cs="Arial"/>
          <w:color w:val="000000" w:themeColor="text1"/>
          <w:lang w:val="en-US" w:eastAsia="de-DE"/>
        </w:rPr>
        <w:t>Gwl</w:t>
      </w:r>
      <w:proofErr w:type="spellEnd"/>
      <w:r>
        <w:rPr>
          <w:rFonts w:ascii="Arial" w:eastAsia="Times New Roman" w:hAnsi="Arial" w:cs="Arial"/>
          <w:color w:val="000000" w:themeColor="text1"/>
          <w:lang w:val="en-US" w:eastAsia="de-DE"/>
        </w:rPr>
        <w:t xml:space="preserve"> (also known as Rim15 in budding yeast, and Ppk18 and Cek1 in fission yeast) promotes phosphorylation of </w:t>
      </w:r>
      <w:proofErr w:type="spellStart"/>
      <w:r>
        <w:rPr>
          <w:rFonts w:ascii="Arial" w:eastAsia="Times New Roman" w:hAnsi="Arial" w:cs="Arial"/>
          <w:color w:val="000000" w:themeColor="text1"/>
          <w:lang w:val="en-US" w:eastAsia="de-DE"/>
        </w:rPr>
        <w:t>Endosul</w:t>
      </w:r>
      <w:r>
        <w:rPr>
          <w:rFonts w:ascii="Arial" w:eastAsia="Times New Roman" w:hAnsi="Arial" w:cs="Arial"/>
          <w:color w:val="000000" w:themeColor="text1"/>
          <w:lang w:val="en-US" w:eastAsia="de-DE"/>
        </w:rPr>
        <w:t>fine</w:t>
      </w:r>
      <w:proofErr w:type="spellEnd"/>
      <w:r>
        <w:rPr>
          <w:rFonts w:ascii="Arial" w:eastAsia="Times New Roman" w:hAnsi="Arial" w:cs="Arial"/>
          <w:color w:val="000000" w:themeColor="text1"/>
          <w:lang w:val="en-US" w:eastAsia="de-DE"/>
        </w:rPr>
        <w:t>, made up of the two small proteins named ENSA and ARPP-19 in animal cells, Igo1 and Igo2 in budding yeast, and Igo1 in fission yeast</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{"citationItems":[{"id":"ITEM-1","itemData":{"DOI":"10.1038/onc.2012.79","ISSN":"1476-5594","PMID":"</w:instrText>
      </w:r>
      <w:r>
        <w:rPr>
          <w:rFonts w:ascii="Arial" w:eastAsia="Times New Roman" w:hAnsi="Arial" w:cs="Arial"/>
          <w:color w:val="000000" w:themeColor="text1"/>
          <w:lang w:val="en-US" w:eastAsia="de-DE"/>
        </w:rPr>
        <w:instrText>22469975","abstract":"New data have recently established that protein phosphorylation during mitosis is the result of a controlled balance between kinase and phosphatase activities and that, as for mitotic kinases, phosphatases are also regulated during ce</w:instrText>
      </w:r>
      <w:r>
        <w:rPr>
          <w:rFonts w:ascii="Arial" w:eastAsia="Times New Roman" w:hAnsi="Arial" w:cs="Arial"/>
          <w:color w:val="000000" w:themeColor="text1"/>
          <w:lang w:val="en-US" w:eastAsia="de-DE"/>
        </w:rPr>
        <w:instrText>ll division. This regulation is at least in part induced by the activation of the Greatwall (Gwl) kinase at mitotic entry. Activated Gwl phosphorylates its substrates cAMP-regulated phospho protein 19 (Arpp19) and α-endosulfine (ENSA), promoting their bind</w:instrText>
      </w:r>
      <w:r>
        <w:rPr>
          <w:rFonts w:ascii="Arial" w:eastAsia="Times New Roman" w:hAnsi="Arial" w:cs="Arial"/>
          <w:color w:val="000000" w:themeColor="text1"/>
          <w:lang w:val="en-US" w:eastAsia="de-DE"/>
        </w:rPr>
        <w:instrText>ing to and the inhibition of PP2A. Interestingly, besides the role of the Gwl-Arpp19/ENSA in the control of mitotic division, new data in yeast support the involvement of this pathway in mRNA stabilization during G0 program initiation, although in this cas</w:instrText>
      </w:r>
      <w:r>
        <w:rPr>
          <w:rFonts w:ascii="Arial" w:eastAsia="Times New Roman" w:hAnsi="Arial" w:cs="Arial"/>
          <w:color w:val="000000" w:themeColor="text1"/>
          <w:lang w:val="en-US" w:eastAsia="de-DE"/>
        </w:rPr>
        <w:instrText>e the phosphatase PP2A appears not to be implicated. Finally, Gwl activity has been shown to be required for DNA checkpoint recovery. These new findings support the view that Gwl, Arpp19 and ENSA could function as the core of a new signalization pathway th</w:instrText>
      </w:r>
      <w:r>
        <w:rPr>
          <w:rFonts w:ascii="Arial" w:eastAsia="Times New Roman" w:hAnsi="Arial" w:cs="Arial"/>
          <w:color w:val="000000" w:themeColor="text1"/>
          <w:lang w:val="en-US" w:eastAsia="de-DE"/>
        </w:rPr>
        <w:instrText>at, by targeting different final substrates, could participate in a variety of physiological functions.","author":[{"dropping-particle":"","family":"Lorca","given":"T.","non-dropping-particle":"","parse-names":false,"suffix":""},{"dropping-particle":"","fa</w:instrText>
      </w:r>
      <w:r>
        <w:rPr>
          <w:rFonts w:ascii="Arial" w:eastAsia="Times New Roman" w:hAnsi="Arial" w:cs="Arial"/>
          <w:color w:val="000000" w:themeColor="text1"/>
          <w:lang w:val="en-US" w:eastAsia="de-DE"/>
        </w:rPr>
        <w:instrText>mily":"Castro","given":"A.","non-dropping-particle":"","parse-names":false,"suffix":""}],"container-title":"Oncogene 2013 32:5","id":"ITEM-1","issue":"5","issued":{"date-parts":[["2012","4","2"]]},"page":"537-543","publisher":"Nature Publishing Group","tit</w:instrText>
      </w:r>
      <w:r>
        <w:rPr>
          <w:rFonts w:ascii="Arial" w:eastAsia="Times New Roman" w:hAnsi="Arial" w:cs="Arial"/>
          <w:color w:val="000000" w:themeColor="text1"/>
          <w:lang w:val="en-US" w:eastAsia="de-DE"/>
        </w:rPr>
        <w:instrText>le":"The Greatwall kinase: a new pathway in the control of the cell cycle","type":"article-journal","volume":"32"},"uris":["http://www.mendeley.com/documents/?uuid=bab91790-73d1-3ffe-b172-9ff6a5f3a2a9"]}],"mendeley":{"formattedCitation":"&lt;sup&gt;364&lt;/sup&gt;","p</w:instrText>
      </w:r>
      <w:r>
        <w:rPr>
          <w:rFonts w:ascii="Arial" w:eastAsia="Times New Roman" w:hAnsi="Arial" w:cs="Arial"/>
          <w:color w:val="000000" w:themeColor="text1"/>
          <w:lang w:val="en-US" w:eastAsia="de-DE"/>
        </w:rPr>
        <w:instrText>lainTextFormattedCitation":"364","previouslyFormattedCitation":"&lt;sup&gt;364&lt;/sup&gt;"},"properties":{"noteIndex":0},"schema":"https://github.com/citation-style-language/schema/raw/master/csl-citation.json"}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364</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Phosphorylated </w:t>
      </w:r>
      <w:proofErr w:type="spellStart"/>
      <w:r>
        <w:rPr>
          <w:rFonts w:ascii="Arial" w:eastAsia="Times New Roman" w:hAnsi="Arial" w:cs="Arial"/>
          <w:color w:val="000000" w:themeColor="text1"/>
          <w:lang w:val="en-US" w:eastAsia="de-DE"/>
        </w:rPr>
        <w:t>Endosulfine</w:t>
      </w:r>
      <w:proofErr w:type="spellEnd"/>
      <w:r>
        <w:rPr>
          <w:rFonts w:ascii="Arial" w:eastAsia="Times New Roman" w:hAnsi="Arial" w:cs="Arial"/>
          <w:color w:val="000000" w:themeColor="text1"/>
          <w:lang w:val="en-US" w:eastAsia="de-DE"/>
        </w:rPr>
        <w:t xml:space="preserve"> potently inhibits PP2</w:t>
      </w:r>
      <w:r>
        <w:rPr>
          <w:rFonts w:ascii="Arial" w:eastAsia="Times New Roman" w:hAnsi="Arial" w:cs="Arial"/>
          <w:color w:val="000000" w:themeColor="text1"/>
          <w:lang w:val="en-US" w:eastAsia="de-DE"/>
        </w:rPr>
        <w:t>A/B55, the protein phosphatase 2A subcomplex bound to its regulatory subunit B55. When active, the PP2A phosphatase dephosphorylates CDK/Cyclin substrates, activates CDK/Cyclin inhibitors such as Wee1 and inhibits CDK/Cyclin activators such as Cdc25</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w:instrText>
      </w:r>
      <w:r>
        <w:rPr>
          <w:rFonts w:ascii="Arial" w:eastAsia="Times New Roman" w:hAnsi="Arial" w:cs="Arial"/>
          <w:color w:val="000000" w:themeColor="text1"/>
          <w:lang w:val="en-US" w:eastAsia="de-DE"/>
        </w:rPr>
        <w:instrText>SL_CITATION {"citationItems":[{"id":"ITEM-1","itemData":{"DOI":"10.1038/EMBOJ.2009.238/SUPPL_FILE/EMBJ2009238-SUP-0004.PDF","ISSN":"02614189","PMID":"19696736","abstract":"Entry into mitosis depends on the activity of cyclin-dependent kinases (CDKs). Conve</w:instrText>
      </w:r>
      <w:r>
        <w:rPr>
          <w:rFonts w:ascii="Arial" w:eastAsia="Times New Roman" w:hAnsi="Arial" w:cs="Arial"/>
          <w:color w:val="000000" w:themeColor="text1"/>
          <w:lang w:val="en-US" w:eastAsia="de-DE"/>
        </w:rPr>
        <w:instrText>rsely, exit from mitosis occurs when mitotic cyclins are degraded, thereby extinguishing CDK activity. Exit from mitosis must also require mitotic phosphoproteins to revert to their interphase hypophosphorylated forms, but there is a controversy about whic</w:instrText>
      </w:r>
      <w:r>
        <w:rPr>
          <w:rFonts w:ascii="Arial" w:eastAsia="Times New Roman" w:hAnsi="Arial" w:cs="Arial"/>
          <w:color w:val="000000" w:themeColor="text1"/>
          <w:lang w:val="en-US" w:eastAsia="de-DE"/>
        </w:rPr>
        <w:instrText>h phosphatase(s) is/are responsible for dephosphorylating the CDK substrates. We find that PP2A associated with a B55 subunit is relatively specific for a model mitotic CDK substrate in Xenopus egg extracts. The phosphatase activity measured by this substr</w:instrText>
      </w:r>
      <w:r>
        <w:rPr>
          <w:rFonts w:ascii="Arial" w:eastAsia="Times New Roman" w:hAnsi="Arial" w:cs="Arial"/>
          <w:color w:val="000000" w:themeColor="text1"/>
          <w:lang w:val="en-US" w:eastAsia="de-DE"/>
        </w:rPr>
        <w:instrText>ate is regulated during the cell cyclehigh in interphase and suppressed during mitosis. Depletion of PP2A-B55 (in interphase) from cycling frog egg extracts accelerated their entry into mitosis and kept them indefinitely in mitosis. When PP2A-B55 was deple</w:instrText>
      </w:r>
      <w:r>
        <w:rPr>
          <w:rFonts w:ascii="Arial" w:eastAsia="Times New Roman" w:hAnsi="Arial" w:cs="Arial"/>
          <w:color w:val="000000" w:themeColor="text1"/>
          <w:lang w:val="en-US" w:eastAsia="de-DE"/>
        </w:rPr>
        <w:instrText>ted from mitotic extracts, however, exit from mitosis was hardly delayed, showing that other phosphatase(s) are also required for mitotic exit. Increasing the concentration of PP2A-B55 in extracts by adding recombinant enzyme inhibited the entry into mitos</w:instrText>
      </w:r>
      <w:r>
        <w:rPr>
          <w:rFonts w:ascii="Arial" w:eastAsia="Times New Roman" w:hAnsi="Arial" w:cs="Arial"/>
          <w:color w:val="000000" w:themeColor="text1"/>
          <w:lang w:val="en-US" w:eastAsia="de-DE"/>
        </w:rPr>
        <w:instrText>is. This form of PP2A seems to be a key regulator of entry into and exit from mitosis. © 2009 European Molecular Biology Organization.","author":[{"dropping-particle":"","family":"Mochida","given":"Satoru","non-dropping-particle":"","parse-names":false,"su</w:instrText>
      </w:r>
      <w:r>
        <w:rPr>
          <w:rFonts w:ascii="Arial" w:eastAsia="Times New Roman" w:hAnsi="Arial" w:cs="Arial"/>
          <w:color w:val="000000" w:themeColor="text1"/>
          <w:lang w:val="en-US" w:eastAsia="de-DE"/>
        </w:rPr>
        <w:instrText>ffix":""},{"dropping-particle":"","family":"Ikeo","given":"Satoshi","non-dropping-particle":"","parse-names":false,"suffix":""},{"dropping-particle":"","family":"Gannon","given":"Julian","non-dropping-particle":"","parse-names":false,"suffix":""},{"droppin</w:instrText>
      </w:r>
      <w:r>
        <w:rPr>
          <w:rFonts w:ascii="Arial" w:eastAsia="Times New Roman" w:hAnsi="Arial" w:cs="Arial"/>
          <w:color w:val="000000" w:themeColor="text1"/>
          <w:lang w:val="en-US" w:eastAsia="de-DE"/>
        </w:rPr>
        <w:instrText>g-particle":"","family":"Hunt","given":"Tim","non-dropping-particle":"","parse-names":false,"suffix":""}],"container-title":"EMBO Journal","id":"ITEM-1","issue":"18","issued":{"date-parts":[["2009","9","16"]]},"page":"2777-2785","publisher":"John Wiley &amp; S</w:instrText>
      </w:r>
      <w:r>
        <w:rPr>
          <w:rFonts w:ascii="Arial" w:eastAsia="Times New Roman" w:hAnsi="Arial" w:cs="Arial"/>
          <w:color w:val="000000" w:themeColor="text1"/>
          <w:lang w:val="en-US" w:eastAsia="de-DE"/>
        </w:rPr>
        <w:instrText>ons, LtdChichester, UK","title":"Regulated activity of PP2A-B55 is crucial for controlling entry into and exit from mitosis in Xenopus egg extracts","type":"article-journal","volume":"28"},"uris":["http://www.mendeley.com/documents/?uuid=b7426682-7f17-35bb</w:instrText>
      </w:r>
      <w:r>
        <w:rPr>
          <w:rFonts w:ascii="Arial" w:eastAsia="Times New Roman" w:hAnsi="Arial" w:cs="Arial"/>
          <w:color w:val="000000" w:themeColor="text1"/>
          <w:lang w:val="en-US" w:eastAsia="de-DE"/>
        </w:rPr>
        <w:instrText>-85f0-d8e6e874bcd7"]},{"id":"ITEM-2","itemData":{"DOI":"10.1083/JCB.200711014","ISSN":"0021-9525","PMID":"18316413","abstract":"The Cdc25 phosphatase promotes entry into mitosis by removing cyclin-dependent kinase 1 (Cdk1) inhibitory phosphorylation. Previ</w:instrText>
      </w:r>
      <w:r>
        <w:rPr>
          <w:rFonts w:ascii="Arial" w:eastAsia="Times New Roman" w:hAnsi="Arial" w:cs="Arial"/>
          <w:color w:val="000000" w:themeColor="text1"/>
          <w:lang w:val="en-US" w:eastAsia="de-DE"/>
        </w:rPr>
        <w:instrText>ous work suggested that Cdc25 is activated by Cdk1 in a positive feedback loop promoting entry into mitosis; however, it has remained unclear how the feedback loop is initiated. To learn more about the mechanisms that regulate entry into mitosis, we have c</w:instrText>
      </w:r>
      <w:r>
        <w:rPr>
          <w:rFonts w:ascii="Arial" w:eastAsia="Times New Roman" w:hAnsi="Arial" w:cs="Arial"/>
          <w:color w:val="000000" w:themeColor="text1"/>
          <w:lang w:val="en-US" w:eastAsia="de-DE"/>
        </w:rPr>
        <w:instrText>haracterized the function and regulation of Mih1, the budding yeast homologue of Cdc25. We found that Mih1 is hyperphosphorylated early in the cell cycle and is dephosphorylated as cells enter mitosis. Casein kinase 1 is responsible for most of the hyperph</w:instrText>
      </w:r>
      <w:r>
        <w:rPr>
          <w:rFonts w:ascii="Arial" w:eastAsia="Times New Roman" w:hAnsi="Arial" w:cs="Arial"/>
          <w:color w:val="000000" w:themeColor="text1"/>
          <w:lang w:val="en-US" w:eastAsia="de-DE"/>
        </w:rPr>
        <w:instrText>osphorylation of Mih1, whereas protein phosphatase 2A associated with Cdc55 dephosphorylates Mih1. Cdk1 appears to directly phosphorylate Mih1 and is required for initiation of Mih1 dephosphorylation as cells enter mitosis. Collectively, these observations</w:instrText>
      </w:r>
      <w:r>
        <w:rPr>
          <w:rFonts w:ascii="Arial" w:eastAsia="Times New Roman" w:hAnsi="Arial" w:cs="Arial"/>
          <w:color w:val="000000" w:themeColor="text1"/>
          <w:lang w:val="en-US" w:eastAsia="de-DE"/>
        </w:rPr>
        <w:instrText xml:space="preserve"> suggest that Mih1 regulation is achieved by a balance of opposing kinase and phosphatase activities. Because casein kinase 1 is associated with sites of polar growth, it may regulate Mih1 as part of a signaling mechanism that links successful completion o</w:instrText>
      </w:r>
      <w:r>
        <w:rPr>
          <w:rFonts w:ascii="Arial" w:eastAsia="Times New Roman" w:hAnsi="Arial" w:cs="Arial"/>
          <w:color w:val="000000" w:themeColor="text1"/>
          <w:lang w:val="en-US" w:eastAsia="de-DE"/>
        </w:rPr>
        <w:instrText>f growth-related events to cell cycle progression. © The Rockefeller University Press.","author":[{"dropping-particle":"","family":"Pal","given":"Gayatri","non-dropping-particle":"","parse-names":false,"suffix":""},{"dropping-particle":"","family":"Paraz",</w:instrText>
      </w:r>
      <w:r>
        <w:rPr>
          <w:rFonts w:ascii="Arial" w:eastAsia="Times New Roman" w:hAnsi="Arial" w:cs="Arial"/>
          <w:color w:val="000000" w:themeColor="text1"/>
          <w:lang w:val="en-US" w:eastAsia="de-DE"/>
        </w:rPr>
        <w:instrText>"given":"Maria T.Z.","non-dropping-particle":"","parse-names":false,"suffix":""},{"dropping-particle":"","family":"Kellogg","given":"Douglas R.","non-dropping-particle":"","parse-names":false,"suffix":""}],"container-title":"Journal of Cell Biology","id":"</w:instrText>
      </w:r>
      <w:r>
        <w:rPr>
          <w:rFonts w:ascii="Arial" w:eastAsia="Times New Roman" w:hAnsi="Arial" w:cs="Arial"/>
          <w:color w:val="000000" w:themeColor="text1"/>
          <w:lang w:val="en-US" w:eastAsia="de-DE"/>
        </w:rPr>
        <w:instrText>ITEM-2","issue":"5","issued":{"date-parts":[["2008","3","10"]]},"page":"931-945","publisher":"The Rockefeller University Press","title":"Regulation of Mih1/Cdc25 by protein phosphatase 2A and casein kinase 1","type":"article-journal","volume":"180"},"uris"</w:instrText>
      </w:r>
      <w:r>
        <w:rPr>
          <w:rFonts w:ascii="Arial" w:eastAsia="Times New Roman" w:hAnsi="Arial" w:cs="Arial"/>
          <w:color w:val="000000" w:themeColor="text1"/>
          <w:lang w:val="en-US" w:eastAsia="de-DE"/>
        </w:rPr>
        <w:instrText>:["http://www.mendeley.com/documents/?uuid=7a1e5e41-9d46-33d7-b041-9aa68239a5d4"]},{"id":"ITEM-3","itemData":{"DOI":"10.1016/j.cub.2015.12.035","abstract":"Correspondence smo@usal.es In Brief Cells are large in rich media and small in poor media. Here, Chi</w:instrText>
      </w:r>
      <w:r>
        <w:rPr>
          <w:rFonts w:ascii="Arial" w:eastAsia="Times New Roman" w:hAnsi="Arial" w:cs="Arial"/>
          <w:color w:val="000000" w:themeColor="text1"/>
          <w:lang w:val="en-US" w:eastAsia="de-DE"/>
        </w:rPr>
        <w:instrText>ca et al. show that the greatwall-endosulfine pathway couples the nutritional environment to the cell-cycle machinery by regulating the activity of PP2A$B55. This pathway links cell growth (TORC1) with cell division (Cdk1) and controls cell size homeostasi</w:instrText>
      </w:r>
      <w:r>
        <w:rPr>
          <w:rFonts w:ascii="Arial" w:eastAsia="Times New Roman" w:hAnsi="Arial" w:cs="Arial"/>
          <w:color w:val="000000" w:themeColor="text1"/>
          <w:lang w:val="en-US" w:eastAsia="de-DE"/>
        </w:rPr>
        <w:instrText>s in fission yeast","author":[{"dropping-particle":"","family":"Chica","given":"Nathalia","non-dropping-particle":"","parse-names":false,"suffix":""},{"dropping-particle":"","family":"Rozalé","given":"Ana Elisa","non-dropping-particle":"","parse-names":fal</w:instrText>
      </w:r>
      <w:r>
        <w:rPr>
          <w:rFonts w:ascii="Arial" w:eastAsia="Times New Roman" w:hAnsi="Arial" w:cs="Arial"/>
          <w:color w:val="000000" w:themeColor="text1"/>
          <w:lang w:val="en-US" w:eastAsia="de-DE"/>
        </w:rPr>
        <w:instrText>se,"suffix":""},{"dropping-particle":"","family":"Pé Rez-Hidalgo","given":"Livia","non-dropping-particle":"","parse-names":false,"suffix":""},{"dropping-particle":"","family":"Rubio","given":"Angela","non-dropping-particle":"","parse-names":false,"suffix":</w:instrText>
      </w:r>
      <w:r>
        <w:rPr>
          <w:rFonts w:ascii="Arial" w:eastAsia="Times New Roman" w:hAnsi="Arial" w:cs="Arial"/>
          <w:color w:val="000000" w:themeColor="text1"/>
          <w:lang w:val="en-US" w:eastAsia="de-DE"/>
        </w:rPr>
        <w:instrText>""},{"dropping-particle":"","family":"Novak","given":"Bela","non-dropping-particle":"","parse-names":false,"suffix":""},{"dropping-particle":"","family":"Moreno","given":"Sergio","non-dropping-particle":"","parse-names":false,"suffix":""}],"container-title</w:instrText>
      </w:r>
      <w:r>
        <w:rPr>
          <w:rFonts w:ascii="Arial" w:eastAsia="Times New Roman" w:hAnsi="Arial" w:cs="Arial"/>
          <w:color w:val="000000" w:themeColor="text1"/>
          <w:lang w:val="en-US" w:eastAsia="de-DE"/>
        </w:rPr>
        <w:instrText>":"Current Biology","id":"ITEM-3","issued":{"date-parts":[["2016"]]},"page":"319-330","title":"Article Nutritional Control of Cell Size by the Greatwall-Endosulfine-PP2A$B55 Pathway","type":"article-journal","volume":"26"},"uris":["http://www.mendeley.com/</w:instrText>
      </w:r>
      <w:r>
        <w:rPr>
          <w:rFonts w:ascii="Arial" w:eastAsia="Times New Roman" w:hAnsi="Arial" w:cs="Arial"/>
          <w:color w:val="000000" w:themeColor="text1"/>
          <w:lang w:val="en-US" w:eastAsia="de-DE"/>
        </w:rPr>
        <w:instrText>documents/?uuid=bb2f0122-46af-3962-85ff-31e09a773a91"]}],"mendeley":{"formattedCitation":"&lt;sup&gt;361,365,366&lt;/sup&gt;","plainTextFormattedCitation":"361,365,366","previouslyFormattedCitation":"&lt;sup&gt;361,365,366&lt;/sup&gt;"},"properties":{"noteIndex":0},"schema":"http</w:instrText>
      </w:r>
      <w:r>
        <w:rPr>
          <w:rFonts w:ascii="Arial" w:eastAsia="Times New Roman" w:hAnsi="Arial" w:cs="Arial"/>
          <w:color w:val="000000" w:themeColor="text1"/>
          <w:lang w:val="en-US" w:eastAsia="de-DE"/>
        </w:rPr>
        <w:instrText>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361,365,366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Thus, active PP2A antagonizes CDK/Cyclin activity and thereby prevents cell cycle transitions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w:instrText>
      </w:r>
      <w:r>
        <w:rPr>
          <w:rFonts w:ascii="Arial" w:eastAsia="Times New Roman" w:hAnsi="Arial" w:cs="Arial"/>
          <w:color w:val="000000" w:themeColor="text1"/>
          <w:lang w:val="en-US" w:eastAsia="de-DE"/>
        </w:rPr>
        <w:instrText>10.3390/IJMS20246228","ISSN":"1422-0067","PMID":"31835586","abstract":"During the cell cycle, hundreds of proteins become phosphorylated and dephosphorylated, indicating that protein kinases and protein phosphatases play a central role in its regulation. I</w:instrText>
      </w:r>
      <w:r>
        <w:rPr>
          <w:rFonts w:ascii="Arial" w:eastAsia="Times New Roman" w:hAnsi="Arial" w:cs="Arial"/>
          <w:color w:val="000000" w:themeColor="text1"/>
          <w:lang w:val="en-US" w:eastAsia="de-DE"/>
        </w:rPr>
        <w:instrText>t has been widely recognized that oscillation in cyclin-dependent kinase (CDK) activity promotes DNA replication, during S-phase, and chromosome segregation, during mitosis. Each CDK substrate phosphorylation status is defined by the balance between CDKs a</w:instrText>
      </w:r>
      <w:r>
        <w:rPr>
          <w:rFonts w:ascii="Arial" w:eastAsia="Times New Roman" w:hAnsi="Arial" w:cs="Arial"/>
          <w:color w:val="000000" w:themeColor="text1"/>
          <w:lang w:val="en-US" w:eastAsia="de-DE"/>
        </w:rPr>
        <w:instrText>nd CDK-counteracting phosphatases. In fission yeast and animal cells, PP2A/B55 is the main protein phosphatase that counteracts CDK activity. PP2A/B55 plays a key role in mitotic entry and mitotic exit, and it is regulated by the Greatwall-Endosulfine (ENS</w:instrText>
      </w:r>
      <w:r>
        <w:rPr>
          <w:rFonts w:ascii="Arial" w:eastAsia="Times New Roman" w:hAnsi="Arial" w:cs="Arial"/>
          <w:color w:val="000000" w:themeColor="text1"/>
          <w:lang w:val="en-US" w:eastAsia="de-DE"/>
        </w:rPr>
        <w:instrText>A) molecular switch that inactivates PP2A/B55 at the onset of mitosis, allowing maximal CDK activity at metaphase. The Greatwall-ENSA-PP2A/B55 pathway is highly conserved from yeast to animal cells. In yeasts, Greatwall is negatively regulated by nutrients</w:instrText>
      </w:r>
      <w:r>
        <w:rPr>
          <w:rFonts w:ascii="Arial" w:eastAsia="Times New Roman" w:hAnsi="Arial" w:cs="Arial"/>
          <w:color w:val="000000" w:themeColor="text1"/>
          <w:lang w:val="en-US" w:eastAsia="de-DE"/>
        </w:rPr>
        <w:instrText xml:space="preserve"> through TORC1 and S6 kinase, and couples cell growth, regulated by TORC1, to cell cycle progression, driven by CDK activity. In animal cells, Greatwall is phosphorylated and activated by Cdk1 at G2/M, generating a bistable molecular switch that results in</w:instrText>
      </w:r>
      <w:r>
        <w:rPr>
          <w:rFonts w:ascii="Arial" w:eastAsia="Times New Roman" w:hAnsi="Arial" w:cs="Arial"/>
          <w:color w:val="000000" w:themeColor="text1"/>
          <w:lang w:val="en-US" w:eastAsia="de-DE"/>
        </w:rPr>
        <w:instrText xml:space="preserve"> full activation of Cdk1/CyclinB. Here we review the current knowledge of the Greatwall-ENSA-PP2A/B55 pathway and discuss its role in cell cycle progression and as an integrator of nutritional cues.","author":[{"dropping-particle":"","family":"García-Blanc</w:instrText>
      </w:r>
      <w:r>
        <w:rPr>
          <w:rFonts w:ascii="Arial" w:eastAsia="Times New Roman" w:hAnsi="Arial" w:cs="Arial"/>
          <w:color w:val="000000" w:themeColor="text1"/>
          <w:lang w:val="en-US" w:eastAsia="de-DE"/>
        </w:rPr>
        <w:instrText>o","given":"Natalia","non-dropping-particle":"","parse-names":false,"suffix":""},{"dropping-particle":"","family":"Vázquez-Bolado","given":"Alicia","non-dropping-particle":"","parse-names":false,"suffix":""},{"dropping-particle":"","family":"Moreno","given</w:instrText>
      </w:r>
      <w:r>
        <w:rPr>
          <w:rFonts w:ascii="Arial" w:eastAsia="Times New Roman" w:hAnsi="Arial" w:cs="Arial"/>
          <w:color w:val="000000" w:themeColor="text1"/>
          <w:lang w:val="en-US" w:eastAsia="de-DE"/>
        </w:rPr>
        <w:instrText>":"Sergio","non-dropping-particle":"","parse-names":false,"suffix":""}],"container-title":"International Journal of Molecular Sciences 2019, Vol. 20, Page 6228","id":"ITEM-1","issue":"24","issued":{"date-parts":[["2019","12","10"]]},"page":"6228","publishe</w:instrText>
      </w:r>
      <w:r>
        <w:rPr>
          <w:rFonts w:ascii="Arial" w:eastAsia="Times New Roman" w:hAnsi="Arial" w:cs="Arial"/>
          <w:color w:val="000000" w:themeColor="text1"/>
          <w:lang w:val="en-US" w:eastAsia="de-DE"/>
        </w:rPr>
        <w:instrText>r":"Multidisciplinary Digital Publishing Institute","title":"Greatwall-Endosulfine: A Molecular Switch that Regulates PP2A/B55 Protein Phosphatase Activity in Dividing and Quiescent Cells","type":"article-journal","volume":"20"},"uris":["http://www.mendele</w:instrText>
      </w:r>
      <w:r>
        <w:rPr>
          <w:rFonts w:ascii="Arial" w:eastAsia="Times New Roman" w:hAnsi="Arial" w:cs="Arial"/>
          <w:color w:val="000000" w:themeColor="text1"/>
          <w:lang w:val="en-US" w:eastAsia="de-DE"/>
        </w:rPr>
        <w:instrText>y.com/documents/?uuid=54a60385-206b-3bec-b131-3ae9edbd17d7"]}],"mendeley":{"formattedCitation":"&lt;sup&gt;362&lt;/sup&gt;","plainTextFormattedCitation":"362","previouslyFormattedCitation":"&lt;sup&gt;362&lt;/sup&gt;"},"properties":{"noteIndex":0},"schema":"https://github.com/cit</w:instrText>
      </w:r>
      <w:r>
        <w:rPr>
          <w:rFonts w:ascii="Arial" w:eastAsia="Times New Roman" w:hAnsi="Arial" w:cs="Arial"/>
          <w:color w:val="000000" w:themeColor="text1"/>
          <w:lang w:val="en-US" w:eastAsia="de-DE"/>
        </w:rPr>
        <w:instrTex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362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6797845B"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The availability of nutrients leads to an upregulation of TORC1, which leads to an activation of the conserved TORC1 target Sch9 kinase in budding yeast (Sck2 in fission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w:instrText>
      </w:r>
      <w:r>
        <w:rPr>
          <w:rFonts w:ascii="Arial" w:eastAsia="Times New Roman" w:hAnsi="Arial" w:cs="Arial"/>
          <w:color w:val="000000"/>
          <w:lang w:val="en-US" w:eastAsia="de-DE"/>
        </w:rPr>
        <w:instrText xml:space="preserve">TION {"citationItems":[{"id":"ITEM-1","itemData":{"DOI":"10.1111/J.1365-2958.2008.06292.X","ISSN":"1365-2958","PMID":"18513215","abstract":"Dietary nutrient limitation (dietary restriction) is known to increase lifespan in a variety of organisms. Although </w:instrText>
      </w:r>
      <w:r>
        <w:rPr>
          <w:rFonts w:ascii="Arial" w:eastAsia="Times New Roman" w:hAnsi="Arial" w:cs="Arial"/>
          <w:color w:val="000000"/>
          <w:lang w:val="en-US" w:eastAsia="de-DE"/>
        </w:rPr>
        <w:instrText>the molecular events that couple dietary restriction to increased lifespan are not clear, studies of the model eukaryote Saccharomyces cerevisiae have implicated several nutrient-sensitive kinases, including the target of rapamycin complex 1 (TORC1), Sch9,</w:instrText>
      </w:r>
      <w:r>
        <w:rPr>
          <w:rFonts w:ascii="Arial" w:eastAsia="Times New Roman" w:hAnsi="Arial" w:cs="Arial"/>
          <w:color w:val="000000"/>
          <w:lang w:val="en-US" w:eastAsia="de-DE"/>
        </w:rPr>
        <w:instrText xml:space="preserve"> protein kinase A (PKA) and Rim15. We have recently demonstrated that TORC1 activates Sch9 by direct phosphorylation. We now show that Sch9 inhibits Rim15 also by direct phosphorylation. Treatment of yeast cells with the specific TORC1 inhibitor rapamycin </w:instrText>
      </w:r>
      <w:r>
        <w:rPr>
          <w:rFonts w:ascii="Arial" w:eastAsia="Times New Roman" w:hAnsi="Arial" w:cs="Arial"/>
          <w:color w:val="000000"/>
          <w:lang w:val="en-US" w:eastAsia="de-DE"/>
        </w:rPr>
        <w:instrText>or caffeine releases Rim15 from TORC1-Sch9-mediated inhibition and consequently increases lifespan. This kinase cascade appears to have been evolutionarily conserved, suggesting that caffeine may extend lifespan in other eukaryotes, including man. © 2008 T</w:instrText>
      </w:r>
      <w:r>
        <w:rPr>
          <w:rFonts w:ascii="Arial" w:eastAsia="Times New Roman" w:hAnsi="Arial" w:cs="Arial"/>
          <w:color w:val="000000"/>
          <w:lang w:val="en-US" w:eastAsia="de-DE"/>
        </w:rPr>
        <w:instrText>he Authors.","author":[{"dropping-particle":"","family":"Wanke","given":"Valeria","non-dropping-particle":"","parse-names":false,"suffix":""},{"dropping-particle":"","family":"Cameroni","given":"Elisabetta","non-dropping-particle":"","parse-names":false,"s</w:instrText>
      </w:r>
      <w:r>
        <w:rPr>
          <w:rFonts w:ascii="Arial" w:eastAsia="Times New Roman" w:hAnsi="Arial" w:cs="Arial"/>
          <w:color w:val="000000"/>
          <w:lang w:val="en-US" w:eastAsia="de-DE"/>
        </w:rPr>
        <w:instrText>uffix":""},{"dropping-particle":"","family":"Uotila","given":"Aino","non-dropping-particle":"","parse-names":false,"suffix":""},{"dropping-particle":"","family":"Piccolis","given":"Manuele","non-dropping-particle":"","parse-names":false,"suffix":""},{"drop</w:instrText>
      </w:r>
      <w:r>
        <w:rPr>
          <w:rFonts w:ascii="Arial" w:eastAsia="Times New Roman" w:hAnsi="Arial" w:cs="Arial"/>
          <w:color w:val="000000"/>
          <w:lang w:val="en-US" w:eastAsia="de-DE"/>
        </w:rPr>
        <w:instrText>ping-particle":"","family":"Urban","given":"Jörg","non-dropping-particle":"","parse-names":false,"suffix":""},{"dropping-particle":"","family":"Loewith","given":"Robbie","non-dropping-particle":"","parse-names":false,"suffix":""},{"dropping-particle":"","f</w:instrText>
      </w:r>
      <w:r>
        <w:rPr>
          <w:rFonts w:ascii="Arial" w:eastAsia="Times New Roman" w:hAnsi="Arial" w:cs="Arial"/>
          <w:color w:val="000000"/>
          <w:lang w:val="en-US" w:eastAsia="de-DE"/>
        </w:rPr>
        <w:instrText>amily":"Virgilio","given":"Claudio","non-dropping-particle":"De","parse-names":false,"suffix":""}],"container-title":"Molecular Microbiology","id":"ITEM-1","issue":"1","issued":{"date-parts":[["2008","7","1"]]},"page":"277-285","publisher":"John Wiley &amp; So</w:instrText>
      </w:r>
      <w:r>
        <w:rPr>
          <w:rFonts w:ascii="Arial" w:eastAsia="Times New Roman" w:hAnsi="Arial" w:cs="Arial"/>
          <w:color w:val="000000"/>
          <w:lang w:val="en-US" w:eastAsia="de-DE"/>
        </w:rPr>
        <w:instrText>ns, Ltd","title":"Caffeine extends yeast lifespan by targeting TORC1","type":"article-journal","volume":"69"},"uris":["http://www.mendeley.com/documents/?uuid=67a7a6ac-a8af-39f7-8c8d-ec872d8e7fe6"]},{"id":"ITEM-2","itemData":{"DOI":"10.1016/j.cub.2015.12.0</w:instrText>
      </w:r>
      <w:r>
        <w:rPr>
          <w:rFonts w:ascii="Arial" w:eastAsia="Times New Roman" w:hAnsi="Arial" w:cs="Arial"/>
          <w:color w:val="000000"/>
          <w:lang w:val="en-US" w:eastAsia="de-DE"/>
        </w:rPr>
        <w:instrText>35","abstract":"Correspondence smo@usal.es In Brief Cells are large in rich media and small in poor media. Here, Chica et al. show that the greatwall-endosulfine pathway couples the nutritional environment to the cell-cycle machinery by regulating the acti</w:instrText>
      </w:r>
      <w:r>
        <w:rPr>
          <w:rFonts w:ascii="Arial" w:eastAsia="Times New Roman" w:hAnsi="Arial" w:cs="Arial"/>
          <w:color w:val="000000"/>
          <w:lang w:val="en-US" w:eastAsia="de-DE"/>
        </w:rPr>
        <w:instrText>vity of PP2A$B55. This pathway links cell growth (TORC1) with cell division (Cdk1) and controls cell size homeostasis in fission yeast","author":[{"dropping-particle":"","family":"Chica","given":"Nathalia","non-dropping-particle":"","parse-names":false,"su</w:instrText>
      </w:r>
      <w:r>
        <w:rPr>
          <w:rFonts w:ascii="Arial" w:eastAsia="Times New Roman" w:hAnsi="Arial" w:cs="Arial"/>
          <w:color w:val="000000"/>
          <w:lang w:val="en-US" w:eastAsia="de-DE"/>
        </w:rPr>
        <w:instrText>ffix":""},{"dropping-particle":"","family":"Rozalé","given":"Ana Elisa","non-dropping-particle":"","parse-names":false,"suffix":""},{"dropping-particle":"","family":"Pé Rez-Hidalgo","given":"Livia","non-dropping-particle":"","parse-names":false,"suffix":""</w:instrText>
      </w:r>
      <w:r>
        <w:rPr>
          <w:rFonts w:ascii="Arial" w:eastAsia="Times New Roman" w:hAnsi="Arial" w:cs="Arial"/>
          <w:color w:val="000000"/>
          <w:lang w:val="en-US" w:eastAsia="de-DE"/>
        </w:rPr>
        <w:instrText>},{"dropping-particle":"","family":"Rubio","given":"Angela","non-dropping-particle":"","parse-names":false,"suffix":""},{"dropping-particle":"","family":"Novak","given":"Bela","non-dropping-particle":"","parse-names":false,"suffix":""},{"dropping-particle"</w:instrText>
      </w:r>
      <w:r>
        <w:rPr>
          <w:rFonts w:ascii="Arial" w:eastAsia="Times New Roman" w:hAnsi="Arial" w:cs="Arial"/>
          <w:color w:val="000000"/>
          <w:lang w:val="en-US" w:eastAsia="de-DE"/>
        </w:rPr>
        <w:instrText>:"","family":"Moreno","given":"Sergio","non-dropping-particle":"","parse-names":false,"suffix":""}],"container-title":"Current Biology","id":"ITEM-2","issued":{"date-parts":[["2016"]]},"page":"319-330","title":"Article Nutritional Control of Cell Size by t</w:instrText>
      </w:r>
      <w:r>
        <w:rPr>
          <w:rFonts w:ascii="Arial" w:eastAsia="Times New Roman" w:hAnsi="Arial" w:cs="Arial"/>
          <w:color w:val="000000"/>
          <w:lang w:val="en-US" w:eastAsia="de-DE"/>
        </w:rPr>
        <w:instrText>he Greatwall-Endosulfine-PP2A$B55 Pathway","type":"article-journal","volume":"26"},"uris":["http://www.mendeley.com/documents/?uuid=bb2f0122-46af-3962-85ff-31e09a773a91"]}],"mendeley":{"formattedCitation":"&lt;sup&gt;361,367&lt;/sup&gt;","plainTextFormattedCitation":"</w:instrText>
      </w:r>
      <w:r>
        <w:rPr>
          <w:rFonts w:ascii="Arial" w:eastAsia="Times New Roman" w:hAnsi="Arial" w:cs="Arial"/>
          <w:color w:val="000000"/>
          <w:lang w:val="en-US" w:eastAsia="de-DE"/>
        </w:rPr>
        <w:instrText>361,367","previouslyFormattedCitation":"&lt;sup&gt;361,367&lt;/sup&gt;"},"properties":{"noteIndex":0},"schema":"https://github.com/citation-style-language/schema/raw/master/csl-citation.json"}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361,367</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 Sch9 kinase phosphorylates and inhibits Rim15, the budding y</w:t>
      </w:r>
      <w:r>
        <w:rPr>
          <w:rFonts w:ascii="Arial" w:eastAsia="Times New Roman" w:hAnsi="Arial" w:cs="Arial"/>
          <w:color w:val="000000"/>
          <w:lang w:val="en-US" w:eastAsia="de-DE"/>
        </w:rPr>
        <w:t xml:space="preserve">east homolog of </w:t>
      </w:r>
      <w:proofErr w:type="spellStart"/>
      <w:r>
        <w:rPr>
          <w:rFonts w:ascii="Arial" w:eastAsia="Times New Roman" w:hAnsi="Arial" w:cs="Arial"/>
          <w:color w:val="000000"/>
          <w:lang w:val="en-US" w:eastAsia="de-DE"/>
        </w:rPr>
        <w:t>Greatwall</w:t>
      </w:r>
      <w:proofErr w:type="spellEnd"/>
      <w:r>
        <w:rPr>
          <w:rFonts w:ascii="Arial" w:eastAsia="Times New Roman" w:hAnsi="Arial" w:cs="Arial"/>
          <w:color w:val="000000"/>
          <w:lang w:val="en-US" w:eastAsia="de-DE"/>
        </w:rPr>
        <w:t>, thereby preventing cell cycle progression in nutrient-rich conditions and promoting larger cell sizes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{"citationItems":[{"id":"ITEM-1","itemData":{"DOI":"10.1016/j.celrep.2012.11.025","author":[{"dropping-partic</w:instrText>
      </w:r>
      <w:r>
        <w:rPr>
          <w:rFonts w:ascii="Arial" w:eastAsia="Times New Roman" w:hAnsi="Arial" w:cs="Arial"/>
          <w:color w:val="000000"/>
          <w:lang w:val="en-US" w:eastAsia="de-DE"/>
        </w:rPr>
        <w:instrText>le":"","family":"Verine Bontron","given":"Sé","non-dropping-particle":"","parse-names":false,"suffix":""},{"dropping-particle":"","family":"Jaquenoud","given":"Malika","non-dropping-particle":"","parse-names":false,"suffix":""},{"dropping-particle":"","fam</w:instrText>
      </w:r>
      <w:r>
        <w:rPr>
          <w:rFonts w:ascii="Arial" w:eastAsia="Times New Roman" w:hAnsi="Arial" w:cs="Arial"/>
          <w:color w:val="000000"/>
          <w:lang w:val="en-US" w:eastAsia="de-DE"/>
        </w:rPr>
        <w:instrText>ily":"Vaga","given":"Stefania","non-dropping-particle":"","parse-names":false,"suffix":""},{"dropping-particle":"","family":"Talarek","given":"Nicolas","non-dropping-particle":"","parse-names":false,"suffix":""},{"dropping-particle":"","family":"Bodenmille</w:instrText>
      </w:r>
      <w:r>
        <w:rPr>
          <w:rFonts w:ascii="Arial" w:eastAsia="Times New Roman" w:hAnsi="Arial" w:cs="Arial"/>
          <w:color w:val="000000"/>
          <w:lang w:val="en-US" w:eastAsia="de-DE"/>
        </w:rPr>
        <w:instrText>r","given":"Bernd","non-dropping-particle":"","parse-names":false,"suffix":""},{"dropping-particle":"","family":"Aebersold","given":"Ruedi","non-dropping-particle":"","parse-names":false,"suffix":""},{"dropping-particle":"","family":"Virgilio","given":"Cla</w:instrText>
      </w:r>
      <w:r>
        <w:rPr>
          <w:rFonts w:ascii="Arial" w:eastAsia="Times New Roman" w:hAnsi="Arial" w:cs="Arial"/>
          <w:color w:val="000000"/>
          <w:lang w:val="en-US" w:eastAsia="de-DE"/>
        </w:rPr>
        <w:instrText>udio","non-dropping-particle":"De","parse-names":false,"suffix":""}],"id":"ITEM-1","issued":{"date-parts":[["2013"]]},"title":"Yeast Endosulfines Control Entry into Quiescence and Chronological Life Span by Inhibiting Protein Phosphatase 2A","type":"articl</w:instrText>
      </w:r>
      <w:r>
        <w:rPr>
          <w:rFonts w:ascii="Arial" w:eastAsia="Times New Roman" w:hAnsi="Arial" w:cs="Arial"/>
          <w:color w:val="000000"/>
          <w:lang w:val="en-US" w:eastAsia="de-DE"/>
        </w:rPr>
        <w:instrText>e-journal"},"uris":["http://www.mendeley.com/documents/?uuid=a826aa48-97cf-3192-886f-0daf0331e551"]},{"id":"ITEM-2","itemData":{"DOI":"10.3390/IJMS20246228","ISSN":"1422-0067","PMID":"31835586","abstract":"During the cell cycle, hundreds of proteins become</w:instrText>
      </w:r>
      <w:r>
        <w:rPr>
          <w:rFonts w:ascii="Arial" w:eastAsia="Times New Roman" w:hAnsi="Arial" w:cs="Arial"/>
          <w:color w:val="000000"/>
          <w:lang w:val="en-US" w:eastAsia="de-DE"/>
        </w:rPr>
        <w:instrText xml:space="preserve"> phosphorylated and dephosphorylated, indicating that protein kinases and protein phosphatases play a central role in its regulation. It has been widely recognized that oscillation in cyclin-dependent kinase (CDK) activity promotes DNA replication, during </w:instrText>
      </w:r>
      <w:r>
        <w:rPr>
          <w:rFonts w:ascii="Arial" w:eastAsia="Times New Roman" w:hAnsi="Arial" w:cs="Arial"/>
          <w:color w:val="000000"/>
          <w:lang w:val="en-US" w:eastAsia="de-DE"/>
        </w:rPr>
        <w:instrText>S-phase, and chromosome segregation, during mitosis. Each CDK substrate phosphorylation status is defined by the balance between CDKs and CDK-counteracting phosphatases. In fission yeast and animal cells, PP2A/B55 is the main protein phosphatase that count</w:instrText>
      </w:r>
      <w:r>
        <w:rPr>
          <w:rFonts w:ascii="Arial" w:eastAsia="Times New Roman" w:hAnsi="Arial" w:cs="Arial"/>
          <w:color w:val="000000"/>
          <w:lang w:val="en-US" w:eastAsia="de-DE"/>
        </w:rPr>
        <w:instrText>eracts CDK activity. PP2A/B55 plays a key role in mitotic entry and mitotic exit, and it is regulated by the Greatwall-Endosulfine (ENSA) molecular switch that inactivates PP2A/B55 at the onset of mitosis, allowing maximal CDK activity at metaphase. The Gr</w:instrText>
      </w:r>
      <w:r>
        <w:rPr>
          <w:rFonts w:ascii="Arial" w:eastAsia="Times New Roman" w:hAnsi="Arial" w:cs="Arial"/>
          <w:color w:val="000000"/>
          <w:lang w:val="en-US" w:eastAsia="de-DE"/>
        </w:rPr>
        <w:instrText>eatwall-ENSA-PP2A/B55 pathway is highly conserved from yeast to animal cells. In yeasts, Greatwall is negatively regulated by nutrients through TORC1 and S6 kinase, and couples cell growth, regulated by TORC1, to cell cycle progression, driven by CDK activ</w:instrText>
      </w:r>
      <w:r>
        <w:rPr>
          <w:rFonts w:ascii="Arial" w:eastAsia="Times New Roman" w:hAnsi="Arial" w:cs="Arial"/>
          <w:color w:val="000000"/>
          <w:lang w:val="en-US" w:eastAsia="de-DE"/>
        </w:rPr>
        <w:instrText>ity. In animal cells, Greatwall is phosphorylated and activated by Cdk1 at G2/M, generating a bistable molecular switch that results in full activation of Cdk1/CyclinB. Here we review the current knowledge of the Greatwall-ENSA-PP2A/B55 pathway and discuss</w:instrText>
      </w:r>
      <w:r>
        <w:rPr>
          <w:rFonts w:ascii="Arial" w:eastAsia="Times New Roman" w:hAnsi="Arial" w:cs="Arial"/>
          <w:color w:val="000000"/>
          <w:lang w:val="en-US" w:eastAsia="de-DE"/>
        </w:rPr>
        <w:instrText xml:space="preserve"> its role in cell cycle progression and as an integrator of nutritional cues.","author":[{"dropping-particle":"","family":"García-Blanco","given":"Natalia","non-dropping-particle":"","parse-names":false,"suffix":""},{"dropping-particle":"","family":"Vázque</w:instrText>
      </w:r>
      <w:r>
        <w:rPr>
          <w:rFonts w:ascii="Arial" w:eastAsia="Times New Roman" w:hAnsi="Arial" w:cs="Arial"/>
          <w:color w:val="000000"/>
          <w:lang w:val="en-US" w:eastAsia="de-DE"/>
        </w:rPr>
        <w:instrText>z-Bolado","given":"Alicia","non-dropping-particle":"","parse-names":false,"suffix":""},{"dropping-particle":"","family":"Moreno","given":"Sergio","non-dropping-particle":"","parse-names":false,"suffix":""}],"container-title":"International Journal of Molec</w:instrText>
      </w:r>
      <w:r>
        <w:rPr>
          <w:rFonts w:ascii="Arial" w:eastAsia="Times New Roman" w:hAnsi="Arial" w:cs="Arial"/>
          <w:color w:val="000000"/>
          <w:lang w:val="en-US" w:eastAsia="de-DE"/>
        </w:rPr>
        <w:instrText>ular Sciences 2019, Vol. 20, Page 6228","id":"ITEM-2","issue":"24","issued":{"date-parts":[["2019","12","10"]]},"page":"6228","publisher":"Multidisciplinary Digital Publishing Institute","title":"Greatwall-Endosulfine: A Molecular Switch that Regulates PP2</w:instrText>
      </w:r>
      <w:r>
        <w:rPr>
          <w:rFonts w:ascii="Arial" w:eastAsia="Times New Roman" w:hAnsi="Arial" w:cs="Arial"/>
          <w:color w:val="000000"/>
          <w:lang w:val="en-US" w:eastAsia="de-DE"/>
        </w:rPr>
        <w:instrText>A/B55 Protein Phosphatase Activity in Dividing and Quiescent Cells","type":"article-journal","volume":"20"},"uris":["http://www.mendeley.com/documents/?uuid=54a60385-206b-3bec-b131-3ae9edbd17d7"]}],"mendeley":{"formattedCitation":"&lt;sup&gt;362,368&lt;/sup&gt;","plai</w:instrText>
      </w:r>
      <w:r>
        <w:rPr>
          <w:rFonts w:ascii="Arial" w:eastAsia="Times New Roman" w:hAnsi="Arial" w:cs="Arial"/>
          <w:color w:val="000000"/>
          <w:lang w:val="en-US" w:eastAsia="de-DE"/>
        </w:rPr>
        <w:instrText>nTextFormattedCitation":"362,368","previouslyFormattedCitation":"&lt;sup&gt;362,368&lt;/sup&gt;"},"properties":{"noteIndex":0},"schema":"https://github.com/citation-style-language/schema/raw/master/csl-citation.json"}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362,368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This nutrient-based regulation of the c</w:t>
      </w:r>
      <w:r>
        <w:rPr>
          <w:rFonts w:ascii="Arial" w:eastAsia="Times New Roman" w:hAnsi="Arial" w:cs="Arial"/>
          <w:color w:val="000000"/>
          <w:lang w:val="en-US" w:eastAsia="de-DE"/>
        </w:rPr>
        <w:t>ell cycle by the TORC1-Greatwall-Endosulfine-PP2A circuit takes place at the G1/S transition in budding yeast, and at the G2/M transition in fission yeast. PP2A regulates G1/S transition inhibitors Whi5 and Sic1 in budding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w:instrText>
      </w:r>
      <w:r>
        <w:rPr>
          <w:rFonts w:ascii="Arial" w:eastAsia="Times New Roman" w:hAnsi="Arial" w:cs="Arial"/>
          <w:color w:val="000000"/>
          <w:lang w:val="en-US" w:eastAsia="de-DE"/>
        </w:rPr>
        <w:instrText>nItems":[{"id":"ITEM-1","itemData":{"DOI":"10.1038/ncomms9256","ISSN":"2041-1723","PMID":"26356805","abstract":"The target of rapamycin complex 1 (TORC1) pathway couples nutrient, energy and hormonal signals with eukaryotic cell growth and division. In yea</w:instrText>
      </w:r>
      <w:r>
        <w:rPr>
          <w:rFonts w:ascii="Arial" w:eastAsia="Times New Roman" w:hAnsi="Arial" w:cs="Arial"/>
          <w:color w:val="000000"/>
          <w:lang w:val="en-US" w:eastAsia="de-DE"/>
        </w:rPr>
        <w:instrText>st, TORC1 coordinates growth with G1–S cell cycle progression, also coined as START, by favouring the expression of G1 cyclins that activate cyclin-dependent protein kinases (CDKs) and by destabilizing the CDK inhibitor Sic1. Following TORC1 downregulation</w:instrText>
      </w:r>
      <w:r>
        <w:rPr>
          <w:rFonts w:ascii="Arial" w:eastAsia="Times New Roman" w:hAnsi="Arial" w:cs="Arial"/>
          <w:color w:val="000000"/>
          <w:lang w:val="en-US" w:eastAsia="de-DE"/>
        </w:rPr>
        <w:instrText xml:space="preserve"> by rapamycin treatment or nutrient limitation, clearance of G1 cyclins and C-terminal phosphorylation of Sic1 by unknown protein kinases are both required for Sic1 to escape ubiquitin-dependent proteolysis prompted by its flagging via the SCFCdc4 (Skp1/Cu</w:instrText>
      </w:r>
      <w:r>
        <w:rPr>
          <w:rFonts w:ascii="Arial" w:eastAsia="Times New Roman" w:hAnsi="Arial" w:cs="Arial"/>
          <w:color w:val="000000"/>
          <w:lang w:val="en-US" w:eastAsia="de-DE"/>
        </w:rPr>
        <w:instrText>l1/F-box protein) ubiquitin ligase complex. Here we show that the stabilizing phosphorylation event within the C-terminus of Sic1 requires stimulation of the mitogen-activated protein kinase, Mpk1, and inhibition of the Cdc55 protein phosphatase 2A (PP2ACd</w:instrText>
      </w:r>
      <w:r>
        <w:rPr>
          <w:rFonts w:ascii="Arial" w:eastAsia="Times New Roman" w:hAnsi="Arial" w:cs="Arial"/>
          <w:color w:val="000000"/>
          <w:lang w:val="en-US" w:eastAsia="de-DE"/>
        </w:rPr>
        <w:instrText>c55) by greatwall kinase-activated endosulfines. Thus, Mpk1 and the greatwall kinase pathway serve TORC1 to coordinate the phosphorylation status of Sic1 and consequently START with nutrient availability. The target of rapamycin complex 1 (TORC1) pathway c</w:instrText>
      </w:r>
      <w:r>
        <w:rPr>
          <w:rFonts w:ascii="Arial" w:eastAsia="Times New Roman" w:hAnsi="Arial" w:cs="Arial"/>
          <w:color w:val="000000"/>
          <w:lang w:val="en-US" w:eastAsia="de-DE"/>
        </w:rPr>
        <w:instrText>ouples nutrient availability with cell growth and division by destabilizing the cyclin-dependent kinase (CDK) inhibitor Sic1. Here the authors show that TORC1 downregulation leads to stabilization of Sic1 via phosphorylation by the MAP kinase Mpk1 and inhi</w:instrText>
      </w:r>
      <w:r>
        <w:rPr>
          <w:rFonts w:ascii="Arial" w:eastAsia="Times New Roman" w:hAnsi="Arial" w:cs="Arial"/>
          <w:color w:val="000000"/>
          <w:lang w:val="en-US" w:eastAsia="de-DE"/>
        </w:rPr>
        <w:instrText>bition of dephosphorylation via the greatwall kinase pathway.","author":[{"dropping-particle":"","family":"Moreno-Torres","given":"Marta","non-dropping-particle":"","parse-names":false,"suffix":""},{"dropping-particle":"","family":"Jaquenoud","given":"Mali</w:instrText>
      </w:r>
      <w:r>
        <w:rPr>
          <w:rFonts w:ascii="Arial" w:eastAsia="Times New Roman" w:hAnsi="Arial" w:cs="Arial"/>
          <w:color w:val="000000"/>
          <w:lang w:val="en-US" w:eastAsia="de-DE"/>
        </w:rPr>
        <w:instrText>ka","non-dropping-particle":"","parse-names":false,"suffix":""},{"dropping-particle":"","family":"Virgilio","given":"Claudio","non-dropping-particle":"De","parse-names":false,"suffix":""}],"container-title":"Nature Communications 2015 6:1","id":"ITEM-1","i</w:instrText>
      </w:r>
      <w:r>
        <w:rPr>
          <w:rFonts w:ascii="Arial" w:eastAsia="Times New Roman" w:hAnsi="Arial" w:cs="Arial"/>
          <w:color w:val="000000"/>
          <w:lang w:val="en-US" w:eastAsia="de-DE"/>
        </w:rPr>
        <w:instrText>ssue":"1","issued":{"date-parts":[["2015","9","10"]]},"page":"1-10","publisher":"Nature Publishing Group","title":"TORC1 controls G1–S cell cycle transition in yeast via Mpk1 and the greatwall kinase pathway","type":"article-journal","volume":"6"},"uris":[</w:instrText>
      </w:r>
      <w:r>
        <w:rPr>
          <w:rFonts w:ascii="Arial" w:eastAsia="Times New Roman" w:hAnsi="Arial" w:cs="Arial"/>
          <w:color w:val="000000"/>
          <w:lang w:val="en-US" w:eastAsia="de-DE"/>
        </w:rPr>
        <w:instrText>"http://www.mendeley.com/documents/?uuid=f8be2817-0ed0-38cc-9a35-491b139bf4eb"]},{"id":"ITEM-2","itemData":{"DOI":"10.7554/ELIFE.26233","ISSN":"2050084X","PMID":"28600888","abstract":"How cells coordinate growth and division is key for size homeostasis. Ph</w:instrText>
      </w:r>
      <w:r>
        <w:rPr>
          <w:rFonts w:ascii="Arial" w:eastAsia="Times New Roman" w:hAnsi="Arial" w:cs="Arial"/>
          <w:color w:val="000000"/>
          <w:lang w:val="en-US" w:eastAsia="de-DE"/>
        </w:rPr>
        <w:instrText>osphorylation by G1-CDK of Whi5/Rb inhibitors of SBF/E2F transcription factors triggers irreversible S-phase entry in yeast and metazoans, but why this occurs at a given cell size is not fully understood. We show that the yeast Rim15-Igo1,2 pathway, orthol</w:instrText>
      </w:r>
      <w:r>
        <w:rPr>
          <w:rFonts w:ascii="Arial" w:eastAsia="Times New Roman" w:hAnsi="Arial" w:cs="Arial"/>
          <w:color w:val="000000"/>
          <w:lang w:val="en-US" w:eastAsia="de-DE"/>
        </w:rPr>
        <w:instrText>ogous to Gwl-Arpp19/ENSA, is up-regulated in early G1 and helps promoting START by preventing PP2ACdc55 to dephosphorylate Whi5. RIM15 overexpression lowers cell size while IGO1,2 deletion delays START in cells with low CDK activity. Deletion of WHI5, CDC5</w:instrText>
      </w:r>
      <w:r>
        <w:rPr>
          <w:rFonts w:ascii="Arial" w:eastAsia="Times New Roman" w:hAnsi="Arial" w:cs="Arial"/>
          <w:color w:val="000000"/>
          <w:lang w:val="en-US" w:eastAsia="de-DE"/>
        </w:rPr>
        <w:instrText xml:space="preserve">5 and ectopic CLN2 expression suppress the START delay of igo1,2∆ cells. Rim15 activity increases after cells switch from fermentation to respiration, where Igo1,2 contribute to chromosome maintenance. Interestingly Cln3-Cdk1 also inhibits Rim15 activity, </w:instrText>
      </w:r>
      <w:r>
        <w:rPr>
          <w:rFonts w:ascii="Arial" w:eastAsia="Times New Roman" w:hAnsi="Arial" w:cs="Arial"/>
          <w:color w:val="000000"/>
          <w:lang w:val="en-US" w:eastAsia="de-DE"/>
        </w:rPr>
        <w:instrText>which enables homeostatic control of Whi5 phosphorylation and cell cycle entry. We propose that Rim15/Gwl regulation of PP2A plays a hitherto unappreciated role in cell size homeostasis during metabolic rewiring of the cell cycle.","author":[{"dropping-par</w:instrText>
      </w:r>
      <w:r>
        <w:rPr>
          <w:rFonts w:ascii="Arial" w:eastAsia="Times New Roman" w:hAnsi="Arial" w:cs="Arial"/>
          <w:color w:val="000000"/>
          <w:lang w:val="en-US" w:eastAsia="de-DE"/>
        </w:rPr>
        <w:instrText>ticle":"","family":"Talarek","given":"Nicolas","non-dropping-particle":"","parse-names":false,"suffix":""},{"dropping-particle":"","family":"Gueydon","given":"Elisabeth","non-dropping-particle":"","parse-names":false,"suffix":""},{"dropping-particle":"","f</w:instrText>
      </w:r>
      <w:r>
        <w:rPr>
          <w:rFonts w:ascii="Arial" w:eastAsia="Times New Roman" w:hAnsi="Arial" w:cs="Arial"/>
          <w:color w:val="000000"/>
          <w:lang w:val="en-US" w:eastAsia="de-DE"/>
        </w:rPr>
        <w:instrText>amily":"Schwob","given":"Etienne","non-dropping-particle":"","parse-names":false,"suffix":""}],"container-title":"eLife","id":"ITEM-2","issued":{"date-parts":[["2017","6","10"]]},"publisher":"eLife Sciences Publications Ltd","title":"Homeostatic control of</w:instrText>
      </w:r>
      <w:r>
        <w:rPr>
          <w:rFonts w:ascii="Arial" w:eastAsia="Times New Roman" w:hAnsi="Arial" w:cs="Arial"/>
          <w:color w:val="000000"/>
          <w:lang w:val="en-US" w:eastAsia="de-DE"/>
        </w:rPr>
        <w:instrText xml:space="preserve"> start through negative feedback between Cln3-Cdk1 and Rim15/greatwall kinase in budding yeast","type":"article-journal","volume":"6"},"uris":["http://www.mendeley.com/documents/?uuid=b6a8fa68-4c79-3621-8c94-766c04e10f1a"]}],"mendeley":{"formattedCitation"</w:instrText>
      </w:r>
      <w:r>
        <w:rPr>
          <w:rFonts w:ascii="Arial" w:eastAsia="Times New Roman" w:hAnsi="Arial" w:cs="Arial"/>
          <w:color w:val="000000"/>
          <w:lang w:val="en-US" w:eastAsia="de-DE"/>
        </w:rPr>
        <w:instrText>:"&lt;sup&gt;369,370&lt;/sup&gt;","plainTextFormattedCitation":"369,370","previouslyFormattedCitation":"&lt;sup&gt;369,370&lt;/sup&gt;"},"properties":{"noteIndex":0},"schema":"https://github.com/citation-style-language/schema/raw/master/csl-citation.json"}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369,370</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and G2/M reg</w:t>
      </w:r>
      <w:r>
        <w:rPr>
          <w:rFonts w:ascii="Arial" w:eastAsia="Times New Roman" w:hAnsi="Arial" w:cs="Arial"/>
          <w:color w:val="000000"/>
          <w:lang w:val="en-US" w:eastAsia="de-DE"/>
        </w:rPr>
        <w:t xml:space="preserve">ulators </w:t>
      </w:r>
      <w:proofErr w:type="spellStart"/>
      <w:r>
        <w:rPr>
          <w:rFonts w:ascii="Arial" w:eastAsia="Times New Roman" w:hAnsi="Arial" w:cs="Arial"/>
          <w:color w:val="000000"/>
          <w:lang w:val="en-US" w:eastAsia="de-DE"/>
        </w:rPr>
        <w:t>CyclinB</w:t>
      </w:r>
      <w:proofErr w:type="spellEnd"/>
      <w:r>
        <w:rPr>
          <w:rFonts w:ascii="Arial" w:eastAsia="Times New Roman" w:hAnsi="Arial" w:cs="Arial"/>
          <w:color w:val="000000"/>
          <w:lang w:val="en-US" w:eastAsia="de-DE"/>
        </w:rPr>
        <w:t>/CDK1, Cdc25 and Wee1 in fission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{"citationItems":[{"id":"ITEM-1","itemData":{"DOI":"10.1016/j.cub.2015.12.035","abstract":"Correspondence smo@usal.es In Brief Cells are large in rich media and small in poor media. He</w:instrText>
      </w:r>
      <w:r>
        <w:rPr>
          <w:rFonts w:ascii="Arial" w:eastAsia="Times New Roman" w:hAnsi="Arial" w:cs="Arial"/>
          <w:color w:val="000000"/>
          <w:lang w:val="en-US" w:eastAsia="de-DE"/>
        </w:rPr>
        <w:instrText>re, Chica et al. show that the greatwall-endosulfine pathway couples the nutritional environment to the cell-cycle machinery by regulating the activity of PP2A$B55. This pathway links cell growth (TORC1) with cell division (Cdk1) and controls cell size hom</w:instrText>
      </w:r>
      <w:r>
        <w:rPr>
          <w:rFonts w:ascii="Arial" w:eastAsia="Times New Roman" w:hAnsi="Arial" w:cs="Arial"/>
          <w:color w:val="000000"/>
          <w:lang w:val="en-US" w:eastAsia="de-DE"/>
        </w:rPr>
        <w:instrText>eostasis in fission yeast","author":[{"dropping-particle":"","family":"Chica","given":"Nathalia","non-dropping-particle":"","parse-names":false,"suffix":""},{"dropping-particle":"","family":"Rozalé","given":"Ana Elisa","non-dropping-particle":"","parse-nam</w:instrText>
      </w:r>
      <w:r>
        <w:rPr>
          <w:rFonts w:ascii="Arial" w:eastAsia="Times New Roman" w:hAnsi="Arial" w:cs="Arial"/>
          <w:color w:val="000000"/>
          <w:lang w:val="en-US" w:eastAsia="de-DE"/>
        </w:rPr>
        <w:instrText>es":false,"suffix":""},{"dropping-particle":"","family":"Pé Rez-Hidalgo","given":"Livia","non-dropping-particle":"","parse-names":false,"suffix":""},{"dropping-particle":"","family":"Rubio","given":"Angela","non-dropping-particle":"","parse-names":false,"s</w:instrText>
      </w:r>
      <w:r>
        <w:rPr>
          <w:rFonts w:ascii="Arial" w:eastAsia="Times New Roman" w:hAnsi="Arial" w:cs="Arial"/>
          <w:color w:val="000000"/>
          <w:lang w:val="en-US" w:eastAsia="de-DE"/>
        </w:rPr>
        <w:instrText>uffix":""},{"dropping-particle":"","family":"Novak","given":"Bela","non-dropping-particle":"","parse-names":false,"suffix":""},{"dropping-particle":"","family":"Moreno","given":"Sergio","non-dropping-particle":"","parse-names":false,"suffix":""}],"containe</w:instrText>
      </w:r>
      <w:r>
        <w:rPr>
          <w:rFonts w:ascii="Arial" w:eastAsia="Times New Roman" w:hAnsi="Arial" w:cs="Arial"/>
          <w:color w:val="000000"/>
          <w:lang w:val="en-US" w:eastAsia="de-DE"/>
        </w:rPr>
        <w:instrText>r-title":"Current Biology","id":"ITEM-1","issued":{"date-parts":[["2016"]]},"page":"319-330","title":"Article Nutritional Control of Cell Size by the Greatwall-Endosulfine-PP2A$B55 Pathway","type":"article-journal","volume":"26"},"uris":["http://www.mendel</w:instrText>
      </w:r>
      <w:r>
        <w:rPr>
          <w:rFonts w:ascii="Arial" w:eastAsia="Times New Roman" w:hAnsi="Arial" w:cs="Arial"/>
          <w:color w:val="000000"/>
          <w:lang w:val="en-US" w:eastAsia="de-DE"/>
        </w:rPr>
        <w:instrText xml:space="preserve">ey.com/documents/?uuid=bb2f0122-46af-3962-85ff-31e09a773a91"]},{"id":"ITEM-2","itemData":{"DOI":"10.3390/IJMS20246228","ISSN":"1422-0067","PMID":"31835586","abstract":"During the cell cycle, hundreds of proteins become phosphorylated and dephosphorylated, </w:instrText>
      </w:r>
      <w:r>
        <w:rPr>
          <w:rFonts w:ascii="Arial" w:eastAsia="Times New Roman" w:hAnsi="Arial" w:cs="Arial"/>
          <w:color w:val="000000"/>
          <w:lang w:val="en-US" w:eastAsia="de-DE"/>
        </w:rPr>
        <w:instrText>indicating that protein kinases and protein phosphatases play a central role in its regulation. It has been widely recognized that oscillation in cyclin-dependent kinase (CDK) activity promotes DNA replication, during S-phase, and chromosome segregation, d</w:instrText>
      </w:r>
      <w:r>
        <w:rPr>
          <w:rFonts w:ascii="Arial" w:eastAsia="Times New Roman" w:hAnsi="Arial" w:cs="Arial"/>
          <w:color w:val="000000"/>
          <w:lang w:val="en-US" w:eastAsia="de-DE"/>
        </w:rPr>
        <w:instrText xml:space="preserve">uring mitosis. Each CDK substrate phosphorylation status is defined by the balance between CDKs and CDK-counteracting phosphatases. In fission yeast and animal cells, PP2A/B55 is the main protein phosphatase that counteracts CDK activity. PP2A/B55 plays a </w:instrText>
      </w:r>
      <w:r>
        <w:rPr>
          <w:rFonts w:ascii="Arial" w:eastAsia="Times New Roman" w:hAnsi="Arial" w:cs="Arial"/>
          <w:color w:val="000000"/>
          <w:lang w:val="en-US" w:eastAsia="de-DE"/>
        </w:rPr>
        <w:instrText>key role in mitotic entry and mitotic exit, and it is regulated by the Greatwall-Endosulfine (ENSA) molecular switch that inactivates PP2A/B55 at the onset of mitosis, allowing maximal CDK activity at metaphase. The Greatwall-ENSA-PP2A/B55 pathway is highl</w:instrText>
      </w:r>
      <w:r>
        <w:rPr>
          <w:rFonts w:ascii="Arial" w:eastAsia="Times New Roman" w:hAnsi="Arial" w:cs="Arial"/>
          <w:color w:val="000000"/>
          <w:lang w:val="en-US" w:eastAsia="de-DE"/>
        </w:rPr>
        <w:instrText>y conserved from yeast to animal cells. In yeasts, Greatwall is negatively regulated by nutrients through TORC1 and S6 kinase, and couples cell growth, regulated by TORC1, to cell cycle progression, driven by CDK activity. In animal cells, Greatwall is pho</w:instrText>
      </w:r>
      <w:r>
        <w:rPr>
          <w:rFonts w:ascii="Arial" w:eastAsia="Times New Roman" w:hAnsi="Arial" w:cs="Arial"/>
          <w:color w:val="000000"/>
          <w:lang w:val="en-US" w:eastAsia="de-DE"/>
        </w:rPr>
        <w:instrText>sphorylated and activated by Cdk1 at G2/M, generating a bistable molecular switch that results in full activation of Cdk1/CyclinB. Here we review the current knowledge of the Greatwall-ENSA-PP2A/B55 pathway and discuss its role in cell cycle progression an</w:instrText>
      </w:r>
      <w:r>
        <w:rPr>
          <w:rFonts w:ascii="Arial" w:eastAsia="Times New Roman" w:hAnsi="Arial" w:cs="Arial"/>
          <w:color w:val="000000"/>
          <w:lang w:val="en-US" w:eastAsia="de-DE"/>
        </w:rPr>
        <w:instrText>d as an integrator of nutritional cues.","author":[{"dropping-particle":"","family":"García-Blanco","given":"Natalia","non-dropping-particle":"","parse-names":false,"suffix":""},{"dropping-particle":"","family":"Vázquez-Bolado","given":"Alicia","non-droppi</w:instrText>
      </w:r>
      <w:r>
        <w:rPr>
          <w:rFonts w:ascii="Arial" w:eastAsia="Times New Roman" w:hAnsi="Arial" w:cs="Arial"/>
          <w:color w:val="000000"/>
          <w:lang w:val="en-US" w:eastAsia="de-DE"/>
        </w:rPr>
        <w:instrText>ng-particle":"","parse-names":false,"suffix":""},{"dropping-particle":"","family":"Moreno","given":"Sergio","non-dropping-particle":"","parse-names":false,"suffix":""}],"container-title":"International Journal of Molecular Sciences 2019, Vol. 20, Page 6228</w:instrText>
      </w:r>
      <w:r>
        <w:rPr>
          <w:rFonts w:ascii="Arial" w:eastAsia="Times New Roman" w:hAnsi="Arial" w:cs="Arial"/>
          <w:color w:val="000000"/>
          <w:lang w:val="en-US" w:eastAsia="de-DE"/>
        </w:rPr>
        <w:instrText xml:space="preserve">","id":"ITEM-2","issue":"24","issued":{"date-parts":[["2019","12","10"]]},"page":"6228","publisher":"Multidisciplinary Digital Publishing Institute","title":"Greatwall-Endosulfine: A Molecular Switch that Regulates PP2A/B55 Protein Phosphatase Activity in </w:instrText>
      </w:r>
      <w:r>
        <w:rPr>
          <w:rFonts w:ascii="Arial" w:eastAsia="Times New Roman" w:hAnsi="Arial" w:cs="Arial"/>
          <w:color w:val="000000"/>
          <w:lang w:val="en-US" w:eastAsia="de-DE"/>
        </w:rPr>
        <w:instrText>Dividing and Quiescent Cells","type":"article-journal","volume":"20"},"uris":["http://www.mendeley.com/documents/?uuid=54a60385-206b-3bec-b131-3ae9edbd17d7"]}],"mendeley":{"formattedCitation":"&lt;sup&gt;361,362&lt;/sup&gt;","plainTextFormattedCitation":"361,362","pre</w:instrText>
      </w:r>
      <w:r>
        <w:rPr>
          <w:rFonts w:ascii="Arial" w:eastAsia="Times New Roman" w:hAnsi="Arial" w:cs="Arial"/>
          <w:color w:val="000000"/>
          <w:lang w:val="en-US" w:eastAsia="de-DE"/>
        </w:rPr>
        <w:instrText>viouslyFormattedCitation":"&lt;sup&gt;361,362&lt;/sup&gt;"},"properties":{"noteIndex":0},"schema":"https://github.com/citation-style-language/schema/raw/master/csl-citation.json"}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361,362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3ABD728C" w14:textId="77777777" w:rsidR="00066D11" w:rsidRDefault="00E55468">
      <w:pPr>
        <w:spacing w:before="240" w:after="240" w:line="240" w:lineRule="auto"/>
        <w:jc w:val="both"/>
        <w:rPr>
          <w:rFonts w:ascii="Arial" w:eastAsia="Times New Roman" w:hAnsi="Arial" w:cs="Arial"/>
          <w:color w:val="000000" w:themeColor="text1"/>
          <w:lang w:val="en-US" w:eastAsia="de-DE"/>
        </w:rPr>
      </w:pPr>
      <w:r>
        <w:rPr>
          <w:rFonts w:ascii="Arial" w:eastAsia="Times New Roman" w:hAnsi="Arial" w:cs="Arial"/>
          <w:color w:val="000000" w:themeColor="text1"/>
          <w:lang w:val="en-US" w:eastAsia="de-DE"/>
        </w:rPr>
        <w:t xml:space="preserve">In budding yeast, the PKA pathway also regulates the G1/S transition in response to nutrient availability by inhibiting the </w:t>
      </w:r>
      <w:proofErr w:type="spellStart"/>
      <w:r>
        <w:rPr>
          <w:rFonts w:ascii="Arial" w:eastAsia="Times New Roman" w:hAnsi="Arial" w:cs="Arial"/>
          <w:color w:val="000000" w:themeColor="text1"/>
          <w:lang w:val="en-US" w:eastAsia="de-DE"/>
        </w:rPr>
        <w:t>Greatwall</w:t>
      </w:r>
      <w:proofErr w:type="spellEnd"/>
      <w:r>
        <w:rPr>
          <w:rFonts w:ascii="Arial" w:eastAsia="Times New Roman" w:hAnsi="Arial" w:cs="Arial"/>
          <w:color w:val="000000" w:themeColor="text1"/>
          <w:lang w:val="en-US" w:eastAsia="de-DE"/>
        </w:rPr>
        <w:t xml:space="preserve"> kinase Rim15</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{"citationItems":[{"id":"ITEM-1","itemData":{"DOI":"10.1101/GAD.12.18.2943","ISSN":"0890-93</w:instrText>
      </w:r>
      <w:r>
        <w:rPr>
          <w:rFonts w:ascii="Arial" w:eastAsia="Times New Roman" w:hAnsi="Arial" w:cs="Arial"/>
          <w:color w:val="000000" w:themeColor="text1"/>
          <w:lang w:val="en-US" w:eastAsia="de-DE"/>
        </w:rPr>
        <w:instrText>69","PMID":"9744870","abstract":"The Saccharomyces cerevisiae protein kinase Rim15p was identified previously as a stimulator of meiotic gene expression. Here, we show that loss of Rim15p causes an additional pleiotropic phenotype in cells grown to station</w:instrText>
      </w:r>
      <w:r>
        <w:rPr>
          <w:rFonts w:ascii="Arial" w:eastAsia="Times New Roman" w:hAnsi="Arial" w:cs="Arial"/>
          <w:color w:val="000000" w:themeColor="text1"/>
          <w:lang w:val="en-US" w:eastAsia="de-DE"/>
        </w:rPr>
        <w:instrText>ary phase on rich medium; this phenotype includes defects in trehalose and glycogen accumulation, in transcriptional derepression of HSP12, HSP26, and SSA3, in induction of thermotolerance and starvation resistance, and in proper G1 arrest. These phenotype</w:instrText>
      </w:r>
      <w:r>
        <w:rPr>
          <w:rFonts w:ascii="Arial" w:eastAsia="Times New Roman" w:hAnsi="Arial" w:cs="Arial"/>
          <w:color w:val="000000" w:themeColor="text1"/>
          <w:lang w:val="en-US" w:eastAsia="de-DE"/>
        </w:rPr>
        <w:instrText>s are commonly associated with hyperactivity of the Ras/cAMP pathway. Tests of epistasis suggest that Rim15p may act in this pathway downstream of the cAMP-dependent protein kinase (cAPK). Accordingly, deletion of RIM15 suppresses the growth defect of a te</w:instrText>
      </w:r>
      <w:r>
        <w:rPr>
          <w:rFonts w:ascii="Arial" w:eastAsia="Times New Roman" w:hAnsi="Arial" w:cs="Arial"/>
          <w:color w:val="000000" w:themeColor="text1"/>
          <w:lang w:val="en-US" w:eastAsia="de-DE"/>
        </w:rPr>
        <w:instrText>mperature-sensitive adenylate-cyclase mutant and, most importantly, renders cells independent of cAPK activity. Conversely, overexpression of RIM15 suppresses phenotypes associated with a mutation in the regulatory subunit of cAPK, exacerbates the growth d</w:instrText>
      </w:r>
      <w:r>
        <w:rPr>
          <w:rFonts w:ascii="Arial" w:eastAsia="Times New Roman" w:hAnsi="Arial" w:cs="Arial"/>
          <w:color w:val="000000" w:themeColor="text1"/>
          <w:lang w:val="en-US" w:eastAsia="de-DE"/>
        </w:rPr>
        <w:instrText>efect of strains compromised for cAPK activity, and partially induces a starvation response in logarithmically growing wild- type cells. Biochemical analyses reveal that cAPK-mediated in vitro phosphorylation of Rim15p strongly inhibits its kinase activity</w:instrText>
      </w:r>
      <w:r>
        <w:rPr>
          <w:rFonts w:ascii="Arial" w:eastAsia="Times New Roman" w:hAnsi="Arial" w:cs="Arial"/>
          <w:color w:val="000000" w:themeColor="text1"/>
          <w:lang w:val="en-US" w:eastAsia="de-DE"/>
        </w:rPr>
        <w:instrText>. Taken together, these results place Rim15p immediately downstream and under negative control of cAPK and define a positive regulatory role of Rim15p for entry into both meiosis and stationary phase.","author":[{"dropping-particle":"","family":"Reinders",</w:instrText>
      </w:r>
      <w:r>
        <w:rPr>
          <w:rFonts w:ascii="Arial" w:eastAsia="Times New Roman" w:hAnsi="Arial" w:cs="Arial"/>
          <w:color w:val="000000" w:themeColor="text1"/>
          <w:lang w:val="en-US" w:eastAsia="de-DE"/>
        </w:rPr>
        <w:instrText>"given":"Anke","non-dropping-particle":"","parse-names":false,"suffix":""},{"dropping-particle":"","family":"Bürckert","given":"Niels","non-dropping-particle":"","parse-names":false,"suffix":""},{"dropping-particle":"","family":"Boller","given":"Thomas","n</w:instrText>
      </w:r>
      <w:r>
        <w:rPr>
          <w:rFonts w:ascii="Arial" w:eastAsia="Times New Roman" w:hAnsi="Arial" w:cs="Arial"/>
          <w:color w:val="000000" w:themeColor="text1"/>
          <w:lang w:val="en-US" w:eastAsia="de-DE"/>
        </w:rPr>
        <w:instrText>on-dropping-particle":"","parse-names":false,"suffix":""},{"dropping-particle":"","family":"Wiemken","given":"Andres","non-dropping-particle":"","parse-names":false,"suffix":""},{"dropping-particle":"","family":"Virgilio","given":"Claudio","non-dropping-pa</w:instrText>
      </w:r>
      <w:r>
        <w:rPr>
          <w:rFonts w:ascii="Arial" w:eastAsia="Times New Roman" w:hAnsi="Arial" w:cs="Arial"/>
          <w:color w:val="000000" w:themeColor="text1"/>
          <w:lang w:val="en-US" w:eastAsia="de-DE"/>
        </w:rPr>
        <w:instrText>rticle":"De","parse-names":false,"suffix":""}],"container-title":"Genes &amp; Development","id":"ITEM-1","issue":"18","issued":{"date-parts":[["1998","9","15"]]},"page":"2943-2955","publisher":"Cold Spring Harbor Laboratory Press","title":"Saccharomyces cerevi</w:instrText>
      </w:r>
      <w:r>
        <w:rPr>
          <w:rFonts w:ascii="Arial" w:eastAsia="Times New Roman" w:hAnsi="Arial" w:cs="Arial"/>
          <w:color w:val="000000" w:themeColor="text1"/>
          <w:lang w:val="en-US" w:eastAsia="de-DE"/>
        </w:rPr>
        <w:instrText>siae cAMP-dependent protein kinase controls entry into stationary phase through the Rim15p protein kinase","type":"article-journal","volume":"12"},"uris":["http://www.mendeley.com/documents/?uuid=63115c0e-7cfb-365d-b33a-750c4140bfc3"]},{"id":"ITEM-2","item</w:instrText>
      </w:r>
      <w:r>
        <w:rPr>
          <w:rFonts w:ascii="Arial" w:eastAsia="Times New Roman" w:hAnsi="Arial" w:cs="Arial"/>
          <w:color w:val="000000" w:themeColor="text1"/>
          <w:lang w:val="en-US" w:eastAsia="de-DE"/>
        </w:rPr>
        <w:instrText>Data":{"DOI":"10.1534/GENETICS.111.135731","ISSN":"00166731","PMID":"22964838","abstract":"Availability of key nutrients, such as sugars, amino acids, and nitrogen compounds, dictates the developmental programs and the growth rates of yeast cells. A number</w:instrText>
      </w:r>
      <w:r>
        <w:rPr>
          <w:rFonts w:ascii="Arial" w:eastAsia="Times New Roman" w:hAnsi="Arial" w:cs="Arial"/>
          <w:color w:val="000000" w:themeColor="text1"/>
          <w:lang w:val="en-US" w:eastAsia="de-DE"/>
        </w:rPr>
        <w:instrText xml:space="preserve"> of overlapping signaling networks-those centered on Ras/protein kinase A, AMPactivated kinase, and target of rapamycin complex I, for instance-inform cells on nutrient availability and influence the cells' transcriptional, translational, posttranslational</w:instrText>
      </w:r>
      <w:r>
        <w:rPr>
          <w:rFonts w:ascii="Arial" w:eastAsia="Times New Roman" w:hAnsi="Arial" w:cs="Arial"/>
          <w:color w:val="000000" w:themeColor="text1"/>
          <w:lang w:val="en-US" w:eastAsia="de-DE"/>
        </w:rPr>
        <w:instrText>, and metabolic profiles as well as their developmental decisions. Here I review our current understanding of the structures of the networks responsible for assessing the quantity and quality of carbon and nitrogen sources. I review how these signaling pat</w:instrText>
      </w:r>
      <w:r>
        <w:rPr>
          <w:rFonts w:ascii="Arial" w:eastAsia="Times New Roman" w:hAnsi="Arial" w:cs="Arial"/>
          <w:color w:val="000000" w:themeColor="text1"/>
          <w:lang w:val="en-US" w:eastAsia="de-DE"/>
        </w:rPr>
        <w:instrText>hways impinge on transcriptional, metabolic, and developmental programs to optimize survival of cells under different environmental conditions. I highlight the profound knowledge we have gained on the structure of these signaling networks but also emphasiz</w:instrText>
      </w:r>
      <w:r>
        <w:rPr>
          <w:rFonts w:ascii="Arial" w:eastAsia="Times New Roman" w:hAnsi="Arial" w:cs="Arial"/>
          <w:color w:val="000000" w:themeColor="text1"/>
          <w:lang w:val="en-US" w:eastAsia="de-DE"/>
        </w:rPr>
        <w:instrText>e the limits of our current understanding of the dynamics of these signaling networks. Moreover, the conservation of these pathways has allowed us to extrapolate our finding with yeast to address issues of lifespan, cancer metabolism, and growth control in</w:instrText>
      </w:r>
      <w:r>
        <w:rPr>
          <w:rFonts w:ascii="Arial" w:eastAsia="Times New Roman" w:hAnsi="Arial" w:cs="Arial"/>
          <w:color w:val="000000" w:themeColor="text1"/>
          <w:lang w:val="en-US" w:eastAsia="de-DE"/>
        </w:rPr>
        <w:instrText xml:space="preserve"> more complex organisms. © 2012 by the Genetics Society of America.","author":[{"dropping-particle":"","family":"Broach","given":"James R.","non-dropping-particle":"","parse-names":false,"suffix":""}],"container-title":"Genetics","id":"ITEM-2","issue":"1",</w:instrText>
      </w:r>
      <w:r>
        <w:rPr>
          <w:rFonts w:ascii="Arial" w:eastAsia="Times New Roman" w:hAnsi="Arial" w:cs="Arial"/>
          <w:color w:val="000000" w:themeColor="text1"/>
          <w:lang w:val="en-US" w:eastAsia="de-DE"/>
        </w:rPr>
        <w:instrText>"issued":{"date-parts":[["2012","9","1"]]},"page":"73-105","publisher":"Oxford Academic","title":"Nutritional Control of Growth and Development in Yeast","type":"article-journal","volume":"192"},"uris":["http://www.mendeley.com/documents/?uuid=25efab89-1ee</w:instrText>
      </w:r>
      <w:r>
        <w:rPr>
          <w:rFonts w:ascii="Arial" w:eastAsia="Times New Roman" w:hAnsi="Arial" w:cs="Arial"/>
          <w:color w:val="000000" w:themeColor="text1"/>
          <w:lang w:val="en-US" w:eastAsia="de-DE"/>
        </w:rPr>
        <w:instrText>4-32af-800b-e31740aac34b"]}],"mendeley":{"formattedCitation":"&lt;sup&gt;371,372&lt;/sup&gt;","plainTextFormattedCitation":"371,372","previouslyFormattedCitation":"&lt;sup&gt;371,372&lt;/sup&gt;"},"properties":{"noteIndex":0},"schema":"https://github.com/citation-style-language/s</w:instrText>
      </w:r>
      <w:r>
        <w:rPr>
          <w:rFonts w:ascii="Arial" w:eastAsia="Times New Roman" w:hAnsi="Arial" w:cs="Arial"/>
          <w:color w:val="000000" w:themeColor="text1"/>
          <w:lang w:val="en-US" w:eastAsia="de-DE"/>
        </w:rPr>
        <w:instrText>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371,372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(see </w:t>
      </w:r>
      <w:r>
        <w:rPr>
          <w:rFonts w:ascii="Arial" w:eastAsia="Times New Roman" w:hAnsi="Arial" w:cs="Arial"/>
          <w:lang w:val="en-US" w:eastAsia="de-DE"/>
        </w:rPr>
        <w:t>Ewald</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{"citationItems":[{"id":"ITEM-1","itemData":{"DOI":"10.1016/J.MIB.2017.12.012","abstract":"All cells, especially single cell organisms, need to adapt their metabolism, growth and d</w:instrText>
      </w:r>
      <w:r>
        <w:rPr>
          <w:rFonts w:ascii="Arial" w:eastAsia="Times New Roman" w:hAnsi="Arial" w:cs="Arial"/>
          <w:lang w:val="en-US" w:eastAsia="de-DE"/>
        </w:rPr>
        <w:instrText>ivision coordinately to the available nutrients. This coordination is mediated by extensive cross-talk between nutrient signaling, metabolism, growth, and the cell division cycle, which is only gradually being uncovered: Nutrient signaling not only control</w:instrText>
      </w:r>
      <w:r>
        <w:rPr>
          <w:rFonts w:ascii="Arial" w:eastAsia="Times New Roman" w:hAnsi="Arial" w:cs="Arial"/>
          <w:lang w:val="en-US" w:eastAsia="de-DE"/>
        </w:rPr>
        <w:instrText xml:space="preserve">s entry into the cell cycle at the G1/S transition, but all phases of the cell cycle. Metabolites are even sensed directly by cell cycle regulators to prevent cell cycle progression in absence of sufficient metabolic fluxes. In turn, cell cycle regulators </w:instrText>
      </w:r>
      <w:r>
        <w:rPr>
          <w:rFonts w:ascii="Arial" w:eastAsia="Times New Roman" w:hAnsi="Arial" w:cs="Arial"/>
          <w:lang w:val="en-US" w:eastAsia="de-DE"/>
        </w:rPr>
        <w:instrText>such as the cyclin-dependent kinase directly control metabolic fluxes during cell cycle progression. In this review, I highlight some recent advances in our understanding of how metabolism and the cell division cycle are coordinated in the model organism S</w:instrText>
      </w:r>
      <w:r>
        <w:rPr>
          <w:rFonts w:ascii="Arial" w:eastAsia="Times New Roman" w:hAnsi="Arial" w:cs="Arial"/>
          <w:lang w:val="en-US" w:eastAsia="de-DE"/>
        </w:rPr>
        <w:instrText>accharomyces cerevisiae.","author":[{"dropping-particle":"","family":"Ewald","given":"Jennifer C","non-dropping-particle":"","parse-names":false,"suffix":""}],"container-title":"Current Opinion in Microbiology","id":"ITEM-1","issued":{"date-parts":[["2018"</w:instrText>
      </w:r>
      <w:r>
        <w:rPr>
          <w:rFonts w:ascii="Arial" w:eastAsia="Times New Roman" w:hAnsi="Arial" w:cs="Arial"/>
          <w:lang w:val="en-US" w:eastAsia="de-DE"/>
        </w:rPr>
        <w:instrText>,"10","1"]]},"page":"1-7","publisher":"Elsevier Current Trends","title":"How yeast coordinates metabolism, growth and division","type":"article-journal","volume":"45"},"uris":["http://www.mendeley.com/documents/?uuid=15b844d2-8d17-374c-88c4-94b177ea4422"]}</w:instrText>
      </w:r>
      <w:r>
        <w:rPr>
          <w:rFonts w:ascii="Arial" w:eastAsia="Times New Roman" w:hAnsi="Arial" w:cs="Arial"/>
          <w:lang w:val="en-US" w:eastAsia="de-DE"/>
        </w:rPr>
        <w:instrText>],"mendeley":{"formattedCitation":"&lt;sup&gt;326&lt;/sup&gt;","plainTextFormattedCitation":"326","previouslyFormattedCitation":"&lt;sup&gt;326&lt;/sup&gt;"},"properties":{"noteIndex":0},"schema":"https://github.com/citation-style-language/schema/raw/master/csl-citation.json"}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326</w:t>
      </w:r>
      <w:r>
        <w:rPr>
          <w:rFonts w:ascii="Arial" w:eastAsia="Times New Roman" w:hAnsi="Arial" w:cs="Arial"/>
          <w:lang w:val="en-US" w:eastAsia="de-DE"/>
        </w:rPr>
        <w:fldChar w:fldCharType="end"/>
      </w:r>
      <w:r>
        <w:rPr>
          <w:rFonts w:ascii="Arial" w:eastAsia="Times New Roman" w:hAnsi="Arial" w:cs="Arial"/>
          <w:lang w:val="en-US" w:eastAsia="de-DE"/>
        </w:rPr>
        <w:t xml:space="preserve"> for a </w:t>
      </w:r>
      <w:r>
        <w:rPr>
          <w:rFonts w:ascii="Arial" w:eastAsia="Times New Roman" w:hAnsi="Arial" w:cs="Arial"/>
          <w:color w:val="000000" w:themeColor="text1"/>
          <w:lang w:val="en-US" w:eastAsia="de-DE"/>
        </w:rPr>
        <w:t xml:space="preserve">detailed review). </w:t>
      </w:r>
      <w:r>
        <w:rPr>
          <w:rFonts w:ascii="Arial" w:eastAsia="Times New Roman" w:hAnsi="Arial" w:cs="Arial"/>
          <w:color w:val="000000" w:themeColor="text1"/>
          <w:lang w:val="en-US" w:eastAsia="de-DE"/>
        </w:rPr>
        <w:lastRenderedPageBreak/>
        <w:t>In rich nutrients, when both TOR and PKA are active, Rim15 is inactive, promoting PP2A activity. PP2A in turn maintains active Whi5, leading to low CDK activity and ultimately allows progression through Start, the commitment poi</w:t>
      </w:r>
      <w:r>
        <w:rPr>
          <w:rFonts w:ascii="Arial" w:eastAsia="Times New Roman" w:hAnsi="Arial" w:cs="Arial"/>
          <w:color w:val="000000" w:themeColor="text1"/>
          <w:lang w:val="en-US" w:eastAsia="de-DE"/>
        </w:rPr>
        <w:t xml:space="preserve">nt of the G1/S transition, only at larger sizes. Paradoxically, PP2A also promotes S-phase entry by facilitating degradation of the Cyclin/CDK inhibitor Sic1. Additionally, the PKA pathway affects the G1/S transition independently of the </w:t>
      </w:r>
      <w:proofErr w:type="spellStart"/>
      <w:r>
        <w:rPr>
          <w:rFonts w:ascii="Arial" w:eastAsia="Times New Roman" w:hAnsi="Arial" w:cs="Arial"/>
          <w:color w:val="000000" w:themeColor="text1"/>
          <w:lang w:val="en-US" w:eastAsia="de-DE"/>
        </w:rPr>
        <w:t>Greatwall-Endosulf</w:t>
      </w:r>
      <w:r>
        <w:rPr>
          <w:rFonts w:ascii="Arial" w:eastAsia="Times New Roman" w:hAnsi="Arial" w:cs="Arial"/>
          <w:color w:val="000000" w:themeColor="text1"/>
          <w:lang w:val="en-US" w:eastAsia="de-DE"/>
        </w:rPr>
        <w:t>ine</w:t>
      </w:r>
      <w:proofErr w:type="spellEnd"/>
      <w:r>
        <w:rPr>
          <w:rFonts w:ascii="Arial" w:eastAsia="Times New Roman" w:hAnsi="Arial" w:cs="Arial"/>
          <w:color w:val="000000" w:themeColor="text1"/>
          <w:lang w:val="en-US" w:eastAsia="de-DE"/>
        </w:rPr>
        <w:t xml:space="preserve"> network. PKA inhibits Swi4, a component of the major G1/S transcription factors SBF and MBF</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{"citationItems":[{"id":"ITEM-1","itemData":{"DOI":"10.1080/15384101.2015.1055997/SUPPL_FILE/KCCY_A_1055997_SM3815.ZIP","ISSN":"15514005","PMI</w:instrText>
      </w:r>
      <w:r>
        <w:rPr>
          <w:rFonts w:ascii="Arial" w:eastAsia="Times New Roman" w:hAnsi="Arial" w:cs="Arial"/>
          <w:color w:val="000000" w:themeColor="text1"/>
          <w:lang w:val="en-US" w:eastAsia="de-DE"/>
        </w:rPr>
        <w:instrText>D":"26046481","abstract":"To investigate the specific target of PKA in the regulation of cell cycle progression and cell size we developed a new approach using the yeast strain GG104 bearing a deletion in adenylate cyclase gene and permeable to cAMP (cyr1Δ</w:instrText>
      </w:r>
      <w:r>
        <w:rPr>
          <w:rFonts w:ascii="Arial" w:eastAsia="Times New Roman" w:hAnsi="Arial" w:cs="Arial"/>
          <w:color w:val="000000" w:themeColor="text1"/>
          <w:lang w:val="en-US" w:eastAsia="de-DE"/>
        </w:rPr>
        <w:instrText>, pde2Δ, msn2Δ, msn4Δ). In this strain the PKA activity is absent and can be activated by addition of cAMP in the medium, without any other change of the growth conditions. In the present work we show that the activation of PKA by exogenous cAMP in the GG1</w:instrText>
      </w:r>
      <w:r>
        <w:rPr>
          <w:rFonts w:ascii="Arial" w:eastAsia="Times New Roman" w:hAnsi="Arial" w:cs="Arial"/>
          <w:color w:val="000000" w:themeColor="text1"/>
          <w:lang w:val="en-US" w:eastAsia="de-DE"/>
        </w:rPr>
        <w:instrText>04 strain exponentially growing in glucose medium caused a marked increase of cell size and perturbation of cell cycle with a transient arrest of cells in G1, followed by an accumulation of cells in G2/M phase with a minimal change in the growth rate. Dele</w:instrText>
      </w:r>
      <w:r>
        <w:rPr>
          <w:rFonts w:ascii="Arial" w:eastAsia="Times New Roman" w:hAnsi="Arial" w:cs="Arial"/>
          <w:color w:val="000000" w:themeColor="text1"/>
          <w:lang w:val="en-US" w:eastAsia="de-DE"/>
        </w:rPr>
        <w:instrText>tion of CLN1 gene, but not of CLN2, abolished the transient G1 phase arrest. Consistently we found that PKA activation caused a transcriptional repression of CLN1 gene. Transcription of CLN1 is controlled by SBF and MBF dual-regulated promoter. We found th</w:instrText>
      </w:r>
      <w:r>
        <w:rPr>
          <w:rFonts w:ascii="Arial" w:eastAsia="Times New Roman" w:hAnsi="Arial" w:cs="Arial"/>
          <w:color w:val="000000" w:themeColor="text1"/>
          <w:lang w:val="en-US" w:eastAsia="de-DE"/>
        </w:rPr>
        <w:instrText>at also the deletion of SWI4 gene abolished the transient G1 arrest suggesting that Swi4 is a target responsible for PKA modulation of G1/S phase transition. We generated a SWI4 allele mutated in the consensus site for PKA (Swi4S159A) and we found that exp</w:instrText>
      </w:r>
      <w:r>
        <w:rPr>
          <w:rFonts w:ascii="Arial" w:eastAsia="Times New Roman" w:hAnsi="Arial" w:cs="Arial"/>
          <w:color w:val="000000" w:themeColor="text1"/>
          <w:lang w:val="en-US" w:eastAsia="de-DE"/>
        </w:rPr>
        <w:instrText>ression of Swi4S159A protein in the GG104-Swi4Δ strain did not restore the transient G1 arrest induced by PKA activation, suggesting that Swi4 phosphorylation by PKA regulates CLN1 gene expression and G1/S phase transition.","author":[{"dropping-particle":</w:instrText>
      </w:r>
      <w:r>
        <w:rPr>
          <w:rFonts w:ascii="Arial" w:eastAsia="Times New Roman" w:hAnsi="Arial" w:cs="Arial"/>
          <w:color w:val="000000" w:themeColor="text1"/>
          <w:lang w:val="en-US" w:eastAsia="de-DE"/>
        </w:rPr>
        <w:instrText>"","family":"Amigoni","given":"Loredana","non-dropping-particle":"","parse-names":false,"suffix":""},{"dropping-particle":"","family":"Colombo","given":"Sonia","non-dropping-particle":"","parse-names":false,"suffix":""},{"dropping-particle":"","family":"Be</w:instrText>
      </w:r>
      <w:r>
        <w:rPr>
          <w:rFonts w:ascii="Arial" w:eastAsia="Times New Roman" w:hAnsi="Arial" w:cs="Arial"/>
          <w:color w:val="000000" w:themeColor="text1"/>
          <w:lang w:val="en-US" w:eastAsia="de-DE"/>
        </w:rPr>
        <w:instrText>lotti","given":"Fiorella","non-dropping-particle":"","parse-names":false,"suffix":""},{"dropping-particle":"","family":"Alberghina","given":"Lilia","non-dropping-particle":"","parse-names":false,"suffix":""},{"dropping-particle":"","family":"Martegani","gi</w:instrText>
      </w:r>
      <w:r>
        <w:rPr>
          <w:rFonts w:ascii="Arial" w:eastAsia="Times New Roman" w:hAnsi="Arial" w:cs="Arial"/>
          <w:color w:val="000000" w:themeColor="text1"/>
          <w:lang w:val="en-US" w:eastAsia="de-DE"/>
        </w:rPr>
        <w:instrText>ven":"Enzo","non-dropping-particle":"","parse-names":false,"suffix":""}],"container-title":"Cell Cycle","id":"ITEM-1","issue":"15","issued":{"date-parts":[["2015","1","1"]]},"page":"2429-2438","publisher":"Taylor and Francis Inc.","title":"The transcriptio</w:instrText>
      </w:r>
      <w:r>
        <w:rPr>
          <w:rFonts w:ascii="Arial" w:eastAsia="Times New Roman" w:hAnsi="Arial" w:cs="Arial"/>
          <w:color w:val="000000" w:themeColor="text1"/>
          <w:lang w:val="en-US" w:eastAsia="de-DE"/>
        </w:rPr>
        <w:instrText>n factor Swi4 is target for PKA regulation of cell size at the G1 to S transition in Saccharomyces cerevisiae","type":"article-journal","volume":"14"},"uris":["http://www.mendeley.com/documents/?uuid=21f77d91-bb7b-37f7-960c-4488edd74ed0"]}],"mendeley":{"fo</w:instrText>
      </w:r>
      <w:r>
        <w:rPr>
          <w:rFonts w:ascii="Arial" w:eastAsia="Times New Roman" w:hAnsi="Arial" w:cs="Arial"/>
          <w:color w:val="000000" w:themeColor="text1"/>
          <w:lang w:val="en-US" w:eastAsia="de-DE"/>
        </w:rPr>
        <w:instrText>rmattedCitation":"&lt;sup&gt;373&lt;/sup&gt;","plainTextFormattedCitation":"373","previouslyFormattedCitation":"&lt;sup&gt;373&lt;/sup&gt;"},"properties":{"noteIndex":0},"schema":"https://github.com/citation-style-language/schema/raw/master/csl-citation.json"}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373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In line with</w:t>
      </w:r>
      <w:r>
        <w:rPr>
          <w:rFonts w:ascii="Arial" w:eastAsia="Times New Roman" w:hAnsi="Arial" w:cs="Arial"/>
          <w:color w:val="000000" w:themeColor="text1"/>
          <w:lang w:val="en-US" w:eastAsia="de-DE"/>
        </w:rPr>
        <w:t xml:space="preserve"> the regulation through </w:t>
      </w:r>
      <w:proofErr w:type="spellStart"/>
      <w:r>
        <w:rPr>
          <w:rFonts w:ascii="Arial" w:eastAsia="Times New Roman" w:hAnsi="Arial" w:cs="Arial"/>
          <w:color w:val="000000" w:themeColor="text1"/>
          <w:lang w:val="en-US" w:eastAsia="de-DE"/>
        </w:rPr>
        <w:t>Greatwall</w:t>
      </w:r>
      <w:proofErr w:type="spellEnd"/>
      <w:r>
        <w:rPr>
          <w:rFonts w:ascii="Arial" w:eastAsia="Times New Roman" w:hAnsi="Arial" w:cs="Arial"/>
          <w:color w:val="000000" w:themeColor="text1"/>
          <w:lang w:val="en-US" w:eastAsia="de-DE"/>
        </w:rPr>
        <w:t xml:space="preserve">, this therefore delays Start in rich nutrients, promoting larger cell sizes. However, in rich nutrients PKA also inhibits expression of Cip1, an inhibitor of the Cyclin/CDK complex, leading to high CDK activity and higher </w:t>
      </w:r>
      <w:r>
        <w:rPr>
          <w:rFonts w:ascii="Arial" w:eastAsia="Times New Roman" w:hAnsi="Arial" w:cs="Arial"/>
          <w:color w:val="000000" w:themeColor="text1"/>
          <w:lang w:val="en-US" w:eastAsia="de-DE"/>
        </w:rPr>
        <w:t>likelihood of cell cycle progression</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{"citationItems":[{"id":"ITEM-1","itemData":{"DOI":"10.1093/EMBOJ/17.13.3556","ISSN":"02614189","PMID":"9649426","abstract":"Yeast cAMP</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 xml:space="preserve">dependent protein kinase (PKA) activity is essential for </w:instrText>
      </w:r>
      <w:r>
        <w:rPr>
          <w:rFonts w:ascii="Arial" w:eastAsia="Times New Roman" w:hAnsi="Arial" w:cs="Arial"/>
          <w:color w:val="000000" w:themeColor="text1"/>
          <w:lang w:val="en-US" w:eastAsia="de-DE"/>
        </w:rPr>
        <w:instrText>growth and antagonizes induction of the general stress response as well as accumulation of glycogen stores. Previous studies have...","author":[{"dropping-particle":"","family":"Smith","given":"Angela","non-dropping-particle":"","parse-names":false,"suffix</w:instrText>
      </w:r>
      <w:r>
        <w:rPr>
          <w:rFonts w:ascii="Arial" w:eastAsia="Times New Roman" w:hAnsi="Arial" w:cs="Arial"/>
          <w:color w:val="000000" w:themeColor="text1"/>
          <w:lang w:val="en-US" w:eastAsia="de-DE"/>
        </w:rPr>
        <w:instrText>":""},{"dropping-particle":"","family":"Ward","given":"Mary P.","non-dropping-particle":"","parse-names":false,"suffix":""},{"dropping-particle":"","family":"Garrett","given":"Stephen","non-dropping-particle":"","parse-names":false,"suffix":""}],"container</w:instrText>
      </w:r>
      <w:r>
        <w:rPr>
          <w:rFonts w:ascii="Arial" w:eastAsia="Times New Roman" w:hAnsi="Arial" w:cs="Arial"/>
          <w:color w:val="000000" w:themeColor="text1"/>
          <w:lang w:val="en-US" w:eastAsia="de-DE"/>
        </w:rPr>
        <w:instrText>-title":"The EMBO Journal","id":"ITEM-1","issue":"13","issued":{"date-parts":[["1998","7","1"]]},"page":"3556-3564","publisher":"John Wiley &amp; Sons, LtdChichester, UK","title":"Yeast PKA represses Msn2p/Msn4p</w:instrText>
      </w:r>
      <w:r>
        <w:rPr>
          <w:rFonts w:ascii="Cambria Math" w:eastAsia="Times New Roman" w:hAnsi="Cambria Math" w:cs="Cambria Math"/>
          <w:color w:val="000000" w:themeColor="text1"/>
          <w:lang w:val="en-US" w:eastAsia="de-DE"/>
        </w:rPr>
        <w:instrText>‐</w:instrText>
      </w:r>
      <w:r>
        <w:rPr>
          <w:rFonts w:ascii="Arial" w:eastAsia="Times New Roman" w:hAnsi="Arial" w:cs="Arial"/>
          <w:color w:val="000000" w:themeColor="text1"/>
          <w:lang w:val="en-US" w:eastAsia="de-DE"/>
        </w:rPr>
        <w:instrText>dependent gene expression to regulate growth, st</w:instrText>
      </w:r>
      <w:r>
        <w:rPr>
          <w:rFonts w:ascii="Arial" w:eastAsia="Times New Roman" w:hAnsi="Arial" w:cs="Arial"/>
          <w:color w:val="000000" w:themeColor="text1"/>
          <w:lang w:val="en-US" w:eastAsia="de-DE"/>
        </w:rPr>
        <w:instrText>ress response and glycogen accumulation","type":"article-journal","volume":"17"},"uris":["http://www.mendeley.com/documents/?uuid=fc7df532-e21d-3de0-83d0-43aca8c9710a"]},{"id":"ITEM-2","itemData":{"DOI":"10.1038/s41467-017-00080-y","ISSN":"2041-1723","PMID</w:instrText>
      </w:r>
      <w:r>
        <w:rPr>
          <w:rFonts w:ascii="Arial" w:eastAsia="Times New Roman" w:hAnsi="Arial" w:cs="Arial"/>
          <w:color w:val="000000" w:themeColor="text1"/>
          <w:lang w:val="en-US" w:eastAsia="de-DE"/>
        </w:rPr>
        <w:instrText>":"28676626","abstract":"Upon environmental changes, proliferating cells delay cell cycle to prevent further damage accumulation. Yeast Cip1 is a Cdk1 and Cln2-associated protein. However, the function and regulation of Cip1 are still poorly understood. He</w:instrText>
      </w:r>
      <w:r>
        <w:rPr>
          <w:rFonts w:ascii="Arial" w:eastAsia="Times New Roman" w:hAnsi="Arial" w:cs="Arial"/>
          <w:color w:val="000000" w:themeColor="text1"/>
          <w:lang w:val="en-US" w:eastAsia="de-DE"/>
        </w:rPr>
        <w:instrText>re we report that Cip1 expression is co-regulated by the cell-cycle-mediated factor Mcm1 and the stress-mediated factors Msn2/4. Overexpression of Cip1 arrests cell cycle through inhibition of Cdk1–G1 cyclin complexes at G1 stage and the stress-activated p</w:instrText>
      </w:r>
      <w:r>
        <w:rPr>
          <w:rFonts w:ascii="Arial" w:eastAsia="Times New Roman" w:hAnsi="Arial" w:cs="Arial"/>
          <w:color w:val="000000" w:themeColor="text1"/>
          <w:lang w:val="en-US" w:eastAsia="de-DE"/>
        </w:rPr>
        <w:instrText>rotein kinase-dependent Cip1 T65, T69, and T73 phosphorylation may strengthen the Cip1and Cdk1–G1 cyclin interaction. Cip1 accumulation mainly targets Cdk1–Cln3 complex to prevent Whi5 phosphorylation and inhibit early G1 progression. Under osmotic stress,</w:instrText>
      </w:r>
      <w:r>
        <w:rPr>
          <w:rFonts w:ascii="Arial" w:eastAsia="Times New Roman" w:hAnsi="Arial" w:cs="Arial"/>
          <w:color w:val="000000" w:themeColor="text1"/>
          <w:lang w:val="en-US" w:eastAsia="de-DE"/>
        </w:rPr>
        <w:instrText xml:space="preserve"> Cip1 expression triggers transient G1 delay which plays a functionally redundant role with another hyperosmolar activated CKI, Sic1. These findings indicate that Cip1 functions similarly to mammalian p21 as a stress-induced CDK inhibitor to decelerate cel</w:instrText>
      </w:r>
      <w:r>
        <w:rPr>
          <w:rFonts w:ascii="Arial" w:eastAsia="Times New Roman" w:hAnsi="Arial" w:cs="Arial"/>
          <w:color w:val="000000" w:themeColor="text1"/>
          <w:lang w:val="en-US" w:eastAsia="de-DE"/>
        </w:rPr>
        <w:instrText>l cycle through G1 cyclins to cope with environmental stresses. A G1 cell cycle regulatory kinase Cip1 has been identified in budding yeast but how this is regulated is unclear. Here the authors identify cell cycle (Mcm1) and stress-mediated (Msn 2/4) tran</w:instrText>
      </w:r>
      <w:r>
        <w:rPr>
          <w:rFonts w:ascii="Arial" w:eastAsia="Times New Roman" w:hAnsi="Arial" w:cs="Arial"/>
          <w:color w:val="000000" w:themeColor="text1"/>
          <w:lang w:val="en-US" w:eastAsia="de-DE"/>
        </w:rPr>
        <w:instrText>scription factors as regulating Cip1, causing stress induced CDK inhibition and delay in cell cycle progression.","author":[{"dropping-particle":"","family":"Chang","given":"Ya Lan","non-dropping-particle":"","parse-names":false,"suffix":""},{"dropping-par</w:instrText>
      </w:r>
      <w:r>
        <w:rPr>
          <w:rFonts w:ascii="Arial" w:eastAsia="Times New Roman" w:hAnsi="Arial" w:cs="Arial"/>
          <w:color w:val="000000" w:themeColor="text1"/>
          <w:lang w:val="en-US" w:eastAsia="de-DE"/>
        </w:rPr>
        <w:instrText>ticle":"","family":"Tseng","given":"Shun Fu","non-dropping-particle":"","parse-names":false,"suffix":""},{"dropping-particle":"","family":"Huang","given":"Yu Ching","non-dropping-particle":"","parse-names":false,"suffix":""},{"dropping-particle":"","family</w:instrText>
      </w:r>
      <w:r>
        <w:rPr>
          <w:rFonts w:ascii="Arial" w:eastAsia="Times New Roman" w:hAnsi="Arial" w:cs="Arial"/>
          <w:color w:val="000000" w:themeColor="text1"/>
          <w:lang w:val="en-US" w:eastAsia="de-DE"/>
        </w:rPr>
        <w:instrText>":"Shen","given":"Zih Jie","non-dropping-particle":"","parse-names":false,"suffix":""},{"dropping-particle":"","family":"Hsu","given":"Pang Hung","non-dropping-particle":"","parse-names":false,"suffix":""},{"dropping-particle":"","family":"Hsieh","given":"</w:instrText>
      </w:r>
      <w:r>
        <w:rPr>
          <w:rFonts w:ascii="Arial" w:eastAsia="Times New Roman" w:hAnsi="Arial" w:cs="Arial"/>
          <w:color w:val="000000" w:themeColor="text1"/>
          <w:lang w:val="en-US" w:eastAsia="de-DE"/>
        </w:rPr>
        <w:instrText>Meng Hsun","non-dropping-particle":"","parse-names":false,"suffix":""},{"dropping-particle":"","family":"Yang","given":"Chia Wei","non-dropping-particle":"","parse-names":false,"suffix":""},{"dropping-particle":"","family":"Tognetti","given":"Silvia","non-</w:instrText>
      </w:r>
      <w:r>
        <w:rPr>
          <w:rFonts w:ascii="Arial" w:eastAsia="Times New Roman" w:hAnsi="Arial" w:cs="Arial"/>
          <w:color w:val="000000" w:themeColor="text1"/>
          <w:lang w:val="en-US" w:eastAsia="de-DE"/>
        </w:rPr>
        <w:instrText>dropping-particle":"","parse-names":false,"suffix":""},{"dropping-particle":"","family":"Canal","given":"Berta","non-dropping-particle":"","parse-names":false,"suffix":""},{"dropping-particle":"","family":"Subirana","given":"Laia","non-dropping-particle":"</w:instrText>
      </w:r>
      <w:r>
        <w:rPr>
          <w:rFonts w:ascii="Arial" w:eastAsia="Times New Roman" w:hAnsi="Arial" w:cs="Arial"/>
          <w:color w:val="000000" w:themeColor="text1"/>
          <w:lang w:val="en-US" w:eastAsia="de-DE"/>
        </w:rPr>
        <w:instrText>","parse-names":false,"suffix":""},{"dropping-particle":"","family":"Wang","given":"Chien Wei","non-dropping-particle":"","parse-names":false,"suffix":""},{"dropping-particle":"","family":"Chen","given":"Hsiao Tan","non-dropping-particle":"","parse-names":</w:instrText>
      </w:r>
      <w:r>
        <w:rPr>
          <w:rFonts w:ascii="Arial" w:eastAsia="Times New Roman" w:hAnsi="Arial" w:cs="Arial"/>
          <w:color w:val="000000" w:themeColor="text1"/>
          <w:lang w:val="en-US" w:eastAsia="de-DE"/>
        </w:rPr>
        <w:instrText>false,"suffix":""},{"dropping-particle":"","family":"Lin","given":"Chi Ying","non-dropping-particle":"","parse-names":false,"suffix":""},{"dropping-particle":"","family":"Posas","given":"Francesc","non-dropping-particle":"","parse-names":false,"suffix":""}</w:instrText>
      </w:r>
      <w:r>
        <w:rPr>
          <w:rFonts w:ascii="Arial" w:eastAsia="Times New Roman" w:hAnsi="Arial" w:cs="Arial"/>
          <w:color w:val="000000" w:themeColor="text1"/>
          <w:lang w:val="en-US" w:eastAsia="de-DE"/>
        </w:rPr>
        <w:instrText>,{"dropping-particle":"","family":"Teng","given":"Shu Chun","non-dropping-particle":"","parse-names":false,"suffix":""}],"container-title":"Nature Communications 2017 8:1","id":"ITEM-2","issue":"1","issued":{"date-parts":[["2017","7","4"]]},"page":"1-14","</w:instrText>
      </w:r>
      <w:r>
        <w:rPr>
          <w:rFonts w:ascii="Arial" w:eastAsia="Times New Roman" w:hAnsi="Arial" w:cs="Arial"/>
          <w:color w:val="000000" w:themeColor="text1"/>
          <w:lang w:val="en-US" w:eastAsia="de-DE"/>
        </w:rPr>
        <w:instrText>publisher":"Nature Publishing Group","title":"Yeast Cip1 is activated by environmental stress to inhibit Cdk1–G1 cyclins via Mcm1 and Msn2/4","type":"article-journal","volume":"8"},"uris":["http://www.mendeley.com/documents/?uuid=03cf92b7-96c0-3921-9d01-b3</w:instrText>
      </w:r>
      <w:r>
        <w:rPr>
          <w:rFonts w:ascii="Arial" w:eastAsia="Times New Roman" w:hAnsi="Arial" w:cs="Arial"/>
          <w:color w:val="000000" w:themeColor="text1"/>
          <w:lang w:val="en-US" w:eastAsia="de-DE"/>
        </w:rPr>
        <w:instrText>6ce40c19c9"]}],"mendeley":{"formattedCitation":"&lt;sup&gt;374,375&lt;/sup&gt;","plainTextFormattedCitation":"374,375","previouslyFormattedCitation":"&lt;sup&gt;374,375&lt;/sup&gt;"},"properties":{"noteIndex":0},"schema":"https://github.com/citation-style-language/schema/raw/mast</w:instrText>
      </w:r>
      <w:r>
        <w:rPr>
          <w:rFonts w:ascii="Arial" w:eastAsia="Times New Roman" w:hAnsi="Arial" w:cs="Arial"/>
          <w:color w:val="000000" w:themeColor="text1"/>
          <w:lang w:val="en-US" w:eastAsia="de-DE"/>
        </w:rPr>
        <w:instrTex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374,375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10E03662" w14:textId="77777777" w:rsidR="00066D11" w:rsidRDefault="00E55468">
      <w:pPr>
        <w:spacing w:before="240" w:after="240" w:line="240" w:lineRule="auto"/>
        <w:jc w:val="both"/>
      </w:pPr>
      <w:r>
        <w:rPr>
          <w:noProof/>
          <w:lang w:eastAsia="de-DE"/>
        </w:rPr>
        <w:drawing>
          <wp:inline distT="0" distB="0" distL="0" distR="0" wp14:anchorId="1570EB21" wp14:editId="27F90DD5">
            <wp:extent cx="5768695" cy="5207140"/>
            <wp:effectExtent l="0" t="0" r="0" b="0"/>
            <wp:docPr id="1374713732" name="Picture 137471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rcRect b="36250"/>
                    <a:stretch>
                      <a:fillRect/>
                    </a:stretch>
                  </pic:blipFill>
                  <pic:spPr>
                    <a:xfrm>
                      <a:off x="0" y="0"/>
                      <a:ext cx="5768695" cy="5207140"/>
                    </a:xfrm>
                    <a:prstGeom prst="rect">
                      <a:avLst/>
                    </a:prstGeom>
                  </pic:spPr>
                </pic:pic>
              </a:graphicData>
            </a:graphic>
          </wp:inline>
        </w:drawing>
      </w:r>
    </w:p>
    <w:p w14:paraId="0493190F" w14:textId="77777777" w:rsidR="00066D11" w:rsidRDefault="00E55468">
      <w:pPr>
        <w:spacing w:before="240" w:after="240" w:line="240" w:lineRule="auto"/>
        <w:jc w:val="both"/>
        <w:rPr>
          <w:rFonts w:ascii="Arial" w:eastAsia="Times New Roman" w:hAnsi="Arial" w:cs="Arial"/>
          <w:i/>
          <w:color w:val="000000"/>
          <w:lang w:val="en-US" w:eastAsia="de-DE"/>
        </w:rPr>
      </w:pPr>
      <w:r>
        <w:rPr>
          <w:rFonts w:ascii="Arial" w:eastAsia="Times New Roman" w:hAnsi="Arial" w:cs="Arial"/>
          <w:b/>
          <w:bCs/>
          <w:i/>
          <w:color w:val="000000"/>
          <w:lang w:val="en-US" w:eastAsia="de-DE"/>
        </w:rPr>
        <w:t xml:space="preserve">Fig. 8: </w:t>
      </w:r>
      <w:r>
        <w:rPr>
          <w:rFonts w:ascii="Arial" w:eastAsia="Times New Roman" w:hAnsi="Arial" w:cs="Arial"/>
          <w:i/>
          <w:color w:val="000000"/>
          <w:lang w:val="en-US" w:eastAsia="de-DE"/>
        </w:rPr>
        <w:t xml:space="preserve">In budding yeast, the </w:t>
      </w:r>
      <w:proofErr w:type="spellStart"/>
      <w:r>
        <w:rPr>
          <w:rFonts w:ascii="Arial" w:eastAsia="Times New Roman" w:hAnsi="Arial" w:cs="Arial"/>
          <w:i/>
          <w:color w:val="000000"/>
          <w:lang w:val="en-US" w:eastAsia="de-DE"/>
        </w:rPr>
        <w:t>Greatwall</w:t>
      </w:r>
      <w:proofErr w:type="spellEnd"/>
      <w:r>
        <w:rPr>
          <w:rFonts w:ascii="Arial" w:eastAsia="Times New Roman" w:hAnsi="Arial" w:cs="Arial"/>
          <w:i/>
          <w:color w:val="000000"/>
          <w:lang w:val="en-US" w:eastAsia="de-DE"/>
        </w:rPr>
        <w:t xml:space="preserve"> kinase Rim15 is one major regulator of nutrient-dependent cell-cycle progression. In the presence of nutrients, TOR and PKA signaling both inhibit Rim15. Through activation of the </w:t>
      </w:r>
      <w:r>
        <w:rPr>
          <w:rFonts w:ascii="Arial" w:eastAsia="Times New Roman" w:hAnsi="Arial" w:cs="Arial"/>
          <w:i/>
          <w:color w:val="000000"/>
          <w:lang w:val="en-US" w:eastAsia="de-DE"/>
        </w:rPr>
        <w:t>downstream phosphatase PP2A and its targets Sic1 and Whi5, this regulates the G1/S transition.</w:t>
      </w:r>
    </w:p>
    <w:p w14:paraId="1A35048E"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 xml:space="preserve">In summary, evidence from budding and fission yeasts indicates that mTOR and PKA regulate cell growth and cell cycle progression in a nutrient-dependent manner. </w:t>
      </w:r>
      <w:r>
        <w:rPr>
          <w:rFonts w:ascii="Arial" w:eastAsia="Times New Roman" w:hAnsi="Arial" w:cs="Arial"/>
          <w:color w:val="000000"/>
          <w:lang w:val="en-US" w:eastAsia="de-DE"/>
        </w:rPr>
        <w:t xml:space="preserve">Since the components of mTOR, PKA, and </w:t>
      </w:r>
      <w:proofErr w:type="spellStart"/>
      <w:r>
        <w:rPr>
          <w:rFonts w:ascii="Arial" w:eastAsia="Times New Roman" w:hAnsi="Arial" w:cs="Arial"/>
          <w:color w:val="000000"/>
          <w:lang w:val="en-US" w:eastAsia="de-DE"/>
        </w:rPr>
        <w:t>Greatwall-Endosulfine</w:t>
      </w:r>
      <w:proofErr w:type="spellEnd"/>
      <w:r>
        <w:rPr>
          <w:rFonts w:ascii="Arial" w:eastAsia="Times New Roman" w:hAnsi="Arial" w:cs="Arial"/>
          <w:color w:val="000000"/>
          <w:lang w:val="en-US" w:eastAsia="de-DE"/>
        </w:rPr>
        <w:t xml:space="preserve"> pathways are well-conserved, it is possible that these pathways mediate nutritional control of cell cycle progression in multicellular organisms as well. Another fundamental but poorly understood</w:t>
      </w:r>
      <w:r>
        <w:rPr>
          <w:rFonts w:ascii="Arial" w:eastAsia="Times New Roman" w:hAnsi="Arial" w:cs="Arial"/>
          <w:color w:val="000000"/>
          <w:lang w:val="en-US" w:eastAsia="de-DE"/>
        </w:rPr>
        <w:t xml:space="preserve"> way how nutrients can modulate cell cycle </w:t>
      </w:r>
      <w:r>
        <w:rPr>
          <w:rFonts w:ascii="Arial" w:eastAsia="Times New Roman" w:hAnsi="Arial" w:cs="Arial"/>
          <w:color w:val="000000"/>
          <w:lang w:val="en-US" w:eastAsia="de-DE"/>
        </w:rPr>
        <w:lastRenderedPageBreak/>
        <w:t>regulation is through the cell-cycle-dependent expression of many cell cycle regulators. Since nutrients affect translation rates as well as the relative durations of cell cycle phases, this will inevitably lead t</w:t>
      </w:r>
      <w:r>
        <w:rPr>
          <w:rFonts w:ascii="Arial" w:eastAsia="Times New Roman" w:hAnsi="Arial" w:cs="Arial"/>
          <w:color w:val="000000"/>
          <w:lang w:val="en-US" w:eastAsia="de-DE"/>
        </w:rPr>
        <w:t>o nutrient-dependent regulation of the concentrations of those cell cycle regulators, feeding back on cell size. Indeed, it has been reported that nutrient-dependent changes of cell cycle duration modulate Whi5 concentrations and thereby cell size in buddi</w:t>
      </w:r>
      <w:r>
        <w:rPr>
          <w:rFonts w:ascii="Arial" w:eastAsia="Times New Roman" w:hAnsi="Arial" w:cs="Arial"/>
          <w:color w:val="000000"/>
          <w:lang w:val="en-US" w:eastAsia="de-DE"/>
        </w:rPr>
        <w:t>ng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{"citationItems":[{"id":"ITEM-1","itemData":{"DOI":"10.1016/j.celrep.2019.09.030","ISSN":"22111247","abstract":"Proliferating cells need to evaluate the environment to determine the optimal timing for cell cycle entry. However, h</w:instrText>
      </w:r>
      <w:r>
        <w:rPr>
          <w:rFonts w:ascii="Arial" w:eastAsia="Times New Roman" w:hAnsi="Arial" w:cs="Arial"/>
          <w:color w:val="000000"/>
          <w:lang w:val="en-US" w:eastAsia="de-DE"/>
        </w:rPr>
        <w:instrText>ow this is achieved is not well understood. Here, we show that, in budding yeast, the G1 inhibitor Whi5 is a key environmental indicator and plays a crucial role in coordinating cell growth and division. We found that, under a variety of nutrient and stres</w:instrText>
      </w:r>
      <w:r>
        <w:rPr>
          <w:rFonts w:ascii="Arial" w:eastAsia="Times New Roman" w:hAnsi="Arial" w:cs="Arial"/>
          <w:color w:val="000000"/>
          <w:lang w:val="en-US" w:eastAsia="de-DE"/>
        </w:rPr>
        <w:instrText>s conditions, Whi5 amount in G1 is proportional to the cell's doubling time in the environment, which in turn influences the timing for the next cell cycle entry. In addition, the coordination between division and environment is further fine-tuned in G1 by</w:instrText>
      </w:r>
      <w:r>
        <w:rPr>
          <w:rFonts w:ascii="Arial" w:eastAsia="Times New Roman" w:hAnsi="Arial" w:cs="Arial"/>
          <w:color w:val="000000"/>
          <w:lang w:val="en-US" w:eastAsia="de-DE"/>
        </w:rPr>
        <w:instrText xml:space="preserve"> environmentally dependent growth rate, G1 cyclin-Cdk1 contribution, and Whi5 threshold at the start. Our results show that the cell stores the past environmental information in Whi5, which works together with other mechanisms sensing the current environme</w:instrText>
      </w:r>
      <w:r>
        <w:rPr>
          <w:rFonts w:ascii="Arial" w:eastAsia="Times New Roman" w:hAnsi="Arial" w:cs="Arial"/>
          <w:color w:val="000000"/>
          <w:lang w:val="en-US" w:eastAsia="de-DE"/>
        </w:rPr>
        <w:instrText>ntal condition to achieve an adaptive cellular decision making process.","author":[{"dropping-particle":"","family":"Qu","given":"Yimiao","non-dropping-particle":"","parse-names":false,"suffix":""},{"dropping-particle":"","family":"Jiang","given":"Jun","no</w:instrText>
      </w:r>
      <w:r>
        <w:rPr>
          <w:rFonts w:ascii="Arial" w:eastAsia="Times New Roman" w:hAnsi="Arial" w:cs="Arial"/>
          <w:color w:val="000000"/>
          <w:lang w:val="en-US" w:eastAsia="de-DE"/>
        </w:rPr>
        <w:instrText>n-dropping-particle":"","parse-names":false,"suffix":""},{"dropping-particle":"","family":"Liu","given":"Xiang","non-dropping-particle":"","parse-names":false,"suffix":""},{"dropping-particle":"","family":"Wei","given":"Ping","non-dropping-particle":"","pa</w:instrText>
      </w:r>
      <w:r>
        <w:rPr>
          <w:rFonts w:ascii="Arial" w:eastAsia="Times New Roman" w:hAnsi="Arial" w:cs="Arial"/>
          <w:color w:val="000000"/>
          <w:lang w:val="en-US" w:eastAsia="de-DE"/>
        </w:rPr>
        <w:instrText>rse-names":false,"suffix":""},{"dropping-particle":"","family":"Yang","given":"Xiaojing","non-dropping-particle":"","parse-names":false,"suffix":""},{"dropping-particle":"","family":"Tang","given":"Chao","non-dropping-particle":"","parse-names":false,"suff</w:instrText>
      </w:r>
      <w:r>
        <w:rPr>
          <w:rFonts w:ascii="Arial" w:eastAsia="Times New Roman" w:hAnsi="Arial" w:cs="Arial"/>
          <w:color w:val="000000"/>
          <w:lang w:val="en-US" w:eastAsia="de-DE"/>
        </w:rPr>
        <w:instrText>ix":""}],"container-title":"Cell Reports","id":"ITEM-1","issue":"4","issued":{"date-parts":[["2019"]]},"page":"987-994.e5","title":"Cell Cycle Inhibitor Whi5 Records Environmental Information to Coordinate Growth and Division in Yeast","type":"article-jour</w:instrText>
      </w:r>
      <w:r>
        <w:rPr>
          <w:rFonts w:ascii="Arial" w:eastAsia="Times New Roman" w:hAnsi="Arial" w:cs="Arial"/>
          <w:color w:val="000000"/>
          <w:lang w:val="en-US" w:eastAsia="de-DE"/>
        </w:rPr>
        <w:instrText>nal","volume":"29"},"uris":["http://www.mendeley.com/documents/?uuid=181f9a6e-1b36-4d60-89fb-0697c9a7bfe2"]}],"mendeley":{"formattedCitation":"&lt;sup&gt;52&lt;/sup&gt;","plainTextFormattedCitation":"52","previouslyFormattedCitation":"&lt;sup&gt;52&lt;/sup&gt;"},"properties":{"no</w:instrText>
      </w:r>
      <w:r>
        <w:rPr>
          <w:rFonts w:ascii="Arial" w:eastAsia="Times New Roman" w:hAnsi="Arial" w:cs="Arial"/>
          <w:color w:val="000000"/>
          <w:lang w:val="en-US" w:eastAsia="de-DE"/>
        </w:rPr>
        <w:instrText>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52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w:t>
      </w:r>
    </w:p>
    <w:p w14:paraId="7EFC8696"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u w:val="single"/>
          <w:lang w:val="en-US" w:eastAsia="de-DE"/>
        </w:rPr>
        <w:t>8. Pathophysiological consequences of altered cell size</w:t>
      </w:r>
    </w:p>
    <w:p w14:paraId="38C421E0"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 xml:space="preserve">Given that cell size impacts many of the major cellular functions, including cell growth, cell cycle progression, protein homeostasis, and organelle function, it may not be surprising that a </w:t>
      </w:r>
      <w:proofErr w:type="spellStart"/>
      <w:r>
        <w:rPr>
          <w:rFonts w:ascii="Arial" w:eastAsia="Times New Roman" w:hAnsi="Arial" w:cs="Arial"/>
          <w:color w:val="000000" w:themeColor="text1"/>
          <w:lang w:val="en-US" w:eastAsia="de-DE"/>
        </w:rPr>
        <w:t>misregulation</w:t>
      </w:r>
      <w:proofErr w:type="spellEnd"/>
      <w:r>
        <w:rPr>
          <w:rFonts w:ascii="Arial" w:eastAsia="Times New Roman" w:hAnsi="Arial" w:cs="Arial"/>
          <w:color w:val="000000" w:themeColor="text1"/>
          <w:lang w:val="en-US" w:eastAsia="de-DE"/>
        </w:rPr>
        <w:t xml:space="preserve"> of cell size has been associated with various human</w:t>
      </w:r>
      <w:r>
        <w:rPr>
          <w:rFonts w:ascii="Arial" w:eastAsia="Times New Roman" w:hAnsi="Arial" w:cs="Arial"/>
          <w:color w:val="000000" w:themeColor="text1"/>
          <w:lang w:val="en-US" w:eastAsia="de-DE"/>
        </w:rPr>
        <w:t xml:space="preserve"> diseases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{"citationItems":[{"id":"ITEM-1","itemData":{"DOI":"10.1126/science.1245075","PMID":"25977557","abstract":"Different animal cell types have distinctive and characteristic sizes. How a particular cell size is specified by differe</w:instrText>
      </w:r>
      <w:r>
        <w:rPr>
          <w:rFonts w:ascii="Arial" w:eastAsia="Times New Roman" w:hAnsi="Arial" w:cs="Arial"/>
          <w:color w:val="000000" w:themeColor="text1"/>
          <w:lang w:val="en-US" w:eastAsia="de-DE"/>
        </w:rPr>
        <w:instrText xml:space="preserve">ntiation programs and physiology remains one of the fundamental unknowns in cell biology. In this Review, we explore the evidence that individual cells autonomously sense and specify their own size. We discuss possible mechanisms by which size-sensing and </w:instrText>
      </w:r>
      <w:r>
        <w:rPr>
          <w:rFonts w:ascii="Arial" w:eastAsia="Times New Roman" w:hAnsi="Arial" w:cs="Arial"/>
          <w:color w:val="000000" w:themeColor="text1"/>
          <w:lang w:val="en-US" w:eastAsia="de-DE"/>
        </w:rPr>
        <w:instrText>size-specification may take place. Last, we explore the physiological implications of size control: Why is it important that particular cell types maintain a particular size? We develop these questions through examination of the current literature and pose</w:instrText>
      </w:r>
      <w:r>
        <w:rPr>
          <w:rFonts w:ascii="Arial" w:eastAsia="Times New Roman" w:hAnsi="Arial" w:cs="Arial"/>
          <w:color w:val="000000" w:themeColor="text1"/>
          <w:lang w:val="en-US" w:eastAsia="de-DE"/>
        </w:rPr>
        <w:instrText xml:space="preserve"> the questions that we anticipate will guide this field in the upcoming years.","author":[{"dropping-particle":"","family":"Ginzberg","given":"M. B.","non-dropping-particle":"","parse-names":false,"suffix":""},{"dropping-particle":"","family":"Kafri","give</w:instrText>
      </w:r>
      <w:r>
        <w:rPr>
          <w:rFonts w:ascii="Arial" w:eastAsia="Times New Roman" w:hAnsi="Arial" w:cs="Arial"/>
          <w:color w:val="000000" w:themeColor="text1"/>
          <w:lang w:val="en-US" w:eastAsia="de-DE"/>
        </w:rPr>
        <w:instrText>n":"R.","non-dropping-particle":"","parse-names":false,"suffix":""},{"dropping-particle":"","family":"Kirschner","given":"M.","non-dropping-particle":"","parse-names":false,"suffix":""}],"container-title":"Science","id":"ITEM-1","issue":"6236","issued":{"d</w:instrText>
      </w:r>
      <w:r>
        <w:rPr>
          <w:rFonts w:ascii="Arial" w:eastAsia="Times New Roman" w:hAnsi="Arial" w:cs="Arial"/>
          <w:color w:val="000000" w:themeColor="text1"/>
          <w:lang w:val="en-US" w:eastAsia="de-DE"/>
        </w:rPr>
        <w:instrText>ate-parts":[["2015","5","15"]]},"page":"1245075-1245075","title":"On being the right (cell) size","type":"article-journal","volume":"348"},"uris":["http://www.mendeley.com/documents/?uuid=92564f82-0fe7-3dc4-bb67-6f972f035256"]}],"mendeley":{"formattedCitat</w:instrText>
      </w:r>
      <w:r>
        <w:rPr>
          <w:rFonts w:ascii="Arial" w:eastAsia="Times New Roman" w:hAnsi="Arial" w:cs="Arial"/>
          <w:color w:val="000000" w:themeColor="text1"/>
          <w:lang w:val="en-US" w:eastAsia="de-DE"/>
        </w:rPr>
        <w:instrText>ion":"&lt;sup&gt;7&lt;/sup&gt;","plainTextFormattedCitation":"7","previouslyFormattedCitation":"&lt;sup&gt;7&lt;/sup&gt;"},"properties":{"noteIndex":0},"schema":"https://github.com/citation-style-language/schema/raw/master/csl-citation.json"}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For example, increased adipocyte</w:t>
      </w:r>
      <w:r>
        <w:rPr>
          <w:rFonts w:ascii="Arial" w:eastAsia="Times New Roman" w:hAnsi="Arial" w:cs="Arial"/>
          <w:color w:val="000000" w:themeColor="text1"/>
          <w:lang w:val="en-US" w:eastAsia="de-DE"/>
        </w:rPr>
        <w:t xml:space="preserve"> size is associated with obesity and type 2 diabetes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{"citationItems":[{"id":"ITEM-1","itemData":{"DOI":"10.1152/AJPREGU.00257.2017/ASSET/IMAGES/LARGE/ZH60061894830002.JPEG","ISSN":"15221490","PMID":"29641234","abstract":"Adipose tissue i</w:instrText>
      </w:r>
      <w:r>
        <w:rPr>
          <w:rFonts w:ascii="Arial" w:eastAsia="Times New Roman" w:hAnsi="Arial" w:cs="Arial"/>
          <w:color w:val="000000" w:themeColor="text1"/>
          <w:lang w:val="en-US" w:eastAsia="de-DE"/>
        </w:rPr>
        <w:instrText>s necessary to harbor energy. To handle excess energy, adipose tissue expands by increasing adipocyte size (hypertrophy) and number (hyperplasia). Here, we have summarized the different experimental techniques used to study adipocyte cell size and describe</w:instrText>
      </w:r>
      <w:r>
        <w:rPr>
          <w:rFonts w:ascii="Arial" w:eastAsia="Times New Roman" w:hAnsi="Arial" w:cs="Arial"/>
          <w:color w:val="000000" w:themeColor="text1"/>
          <w:lang w:val="en-US" w:eastAsia="de-DE"/>
        </w:rPr>
        <w:instrText xml:space="preserve"> adipocyte size in relation to insulin resistance, type 2 diabetes, and diet interventions. Hypertrophic adipocytes have an impaired cellular function, and inherent mechanisms restrict their expansion to protect against cell breakage and subsequent inflamm</w:instrText>
      </w:r>
      <w:r>
        <w:rPr>
          <w:rFonts w:ascii="Arial" w:eastAsia="Times New Roman" w:hAnsi="Arial" w:cs="Arial"/>
          <w:color w:val="000000" w:themeColor="text1"/>
          <w:lang w:val="en-US" w:eastAsia="de-DE"/>
        </w:rPr>
        <w:instrText>ation. Reduction of large fat cells by diet restriction, physical activity, or bariatric surgery therefore is necessary to improve cellular function and health. Small fat cells may also be dysfunctional and unable to expand. The distribution and function o</w:instrText>
      </w:r>
      <w:r>
        <w:rPr>
          <w:rFonts w:ascii="Arial" w:eastAsia="Times New Roman" w:hAnsi="Arial" w:cs="Arial"/>
          <w:color w:val="000000" w:themeColor="text1"/>
          <w:lang w:val="en-US" w:eastAsia="de-DE"/>
        </w:rPr>
        <w:instrText>f the entire cell size range of fat cells, from small to very large fat cells, are an important but understudied aspect of adipose tissue biology. To prevent dysmetabolism, therapeutic strategies to expand small fat cells, recruit new fat cells, and reduce</w:instrText>
      </w:r>
      <w:r>
        <w:rPr>
          <w:rFonts w:ascii="Arial" w:eastAsia="Times New Roman" w:hAnsi="Arial" w:cs="Arial"/>
          <w:color w:val="000000" w:themeColor="text1"/>
          <w:lang w:val="en-US" w:eastAsia="de-DE"/>
        </w:rPr>
        <w:instrText xml:space="preserve"> large fat cells are needed.","author":[{"dropping-particle":"","family":"Stenkula","given":"Karin G.","non-dropping-particle":"","parse-names":false,"suffix":""},{"dropping-particle":"","family":"Erlanson-Albertsson","given":"Charlotte","non-dropping-part</w:instrText>
      </w:r>
      <w:r>
        <w:rPr>
          <w:rFonts w:ascii="Arial" w:eastAsia="Times New Roman" w:hAnsi="Arial" w:cs="Arial"/>
          <w:color w:val="000000" w:themeColor="text1"/>
          <w:lang w:val="en-US" w:eastAsia="de-DE"/>
        </w:rPr>
        <w:instrText>icle":"","parse-names":false,"suffix":""}],"container-title":"American Journal of Physiology - Regulatory Integrative and Comparative Physiology","id":"ITEM-1","issue":"2","issued":{"date-parts":[["2018","8","20"]]},"page":"R284-R295","publisher":"American</w:instrText>
      </w:r>
      <w:r>
        <w:rPr>
          <w:rFonts w:ascii="Arial" w:eastAsia="Times New Roman" w:hAnsi="Arial" w:cs="Arial"/>
          <w:color w:val="000000" w:themeColor="text1"/>
          <w:lang w:val="en-US" w:eastAsia="de-DE"/>
        </w:rPr>
        <w:instrText xml:space="preserve"> Physiological Society","title":"Adipose cell size: Importance in health and disease","type":"article-journal","volume":"315"},"uris":["http://www.mendeley.com/documents/?uuid=591b843b-5794-3e69-b1de-3d76343db1e1"]}],"mendeley":{"formattedCitation":"&lt;sup&gt;2</w:instrText>
      </w:r>
      <w:r>
        <w:rPr>
          <w:rFonts w:ascii="Arial" w:eastAsia="Times New Roman" w:hAnsi="Arial" w:cs="Arial"/>
          <w:color w:val="000000" w:themeColor="text1"/>
          <w:lang w:val="en-US" w:eastAsia="de-DE"/>
        </w:rPr>
        <w:instrText>26&lt;/sup&gt;","plainTextFormattedCitation":"226","previouslyFormattedCitation":"&lt;sup&gt;226&lt;/sup&gt;"},"properties":{"noteIndex":0},"schema":"https://github.com/citation-style-language/schema/raw/master/csl-citation.json"}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226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w:t>
      </w:r>
      <w:r>
        <w:rPr>
          <w:rFonts w:ascii="Arial" w:eastAsia="Times New Roman" w:hAnsi="Arial" w:cs="Arial"/>
          <w:color w:val="000000" w:themeColor="text1"/>
          <w:lang w:eastAsia="de-DE"/>
        </w:rPr>
        <w:t>α</w:t>
      </w:r>
      <w:r>
        <w:rPr>
          <w:rFonts w:ascii="Arial" w:eastAsia="Times New Roman" w:hAnsi="Arial" w:cs="Arial"/>
          <w:color w:val="000000" w:themeColor="text1"/>
          <w:lang w:val="en-US" w:eastAsia="de-DE"/>
        </w:rPr>
        <w:t>-motoneuron degeneration in amyotro</w:t>
      </w:r>
      <w:r>
        <w:rPr>
          <w:rFonts w:ascii="Arial" w:eastAsia="Times New Roman" w:hAnsi="Arial" w:cs="Arial"/>
          <w:color w:val="000000" w:themeColor="text1"/>
          <w:lang w:val="en-US" w:eastAsia="de-DE"/>
        </w:rPr>
        <w:t>phic lateral sclerosis (ALS) is correlated with their size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{"citationItems":[{"id":"ITEM-1","itemData":{"DOI":"10.1113/JP275498","ISSN":"1469-7793","PMID":"29502344","abstract":"Key points: Motoneuron soma size is a largely plastic proper</w:instrText>
      </w:r>
      <w:r>
        <w:rPr>
          <w:rFonts w:ascii="Arial" w:eastAsia="Times New Roman" w:hAnsi="Arial" w:cs="Arial"/>
          <w:color w:val="000000" w:themeColor="text1"/>
          <w:lang w:val="en-US" w:eastAsia="de-DE"/>
        </w:rPr>
        <w:instrText xml:space="preserve">ty that is altered during amyotrophic lateral sclerosis (ALS) progression. We report evidence of systematic spinal motoneuron soma size plasticity in mutant SOD1-G93A mice at various disease stages and across sexes, spinal regions and motoneuron types. We </w:instrText>
      </w:r>
      <w:r>
        <w:rPr>
          <w:rFonts w:ascii="Arial" w:eastAsia="Times New Roman" w:hAnsi="Arial" w:cs="Arial"/>
          <w:color w:val="000000" w:themeColor="text1"/>
          <w:lang w:val="en-US" w:eastAsia="de-DE"/>
        </w:rPr>
        <w:instrText>show that disease-vulnerable motoneurons exhibit early increased soma sizes. We show via computer simulations that the measured changes in soma size have a profound impact on the excitability of disease-vulnerable motoneurons. This study reveals a novel fo</w:instrText>
      </w:r>
      <w:r>
        <w:rPr>
          <w:rFonts w:ascii="Arial" w:eastAsia="Times New Roman" w:hAnsi="Arial" w:cs="Arial"/>
          <w:color w:val="000000" w:themeColor="text1"/>
          <w:lang w:val="en-US" w:eastAsia="de-DE"/>
        </w:rPr>
        <w:instrText xml:space="preserve">rm of plasticity in ALS and suggests a potential target for altering motoneuron function and survival. Abstract: α-Motoneuron soma size is correlated with the cell's excitability and function, and has been posited as a plastic property that changes during </w:instrText>
      </w:r>
      <w:r>
        <w:rPr>
          <w:rFonts w:ascii="Arial" w:eastAsia="Times New Roman" w:hAnsi="Arial" w:cs="Arial"/>
          <w:color w:val="000000" w:themeColor="text1"/>
          <w:lang w:val="en-US" w:eastAsia="de-DE"/>
        </w:rPr>
        <w:instrText>cellular maturation, injury and disease. This study examined whether α-motoneuron somas change in size over disease progression in the G93A mouse model of amyotrophic lateral sclerosis (ALS), a disease characterized by progressive motoneuron death. We used</w:instrText>
      </w:r>
      <w:r>
        <w:rPr>
          <w:rFonts w:ascii="Arial" w:eastAsia="Times New Roman" w:hAnsi="Arial" w:cs="Arial"/>
          <w:color w:val="000000" w:themeColor="text1"/>
          <w:lang w:val="en-US" w:eastAsia="de-DE"/>
        </w:rPr>
        <w:instrText xml:space="preserve"> 2D- and 3D-morphometric analysis of motoneuron size and measures of cell density at four key disease stages: neonatal (P10 – with earliest known disease changes); young adult (P30 – presymptomatic with early motoneuron death); symptom onset (P90 – with de</w:instrText>
      </w:r>
      <w:r>
        <w:rPr>
          <w:rFonts w:ascii="Arial" w:eastAsia="Times New Roman" w:hAnsi="Arial" w:cs="Arial"/>
          <w:color w:val="000000" w:themeColor="text1"/>
          <w:lang w:val="en-US" w:eastAsia="de-DE"/>
        </w:rPr>
        <w:instrText>ath of 70–80% of motoneurons); and end-stage (P120+ – with full paralysis of hindlimbs). We additionally examined differences in lumbar vs. sacral vs. cervical motoneurons; in motoneurons from male vs. female mice; and in fast vs. slow motoneurons. We pres</w:instrText>
      </w:r>
      <w:r>
        <w:rPr>
          <w:rFonts w:ascii="Arial" w:eastAsia="Times New Roman" w:hAnsi="Arial" w:cs="Arial"/>
          <w:color w:val="000000" w:themeColor="text1"/>
          <w:lang w:val="en-US" w:eastAsia="de-DE"/>
        </w:rPr>
        <w:instrText>ent the first evidence of plastic changes in the soma size of spinal α-motoneurons occurring throughout different stages of ALS with profound effects on motoneuron excitability. Somatic changes are time dependent and are characterized by early-stage enlarg</w:instrText>
      </w:r>
      <w:r>
        <w:rPr>
          <w:rFonts w:ascii="Arial" w:eastAsia="Times New Roman" w:hAnsi="Arial" w:cs="Arial"/>
          <w:color w:val="000000" w:themeColor="text1"/>
          <w:lang w:val="en-US" w:eastAsia="de-DE"/>
        </w:rPr>
        <w:instrText>ement (P10 and P30); no change around symptom onset; and shrinkage at end-stage. A key finding in the study indicates that disease-vulnerable motoneurons exhibit increased soma sizes (P10 and P30). This pattern was confirmed across spinal cord regions, gen</w:instrText>
      </w:r>
      <w:r>
        <w:rPr>
          <w:rFonts w:ascii="Arial" w:eastAsia="Times New Roman" w:hAnsi="Arial" w:cs="Arial"/>
          <w:color w:val="000000" w:themeColor="text1"/>
          <w:lang w:val="en-US" w:eastAsia="de-DE"/>
        </w:rPr>
        <w:instrText>ders and motoneuron types. This extends the theory of motoneuron size-based vulnerability in ALS: not only are larger motoneurons more vulnerable to death in ALS, but are also enlarged further in the disease. Such information is valuable for identifying AL</w:instrText>
      </w:r>
      <w:r>
        <w:rPr>
          <w:rFonts w:ascii="Arial" w:eastAsia="Times New Roman" w:hAnsi="Arial" w:cs="Arial"/>
          <w:color w:val="000000" w:themeColor="text1"/>
          <w:lang w:val="en-US" w:eastAsia="de-DE"/>
        </w:rPr>
        <w:instrText>S pathogenesis mechanisms.","author":[{"dropping-particle":"","family":"Dukkipati","given":"S Shekar","non-dropping-particle":"","parse-names":false,"suffix":""},{"dropping-particle":"","family":"Garrett","given":"Teresa L","non-dropping-particle":"","pars</w:instrText>
      </w:r>
      <w:r>
        <w:rPr>
          <w:rFonts w:ascii="Arial" w:eastAsia="Times New Roman" w:hAnsi="Arial" w:cs="Arial"/>
          <w:color w:val="000000" w:themeColor="text1"/>
          <w:lang w:val="en-US" w:eastAsia="de-DE"/>
        </w:rPr>
        <w:instrText>e-names":false,"suffix":""},{"dropping-particle":"","family":"Elbasiouny","given":"Sherif M","non-dropping-particle":"","parse-names":false,"suffix":""},{"dropping-particle":"","family":"Paulsen","given":"Ole","non-dropping-particle":"","parse-names":false</w:instrText>
      </w:r>
      <w:r>
        <w:rPr>
          <w:rFonts w:ascii="Arial" w:eastAsia="Times New Roman" w:hAnsi="Arial" w:cs="Arial"/>
          <w:color w:val="000000" w:themeColor="text1"/>
          <w:lang w:val="en-US" w:eastAsia="de-DE"/>
        </w:rPr>
        <w:instrText>,"suffix":""},{"dropping-particle":"","family":"Funk","given":"Gregory","non-dropping-particle":"","parse-names":false,"suffix":""},{"dropping-particle":"","family":"Elbasiouny","given":"S M","non-dropping-particle":"","parse-names":false,"suffix":""}],"co</w:instrText>
      </w:r>
      <w:r>
        <w:rPr>
          <w:rFonts w:ascii="Arial" w:eastAsia="Times New Roman" w:hAnsi="Arial" w:cs="Arial"/>
          <w:color w:val="000000" w:themeColor="text1"/>
          <w:lang w:val="en-US" w:eastAsia="de-DE"/>
        </w:rPr>
        <w:instrText>ntainer-title":"The Journal of Physiology","id":"ITEM-1","issue":"9","issued":{"date-parts":[["2018","5","1"]]},"page":"1723-1745","publisher":"John Wiley &amp; Sons, Ltd","title":"The vulnerability of spinal motoneurons and soma size plasticity in a mouse mod</w:instrText>
      </w:r>
      <w:r>
        <w:rPr>
          <w:rFonts w:ascii="Arial" w:eastAsia="Times New Roman" w:hAnsi="Arial" w:cs="Arial"/>
          <w:color w:val="000000" w:themeColor="text1"/>
          <w:lang w:val="en-US" w:eastAsia="de-DE"/>
        </w:rPr>
        <w:instrText>el of amyotrophic lateral sclerosis","type":"article-journal","volume":"596"},"uris":["http://www.mendeley.com/documents/?uuid=00ba0b9f-9fb6-3fe2-a2f0-dc89e57f2381"]}],"mendeley":{"formattedCitation":"&lt;sup&gt;376&lt;/sup&gt;","plainTextFormattedCitation":"376","pre</w:instrText>
      </w:r>
      <w:r>
        <w:rPr>
          <w:rFonts w:ascii="Arial" w:eastAsia="Times New Roman" w:hAnsi="Arial" w:cs="Arial"/>
          <w:color w:val="000000" w:themeColor="text1"/>
          <w:lang w:val="en-US" w:eastAsia="de-DE"/>
        </w:rPr>
        <w:instrText>viouslyFormattedCitation":"&lt;sup&gt;376&lt;/sup&gt;"},"properties":{"noteIndex":0},"schema":"https://github.com/citation-style-language/schema/raw/master/csl-citation.json"}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376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hypertrophy of cardiomyocytes is associated with increased of risk of cardiac disorde</w:t>
      </w:r>
      <w:r>
        <w:rPr>
          <w:rFonts w:ascii="Arial" w:eastAsia="Times New Roman" w:hAnsi="Arial" w:cs="Arial"/>
          <w:color w:val="000000" w:themeColor="text1"/>
          <w:lang w:val="en-US" w:eastAsia="de-DE"/>
        </w:rPr>
        <w:t>rs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{"citationItems":[{"id":"ITEM-1","itemData":{"DOI":"10.1038/s41569-022-00806-6","ISSN":"1759-5010","PMID":"36596855","abstract":"Left ventricular hypertrophy is a leading risk factor for cardiovascular morbidity and mortality. Although</w:instrText>
      </w:r>
      <w:r>
        <w:rPr>
          <w:rFonts w:ascii="Arial" w:eastAsia="Times New Roman" w:hAnsi="Arial" w:cs="Arial"/>
          <w:color w:val="000000" w:themeColor="text1"/>
          <w:lang w:val="en-US" w:eastAsia="de-DE"/>
        </w:rPr>
        <w:instrText xml:space="preserve"> reverse ventricular remodelling was long thought to be irreversible, evidence from the past three decades indicates that this process is possible with many existing heart disease therapies. The regression of pathological hypertrophy is associated with imp</w:instrText>
      </w:r>
      <w:r>
        <w:rPr>
          <w:rFonts w:ascii="Arial" w:eastAsia="Times New Roman" w:hAnsi="Arial" w:cs="Arial"/>
          <w:color w:val="000000" w:themeColor="text1"/>
          <w:lang w:val="en-US" w:eastAsia="de-DE"/>
        </w:rPr>
        <w:instrText>roved cardiac function, quality of life and long-term health outcomes. However, less than 50% of patients respond favourably to most therapies, and the reversibility of remodelling is influenced by many factors, including age, sex, BMI and disease aetiolog</w:instrText>
      </w:r>
      <w:r>
        <w:rPr>
          <w:rFonts w:ascii="Arial" w:eastAsia="Times New Roman" w:hAnsi="Arial" w:cs="Arial"/>
          <w:color w:val="000000" w:themeColor="text1"/>
          <w:lang w:val="en-US" w:eastAsia="de-DE"/>
        </w:rPr>
        <w:instrText>y. Cardiac hypertrophy also occurs in physiological settings, including pregnancy and exercise, although in these cases, hypertrophy is associated with normal or improved ventricular function and is completely reversible postpartum or with cessation of tra</w:instrText>
      </w:r>
      <w:r>
        <w:rPr>
          <w:rFonts w:ascii="Arial" w:eastAsia="Times New Roman" w:hAnsi="Arial" w:cs="Arial"/>
          <w:color w:val="000000" w:themeColor="text1"/>
          <w:lang w:val="en-US" w:eastAsia="de-DE"/>
        </w:rPr>
        <w:instrText>ining. Studies over the past decade have identified the molecular features of hypertrophy regression in health and disease settings, which include modulation of protein synthesis, microRNAs, metabolism and protein degradation pathways. In this Review, we s</w:instrText>
      </w:r>
      <w:r>
        <w:rPr>
          <w:rFonts w:ascii="Arial" w:eastAsia="Times New Roman" w:hAnsi="Arial" w:cs="Arial"/>
          <w:color w:val="000000" w:themeColor="text1"/>
          <w:lang w:val="en-US" w:eastAsia="de-DE"/>
        </w:rPr>
        <w:instrText>ummarize the evidence for hypertrophy regression in patients with current first-line pharmacological and surgical interventions. We further discuss the molecular features of reverse remodelling identified in cell and animal models, highlighting remaining k</w:instrText>
      </w:r>
      <w:r>
        <w:rPr>
          <w:rFonts w:ascii="Arial" w:eastAsia="Times New Roman" w:hAnsi="Arial" w:cs="Arial"/>
          <w:color w:val="000000" w:themeColor="text1"/>
          <w:lang w:val="en-US" w:eastAsia="de-DE"/>
        </w:rPr>
        <w:instrText>nowledge gaps and the essential questions for future investigation towards the goal of designing specific therapies to promote regression of pathological hypertrophy. In this Review, the authors summarize the evidence for physiological and pathological car</w:instrText>
      </w:r>
      <w:r>
        <w:rPr>
          <w:rFonts w:ascii="Arial" w:eastAsia="Times New Roman" w:hAnsi="Arial" w:cs="Arial"/>
          <w:color w:val="000000" w:themeColor="text1"/>
          <w:lang w:val="en-US" w:eastAsia="de-DE"/>
        </w:rPr>
        <w:instrText>diac hypertrophy regression from clinical and basic science studies, discussing therapies and mechanisms involved in regression of cardiac hypertrophy and highlighting knowledge gaps and questions for future investigation to design specific therapies to pr</w:instrText>
      </w:r>
      <w:r>
        <w:rPr>
          <w:rFonts w:ascii="Arial" w:eastAsia="Times New Roman" w:hAnsi="Arial" w:cs="Arial"/>
          <w:color w:val="000000" w:themeColor="text1"/>
          <w:lang w:val="en-US" w:eastAsia="de-DE"/>
        </w:rPr>
        <w:instrText>omote regression of pathological hypertrophy.","author":[{"dropping-particle":"","family":"Martin","given":"Thomas G.","non-dropping-particle":"","parse-names":false,"suffix":""},{"dropping-particle":"","family":"Juarros","given":"Miranda A.","non-dropping</w:instrText>
      </w:r>
      <w:r>
        <w:rPr>
          <w:rFonts w:ascii="Arial" w:eastAsia="Times New Roman" w:hAnsi="Arial" w:cs="Arial"/>
          <w:color w:val="000000" w:themeColor="text1"/>
          <w:lang w:val="en-US" w:eastAsia="de-DE"/>
        </w:rPr>
        <w:instrText>-particle":"","parse-names":false,"suffix":""},{"dropping-particle":"","family":"Leinwand","given":"Leslie A.","non-dropping-particle":"","parse-names":false,"suffix":""}],"container-title":"Nature Reviews Cardiology 2023 20:5","id":"ITEM-1","issue":"5","i</w:instrText>
      </w:r>
      <w:r>
        <w:rPr>
          <w:rFonts w:ascii="Arial" w:eastAsia="Times New Roman" w:hAnsi="Arial" w:cs="Arial"/>
          <w:color w:val="000000" w:themeColor="text1"/>
          <w:lang w:val="en-US" w:eastAsia="de-DE"/>
        </w:rPr>
        <w:instrText>ssued":{"date-parts":[["2023","1","4"]]},"page":"347-363","publisher":"Nature Publishing Group","title":"Regression of cardiac hypertrophy in health and disease: mechanisms and therapeutic potential","type":"article-journal","volume":"20"},"uris":["http://</w:instrText>
      </w:r>
      <w:r>
        <w:rPr>
          <w:rFonts w:ascii="Arial" w:eastAsia="Times New Roman" w:hAnsi="Arial" w:cs="Arial"/>
          <w:color w:val="000000" w:themeColor="text1"/>
          <w:lang w:val="en-US" w:eastAsia="de-DE"/>
        </w:rPr>
        <w:instrText>www.mendeley.com/documents/?uuid=77b8a56b-b21b-34d0-9461-4e2b50ca141a"]},{"id":"ITEM-2","itemData":{"DOI":"10.1056/NEJM199005313222203/ASSET/0CCC12CA-58E9-405F-9BFE-0F7B54EDAF7E/ASSETS/IMAGES/LARGE/NEJM199005313222203_T6.JPG","ISSN":"0028-4793","PMID":"213</w:instrText>
      </w:r>
      <w:r>
        <w:rPr>
          <w:rFonts w:ascii="Arial" w:eastAsia="Times New Roman" w:hAnsi="Arial" w:cs="Arial"/>
          <w:color w:val="000000" w:themeColor="text1"/>
          <w:lang w:val="en-US" w:eastAsia="de-DE"/>
        </w:rPr>
        <w:instrText>9921","abstract":"A pattern of left ventricular hypertrophy evident on the electrocardiogram is a harbinger of morbidity and mortality from cardiovascular disease. Echocardiography permits the noninvasive determination of left ventricular mass and the exam</w:instrText>
      </w:r>
      <w:r>
        <w:rPr>
          <w:rFonts w:ascii="Arial" w:eastAsia="Times New Roman" w:hAnsi="Arial" w:cs="Arial"/>
          <w:color w:val="000000" w:themeColor="text1"/>
          <w:lang w:val="en-US" w:eastAsia="de-DE"/>
        </w:rPr>
        <w:instrText>ination of its role as a precursor of morbidity and mortality. We examined the relation of left ventricular mass to the incidence of cardiovascular disease, mortality from cardiovascular disease, and mortality from all causes in 3220 subjects enrolled in t</w:instrText>
      </w:r>
      <w:r>
        <w:rPr>
          <w:rFonts w:ascii="Arial" w:eastAsia="Times New Roman" w:hAnsi="Arial" w:cs="Arial"/>
          <w:color w:val="000000" w:themeColor="text1"/>
          <w:lang w:val="en-US" w:eastAsia="de-DE"/>
        </w:rPr>
        <w:instrText>he Framingham Heart Study who were 40 years of age or older and free of clinically apparent cardiovascular disease, in whom left ventricular mass was determined echocardiographically. During a four-year follow-up period, there were 208 incident cardiovascu</w:instrText>
      </w:r>
      <w:r>
        <w:rPr>
          <w:rFonts w:ascii="Arial" w:eastAsia="Times New Roman" w:hAnsi="Arial" w:cs="Arial"/>
          <w:color w:val="000000" w:themeColor="text1"/>
          <w:lang w:val="en-US" w:eastAsia="de-DE"/>
        </w:rPr>
        <w:instrText>lar events, 37 deaths from cardiovascular disease, and 124 deaths from all causes. Left ventricular mass, determined echocardiographically, was associated with all outcome events. This relation persisted after we adjusted for age, diastolic blood pressure,</w:instrText>
      </w:r>
      <w:r>
        <w:rPr>
          <w:rFonts w:ascii="Arial" w:eastAsia="Times New Roman" w:hAnsi="Arial" w:cs="Arial"/>
          <w:color w:val="000000" w:themeColor="text1"/>
          <w:lang w:val="en-US" w:eastAsia="de-DE"/>
        </w:rPr>
        <w:instrText xml:space="preserve"> pulse pressure, treatment for hypertension, cigarette smoking, diabetes, obesity, the ratio of total cholesterol to high-density lipoprotein cholesterol, and electrocardiographic evidence of left ventricular hypertrophy. In men, the risk factor-adjusted r</w:instrText>
      </w:r>
      <w:r>
        <w:rPr>
          <w:rFonts w:ascii="Arial" w:eastAsia="Times New Roman" w:hAnsi="Arial" w:cs="Arial"/>
          <w:color w:val="000000" w:themeColor="text1"/>
          <w:lang w:val="en-US" w:eastAsia="de-DE"/>
        </w:rPr>
        <w:instrText xml:space="preserve">elative risk of cardiovascular disease was 1.49 for each increment of 50 g per meter in left ventricular mass corrected for the subject's height (95 percent confidence interval, 1.20 to 1.85); in women, it was 1.57 (95 percent confidence interval, 1.20 to </w:instrText>
      </w:r>
      <w:r>
        <w:rPr>
          <w:rFonts w:ascii="Arial" w:eastAsia="Times New Roman" w:hAnsi="Arial" w:cs="Arial"/>
          <w:color w:val="000000" w:themeColor="text1"/>
          <w:lang w:val="en-US" w:eastAsia="de-DE"/>
        </w:rPr>
        <w:instrText>2.04). Left ventricular mass (corrected for height) was also associated with the incidence of death from cardiovascular disease (relative risk, 1.73 [95 percent confidence interval, 1.19 to 2.52] in men and 2.12 [95 percent confidence interval, 1.28 to 3.4</w:instrText>
      </w:r>
      <w:r>
        <w:rPr>
          <w:rFonts w:ascii="Arial" w:eastAsia="Times New Roman" w:hAnsi="Arial" w:cs="Arial"/>
          <w:color w:val="000000" w:themeColor="text1"/>
          <w:lang w:val="en-US" w:eastAsia="de-DE"/>
        </w:rPr>
        <w:instrText>9] in women). Left ventricular mass (corrected for height) was associated with death from all causes (relative risk, 1.49 [95 percent confidence interval, 1.14 to 1.94] in men and 2.01 [95 percent confidence interval, 1.44 to 2.81] in women). We conclude t</w:instrText>
      </w:r>
      <w:r>
        <w:rPr>
          <w:rFonts w:ascii="Arial" w:eastAsia="Times New Roman" w:hAnsi="Arial" w:cs="Arial"/>
          <w:color w:val="000000" w:themeColor="text1"/>
          <w:lang w:val="en-US" w:eastAsia="de-DE"/>
        </w:rPr>
        <w:instrText>hat the estimation of left ventricular mass by echocardiography offers prognostic information beyond that provided by the evaluation of traditional cardiovascular risk factors. An increase in left ventricular mass predicts a higher incidence of clinical ev</w:instrText>
      </w:r>
      <w:r>
        <w:rPr>
          <w:rFonts w:ascii="Arial" w:eastAsia="Times New Roman" w:hAnsi="Arial" w:cs="Arial"/>
          <w:color w:val="000000" w:themeColor="text1"/>
          <w:lang w:val="en-US" w:eastAsia="de-DE"/>
        </w:rPr>
        <w:instrText>ents, including death, attributable to cardiovascular disease.","author":[{"dropping-particle":"","family":"Levy","given":"Daniel","non-dropping-particle":"","parse-names":false,"suffix":""},{"dropping-particle":"","family":"Garrison","given":"Robert J.","</w:instrText>
      </w:r>
      <w:r>
        <w:rPr>
          <w:rFonts w:ascii="Arial" w:eastAsia="Times New Roman" w:hAnsi="Arial" w:cs="Arial"/>
          <w:color w:val="000000" w:themeColor="text1"/>
          <w:lang w:val="en-US" w:eastAsia="de-DE"/>
        </w:rPr>
        <w:instrText>non-dropping-particle":"","parse-names":false,"suffix":""},{"dropping-particle":"","family":"Savage","given":"Daniel D.","non-dropping-particle":"","parse-names":false,"suffix":""},{"dropping-particle":"","family":"Kannel","given":"William B.","non-droppin</w:instrText>
      </w:r>
      <w:r>
        <w:rPr>
          <w:rFonts w:ascii="Arial" w:eastAsia="Times New Roman" w:hAnsi="Arial" w:cs="Arial"/>
          <w:color w:val="000000" w:themeColor="text1"/>
          <w:lang w:val="en-US" w:eastAsia="de-DE"/>
        </w:rPr>
        <w:instrText>g-particle":"","parse-names":false,"suffix":""},{"dropping-particle":"","family":"Castelli","given":"William P.","non-dropping-particle":"","parse-names":false,"suffix":""}],"container-title":"New England Journal of Medicine","id":"ITEM-2","issue":"22","is</w:instrText>
      </w:r>
      <w:r>
        <w:rPr>
          <w:rFonts w:ascii="Arial" w:eastAsia="Times New Roman" w:hAnsi="Arial" w:cs="Arial"/>
          <w:color w:val="000000" w:themeColor="text1"/>
          <w:lang w:val="en-US" w:eastAsia="de-DE"/>
        </w:rPr>
        <w:instrText>sued":{"date-parts":[["1990","5","31"]]},"page":"1561-1566","publisher":"New England Journal of Medicine (NEJM/MMS)","title":"Prognostic Implications of Echocardiographically Determined Left Ventricular Mass in the Framingham Heart Study","type":"article-j</w:instrText>
      </w:r>
      <w:r>
        <w:rPr>
          <w:rFonts w:ascii="Arial" w:eastAsia="Times New Roman" w:hAnsi="Arial" w:cs="Arial"/>
          <w:color w:val="000000" w:themeColor="text1"/>
          <w:lang w:val="en-US" w:eastAsia="de-DE"/>
        </w:rPr>
        <w:instrText>ournal","volume":"322"},"uris":["http://www.mendeley.com/documents/?uuid=18ee8f69-589d-35be-8001-7b2b469bcaa3"]}],"mendeley":{"formattedCitation":"&lt;sup&gt;377,378&lt;/sup&gt;","plainTextFormattedCitation":"377,378","previouslyFormattedCitation":"&lt;sup&gt;377,378&lt;/sup&gt;"</w:instrText>
      </w:r>
      <w:r>
        <w:rPr>
          <w:rFonts w:ascii="Arial" w:eastAsia="Times New Roman" w:hAnsi="Arial" w:cs="Arial"/>
          <w:color w:val="000000" w:themeColor="text1"/>
          <w:lang w:val="en-US" w:eastAsia="de-DE"/>
        </w:rPr>
        <w:instrTex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377,378</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and cancer cells often exhibit unusually heterogeneous size distributions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w:instrText>
      </w:r>
      <w:r>
        <w:rPr>
          <w:rFonts w:ascii="Arial" w:eastAsia="Times New Roman" w:hAnsi="Arial" w:cs="Arial"/>
          <w:color w:val="000000" w:themeColor="text1"/>
          <w:lang w:val="en-US" w:eastAsia="de-DE"/>
        </w:rPr>
        <w:instrText>","itemData":{"DOI":"10.1126/science.1245075","PMID":"25977557","abstract":"Different animal cell types have distinctive and characteristic sizes. How a particular cell size is specified by differentiation programs and physiology remains one of the fundame</w:instrText>
      </w:r>
      <w:r>
        <w:rPr>
          <w:rFonts w:ascii="Arial" w:eastAsia="Times New Roman" w:hAnsi="Arial" w:cs="Arial"/>
          <w:color w:val="000000" w:themeColor="text1"/>
          <w:lang w:val="en-US" w:eastAsia="de-DE"/>
        </w:rPr>
        <w:instrText>ntal unknowns in cell biology. In this Review, we explore the evidence that individual cells autonomously sense and specify their own size. We discuss possible mechanisms by which size-sensing and size-specification may take place. Last, we explore the phy</w:instrText>
      </w:r>
      <w:r>
        <w:rPr>
          <w:rFonts w:ascii="Arial" w:eastAsia="Times New Roman" w:hAnsi="Arial" w:cs="Arial"/>
          <w:color w:val="000000" w:themeColor="text1"/>
          <w:lang w:val="en-US" w:eastAsia="de-DE"/>
        </w:rPr>
        <w:instrText xml:space="preserve">siological implications of size control: Why is it important that particular cell types maintain a particular size? We develop these questions through examination of the current literature and pose the questions that we anticipate will guide this field in </w:instrText>
      </w:r>
      <w:r>
        <w:rPr>
          <w:rFonts w:ascii="Arial" w:eastAsia="Times New Roman" w:hAnsi="Arial" w:cs="Arial"/>
          <w:color w:val="000000" w:themeColor="text1"/>
          <w:lang w:val="en-US" w:eastAsia="de-DE"/>
        </w:rPr>
        <w:instrText>the upcoming years.","author":[{"dropping-particle":"","family":"Ginzberg","given":"M. B.","non-dropping-particle":"","parse-names":false,"suffix":""},{"dropping-particle":"","family":"Kafri","given":"R.","non-dropping-particle":"","parse-names":false,"suf</w:instrText>
      </w:r>
      <w:r>
        <w:rPr>
          <w:rFonts w:ascii="Arial" w:eastAsia="Times New Roman" w:hAnsi="Arial" w:cs="Arial"/>
          <w:color w:val="000000" w:themeColor="text1"/>
          <w:lang w:val="en-US" w:eastAsia="de-DE"/>
        </w:rPr>
        <w:instrText>fix":""},{"dropping-particle":"","family":"Kirschner","given":"M.","non-dropping-particle":"","parse-names":false,"suffix":""}],"container-title":"Science","id":"ITEM-1","issue":"6236","issued":{"date-parts":[["2015","5","15"]]},"page":"1245075-1245075","t</w:instrText>
      </w:r>
      <w:r>
        <w:rPr>
          <w:rFonts w:ascii="Arial" w:eastAsia="Times New Roman" w:hAnsi="Arial" w:cs="Arial"/>
          <w:color w:val="000000" w:themeColor="text1"/>
          <w:lang w:val="en-US" w:eastAsia="de-DE"/>
        </w:rPr>
        <w:instrText>itle":"On being the right (cell) size","type":"article-journal","volume":"348"},"uris":["http://www.mendeley.com/documents/?uuid=92564f82-0fe7-3dc4-bb67-6f972f035256"]}],"mendeley":{"formattedCitation":"&lt;sup&gt;7&lt;/sup&gt;","plainTextFormattedCitation":"7","previ</w:instrText>
      </w:r>
      <w:r>
        <w:rPr>
          <w:rFonts w:ascii="Arial" w:eastAsia="Times New Roman" w:hAnsi="Arial" w:cs="Arial"/>
          <w:color w:val="000000" w:themeColor="text1"/>
          <w:lang w:val="en-US" w:eastAsia="de-DE"/>
        </w:rPr>
        <w:instrText>ouslyFormattedCitation":"&lt;sup&gt;7&lt;/sup&gt;"},"properties":{"noteIndex":0},"schema":"https://github.com/citation-style-language/schema/raw/master/csl-citation.json"}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 latter may be attributed to the fact that a hallmark of cancers is a </w:t>
      </w:r>
      <w:proofErr w:type="spellStart"/>
      <w:r>
        <w:rPr>
          <w:rFonts w:ascii="Arial" w:eastAsia="Times New Roman" w:hAnsi="Arial" w:cs="Arial"/>
          <w:color w:val="000000" w:themeColor="text1"/>
          <w:lang w:val="en-US" w:eastAsia="de-DE"/>
        </w:rPr>
        <w:t>misregulation</w:t>
      </w:r>
      <w:proofErr w:type="spellEnd"/>
      <w:r>
        <w:rPr>
          <w:rFonts w:ascii="Arial" w:eastAsia="Times New Roman" w:hAnsi="Arial" w:cs="Arial"/>
          <w:color w:val="000000" w:themeColor="text1"/>
          <w:lang w:val="en-US" w:eastAsia="de-DE"/>
        </w:rPr>
        <w:t xml:space="preserve"> of c</w:t>
      </w:r>
      <w:r>
        <w:rPr>
          <w:rFonts w:ascii="Arial" w:eastAsia="Times New Roman" w:hAnsi="Arial" w:cs="Arial"/>
          <w:color w:val="000000" w:themeColor="text1"/>
          <w:lang w:val="en-US" w:eastAsia="de-DE"/>
        </w:rPr>
        <w:t>ell cycle and growth, and cancer cells often carry mutations in cell cycle regulators that are known to be involved in cell size regulation.</w:t>
      </w:r>
    </w:p>
    <w:p w14:paraId="5754721A"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 xml:space="preserve">In addition to increased cell size, also small cell size has been associated with several diseases. For </w:t>
      </w:r>
      <w:r>
        <w:rPr>
          <w:rFonts w:ascii="Arial" w:eastAsia="Times New Roman" w:hAnsi="Arial" w:cs="Arial"/>
          <w:color w:val="000000" w:themeColor="text1"/>
          <w:lang w:val="en-US" w:eastAsia="de-DE"/>
        </w:rPr>
        <w:t>example, neurological diseases such as alzheimer's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{"citationItems":[{"id":"ITEM-1","itemData":{"DOI":"10.1007/S00424-019-02310-2","ISSN":"1432-2013","PMID":"31520182","abstract":"Astrocytes, a class of morphologically and functionally di</w:instrText>
      </w:r>
      <w:r>
        <w:rPr>
          <w:rFonts w:ascii="Arial" w:eastAsia="Times New Roman" w:hAnsi="Arial" w:cs="Arial"/>
          <w:color w:val="000000" w:themeColor="text1"/>
          <w:lang w:val="en-US" w:eastAsia="de-DE"/>
        </w:rPr>
        <w:instrText>verse primary homeostatic neuroglia, are key keepers of neural tissue homeostasis and fundamental contributors to brain defence in pathological contexts. Failure of astroglial support and defence facilitate the evolution of neurological diseases, which oft</w:instrText>
      </w:r>
      <w:r>
        <w:rPr>
          <w:rFonts w:ascii="Arial" w:eastAsia="Times New Roman" w:hAnsi="Arial" w:cs="Arial"/>
          <w:color w:val="000000" w:themeColor="text1"/>
          <w:lang w:val="en-US" w:eastAsia="de-DE"/>
        </w:rPr>
        <w:instrText>en results in aberrant synaptic transmission, neurodegeneration and death of neurones. In Alzheimer’s disease (AD), astrocytes undergo complex and multifaceted metamorphoses ranging from atrophy with loss of function to reactive astrogliosis with hypertrop</w:instrText>
      </w:r>
      <w:r>
        <w:rPr>
          <w:rFonts w:ascii="Arial" w:eastAsia="Times New Roman" w:hAnsi="Arial" w:cs="Arial"/>
          <w:color w:val="000000" w:themeColor="text1"/>
          <w:lang w:val="en-US" w:eastAsia="de-DE"/>
        </w:rPr>
        <w:instrText xml:space="preserve">hy. Astroglial asthenia underlies reduced homeostatic support and neuroprotection that may account for impaired synaptic transmission and neuronal demise. Reactive astrogliosis which mainly develops in astrocytes associated with senile plaque is prominent </w:instrText>
      </w:r>
      <w:r>
        <w:rPr>
          <w:rFonts w:ascii="Arial" w:eastAsia="Times New Roman" w:hAnsi="Arial" w:cs="Arial"/>
          <w:color w:val="000000" w:themeColor="text1"/>
          <w:lang w:val="en-US" w:eastAsia="de-DE"/>
        </w:rPr>
        <w:instrText>at the early to moderate stages of AD manifested by mild cognitive impairment; downregulation of astrogliosis (reflecting astroglial paralysis) is associated with late stages of the disease characterised by severe dementia. Cell-specific therapies aimed at</w:instrText>
      </w:r>
      <w:r>
        <w:rPr>
          <w:rFonts w:ascii="Arial" w:eastAsia="Times New Roman" w:hAnsi="Arial" w:cs="Arial"/>
          <w:color w:val="000000" w:themeColor="text1"/>
          <w:lang w:val="en-US" w:eastAsia="de-DE"/>
        </w:rPr>
        <w:instrText xml:space="preserve"> boosting astroglial supportive and defensive capabilities and preventing astroglial paralysis may offer new directions in preventing, arresting, or even curing AD-linked neurodegeneration.","author":[{"dropping-particle":"","family":"Verkhratsky","given":</w:instrText>
      </w:r>
      <w:r>
        <w:rPr>
          <w:rFonts w:ascii="Arial" w:eastAsia="Times New Roman" w:hAnsi="Arial" w:cs="Arial"/>
          <w:color w:val="000000" w:themeColor="text1"/>
          <w:lang w:val="en-US" w:eastAsia="de-DE"/>
        </w:rPr>
        <w:instrText>"Alexei","non-dropping-particle":"","parse-names":false,"suffix":""},{"dropping-particle":"","family":"Rodrigues","given":"Jose Julio","non-dropping-particle":"","parse-names":false,"suffix":""},{"dropping-particle":"","family":"Pivoriunas","given":"August</w:instrText>
      </w:r>
      <w:r>
        <w:rPr>
          <w:rFonts w:ascii="Arial" w:eastAsia="Times New Roman" w:hAnsi="Arial" w:cs="Arial"/>
          <w:color w:val="000000" w:themeColor="text1"/>
          <w:lang w:val="en-US" w:eastAsia="de-DE"/>
        </w:rPr>
        <w:instrText>as","non-dropping-particle":"","parse-names":false,"suffix":""},{"dropping-particle":"","family":"Zorec","given":"Robert","non-dropping-particle":"","parse-names":false,"suffix":""},{"dropping-particle":"","family":"Semyanov","given":"Alexey","non-dropping</w:instrText>
      </w:r>
      <w:r>
        <w:rPr>
          <w:rFonts w:ascii="Arial" w:eastAsia="Times New Roman" w:hAnsi="Arial" w:cs="Arial"/>
          <w:color w:val="000000" w:themeColor="text1"/>
          <w:lang w:val="en-US" w:eastAsia="de-DE"/>
        </w:rPr>
        <w:instrText>-particle":"","parse-names":false,"suffix":""}],"container-title":"Pflügers Archiv - European Journal of Physiology 2019 471:10","id":"ITEM-1","issue":"10","issued":{"date-parts":[["2019","9","13"]]},"page":"1247-1261","publisher":"Springer","title":"Astro</w:instrText>
      </w:r>
      <w:r>
        <w:rPr>
          <w:rFonts w:ascii="Arial" w:eastAsia="Times New Roman" w:hAnsi="Arial" w:cs="Arial"/>
          <w:color w:val="000000" w:themeColor="text1"/>
          <w:lang w:val="en-US" w:eastAsia="de-DE"/>
        </w:rPr>
        <w:instrText>glial atrophy in Alzheimer’s disease","type":"article-journal","volume":"471"},"uris":["http://www.mendeley.com/documents/?uuid=127091ec-2806-355a-8a95-66214c463982"]}],"mendeley":{"formattedCitation":"&lt;sup&gt;379&lt;/sup&gt;","plainTextFormattedCitation":"379","pr</w:instrText>
      </w:r>
      <w:r>
        <w:rPr>
          <w:rFonts w:ascii="Arial" w:eastAsia="Times New Roman" w:hAnsi="Arial" w:cs="Arial"/>
          <w:color w:val="000000" w:themeColor="text1"/>
          <w:lang w:val="en-US" w:eastAsia="de-DE"/>
        </w:rPr>
        <w:instrText>eviouslyFormattedCitation":"&lt;sup&gt;379&lt;/sup&gt;"},"properties":{"noteIndex":0},"schema":"https://github.com/citation-style-language/schema/raw/master/csl-citation.json"}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379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autism</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{"citationItems":[{"id":"ITEM-1","itemData":{"DOI":"10.1023</w:instrText>
      </w:r>
      <w:r>
        <w:rPr>
          <w:rFonts w:ascii="Arial" w:eastAsia="Times New Roman" w:hAnsi="Arial" w:cs="Arial"/>
          <w:color w:val="000000" w:themeColor="text1"/>
          <w:lang w:val="en-US" w:eastAsia="de-DE"/>
        </w:rPr>
        <w:instrText xml:space="preserve">/A:1019861721160/METRICS","ISSN":"02724340","PMID":"12363198","abstract":"1. The authors' goal was to compare the size and density of Purkinje cells in the cerebellum of subjects with and without autism. Blocks of cerebellum were dissected at autopsy from </w:instrText>
      </w:r>
      <w:r>
        <w:rPr>
          <w:rFonts w:ascii="Arial" w:eastAsia="Times New Roman" w:hAnsi="Arial" w:cs="Arial"/>
          <w:color w:val="000000" w:themeColor="text1"/>
          <w:lang w:val="en-US" w:eastAsia="de-DE"/>
        </w:rPr>
        <w:instrText>the brains of age, sex- and postmortem-intervaled (PMI) groups of autistic and normal control individuals (N = 5 per group). Frozen, unfixed blocks were sectioned and stained with 1% cresyl violet. 2. The linear, molecular, granular densities and cross-sec</w:instrText>
      </w:r>
      <w:r>
        <w:rPr>
          <w:rFonts w:ascii="Arial" w:eastAsia="Times New Roman" w:hAnsi="Arial" w:cs="Arial"/>
          <w:color w:val="000000" w:themeColor="text1"/>
          <w:lang w:val="en-US" w:eastAsia="de-DE"/>
        </w:rPr>
        <w:instrText xml:space="preserve">tional area of Purkinje cells were measured using computer-assisted image analysis. The average cross-sectional areas of Purkinje cells of the patients with autism were smaller by 24% when compared to the normal subjects. Two of the five autistic subjects </w:instrText>
      </w:r>
      <w:r>
        <w:rPr>
          <w:rFonts w:ascii="Arial" w:eastAsia="Times New Roman" w:hAnsi="Arial" w:cs="Arial"/>
          <w:color w:val="000000" w:themeColor="text1"/>
          <w:lang w:val="en-US" w:eastAsia="de-DE"/>
        </w:rPr>
        <w:instrText>had mean Purkinje cell sizes that corresponded to greater than 50% reduction in size. There was a substantial effect size difference in Purkinje cell size (η2 = 0.29) between control and autistic brains (F(1,8) = 3.32, P = 0.106). No differences in Purkinj</w:instrText>
      </w:r>
      <w:r>
        <w:rPr>
          <w:rFonts w:ascii="Arial" w:eastAsia="Times New Roman" w:hAnsi="Arial" w:cs="Arial"/>
          <w:color w:val="000000" w:themeColor="text1"/>
          <w:lang w:val="en-US" w:eastAsia="de-DE"/>
        </w:rPr>
        <w:instrText>e cell densities were observed between the two groups. 3. These data indicate the possibility of Purkinje cell atrophy in autism with significant neurohistological heterogeneity among individuals diagnosed with this disorder.","author":[{"dropping-particle</w:instrText>
      </w:r>
      <w:r>
        <w:rPr>
          <w:rFonts w:ascii="Arial" w:eastAsia="Times New Roman" w:hAnsi="Arial" w:cs="Arial"/>
          <w:color w:val="000000" w:themeColor="text1"/>
          <w:lang w:val="en-US" w:eastAsia="de-DE"/>
        </w:rPr>
        <w:instrText>":"","family":"Fatemi","given":"S. Hossein","non-dropping-particle":"","parse-names":false,"suffix":""},{"dropping-particle":"","family":"Halt","given":"Amy R.","non-dropping-particle":"","parse-names":false,"suffix":""},{"dropping-particle":"","family":"R</w:instrText>
      </w:r>
      <w:r>
        <w:rPr>
          <w:rFonts w:ascii="Arial" w:eastAsia="Times New Roman" w:hAnsi="Arial" w:cs="Arial"/>
          <w:color w:val="000000" w:themeColor="text1"/>
          <w:lang w:val="en-US" w:eastAsia="de-DE"/>
        </w:rPr>
        <w:instrText>ealmuto","given":"George","non-dropping-particle":"","parse-names":false,"suffix":""},{"dropping-particle":"","family":"Earle","given":"Julie","non-dropping-particle":"","parse-names":false,"suffix":""},{"dropping-particle":"","family":"Kist","given":"Davi</w:instrText>
      </w:r>
      <w:r>
        <w:rPr>
          <w:rFonts w:ascii="Arial" w:eastAsia="Times New Roman" w:hAnsi="Arial" w:cs="Arial"/>
          <w:color w:val="000000" w:themeColor="text1"/>
          <w:lang w:val="en-US" w:eastAsia="de-DE"/>
        </w:rPr>
        <w:instrText>d A.","non-dropping-particle":"","parse-names":false,"suffix":""},{"dropping-particle":"","family":"Thuras","given":"Paul","non-dropping-particle":"","parse-names":false,"suffix":""},{"dropping-particle":"","family":"Metz","given":"Amelia","non-dropping-pa</w:instrText>
      </w:r>
      <w:r>
        <w:rPr>
          <w:rFonts w:ascii="Arial" w:eastAsia="Times New Roman" w:hAnsi="Arial" w:cs="Arial"/>
          <w:color w:val="000000" w:themeColor="text1"/>
          <w:lang w:val="en-US" w:eastAsia="de-DE"/>
        </w:rPr>
        <w:instrText>rticle":"","parse-names":false,"suffix":""}],"container-title":"Cellular and Molecular Neurobiology","id":"ITEM-1","issue":"2","issued":{"date-parts":[["2002","4"]]},"page":"171-175","publisher":"Springer","title":"Purkinje cell size is reduced in cerebell</w:instrText>
      </w:r>
      <w:r>
        <w:rPr>
          <w:rFonts w:ascii="Arial" w:eastAsia="Times New Roman" w:hAnsi="Arial" w:cs="Arial"/>
          <w:color w:val="000000" w:themeColor="text1"/>
          <w:lang w:val="en-US" w:eastAsia="de-DE"/>
        </w:rPr>
        <w:instrText>um of patients with autism","type":"article-journal","volume":"22"},"uris":["http://www.mendeley.com/documents/?uuid=15ce272e-b274-39ed-90d8-ae5a82381619"]}],"mendeley":{"formattedCitation":"&lt;sup&gt;380&lt;/sup&gt;","plainTextFormattedCitation":"380","previouslyFor</w:instrText>
      </w:r>
      <w:r>
        <w:rPr>
          <w:rFonts w:ascii="Arial" w:eastAsia="Times New Roman" w:hAnsi="Arial" w:cs="Arial"/>
          <w:color w:val="000000" w:themeColor="text1"/>
          <w:lang w:val="en-US" w:eastAsia="de-DE"/>
        </w:rPr>
        <w:instrText>mattedCitation":"&lt;sup&gt;380&lt;/sup&gt;"},"properties":{"noteIndex":0},"schema":"https://github.com/citation-style-language/schema/raw/master/csl-citation.json"}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380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and schizophrenia</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{"citationItems":[{"id":"ITEM-1","itemData":{"DOI":"10.1176</w:instrText>
      </w:r>
      <w:r>
        <w:rPr>
          <w:rFonts w:ascii="Arial" w:eastAsia="Times New Roman" w:hAnsi="Arial" w:cs="Arial"/>
          <w:color w:val="000000" w:themeColor="text1"/>
          <w:lang w:val="en-US" w:eastAsia="de-DE"/>
        </w:rPr>
        <w:instrText>/AJP.155.9.1288/ASSET/IMAGES/LARGE/AE26F1.JPEG","ISSN":"0002953X","PMID":"9734558","abstract":"Objective: The authors' goal was to compare the size and linear density of Purkinje cells in the cerebellar vermis of subjects with and without schizophrenia. Me</w:instrText>
      </w:r>
      <w:r>
        <w:rPr>
          <w:rFonts w:ascii="Arial" w:eastAsia="Times New Roman" w:hAnsi="Arial" w:cs="Arial"/>
          <w:color w:val="000000" w:themeColor="text1"/>
          <w:lang w:val="en-US" w:eastAsia="de-DE"/>
        </w:rPr>
        <w:instrText>thod: Blocks of alcohol-fixed cerebellar vermis were dissected at autopsy from the brains of 14 elderly patients with schizophrenia and 13 elderly subjects with no history of neuropsychiatric illness. The blocks of vermis were sectioned and stained with 1%</w:instrText>
      </w:r>
      <w:r>
        <w:rPr>
          <w:rFonts w:ascii="Arial" w:eastAsia="Times New Roman" w:hAnsi="Arial" w:cs="Arial"/>
          <w:color w:val="000000" w:themeColor="text1"/>
          <w:lang w:val="en-US" w:eastAsia="de-DE"/>
        </w:rPr>
        <w:instrText xml:space="preserve"> cresyl violet. The linear density and cross-sectional area of Purkinje cells were measured by using computer-assisted image analysis. The subjects with schizophrenia had been assessed with clinical rating scales within 1 year prior to death. Results: The </w:instrText>
      </w:r>
      <w:r>
        <w:rPr>
          <w:rFonts w:ascii="Arial" w:eastAsia="Times New Roman" w:hAnsi="Arial" w:cs="Arial"/>
          <w:color w:val="000000" w:themeColor="text1"/>
          <w:lang w:val="en-US" w:eastAsia="de-DE"/>
        </w:rPr>
        <w:instrText xml:space="preserve">average cross-sectional areas of Purkinje cells of the patients with schizophrenia were significantly smaller (by 8.3%) than those of the subjects without neuropsychiatric illness. No difference in Purkinje cell linear density was observed between the two </w:instrText>
      </w:r>
      <w:r>
        <w:rPr>
          <w:rFonts w:ascii="Arial" w:eastAsia="Times New Roman" w:hAnsi="Arial" w:cs="Arial"/>
          <w:color w:val="000000" w:themeColor="text1"/>
          <w:lang w:val="en-US" w:eastAsia="de-DE"/>
        </w:rPr>
        <w:instrText xml:space="preserve">groups. Significant correlations were seen between Purkinje cell size and scores on the Mini- Mental State, the Brief Psychiatric Rating Scale, and the antipsychotic drug dose. Conclusions: These data indicate cerebellar involvement in schizophrenia; they </w:instrText>
      </w:r>
      <w:r>
        <w:rPr>
          <w:rFonts w:ascii="Arial" w:eastAsia="Times New Roman" w:hAnsi="Arial" w:cs="Arial"/>
          <w:color w:val="000000" w:themeColor="text1"/>
          <w:lang w:val="en-US" w:eastAsia="de-DE"/>
        </w:rPr>
        <w:instrText>are also consistent with reports of reduced neuronal size in other brain regions of patients with schizophrenia. These findings support a model of widespread central nervous system abnormality in schizophrenia.","author":[{"dropping-particle":"","family":"</w:instrText>
      </w:r>
      <w:r>
        <w:rPr>
          <w:rFonts w:ascii="Arial" w:eastAsia="Times New Roman" w:hAnsi="Arial" w:cs="Arial"/>
          <w:color w:val="000000" w:themeColor="text1"/>
          <w:lang w:val="en-US" w:eastAsia="de-DE"/>
        </w:rPr>
        <w:instrText>Tran","given":"Khoa D.","non-dropping-particle":"","parse-names":false,"suffix":""},{"dropping-particle":"","family":"Smutzer","given":"Gregory S.","non-dropping-particle":"","parse-names":false,"suffix":""},{"dropping-particle":"","family":"Doty","given":</w:instrText>
      </w:r>
      <w:r>
        <w:rPr>
          <w:rFonts w:ascii="Arial" w:eastAsia="Times New Roman" w:hAnsi="Arial" w:cs="Arial"/>
          <w:color w:val="000000" w:themeColor="text1"/>
          <w:lang w:val="en-US" w:eastAsia="de-DE"/>
        </w:rPr>
        <w:instrText>"Richard L.","non-dropping-particle":"","parse-names":false,"suffix":""},{"dropping-particle":"","family":"Arnold","given":"Steven E.","non-dropping-particle":"","parse-names":false,"suffix":""}],"container-title":"American Journal of Psychiatry","id":"ITE</w:instrText>
      </w:r>
      <w:r>
        <w:rPr>
          <w:rFonts w:ascii="Arial" w:eastAsia="Times New Roman" w:hAnsi="Arial" w:cs="Arial"/>
          <w:color w:val="000000" w:themeColor="text1"/>
          <w:lang w:val="en-US" w:eastAsia="de-DE"/>
        </w:rPr>
        <w:instrText>M-1","issue":"9","issued":{"date-parts":[["1998","9","1"]]},"page":"1288-1290","publisher":"American Psychiatric Association","title":"Reduced Purkinje cell size in the cerebellar vermis of elderly patients with schizophrenia","type":"article-journal","vol</w:instrText>
      </w:r>
      <w:r>
        <w:rPr>
          <w:rFonts w:ascii="Arial" w:eastAsia="Times New Roman" w:hAnsi="Arial" w:cs="Arial"/>
          <w:color w:val="000000" w:themeColor="text1"/>
          <w:lang w:val="en-US" w:eastAsia="de-DE"/>
        </w:rPr>
        <w:instrText>ume":"155"},"uris":["http://www.mendeley.com/documents/?uuid=8594737b-f4d6-3ade-bc09-5b23ed7dd3fa"]}],"mendeley":{"formattedCitation":"&lt;sup&gt;381&lt;/sup&gt;","plainTextFormattedCitation":"381","previouslyFormattedCitation":"&lt;sup&gt;381&lt;/sup&gt;"},"properties":{"noteInd</w:instrText>
      </w:r>
      <w:r>
        <w:rPr>
          <w:rFonts w:ascii="Arial" w:eastAsia="Times New Roman" w:hAnsi="Arial" w:cs="Arial"/>
          <w:color w:val="000000" w:themeColor="text1"/>
          <w:lang w:val="en-US" w:eastAsia="de-DE"/>
        </w:rPr>
        <w:instrText>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381</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have been correlated with cellular atrophy of neurons as well as the supporting glial cells. Moreover, for muscular atrophy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w:instrText>
      </w:r>
      <w:r>
        <w:rPr>
          <w:rFonts w:ascii="Arial" w:eastAsia="Times New Roman" w:hAnsi="Arial" w:cs="Arial"/>
          <w:color w:val="000000" w:themeColor="text1"/>
          <w:lang w:val="en-US" w:eastAsia="de-DE"/>
        </w:rPr>
        <w:instrText>Items":[{"id":"ITEM-1","itemData":{"DOI":"10.1016/J.PHRS.2021.105807","ISSN":"1096-1186","PMID":"34389456","abstract":"Skeletal muscle is a crucial tissue for movement, gestural assistance, metabolic homeostasis, and thermogenesis. It makes up approximatel</w:instrText>
      </w:r>
      <w:r>
        <w:rPr>
          <w:rFonts w:ascii="Arial" w:eastAsia="Times New Roman" w:hAnsi="Arial" w:cs="Arial"/>
          <w:color w:val="000000" w:themeColor="text1"/>
          <w:lang w:val="en-US" w:eastAsia="de-DE"/>
        </w:rPr>
        <w:instrText>y 40% of the total body weight and 50% of total protein. However, several pathological abnormalities (e.g., chronic diseases, cancer, long-term infection, aging) can induce an imbalance in skeletal muscle protein synthesis and degradation, which triggers m</w:instrText>
      </w:r>
      <w:r>
        <w:rPr>
          <w:rFonts w:ascii="Arial" w:eastAsia="Times New Roman" w:hAnsi="Arial" w:cs="Arial"/>
          <w:color w:val="000000" w:themeColor="text1"/>
          <w:lang w:val="en-US" w:eastAsia="de-DE"/>
        </w:rPr>
        <w:instrText>uscle wasting and even leads to atrophy. Skeletal muscle atrophy is characterized by weakening, shrinking, and decreasing muscle mass and fiber cross-sectional area at the histological level. It manifests as a reduction in force production, easy fatigue an</w:instrText>
      </w:r>
      <w:r>
        <w:rPr>
          <w:rFonts w:ascii="Arial" w:eastAsia="Times New Roman" w:hAnsi="Arial" w:cs="Arial"/>
          <w:color w:val="000000" w:themeColor="text1"/>
          <w:lang w:val="en-US" w:eastAsia="de-DE"/>
        </w:rPr>
        <w:instrText xml:space="preserve">d decreased exercise capability, along with a lower quality of life. Mechanistically, there are several pathophysiological processes involved in skeletal muscle atrophy, including oxidative stress and inflammation, which then activate signal transduction, </w:instrText>
      </w:r>
      <w:r>
        <w:rPr>
          <w:rFonts w:ascii="Arial" w:eastAsia="Times New Roman" w:hAnsi="Arial" w:cs="Arial"/>
          <w:color w:val="000000" w:themeColor="text1"/>
          <w:lang w:val="en-US" w:eastAsia="de-DE"/>
        </w:rPr>
        <w:instrText>such as the ubiquitin proteasome system, autophagy lysosome system, and mTOR. Considering the great economic and social burden that muscle atrophy can inflict, effective prevention and treatment strategies are essential but still limited. Exercise is widel</w:instrText>
      </w:r>
      <w:r>
        <w:rPr>
          <w:rFonts w:ascii="Arial" w:eastAsia="Times New Roman" w:hAnsi="Arial" w:cs="Arial"/>
          <w:color w:val="000000" w:themeColor="text1"/>
          <w:lang w:val="en-US" w:eastAsia="de-DE"/>
        </w:rPr>
        <w:instrText>y acknowledged as the most effective therapy for skeletal muscle atrophy; unfortunately, it is not applicable for all patients. Several active substances for sk</w:instrText>
      </w:r>
      <w:r>
        <w:rPr>
          <w:rFonts w:ascii="Arial" w:eastAsia="Times New Roman" w:hAnsi="Arial" w:cs="Arial"/>
          <w:color w:val="000000" w:themeColor="text1"/>
          <w:lang w:eastAsia="de-DE"/>
        </w:rPr>
        <w:instrText xml:space="preserve">eletal muscle atrophy have been discovered and evaluated in clinical trials, however, they have </w:instrText>
      </w:r>
      <w:r>
        <w:rPr>
          <w:rFonts w:ascii="Arial" w:eastAsia="Times New Roman" w:hAnsi="Arial" w:cs="Arial"/>
          <w:color w:val="000000" w:themeColor="text1"/>
          <w:lang w:eastAsia="de-DE"/>
        </w:rPr>
        <w:instrText>not been marketed to date. Knowledge is being gained on the underlying mechanisms, highlighting more promising treatment strategies in the future. In this paper, the mechanisms and treatment strategies for skeletal muscle atrophy are briefly reviewed.","au</w:instrText>
      </w:r>
      <w:r>
        <w:rPr>
          <w:rFonts w:ascii="Arial" w:eastAsia="Times New Roman" w:hAnsi="Arial" w:cs="Arial"/>
          <w:color w:val="000000" w:themeColor="text1"/>
          <w:lang w:eastAsia="de-DE"/>
        </w:rPr>
        <w:instrText>thor":[{"dropping-particle":"","family":"Yin","given":"Lin","non-dropping-particle":"","parse-names":false,"suffix":""},{"dropping-particle":"","family":"Li","given":"Na","non-dropping-particle":"","parse-names":false,"suffix":""},{"dropping-particle":"","</w:instrText>
      </w:r>
      <w:r>
        <w:rPr>
          <w:rFonts w:ascii="Arial" w:eastAsia="Times New Roman" w:hAnsi="Arial" w:cs="Arial"/>
          <w:color w:val="000000" w:themeColor="text1"/>
          <w:lang w:eastAsia="de-DE"/>
        </w:rPr>
        <w:instrText>family":"Jia","given":"Weihua","non-dropping-particle":"","parse-names":false,"suffix":""},{"dropping-particle":"","family":"Wang","given":"Nuoqi","non-dropping-particle":"","parse-names":false,"suffix":""},{"dropping-particle":"","family":"Liang","given":</w:instrText>
      </w:r>
      <w:r>
        <w:rPr>
          <w:rFonts w:ascii="Arial" w:eastAsia="Times New Roman" w:hAnsi="Arial" w:cs="Arial"/>
          <w:color w:val="000000" w:themeColor="text1"/>
          <w:lang w:eastAsia="de-DE"/>
        </w:rPr>
        <w:instrText>"Meidai","non-dropping-particle":"","parse-names":false,"suffix":""},{"dropping-particle":"","family":"Yang","given":"Xiuying","non-dropping-particle":"","parse-names":false,"suffix":""},{"dropping-particle":"","family":"Du","given":"Guanhua","non-dropping</w:instrText>
      </w:r>
      <w:r>
        <w:rPr>
          <w:rFonts w:ascii="Arial" w:eastAsia="Times New Roman" w:hAnsi="Arial" w:cs="Arial"/>
          <w:color w:val="000000" w:themeColor="text1"/>
          <w:lang w:eastAsia="de-DE"/>
        </w:rPr>
        <w:instrText>-particle":"","parse-names":false,"suffix":""}],"container-title":"Pharmacological research","id":"ITEM-1","issued":{"date-parts":[["2021","10","1"]]},"publisher":"Pharmacol Res","title":"Skeletal muscle atrophy: From mechanisms to treatments","type":"arti</w:instrText>
      </w:r>
      <w:r>
        <w:rPr>
          <w:rFonts w:ascii="Arial" w:eastAsia="Times New Roman" w:hAnsi="Arial" w:cs="Arial"/>
          <w:color w:val="000000" w:themeColor="text1"/>
          <w:lang w:eastAsia="de-DE"/>
        </w:rPr>
        <w:instrText>cle-journal","volume":"172"},"uris":["http://www.mendeley.com/documents/?uuid=ce29416c-78d9-3e60-be23-d1a1c0852b59"]}],"mendeley":{"formattedCitation":"&lt;sup&gt;382&lt;/sup&gt;","plainTextFormattedCitation":"382","previouslyFormattedCitation":"&lt;sup&gt;382&lt;/sup&gt;"},"prop</w:instrText>
      </w:r>
      <w:r>
        <w:rPr>
          <w:rFonts w:ascii="Arial" w:eastAsia="Times New Roman" w:hAnsi="Arial" w:cs="Arial"/>
          <w:color w:val="000000" w:themeColor="text1"/>
          <w:lang w:eastAsia="de-DE"/>
        </w:rPr>
        <w:instrText>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382</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and glaucoma in monkeys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{"citationItems":[{"id":"ITEM-1","itemData":{"ISSN":"0146-0404","PMID":"11726625","abstract":</w:instrText>
      </w:r>
      <w:r>
        <w:rPr>
          <w:rFonts w:ascii="Arial" w:eastAsia="Times New Roman" w:hAnsi="Arial" w:cs="Arial"/>
          <w:color w:val="000000" w:themeColor="text1"/>
          <w:lang w:val="en-US" w:eastAsia="de-DE"/>
        </w:rPr>
        <w:instrText>"PURPOSE. To determine whether in glaucoma there is atrophy of relay neurons in magnocellular and/or parvocellular lateral geniculate nucleus (LGN) layers projecting to the visual cortex and to compare the degree of neuronal atrophy in magnocellular layers</w:instrText>
      </w:r>
      <w:r>
        <w:rPr>
          <w:rFonts w:ascii="Arial" w:eastAsia="Times New Roman" w:hAnsi="Arial" w:cs="Arial"/>
          <w:color w:val="000000" w:themeColor="text1"/>
          <w:lang w:val="en-US" w:eastAsia="de-DE"/>
        </w:rPr>
        <w:instrText xml:space="preserve"> with that in parvocellular layers. METHODS. Seven cynomolgus monkeys with unilateral experimentally induced glaucoma and five control monkeys were studied. The left LGN neurons in magnocellular layer 1 and parvocellular layers 4 and 6, connected to the ri</w:instrText>
      </w:r>
      <w:r>
        <w:rPr>
          <w:rFonts w:ascii="Arial" w:eastAsia="Times New Roman" w:hAnsi="Arial" w:cs="Arial"/>
          <w:color w:val="000000" w:themeColor="text1"/>
          <w:lang w:val="en-US" w:eastAsia="de-DE"/>
        </w:rPr>
        <w:instrText>ght glaucomatous eye were examined. Immunocytochemistry with antibody to parvalbumin was used to specifically label relay neurons connecting to the visual cortex. Neuronal cell body cross-sectional area was estimated using unbiased point-counting methodolo</w:instrText>
      </w:r>
      <w:r>
        <w:rPr>
          <w:rFonts w:ascii="Arial" w:eastAsia="Times New Roman" w:hAnsi="Arial" w:cs="Arial"/>
          <w:color w:val="000000" w:themeColor="text1"/>
          <w:lang w:val="en-US" w:eastAsia="de-DE"/>
        </w:rPr>
        <w:instrText>gy. Experimental and control groups were compared using t-tests. Analysis of covariance (ANCOVA) tests were used to compare the percentage of decrease in mean neuronal area between layers 1, 4, and 6, as a function of percentage of optic nerve fiber loss o</w:instrText>
      </w:r>
      <w:r>
        <w:rPr>
          <w:rFonts w:ascii="Arial" w:eastAsia="Times New Roman" w:hAnsi="Arial" w:cs="Arial"/>
          <w:color w:val="000000" w:themeColor="text1"/>
          <w:lang w:val="en-US" w:eastAsia="de-DE"/>
        </w:rPr>
        <w:instrText>r mean IOP. There was significant correlation between percentage of optic nerve fiber loss and mean IOP. RESULTS. The mean cross-sectional area of relay neurons in magnocellular layer 1 and parvocellular layers 4 and 6 were significantly decreased in glauc</w:instrText>
      </w:r>
      <w:r>
        <w:rPr>
          <w:rFonts w:ascii="Arial" w:eastAsia="Times New Roman" w:hAnsi="Arial" w:cs="Arial"/>
          <w:color w:val="000000" w:themeColor="text1"/>
          <w:lang w:val="en-US" w:eastAsia="de-DE"/>
        </w:rPr>
        <w:instrText xml:space="preserve">oma compared with controls by 28%, 37%, and 45%, respectively. Neuronal area decreased in a linear fashion, with increasing optic nerve fiber loss or increasing mean IOP for layers 1, 4, and 6. The percentage of neuronal shrinkage in each of parvocellular </w:instrText>
      </w:r>
      <w:r>
        <w:rPr>
          <w:rFonts w:ascii="Arial" w:eastAsia="Times New Roman" w:hAnsi="Arial" w:cs="Arial"/>
          <w:color w:val="000000" w:themeColor="text1"/>
          <w:lang w:val="en-US" w:eastAsia="de-DE"/>
        </w:rPr>
        <w:instrText xml:space="preserve">layers 4 and 6, as a function of optic nerve fiber loss (P = 0.05; P = 0.001, respectively) or mean IOP (P = 0.046; P = 0.0008, respectively), was greater than that seen in magnocellular layer 1. CONCLUSIONS. Relay neurons in the LGN, which project to the </w:instrText>
      </w:r>
      <w:r>
        <w:rPr>
          <w:rFonts w:ascii="Arial" w:eastAsia="Times New Roman" w:hAnsi="Arial" w:cs="Arial"/>
          <w:color w:val="000000" w:themeColor="text1"/>
          <w:lang w:val="en-US" w:eastAsia="de-DE"/>
        </w:rPr>
        <w:instrText>visual cortex, undergo significant shrinkage in glaucoma, and neurons in parvocellular layers undergo significantly more shrinkage than neurons in magnocellular layers. Copyright © Association for Research in Vision and Ophthalmology.","author":[{"dropping</w:instrText>
      </w:r>
      <w:r>
        <w:rPr>
          <w:rFonts w:ascii="Arial" w:eastAsia="Times New Roman" w:hAnsi="Arial" w:cs="Arial"/>
          <w:color w:val="000000" w:themeColor="text1"/>
          <w:lang w:val="en-US" w:eastAsia="de-DE"/>
        </w:rPr>
        <w:instrText>-particle":"","family":"Yücel","given":"Yeni H.","non-dropping-particle":"","parse-names":false,"suffix":""},{"dropping-particle":"","family":"Zhang","given":"Qiang","non-dropping-particle":"","parse-names":false,"suffix":""},{"dropping-particle":"","famil</w:instrText>
      </w:r>
      <w:r>
        <w:rPr>
          <w:rFonts w:ascii="Arial" w:eastAsia="Times New Roman" w:hAnsi="Arial" w:cs="Arial"/>
          <w:color w:val="000000" w:themeColor="text1"/>
          <w:lang w:val="en-US" w:eastAsia="de-DE"/>
        </w:rPr>
        <w:instrText>y":"Weinreb","given":"Robert N.","non-dropping-particle":"","parse-names":false,"suffix":""},{"dropping-particle":"","family":"Kaufman","given":"Paul L.","non-dropping-particle":"","parse-names":false,"suffix":""},{"dropping-particle":"","family":"Gupta","</w:instrText>
      </w:r>
      <w:r>
        <w:rPr>
          <w:rFonts w:ascii="Arial" w:eastAsia="Times New Roman" w:hAnsi="Arial" w:cs="Arial"/>
          <w:color w:val="000000" w:themeColor="text1"/>
          <w:lang w:val="en-US" w:eastAsia="de-DE"/>
        </w:rPr>
        <w:instrText>given":"Neeru","non-dropping-particle":"","parse-names":false,"suffix":""}],"container-title":"Investigative Ophthalmology &amp; Visual Science","id":"ITEM-1","issue":"13","issued":{"date-parts":[["2001","12","1"]]},"page":"3216-3222","title":"Atrophy of relay</w:instrText>
      </w:r>
      <w:r>
        <w:rPr>
          <w:rFonts w:ascii="Arial" w:eastAsia="Times New Roman" w:hAnsi="Arial" w:cs="Arial"/>
          <w:color w:val="000000" w:themeColor="text1"/>
          <w:lang w:val="en-US" w:eastAsia="de-DE"/>
        </w:rPr>
        <w:instrText xml:space="preserve"> neurons in magno- and parvocellular layers in the lateral geniculate nucleus in experimental glaucoma.","type":"article-journal","volume":"42"},"uris":["http://www.mendeley.com/documents/?uuid=144fe9fe-62db-3ef4-8c78-bc9f41f3355f"]}],"mendeley":{"formatte</w:instrText>
      </w:r>
      <w:r>
        <w:rPr>
          <w:rFonts w:ascii="Arial" w:eastAsia="Times New Roman" w:hAnsi="Arial" w:cs="Arial"/>
          <w:color w:val="000000" w:themeColor="text1"/>
          <w:lang w:val="en-US" w:eastAsia="de-DE"/>
        </w:rPr>
        <w:instrText>dCitation":"&lt;sup&gt;383&lt;/sup&gt;","plainTextFormattedCitation":"383","previouslyFormattedCitation":"&lt;sup&gt;383&lt;/sup&gt;"},"properties":{"noteIndex":0},"schema":"https://github.com/citation-style-language/schema/raw/master/csl-citation.json"}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383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 decrease in size</w:t>
      </w:r>
      <w:r>
        <w:rPr>
          <w:rFonts w:ascii="Arial" w:eastAsia="Times New Roman" w:hAnsi="Arial" w:cs="Arial"/>
          <w:color w:val="000000" w:themeColor="text1"/>
          <w:lang w:val="en-US" w:eastAsia="de-DE"/>
        </w:rPr>
        <w:t xml:space="preserve"> has been observed for myocytes and relay neurons, respectively. In some cases of iron deficiency anemia, the red blood cells exhibit a smaller size than usual, a condition known as microcytic hypochromic anemia</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w:instrText>
      </w:r>
      <w:r>
        <w:rPr>
          <w:rFonts w:ascii="Arial" w:eastAsia="Times New Roman" w:hAnsi="Arial" w:cs="Arial"/>
          <w:color w:val="000000" w:themeColor="text1"/>
          <w:lang w:val="en-US" w:eastAsia="de-DE"/>
        </w:rPr>
        <w:instrText>TEM-1","itemData":{"DOI":"10.1056/NEJMRA1215361","ISSN":"0028-4793","abstract":"Microcytic anemia is characterized by smaller-than-normal red cells due to decreased production of hemoglobin. This review discusses diagnosis and treatment of thalassemia, ane</w:instrText>
      </w:r>
      <w:r>
        <w:rPr>
          <w:rFonts w:ascii="Arial" w:eastAsia="Times New Roman" w:hAnsi="Arial" w:cs="Arial"/>
          <w:color w:val="000000" w:themeColor="text1"/>
          <w:lang w:val="en-US" w:eastAsia="de-DE"/>
        </w:rPr>
        <w:instrText>mia of inflammation, ...","author":[{"dropping-particle":"","family":"DeLoughery","given":"Thomas G.","non-dropping-particle":"","parse-names":false,"suffix":""}],"container-title":"https://doi.org/10.1056/NEJMra1215361","id":"ITEM-1","issue":"14","issued"</w:instrText>
      </w:r>
      <w:r>
        <w:rPr>
          <w:rFonts w:ascii="Arial" w:eastAsia="Times New Roman" w:hAnsi="Arial" w:cs="Arial"/>
          <w:color w:val="000000" w:themeColor="text1"/>
          <w:lang w:val="en-US" w:eastAsia="de-DE"/>
        </w:rPr>
        <w:instrText>:{"date-parts":[["2014","10","2"]]},"page":"1324-1331","publisher":"Massachusetts Medical Society","title":"Microcytic Anemia","type":"article-journal","volume":"371"},"uris":["http://www.mendeley.com/documents/?uuid=c73743f9-3794-3cc7-a3a4-3b53c9dc674e"]}</w:instrText>
      </w:r>
      <w:r>
        <w:rPr>
          <w:rFonts w:ascii="Arial" w:eastAsia="Times New Roman" w:hAnsi="Arial" w:cs="Arial"/>
          <w:color w:val="000000" w:themeColor="text1"/>
          <w:lang w:val="en-US" w:eastAsia="de-DE"/>
        </w:rPr>
        <w:instrText>],"mendeley":{"formattedCitation":"&lt;sup&gt;384&lt;/sup&gt;","plainTextFormattedCitation":"384","previouslyFormattedCitation":"&lt;sup&gt;384&lt;/sup&gt;"},"properties":{"noteIndex":0},"schema":"https://github.com/citation-style-language/schema/raw/master/csl-citation.json"}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384</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w:t>
      </w:r>
    </w:p>
    <w:p w14:paraId="5DAA469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Despite common observations that altered cell sizes are correlated with disease states, it is often difficult to dissect the causal relationships. For example, large cell size has long been recognized as a hallmark of cellular senescence and aging. H</w:t>
      </w:r>
      <w:r>
        <w:rPr>
          <w:rFonts w:ascii="Arial" w:eastAsia="Times New Roman" w:hAnsi="Arial" w:cs="Arial"/>
          <w:color w:val="000000"/>
          <w:lang w:val="en-US" w:eastAsia="de-DE"/>
        </w:rPr>
        <w:t>owever, it has long not been clear whether this reflects a contribution of cell size to cellular malfunction, or whether the increased cell size is a byproduct of a decreased cell division rate. Only recently, it was shown that an enlarged cell size can be</w:t>
      </w:r>
      <w:r>
        <w:rPr>
          <w:rFonts w:ascii="Arial" w:eastAsia="Times New Roman" w:hAnsi="Arial" w:cs="Arial"/>
          <w:color w:val="000000"/>
          <w:lang w:val="en-US" w:eastAsia="de-DE"/>
        </w:rPr>
        <w:t xml:space="preserve"> a driver of cellular senescence and aging</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{"citationItems":[{"id":"ITEM-1","itemData":{"DOI":"10.1146/annurev-cellbio-120219-040142","ISSN":"15308995","PMID":"35562854","abstract":"The most fundamental feature of cellular form is size, w</w:instrText>
      </w:r>
      <w:r>
        <w:rPr>
          <w:rFonts w:ascii="Arial" w:eastAsia="Times New Roman" w:hAnsi="Arial" w:cs="Arial"/>
          <w:color w:val="000000"/>
          <w:lang w:val="en-US" w:eastAsia="de-DE"/>
        </w:rPr>
        <w:instrText>hich sets the scale of all cell biological processes. Growth, form, and function are all necessarily linked in cell biology, but we often do not understand the underlying molecular mechanisms nor their specific functions. Here, we review progress toward de</w:instrText>
      </w:r>
      <w:r>
        <w:rPr>
          <w:rFonts w:ascii="Arial" w:eastAsia="Times New Roman" w:hAnsi="Arial" w:cs="Arial"/>
          <w:color w:val="000000"/>
          <w:lang w:val="en-US" w:eastAsia="de-DE"/>
        </w:rPr>
        <w:instrText>termining the molecular mechanisms that regulate cell size in yeast, animals, and plants, as well as progress toward understanding the function of cell size regulation. It has become increasingly clear that the mechanism of cell size regulation is deeply i</w:instrText>
      </w:r>
      <w:r>
        <w:rPr>
          <w:rFonts w:ascii="Arial" w:eastAsia="Times New Roman" w:hAnsi="Arial" w:cs="Arial"/>
          <w:color w:val="000000"/>
          <w:lang w:val="en-US" w:eastAsia="de-DE"/>
        </w:rPr>
        <w:instrText>ntertwined with basic mechanisms of biosynthesis, and how biosynthesis can be scaled (or not) in proportion to cell size. Finally, we highlight recent findings causally linking aberrant cell size regulation to cellular senescence and their implications for</w:instrText>
      </w:r>
      <w:r>
        <w:rPr>
          <w:rFonts w:ascii="Arial" w:eastAsia="Times New Roman" w:hAnsi="Arial" w:cs="Arial"/>
          <w:color w:val="000000"/>
          <w:lang w:val="en-US" w:eastAsia="de-DE"/>
        </w:rPr>
        <w:instrText xml:space="preserve"> cancer therapies.","author":[{"dropping-particle":"","family":"Xie","given":"Shicong","non-dropping-particle":"","parse-names":false,"suffix":""},{"dropping-particle":"","family":"Swaffer","given":"Matthew","non-dropping-particle":"","parse-names":false,"</w:instrText>
      </w:r>
      <w:r>
        <w:rPr>
          <w:rFonts w:ascii="Arial" w:eastAsia="Times New Roman" w:hAnsi="Arial" w:cs="Arial"/>
          <w:color w:val="000000"/>
          <w:lang w:val="en-US" w:eastAsia="de-DE"/>
        </w:rPr>
        <w:instrText>suffix":""},{"dropping-particle":"","family":"Skotheim","given":"Jan M.","non-dropping-particle":"","parse-names":false,"suffix":""}],"container-title":"Annual Review of Cell and Developmental Biology","id":"ITEM-1","issued":{"date-parts":[["2022","10","6"</w:instrText>
      </w:r>
      <w:r>
        <w:rPr>
          <w:rFonts w:ascii="Arial" w:eastAsia="Times New Roman" w:hAnsi="Arial" w:cs="Arial"/>
          <w:color w:val="000000"/>
          <w:lang w:val="en-US" w:eastAsia="de-DE"/>
        </w:rPr>
        <w:instrText>]]},"page":"291-319","publisher":"Annual Reviews","title":"Eukaryotic Cell Size Control and Its Relation to Biosynthesis and Senescence","type":"article","volume":"38"},"uris":["http://www.mendeley.com/documents/?uuid=c174c0af-c9a1-3a8a-85ff-ff48610a6d49"]</w:instrText>
      </w:r>
      <w:r>
        <w:rPr>
          <w:rFonts w:ascii="Arial" w:eastAsia="Times New Roman" w:hAnsi="Arial" w:cs="Arial"/>
          <w:color w:val="000000"/>
          <w:lang w:val="en-US" w:eastAsia="de-DE"/>
        </w:rPr>
        <w:instrText>},{"id":"ITEM-2","itemData":{"DOI":"10.3389/FCELL.2022.1036602/BIBTEX","ISSN":"2296634X","abstract":"Years of important research has revealed that cells heavily invest in regulating their size. Nevertheless, it has remained unclear why accurate size contro</w:instrText>
      </w:r>
      <w:r>
        <w:rPr>
          <w:rFonts w:ascii="Arial" w:eastAsia="Times New Roman" w:hAnsi="Arial" w:cs="Arial"/>
          <w:color w:val="000000"/>
          <w:lang w:val="en-US" w:eastAsia="de-DE"/>
        </w:rPr>
        <w:instrText>l is so important. Our recent study using hematopoietic stem cells (HSCs) in vivo indicates that cellular enlargement is causally associated with aging. Here, we present an overview of these findings and their implications. Furthermore, we performed a broa</w:instrText>
      </w:r>
      <w:r>
        <w:rPr>
          <w:rFonts w:ascii="Arial" w:eastAsia="Times New Roman" w:hAnsi="Arial" w:cs="Arial"/>
          <w:color w:val="000000"/>
          <w:lang w:val="en-US" w:eastAsia="de-DE"/>
        </w:rPr>
        <w:instrText>d literature analysis to evaluate the potential of cellular enlargement as a new aging hallmark and to examine its connection to previously described aging hallmarks. Finally, we highlight interesting work presenting a correlation between cell size and age</w:instrText>
      </w:r>
      <w:r>
        <w:rPr>
          <w:rFonts w:ascii="Arial" w:eastAsia="Times New Roman" w:hAnsi="Arial" w:cs="Arial"/>
          <w:color w:val="000000"/>
          <w:lang w:val="en-US" w:eastAsia="de-DE"/>
        </w:rPr>
        <w:instrText>-related diseases. Taken together, we found mounting evidence linking cellular enlargement to aging and age-related diseases. Therefore, we encourage researchers from seemingly unrelated areas to take a fresh look at their data from the perspective of cell</w:instrText>
      </w:r>
      <w:r>
        <w:rPr>
          <w:rFonts w:ascii="Arial" w:eastAsia="Times New Roman" w:hAnsi="Arial" w:cs="Arial"/>
          <w:color w:val="000000"/>
          <w:lang w:val="en-US" w:eastAsia="de-DE"/>
        </w:rPr>
        <w:instrText xml:space="preserve"> size.","author":[{"dropping-particle":"","family":"Davies","given":"Daniel M.","non-dropping-particle":"","parse-names":false,"suffix":""},{"dropping-particle":"","family":"Handel","given":"Kim","non-dropping-particle":"van den","parse-names":false,"suffi</w:instrText>
      </w:r>
      <w:r>
        <w:rPr>
          <w:rFonts w:ascii="Arial" w:eastAsia="Times New Roman" w:hAnsi="Arial" w:cs="Arial"/>
          <w:color w:val="000000"/>
          <w:lang w:val="en-US" w:eastAsia="de-DE"/>
        </w:rPr>
        <w:instrText>x":""},{"dropping-particle":"","family":"Bharadwaj","given":"Soham","non-dropping-particle":"","parse-names":false,"suffix":""},{"dropping-particle":"","family":"Lengefeld","given":"Jette","non-dropping-particle":"","parse-names":false,"suffix":""}],"conta</w:instrText>
      </w:r>
      <w:r>
        <w:rPr>
          <w:rFonts w:ascii="Arial" w:eastAsia="Times New Roman" w:hAnsi="Arial" w:cs="Arial"/>
          <w:color w:val="000000"/>
          <w:lang w:val="en-US" w:eastAsia="de-DE"/>
        </w:rPr>
        <w:instrText>iner-title":"Frontiers in Cell and Developmental Biology","id":"ITEM-2","issued":{"date-parts":[["2022","11","10"]]},"page":"1036602","publisher":"Frontiers Media S.A.","title":"Cellular enlargement - A new hallmark of aging?","type":"article-journal","vol</w:instrText>
      </w:r>
      <w:r>
        <w:rPr>
          <w:rFonts w:ascii="Arial" w:eastAsia="Times New Roman" w:hAnsi="Arial" w:cs="Arial"/>
          <w:color w:val="000000"/>
          <w:lang w:val="en-US" w:eastAsia="de-DE"/>
        </w:rPr>
        <w:instrText>ume":"10"},"uris":["http://www.mendeley.com/documents/?uuid=5edfc922-1c43-3828-bc12-ff5807dccf5c"]},{"id":"ITEM-3","itemData":{"DOI":"10.1111/FEBS.16983","ISSN":"1742-4658","abstract":"Cellular senescence refers to a permanent and stable state of cell cycl</w:instrText>
      </w:r>
      <w:r>
        <w:rPr>
          <w:rFonts w:ascii="Arial" w:eastAsia="Times New Roman" w:hAnsi="Arial" w:cs="Arial"/>
          <w:color w:val="000000"/>
          <w:lang w:val="en-US" w:eastAsia="de-DE"/>
        </w:rPr>
        <w:instrText>e exit. This process plays an important role in many cellular functions, including tumor suppression. It was first noted that senescence is associated with increased cell size in the early 1960s; however, how this contributes to permanent cell cycle exit w</w:instrText>
      </w:r>
      <w:r>
        <w:rPr>
          <w:rFonts w:ascii="Arial" w:eastAsia="Times New Roman" w:hAnsi="Arial" w:cs="Arial"/>
          <w:color w:val="000000"/>
          <w:lang w:val="en-US" w:eastAsia="de-DE"/>
        </w:rPr>
        <w:instrText xml:space="preserve">as poorly understood until recently. In this review, we discuss new findings that identify increased cell size as not only a consequence but also a cause of permanent cell cycle exit. We highlight recent insights into how increased cell size alters normal </w:instrText>
      </w:r>
      <w:r>
        <w:rPr>
          <w:rFonts w:ascii="Arial" w:eastAsia="Times New Roman" w:hAnsi="Arial" w:cs="Arial"/>
          <w:color w:val="000000"/>
          <w:lang w:val="en-US" w:eastAsia="de-DE"/>
        </w:rPr>
        <w:instrText xml:space="preserve">cellular physiology and creates homeostatic imbalances that contribute to senescence induction. Finally, we focus on the potential clinical implications of these findings in the context of cell cycle arrest-causing cancer therapeutics and speculate on how </w:instrText>
      </w:r>
      <w:r>
        <w:rPr>
          <w:rFonts w:ascii="Arial" w:eastAsia="Times New Roman" w:hAnsi="Arial" w:cs="Arial"/>
          <w:color w:val="000000"/>
          <w:lang w:val="en-US" w:eastAsia="de-DE"/>
        </w:rPr>
        <w:instrText>tumor cell size changes may impact outcomes in patients treated with these drugs.","author":[{"dropping-particle":"","family":"Manohar","given":"Sandhya","non-dropping-particle":"","parse-names":false,"suffix":""},{"dropping-particle":"","family":"Neurohr"</w:instrText>
      </w:r>
      <w:r>
        <w:rPr>
          <w:rFonts w:ascii="Arial" w:eastAsia="Times New Roman" w:hAnsi="Arial" w:cs="Arial"/>
          <w:color w:val="000000"/>
          <w:lang w:val="en-US" w:eastAsia="de-DE"/>
        </w:rPr>
        <w:instrText>,"given":"Gabriel E.","non-dropping-particle":"","parse-names":false,"suffix":""}],"container-title":"The FEBS Journal","id":"ITEM-3","issued":{"date-parts":[["2023"]]},"publisher":"John Wiley &amp; Sons, Ltd","title":"Too big not to fail: emerging evidence fo</w:instrText>
      </w:r>
      <w:r>
        <w:rPr>
          <w:rFonts w:ascii="Arial" w:eastAsia="Times New Roman" w:hAnsi="Arial" w:cs="Arial"/>
          <w:color w:val="000000"/>
          <w:lang w:val="en-US" w:eastAsia="de-DE"/>
        </w:rPr>
        <w:instrText>r size-induced senescence","type":"article-journal"},"uris":["http://www.mendeley.com/documents/?uuid=ba8e639b-51a1-322a-87de-bf6ce9cd8865"]},{"id":"ITEM-4","itemData":{"DOI":"10.1016/j.molcel.2023.10.024","ISSN":"10974164","abstract":"In this issue of Mol</w:instrText>
      </w:r>
      <w:r>
        <w:rPr>
          <w:rFonts w:ascii="Arial" w:eastAsia="Times New Roman" w:hAnsi="Arial" w:cs="Arial"/>
          <w:color w:val="000000"/>
          <w:lang w:val="en-US" w:eastAsia="de-DE"/>
        </w:rPr>
        <w:instrText>ecular Cell, Crozier et al.,1 Foy et al.,2 Manohar et al.,3 and Wilson et al.4 show how excessive cell growth caused by a temporary G1 arrest leads to permanent cell cycle exit at different stages of the cell cycle.","author":[{"dropping-particle":"","fami</w:instrText>
      </w:r>
      <w:r>
        <w:rPr>
          <w:rFonts w:ascii="Arial" w:eastAsia="Times New Roman" w:hAnsi="Arial" w:cs="Arial"/>
          <w:color w:val="000000"/>
          <w:lang w:val="en-US" w:eastAsia="de-DE"/>
        </w:rPr>
        <w:instrText>ly":"Khurana","given":"Arohi","non-dropping-particle":"","parse-names":false,"suffix":""},{"dropping-particle":"","family":"Chadha","given":"Yagya","non-dropping-particle":"","parse-names":false,"suffix":""},{"dropping-particle":"","family":"Schmoller","gi</w:instrText>
      </w:r>
      <w:r>
        <w:rPr>
          <w:rFonts w:ascii="Arial" w:eastAsia="Times New Roman" w:hAnsi="Arial" w:cs="Arial"/>
          <w:color w:val="000000"/>
          <w:lang w:val="en-US" w:eastAsia="de-DE"/>
        </w:rPr>
        <w:instrText>ven":"Kurt M.","non-dropping-particle":"","parse-names":false,"suffix":""}],"container-title":"Molecular Cell","id":"ITEM-4","issue":"22","issued":{"date-parts":[["2023","11","16"]]},"page":"3946-3947","publisher":"Cell Press","title":"Too big not to fail:</w:instrText>
      </w:r>
      <w:r>
        <w:rPr>
          <w:rFonts w:ascii="Arial" w:eastAsia="Times New Roman" w:hAnsi="Arial" w:cs="Arial"/>
          <w:color w:val="000000"/>
          <w:lang w:val="en-US" w:eastAsia="de-DE"/>
        </w:rPr>
        <w:instrText xml:space="preserve"> Different paths lead to senescence of enlarged cells","type":"article-journal","volume":"83"},"uris":["http://www.mendeley.com/documents/?uuid=b31cf68f-05e0-31f7-96a8-d041be0799c3"]}],"mendeley":{"formattedCitation":"&lt;sup&gt;8–10,385&lt;/sup&gt;","plainTextFormatt</w:instrText>
      </w:r>
      <w:r>
        <w:rPr>
          <w:rFonts w:ascii="Arial" w:eastAsia="Times New Roman" w:hAnsi="Arial" w:cs="Arial"/>
          <w:color w:val="000000"/>
          <w:lang w:val="en-US" w:eastAsia="de-DE"/>
        </w:rPr>
        <w:instrText>edCitation":"8–10,385","previouslyFormattedCitation":"&lt;sup&gt;8–10,385&lt;/sup&gt;"},"properties":{"noteIndex":0},"schema":"https://github.com/citation-style-language/schema/raw/master/csl-citation.json"}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8–10,385</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(Fig. 9).</w:t>
      </w:r>
    </w:p>
    <w:p w14:paraId="6862949F"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8.1 Cellular senescence</w:t>
      </w:r>
    </w:p>
    <w:p w14:paraId="28EC9771"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 xml:space="preserve">While it was </w:t>
      </w:r>
      <w:r>
        <w:rPr>
          <w:rFonts w:ascii="Arial" w:eastAsia="Times New Roman" w:hAnsi="Arial" w:cs="Arial"/>
          <w:color w:val="000000" w:themeColor="text1"/>
          <w:lang w:val="en-US" w:eastAsia="de-DE"/>
        </w:rPr>
        <w:t>long thought that the large size of senescent cells is a consequence of continued cell growth despite their exit from the cell cycle, it was already suggested about 15 years ago that large cell size itself promotes senescence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w:instrText>
      </w:r>
      <w:r>
        <w:rPr>
          <w:rFonts w:ascii="Arial" w:eastAsia="Times New Roman" w:hAnsi="Arial" w:cs="Arial"/>
          <w:color w:val="000000" w:themeColor="text1"/>
          <w:lang w:val="en-US" w:eastAsia="de-DE"/>
        </w:rPr>
        <w:instrText>ems":[{"id":"ITEM-1","itemData":{"DOI":"10.4161/CC.7.21.6919","ISSN":"15514005","PMID":"18948731","abstract":"We tested a hypothesis that activation of growth-promoting pathways is required for cellular senescence. In the presence of serum, induction of p2</w:instrText>
      </w:r>
      <w:r>
        <w:rPr>
          <w:rFonts w:ascii="Arial" w:eastAsia="Times New Roman" w:hAnsi="Arial" w:cs="Arial"/>
          <w:color w:val="000000" w:themeColor="text1"/>
          <w:lang w:val="en-US" w:eastAsia="de-DE"/>
        </w:rPr>
        <w:instrText>1 caused senescence, characterized by beta-Galactosidase staining, cell hypertrophy, increased levels of cyclin D1 and active TOR (target of rapamycin, also known as mTOR). Serum starvation and rapamycin inhibited TOR and prevented the expression of some s</w:instrText>
      </w:r>
      <w:r>
        <w:rPr>
          <w:rFonts w:ascii="Arial" w:eastAsia="Times New Roman" w:hAnsi="Arial" w:cs="Arial"/>
          <w:color w:val="000000" w:themeColor="text1"/>
          <w:lang w:val="en-US" w:eastAsia="de-DE"/>
        </w:rPr>
        <w:instrText xml:space="preserve">enescent markers, despite high levels of p21 and cell cycle arrest. In the presence of serum, p21-arrested cells irreversibly lost proliferative potential. In contrast, when cells were arrested by p21 in the absence of serum, they retained the capacity to </w:instrText>
      </w:r>
      <w:r>
        <w:rPr>
          <w:rFonts w:ascii="Arial" w:eastAsia="Times New Roman" w:hAnsi="Arial" w:cs="Arial"/>
          <w:color w:val="000000" w:themeColor="text1"/>
          <w:lang w:val="en-US" w:eastAsia="de-DE"/>
        </w:rPr>
        <w:instrText>resume proliferation upon termination of p21 induction. In normal human cells such as WI38 fibroblasts and retinal pigment epithelial (RPE) cells, serum starvation caused quiescence, which was associated with low levels of cyclin D1, inactive TOR and slim-</w:instrText>
      </w:r>
      <w:r>
        <w:rPr>
          <w:rFonts w:ascii="Arial" w:eastAsia="Times New Roman" w:hAnsi="Arial" w:cs="Arial"/>
          <w:color w:val="000000" w:themeColor="text1"/>
          <w:lang w:val="en-US" w:eastAsia="de-DE"/>
        </w:rPr>
        <w:instrText>cell morphology. In contrast, cellular senescence with high levels of TOR activity was induced by doxorubicin (DOX), a DNA damaging agent, in the presence of serum. Inhibition of TOR partially prevented senescent phenotype caused by DOX. Thus growth stimul</w:instrText>
      </w:r>
      <w:r>
        <w:rPr>
          <w:rFonts w:ascii="Arial" w:eastAsia="Times New Roman" w:hAnsi="Arial" w:cs="Arial"/>
          <w:color w:val="000000" w:themeColor="text1"/>
          <w:lang w:val="en-US" w:eastAsia="de-DE"/>
        </w:rPr>
        <w:instrText>ation coupled with cell cycle arrest leads to senescence, whereas quiescence (a condition with inactive TOR) prevents senescence. ©2008 Landes Bioscience.","author":[{"dropping-particle":"","family":"Demidenko","given":"Zoya N.","non-dropping-particle":"",</w:instrText>
      </w:r>
      <w:r>
        <w:rPr>
          <w:rFonts w:ascii="Arial" w:eastAsia="Times New Roman" w:hAnsi="Arial" w:cs="Arial"/>
          <w:color w:val="000000" w:themeColor="text1"/>
          <w:lang w:val="en-US" w:eastAsia="de-DE"/>
        </w:rPr>
        <w:instrText>"parse-names":false,"suffix":""},{"dropping-particle":"V.","family":"Blagosklonny","given":"Mikhail","non-dropping-particle":"","parse-names":false,"suffix":""}],"container-title":"Cell Cycle","id":"ITEM-1","issue":"21","issued":{"date-parts":[["2008","11"</w:instrText>
      </w:r>
      <w:r>
        <w:rPr>
          <w:rFonts w:ascii="Arial" w:eastAsia="Times New Roman" w:hAnsi="Arial" w:cs="Arial"/>
          <w:color w:val="000000" w:themeColor="text1"/>
          <w:lang w:val="en-US" w:eastAsia="de-DE"/>
        </w:rPr>
        <w:instrText>,"1"]]},"page":"3355-3361","publisher":"Taylor &amp; Francis","title":"Growth stimulation leads to cellular senescence when the cell cycle is blocked","type":"article-journal","volume":"7"},"uris":["http://www.mendeley.com/documents/?uuid=ae24fcb7-4357-3da6-8a</w:instrText>
      </w:r>
      <w:r>
        <w:rPr>
          <w:rFonts w:ascii="Arial" w:eastAsia="Times New Roman" w:hAnsi="Arial" w:cs="Arial"/>
          <w:color w:val="000000" w:themeColor="text1"/>
          <w:lang w:val="en-US" w:eastAsia="de-DE"/>
        </w:rPr>
        <w:instrText>d0-444ba64c6292"]}],"mendeley":{"formattedCitation":"&lt;sup&gt;386&lt;/sup&gt;","plainTextFormattedCitation":"386","previouslyFormattedCitation":"&lt;sup&gt;386&lt;/sup&gt;"},"properties":{"noteIndex":0},"schema":"https://github.com/citation-style-language/schema/raw/master/csl-</w:instrText>
      </w:r>
      <w:r>
        <w:rPr>
          <w:rFonts w:ascii="Arial" w:eastAsia="Times New Roman" w:hAnsi="Arial" w:cs="Arial"/>
          <w:color w:val="000000" w:themeColor="text1"/>
          <w:lang w:val="en-US" w:eastAsia="de-DE"/>
        </w:rPr>
        <w:instrText>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386</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A landmark study by Neurohr et al.</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{"citationItems":[{"id":"ITEM-1","itemData":{"DOI":"10.1016/J.CELL.2019.01.018","ISSN":"0092-8674","abstract":"Cell size varies greatly between cell types, yet within a specific ce</w:instrText>
      </w:r>
      <w:r>
        <w:rPr>
          <w:rFonts w:ascii="Arial" w:eastAsia="Times New Roman" w:hAnsi="Arial" w:cs="Arial"/>
          <w:color w:val="000000" w:themeColor="text1"/>
          <w:lang w:val="en-US" w:eastAsia="de-DE"/>
        </w:rPr>
        <w:instrText>ll type and growth condition, cell size is narrowly distributed. Why maintenance of a cell-type specific cell size is important remains poorly understood. Here we show that growing budding yeast and primary mammalian cells beyond a certain size impairs gen</w:instrText>
      </w:r>
      <w:r>
        <w:rPr>
          <w:rFonts w:ascii="Arial" w:eastAsia="Times New Roman" w:hAnsi="Arial" w:cs="Arial"/>
          <w:color w:val="000000" w:themeColor="text1"/>
          <w:lang w:val="en-US" w:eastAsia="de-DE"/>
        </w:rPr>
        <w:instrText>e induction, cell-cycle progression, and cell signaling. These defects are due to the inability of large cells to scale nucleic acid and protein biosynthesis in accordance with cell volume increase, which effectively leads to cytoplasm dilution. We further</w:instrText>
      </w:r>
      <w:r>
        <w:rPr>
          <w:rFonts w:ascii="Arial" w:eastAsia="Times New Roman" w:hAnsi="Arial" w:cs="Arial"/>
          <w:color w:val="000000" w:themeColor="text1"/>
          <w:lang w:val="en-US" w:eastAsia="de-DE"/>
        </w:rPr>
        <w:instrText xml:space="preserve"> show that loss of scaling beyond a certain critical size is due to DNA becoming limiting. Based on the observation that senescent cells are large and exhibit many of the phenotypes of large cells, we propose that the range of DNA:cytoplasm ratio that supp</w:instrText>
      </w:r>
      <w:r>
        <w:rPr>
          <w:rFonts w:ascii="Arial" w:eastAsia="Times New Roman" w:hAnsi="Arial" w:cs="Arial"/>
          <w:color w:val="000000" w:themeColor="text1"/>
          <w:lang w:val="en-US" w:eastAsia="de-DE"/>
        </w:rPr>
        <w:instrText>orts optimal cell function is limited and that ratios outside these bounds contribute to aging.","author":[{"dropping-particle":"","family":"Neurohr","given":"Gabriel E.","non-dropping-particle":"","parse-names":false,"suffix":""},{"dropping-particle":"","</w:instrText>
      </w:r>
      <w:r>
        <w:rPr>
          <w:rFonts w:ascii="Arial" w:eastAsia="Times New Roman" w:hAnsi="Arial" w:cs="Arial"/>
          <w:color w:val="000000" w:themeColor="text1"/>
          <w:lang w:val="en-US" w:eastAsia="de-DE"/>
        </w:rPr>
        <w:instrText>family":"Terry","given":"Rachel L.","non-dropping-particle":"","parse-names":false,"suffix":""},{"dropping-particle":"","family":"Lengefeld","given":"Jette","non-dropping-particle":"","parse-names":false,"suffix":""},{"dropping-particle":"","family":"Bonne</w:instrText>
      </w:r>
      <w:r>
        <w:rPr>
          <w:rFonts w:ascii="Arial" w:eastAsia="Times New Roman" w:hAnsi="Arial" w:cs="Arial"/>
          <w:color w:val="000000" w:themeColor="text1"/>
          <w:lang w:val="en-US" w:eastAsia="de-DE"/>
        </w:rPr>
        <w:instrText>y","given":"Megan","non-dropping-particle":"","parse-names":false,"suffix":""},{"dropping-particle":"","family":"Brittingham","given":"Gregory P.","non-dropping-particle":"","parse-names":false,"suffix":""},{"dropping-particle":"","family":"Moretto","given</w:instrText>
      </w:r>
      <w:r>
        <w:rPr>
          <w:rFonts w:ascii="Arial" w:eastAsia="Times New Roman" w:hAnsi="Arial" w:cs="Arial"/>
          <w:color w:val="000000" w:themeColor="text1"/>
          <w:lang w:val="en-US" w:eastAsia="de-DE"/>
        </w:rPr>
        <w:instrText>":"Fabien","non-dropping-particle":"","parse-names":false,"suffix":""},{"dropping-particle":"","family":"Miettinen","given":"Teemu P.","non-dropping-particle":"","parse-names":false,"suffix":""},{"dropping-particle":"","family":"Vaites","given":"Laura Pont</w:instrText>
      </w:r>
      <w:r>
        <w:rPr>
          <w:rFonts w:ascii="Arial" w:eastAsia="Times New Roman" w:hAnsi="Arial" w:cs="Arial"/>
          <w:color w:val="000000" w:themeColor="text1"/>
          <w:lang w:val="en-US" w:eastAsia="de-DE"/>
        </w:rPr>
        <w:instrText>ano","non-dropping-particle":"","parse-names":false,"suffix":""},{"dropping-particle":"","family":"Soares","given":"Luis M.","non-dropping-particle":"","parse-names":false,"suffix":""},{"dropping-particle":"","family":"Paulo","given":"Joao A.","non-droppin</w:instrText>
      </w:r>
      <w:r>
        <w:rPr>
          <w:rFonts w:ascii="Arial" w:eastAsia="Times New Roman" w:hAnsi="Arial" w:cs="Arial"/>
          <w:color w:val="000000" w:themeColor="text1"/>
          <w:lang w:val="en-US" w:eastAsia="de-DE"/>
        </w:rPr>
        <w:instrText>g-particle":"","parse-names":false,"suffix":""},{"dropping-particle":"","family":"Harper","given":"J. Wade","non-dropping-particle":"","parse-names":false,"suffix":""},{"dropping-particle":"","family":"Buratowski","given":"Stephen","non-dropping-particle":</w:instrText>
      </w:r>
      <w:r>
        <w:rPr>
          <w:rFonts w:ascii="Arial" w:eastAsia="Times New Roman" w:hAnsi="Arial" w:cs="Arial"/>
          <w:color w:val="000000" w:themeColor="text1"/>
          <w:lang w:val="en-US" w:eastAsia="de-DE"/>
        </w:rPr>
        <w:instrText>"","parse-names":false,"suffix":""},{"dropping-particle":"","family":"Manalis","given":"Scott","non-dropping-particle":"","parse-names":false,"suffix":""},{"dropping-particle":"","family":"Werven","given":"Folkert J.","non-dropping-particle":"van","parse-n</w:instrText>
      </w:r>
      <w:r>
        <w:rPr>
          <w:rFonts w:ascii="Arial" w:eastAsia="Times New Roman" w:hAnsi="Arial" w:cs="Arial"/>
          <w:color w:val="000000" w:themeColor="text1"/>
          <w:lang w:val="en-US" w:eastAsia="de-DE"/>
        </w:rPr>
        <w:instrText>ames":false,"suffix":""},{"dropping-particle":"","family":"Holt","given":"Liam J.","non-dropping-particle":"","parse-names":false,"suffix":""},{"dropping-particle":"","family":"Amon","given":"Angelika","non-dropping-particle":"","parse-names":false,"suffix</w:instrText>
      </w:r>
      <w:r>
        <w:rPr>
          <w:rFonts w:ascii="Arial" w:eastAsia="Times New Roman" w:hAnsi="Arial" w:cs="Arial"/>
          <w:color w:val="000000" w:themeColor="text1"/>
          <w:lang w:val="en-US" w:eastAsia="de-DE"/>
        </w:rPr>
        <w:instrText>":""}],"container-title":"Cell","id":"ITEM-1","issue":"5","issued":{"date-parts":[["2019","2","21"]]},"page":"1083-1097.e18","publisher":"Cell Press","title":"Excessive Cell Growth Causes Cytoplasm Dilution And Contributes to Senescence","type":"article-jo</w:instrText>
      </w:r>
      <w:r>
        <w:rPr>
          <w:rFonts w:ascii="Arial" w:eastAsia="Times New Roman" w:hAnsi="Arial" w:cs="Arial"/>
          <w:color w:val="000000" w:themeColor="text1"/>
          <w:lang w:val="en-US" w:eastAsia="de-DE"/>
        </w:rPr>
        <w:instrText>urnal","volume":"176"},"uris":["http://www.mendeley.com/documents/?uuid=4833c8e1-6ce1-37ae-98d6-80963c92a809"]}],"mendeley":{"formattedCitation":"&lt;sup&gt;3&lt;/sup&gt;","plainTextFormattedCitation":"3","previouslyFormattedCitation":"&lt;sup&gt;3&lt;/sup&gt;"},"properties":{"no</w:instrText>
      </w:r>
      <w:r>
        <w:rPr>
          <w:rFonts w:ascii="Arial" w:eastAsia="Times New Roman" w:hAnsi="Arial" w:cs="Arial"/>
          <w:color w:val="000000" w:themeColor="text1"/>
          <w:lang w:val="en-US" w:eastAsia="de-DE"/>
        </w:rPr>
        <w:instrText>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then used budding yeast as a model to study the mechanistic consequences of drastic cell enlargement on cell function. They found that large cell siz</w:t>
      </w:r>
      <w:r>
        <w:rPr>
          <w:rFonts w:ascii="Arial" w:eastAsia="Times New Roman" w:hAnsi="Arial" w:cs="Arial"/>
          <w:color w:val="000000" w:themeColor="text1"/>
          <w:lang w:val="en-US" w:eastAsia="de-DE"/>
        </w:rPr>
        <w:t xml:space="preserve">e impairs gene expression and cell cycle </w:t>
      </w:r>
      <w:proofErr w:type="gramStart"/>
      <w:r>
        <w:rPr>
          <w:rFonts w:ascii="Arial" w:eastAsia="Times New Roman" w:hAnsi="Arial" w:cs="Arial"/>
          <w:color w:val="000000" w:themeColor="text1"/>
          <w:lang w:val="en-US" w:eastAsia="de-DE"/>
        </w:rPr>
        <w:t>progression, and</w:t>
      </w:r>
      <w:proofErr w:type="gramEnd"/>
      <w:r>
        <w:rPr>
          <w:rFonts w:ascii="Arial" w:eastAsia="Times New Roman" w:hAnsi="Arial" w:cs="Arial"/>
          <w:color w:val="000000" w:themeColor="text1"/>
          <w:lang w:val="en-US" w:eastAsia="de-DE"/>
        </w:rPr>
        <w:t xml:space="preserve"> attributed this cellular malfunction to a decrease of mRNA and protein concentrations in large cells. While within a range around the optimal cell size, protein biosynthesis roughly scales in propor</w:t>
      </w:r>
      <w:r>
        <w:rPr>
          <w:rFonts w:ascii="Arial" w:eastAsia="Times New Roman" w:hAnsi="Arial" w:cs="Arial"/>
          <w:color w:val="000000" w:themeColor="text1"/>
          <w:lang w:val="en-US" w:eastAsia="de-DE"/>
        </w:rPr>
        <w:t xml:space="preserve">tion to cell size (section 2), at very large cell sizes the nuclear DNA becomes limiting for transcription, and </w:t>
      </w:r>
      <w:proofErr w:type="gramStart"/>
      <w:r>
        <w:rPr>
          <w:rFonts w:ascii="Arial" w:eastAsia="Times New Roman" w:hAnsi="Arial" w:cs="Arial"/>
          <w:color w:val="000000" w:themeColor="text1"/>
          <w:lang w:val="en-US" w:eastAsia="de-DE"/>
        </w:rPr>
        <w:t>as a consequence</w:t>
      </w:r>
      <w:proofErr w:type="gramEnd"/>
      <w:r>
        <w:rPr>
          <w:rFonts w:ascii="Arial" w:eastAsia="Times New Roman" w:hAnsi="Arial" w:cs="Arial"/>
          <w:color w:val="000000" w:themeColor="text1"/>
          <w:lang w:val="en-US" w:eastAsia="de-DE"/>
        </w:rPr>
        <w:t xml:space="preserve"> eventually also protein synthesis. In mammalian cells, large cell size not only leads to a global dilution of the cytoplasm</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w:instrText>
      </w:r>
      <w:r>
        <w:rPr>
          <w:rFonts w:ascii="Arial" w:eastAsia="Times New Roman" w:hAnsi="Arial" w:cs="Arial"/>
          <w:color w:val="000000" w:themeColor="text1"/>
          <w:lang w:val="en-US" w:eastAsia="de-DE"/>
        </w:rPr>
        <w:instrText>N CSL_CITATION {"citationItems":[{"id":"ITEM-1","itemData":{"DOI":"10.1016/J.CELL.2019.01.018","ISSN":"0092-8674","abstract":"Cell size varies greatly between cell types, yet within a specific cell type and growth condition, cell size is narrowly distribut</w:instrText>
      </w:r>
      <w:r>
        <w:rPr>
          <w:rFonts w:ascii="Arial" w:eastAsia="Times New Roman" w:hAnsi="Arial" w:cs="Arial"/>
          <w:color w:val="000000" w:themeColor="text1"/>
          <w:lang w:val="en-US" w:eastAsia="de-DE"/>
        </w:rPr>
        <w:instrText>ed. Why maintenance of a cell-type specific cell size is important remains poorly understood. Here we show that growing budding yeast and primary mammalian cells beyond a certain size impairs gene induction, cell-cycle progression, and cell signaling. Thes</w:instrText>
      </w:r>
      <w:r>
        <w:rPr>
          <w:rFonts w:ascii="Arial" w:eastAsia="Times New Roman" w:hAnsi="Arial" w:cs="Arial"/>
          <w:color w:val="000000" w:themeColor="text1"/>
          <w:lang w:val="en-US" w:eastAsia="de-DE"/>
        </w:rPr>
        <w:instrText xml:space="preserve">e defects are due to the inability of large cells to scale nucleic acid and protein biosynthesis in accordance with cell volume increase, which effectively leads to cytoplasm dilution. We further show that loss of scaling beyond a certain critical size is </w:instrText>
      </w:r>
      <w:r>
        <w:rPr>
          <w:rFonts w:ascii="Arial" w:eastAsia="Times New Roman" w:hAnsi="Arial" w:cs="Arial"/>
          <w:color w:val="000000" w:themeColor="text1"/>
          <w:lang w:val="en-US" w:eastAsia="de-DE"/>
        </w:rPr>
        <w:instrText>due to DNA becoming limiting. Based on the observation that senescent cells are large and exhibit many of the phenotypes of large cells, we propose that the range of DNA:cytoplasm ratio that supports optimal cell function is limited and that ratios outside</w:instrText>
      </w:r>
      <w:r>
        <w:rPr>
          <w:rFonts w:ascii="Arial" w:eastAsia="Times New Roman" w:hAnsi="Arial" w:cs="Arial"/>
          <w:color w:val="000000" w:themeColor="text1"/>
          <w:lang w:val="en-US" w:eastAsia="de-DE"/>
        </w:rPr>
        <w:instrText xml:space="preserve"> these bounds contribute to aging.","author":[{"dropping-particle":"","family":"Neurohr","given":"Gabriel E.","non-dropping-particle":"","parse-names":false,"suffix":""},{"dropping-particle":"","family":"Terry","given":"Rachel L.","non-dropping-particle":"</w:instrText>
      </w:r>
      <w:r>
        <w:rPr>
          <w:rFonts w:ascii="Arial" w:eastAsia="Times New Roman" w:hAnsi="Arial" w:cs="Arial"/>
          <w:color w:val="000000" w:themeColor="text1"/>
          <w:lang w:val="en-US" w:eastAsia="de-DE"/>
        </w:rPr>
        <w:instrText>","parse-names":false,"suffix":""},{"dropping-particle":"","family":"Lengefeld","given":"Jette","non-dropping-particle":"","parse-names":false,"suffix":""},{"dropping-particle":"","family":"Bonney","given":"Megan","non-dropping-particle":"","parse-names":f</w:instrText>
      </w:r>
      <w:r>
        <w:rPr>
          <w:rFonts w:ascii="Arial" w:eastAsia="Times New Roman" w:hAnsi="Arial" w:cs="Arial"/>
          <w:color w:val="000000" w:themeColor="text1"/>
          <w:lang w:val="en-US" w:eastAsia="de-DE"/>
        </w:rPr>
        <w:instrText>alse,"suffix":""},{"dropping-particle":"","family":"Brittingham","given":"Gregory P.","non-dropping-particle":"","parse-names":false,"suffix":""},{"dropping-particle":"","family":"Moretto","given":"Fabien","non-dropping-particle":"","parse-names":false,"su</w:instrText>
      </w:r>
      <w:r>
        <w:rPr>
          <w:rFonts w:ascii="Arial" w:eastAsia="Times New Roman" w:hAnsi="Arial" w:cs="Arial"/>
          <w:color w:val="000000" w:themeColor="text1"/>
          <w:lang w:val="en-US" w:eastAsia="de-DE"/>
        </w:rPr>
        <w:instrText>ffix":""},{"dropping-particle":"","family":"Miettinen","given":"Teemu P.","non-dropping-particle":"","parse-names":false,"suffix":""},{"dropping-particle":"","family":"Vaites","given":"Laura Pontano","non-dropping-particle":"","parse-names":false,"suffix":</w:instrText>
      </w:r>
      <w:r>
        <w:rPr>
          <w:rFonts w:ascii="Arial" w:eastAsia="Times New Roman" w:hAnsi="Arial" w:cs="Arial"/>
          <w:color w:val="000000" w:themeColor="text1"/>
          <w:lang w:val="en-US" w:eastAsia="de-DE"/>
        </w:rPr>
        <w:instrText>""},{"dropping-particle":"","family":"Soares","given":"Luis M.","non-dropping-particle":"","parse-names":false,"suffix":""},{"dropping-particle":"","family":"Paulo","given":"Joao A.","non-dropping-particle":"","parse-names":false,"suffix":""},{"dropping-pa</w:instrText>
      </w:r>
      <w:r>
        <w:rPr>
          <w:rFonts w:ascii="Arial" w:eastAsia="Times New Roman" w:hAnsi="Arial" w:cs="Arial"/>
          <w:color w:val="000000" w:themeColor="text1"/>
          <w:lang w:val="en-US" w:eastAsia="de-DE"/>
        </w:rPr>
        <w:instrText>rticle":"","family":"Harper","given":"J. Wade","non-dropping-particle":"","parse-names":false,"suffix":""},{"dropping-particle":"","family":"Buratowski","given":"Stephen","non-dropping-particle":"","parse-names":false,"suffix":""},{"dropping-particle":"","</w:instrText>
      </w:r>
      <w:r>
        <w:rPr>
          <w:rFonts w:ascii="Arial" w:eastAsia="Times New Roman" w:hAnsi="Arial" w:cs="Arial"/>
          <w:color w:val="000000" w:themeColor="text1"/>
          <w:lang w:val="en-US" w:eastAsia="de-DE"/>
        </w:rPr>
        <w:instrText>family":"Manalis","given":"Scott","non-dropping-particle":"","parse-names":false,"suffix":""},{"dropping-particle":"","family":"Werven","given":"Folkert J.","non-dropping-particle":"van","parse-names":false,"suffix":""},{"dropping-particle":"","family":"Ho</w:instrText>
      </w:r>
      <w:r>
        <w:rPr>
          <w:rFonts w:ascii="Arial" w:eastAsia="Times New Roman" w:hAnsi="Arial" w:cs="Arial"/>
          <w:color w:val="000000" w:themeColor="text1"/>
          <w:lang w:val="en-US" w:eastAsia="de-DE"/>
        </w:rPr>
        <w:instrText>lt","given":"Liam J.","non-dropping-particle":"","parse-names":false,"suffix":""},{"dropping-particle":"","family":"Amon","given":"Angelika","non-dropping-particle":"","parse-names":false,"suffix":""}],"container-title":"Cell","id":"ITEM-1","issue":"5","is</w:instrText>
      </w:r>
      <w:r>
        <w:rPr>
          <w:rFonts w:ascii="Arial" w:eastAsia="Times New Roman" w:hAnsi="Arial" w:cs="Arial"/>
          <w:color w:val="000000" w:themeColor="text1"/>
          <w:lang w:val="en-US" w:eastAsia="de-DE"/>
        </w:rPr>
        <w:instrText>sued":{"date-parts":[["2019","2","21"]]},"page":"1083-1097.e18","publisher":"Cell Press","title":"Excessive Cell Growth Causes Cytoplasm Dilution And Contributes to Senescence","type":"article-journal","volume":"176"},"uris":["http://www.mendeley.com/docum</w:instrText>
      </w:r>
      <w:r>
        <w:rPr>
          <w:rFonts w:ascii="Arial" w:eastAsia="Times New Roman" w:hAnsi="Arial" w:cs="Arial"/>
          <w:color w:val="000000" w:themeColor="text1"/>
          <w:lang w:val="en-US" w:eastAsia="de-DE"/>
        </w:rPr>
        <w:instrText>ents/?uuid=4833c8e1-6ce1-37ae-98d6-80963c92a809"]}],"mendeley":{"formattedCitation":"&lt;sup&gt;3&lt;/sup&gt;","plainTextFormattedCitation":"3","previouslyFormattedCitation":"&lt;sup&gt;3&lt;/sup&gt;"},"properties":{"noteIndex":0},"schema":"https://github.com/citation-style-langu</w:instrText>
      </w:r>
      <w:r>
        <w:rPr>
          <w:rFonts w:ascii="Arial" w:eastAsia="Times New Roman" w:hAnsi="Arial" w:cs="Arial"/>
          <w:color w:val="000000" w:themeColor="text1"/>
          <w:lang w:val="en-US" w:eastAsia="de-DE"/>
        </w:rPr>
        <w:instrText>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but also to a remodeling of the cellular proteome that resembles the changes usually associated with senescence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{"citationItems":[{"id":"ITEM-1","itemData":{"DOI":"10.1016/J.MOLCEL.2022.07.01</w:instrText>
      </w:r>
      <w:r>
        <w:rPr>
          <w:rFonts w:ascii="Arial" w:eastAsia="Times New Roman" w:hAnsi="Arial" w:cs="Arial"/>
          <w:color w:val="000000" w:themeColor="text1"/>
          <w:lang w:val="en-US" w:eastAsia="de-DE"/>
        </w:rPr>
        <w:instrText xml:space="preserve">7","ISSN":"1097-2765","PMID":"35987199","abstract":"Cell size is tightly controlled in healthy tissues, but it is unclear how deviations in cell size affect cell physiology. To address this, we measured how the cell's proteome changes with increasing cell </w:instrText>
      </w:r>
      <w:r>
        <w:rPr>
          <w:rFonts w:ascii="Arial" w:eastAsia="Times New Roman" w:hAnsi="Arial" w:cs="Arial"/>
          <w:color w:val="000000" w:themeColor="text1"/>
          <w:lang w:val="en-US" w:eastAsia="de-DE"/>
        </w:rPr>
        <w:instrText>size. Size-dependent protein concentration changes are widespread and predicted by subcellular localization, size-dependent mRNA concentrations, and protein turnover. As proliferating cells grow larger, concentration changes typically associated with cellu</w:instrText>
      </w:r>
      <w:r>
        <w:rPr>
          <w:rFonts w:ascii="Arial" w:eastAsia="Times New Roman" w:hAnsi="Arial" w:cs="Arial"/>
          <w:color w:val="000000" w:themeColor="text1"/>
          <w:lang w:val="en-US" w:eastAsia="de-DE"/>
        </w:rPr>
        <w:instrText>lar senescence are increasingly pronounced, suggesting that large size may be a cause rather than just a consequence of cell senescence. Consistent with this hypothesis, larger cells are prone to replicative, DNA-damage-induced, and CDK4/6i-induced senesce</w:instrText>
      </w:r>
      <w:r>
        <w:rPr>
          <w:rFonts w:ascii="Arial" w:eastAsia="Times New Roman" w:hAnsi="Arial" w:cs="Arial"/>
          <w:color w:val="000000" w:themeColor="text1"/>
          <w:lang w:val="en-US" w:eastAsia="de-DE"/>
        </w:rPr>
        <w:instrText>nce. Size-dependent changes to the proteome, including those associated with senescence, are not observed when an increase in cell size is accompanied by an increase in ploidy. Together, our findings show how cell size could impact many aspects of cell phy</w:instrText>
      </w:r>
      <w:r>
        <w:rPr>
          <w:rFonts w:ascii="Arial" w:eastAsia="Times New Roman" w:hAnsi="Arial" w:cs="Arial"/>
          <w:color w:val="000000" w:themeColor="text1"/>
          <w:lang w:val="en-US" w:eastAsia="de-DE"/>
        </w:rPr>
        <w:instrText>siology by remodeling the proteome and provide a rationale for cell size control and polyploidization.","author":[{"dropping-particle":"","family":"Lanz","given":"Michael C.","non-dropping-particle":"","parse-names":false,"suffix":""},{"dropping-particle":</w:instrText>
      </w:r>
      <w:r>
        <w:rPr>
          <w:rFonts w:ascii="Arial" w:eastAsia="Times New Roman" w:hAnsi="Arial" w:cs="Arial"/>
          <w:color w:val="000000" w:themeColor="text1"/>
          <w:lang w:val="en-US" w:eastAsia="de-DE"/>
        </w:rPr>
        <w:instrText>"","family":"Zatulovskiy","given":"Evgeny","non-dropping-particle":"","parse-names":false,"suffix":""},{"dropping-particle":"","family":"Swaffer","given":"Matthew P.","non-dropping-particle":"","parse-names":false,"suffix":""},{"dropping-particle":"","fami</w:instrText>
      </w:r>
      <w:r>
        <w:rPr>
          <w:rFonts w:ascii="Arial" w:eastAsia="Times New Roman" w:hAnsi="Arial" w:cs="Arial"/>
          <w:color w:val="000000" w:themeColor="text1"/>
          <w:lang w:val="en-US" w:eastAsia="de-DE"/>
        </w:rPr>
        <w:instrText>ly":"Zhang","given":"Lichao","non-dropping-particle":"","parse-names":false,"suffix":""},{"dropping-particle":"","family":"Ilerten","given":"Ilayda","non-dropping-particle":"","parse-names":false,"suffix":""},{"dropping-particle":"","family":"Zhang","given</w:instrText>
      </w:r>
      <w:r>
        <w:rPr>
          <w:rFonts w:ascii="Arial" w:eastAsia="Times New Roman" w:hAnsi="Arial" w:cs="Arial"/>
          <w:color w:val="000000" w:themeColor="text1"/>
          <w:lang w:val="en-US" w:eastAsia="de-DE"/>
        </w:rPr>
        <w:instrText>":"Shuyuan","non-dropping-particle":"","parse-names":false,"suffix":""},{"dropping-particle":"","family":"You","given":"Dong Shin","non-dropping-particle":"","parse-names":false,"suffix":""},{"dropping-particle":"","family":"Marinov","given":"Georgi","non-</w:instrText>
      </w:r>
      <w:r>
        <w:rPr>
          <w:rFonts w:ascii="Arial" w:eastAsia="Times New Roman" w:hAnsi="Arial" w:cs="Arial"/>
          <w:color w:val="000000" w:themeColor="text1"/>
          <w:lang w:val="en-US" w:eastAsia="de-DE"/>
        </w:rPr>
        <w:instrText>dropping-particle":"","parse-names":false,"suffix":""},{"dropping-particle":"","family":"McAlpine","given":"Patrick","non-dropping-particle":"","parse-names":false,"suffix":""},{"dropping-particle":"","family":"Elias","given":"Joshua E.","non-dropping-part</w:instrText>
      </w:r>
      <w:r>
        <w:rPr>
          <w:rFonts w:ascii="Arial" w:eastAsia="Times New Roman" w:hAnsi="Arial" w:cs="Arial"/>
          <w:color w:val="000000" w:themeColor="text1"/>
          <w:lang w:val="en-US" w:eastAsia="de-DE"/>
        </w:rPr>
        <w:instrText>icle":"","parse-names":false,"suffix":""},{"dropping-particle":"","family":"Skotheim","given":"Jan M.","non-dropping-particle":"","parse-names":false,"suffix":""}],"container-title":"Molecular Cell","id":"ITEM-1","issue":"17","issued":{"date-parts":[["2022</w:instrText>
      </w:r>
      <w:r>
        <w:rPr>
          <w:rFonts w:ascii="Arial" w:eastAsia="Times New Roman" w:hAnsi="Arial" w:cs="Arial"/>
          <w:color w:val="000000" w:themeColor="text1"/>
          <w:lang w:val="en-US" w:eastAsia="de-DE"/>
        </w:rPr>
        <w:instrText>","9","1"]]},"page":"3255-3269.e8","publisher":"Cell Press","title":"Increasing cell size remodels the proteome and promotes senescence","type":"article-journal","volume":"82"},"uris":["http://www.mendeley.com/documents/?uuid=8e51a3f0-6440-3670-854f-e466aa</w:instrText>
      </w:r>
      <w:r>
        <w:rPr>
          <w:rFonts w:ascii="Arial" w:eastAsia="Times New Roman" w:hAnsi="Arial" w:cs="Arial"/>
          <w:color w:val="000000" w:themeColor="text1"/>
          <w:lang w:val="en-US" w:eastAsia="de-DE"/>
        </w:rPr>
        <w:instrText>3f4159"]},{"id":"ITEM-2","itemData":{"DOI":"10.1101/2021.08.05.455193","abstract":"Senescent cells typically have an enlarged cell size but the reason for this has not been fully elucidated. As abnormal cell size may alter protein concentrations and cellul</w:instrText>
      </w:r>
      <w:r>
        <w:rPr>
          <w:rFonts w:ascii="Arial" w:eastAsia="Times New Roman" w:hAnsi="Arial" w:cs="Arial"/>
          <w:color w:val="000000" w:themeColor="text1"/>
          <w:lang w:val="en-US" w:eastAsia="de-DE"/>
        </w:rPr>
        <w:instrText>ar functionality, we used proteomic data from 59 unperturbed human cell lines to systematically characterize cell-size dependent changes in intracellular protein concentrations and organelle content. Increase in cell size leads to ubiquitous transcriptiona</w:instrText>
      </w:r>
      <w:r>
        <w:rPr>
          <w:rFonts w:ascii="Arial" w:eastAsia="Times New Roman" w:hAnsi="Arial" w:cs="Arial"/>
          <w:color w:val="000000" w:themeColor="text1"/>
          <w:lang w:val="en-US" w:eastAsia="de-DE"/>
        </w:rPr>
        <w:instrText>lly and post-transcriptionally regulated reorganization and dilution of the proteome. Many known senescence proteins display disproportionate size-scaling consistent with their altered expression in senescent cells, while lysosomes and the endoplasmic reti</w:instrText>
      </w:r>
      <w:r>
        <w:rPr>
          <w:rFonts w:ascii="Arial" w:eastAsia="Times New Roman" w:hAnsi="Arial" w:cs="Arial"/>
          <w:color w:val="000000" w:themeColor="text1"/>
          <w:lang w:val="en-US" w:eastAsia="de-DE"/>
        </w:rPr>
        <w:instrText>culum expand in larger cells contributing to the senescence phenotype. Analysis of organelle proteome expression identifies p53 and retinoblastoma pathways as mediators of size-scaling, consistent with their role in senescence. Taken together, cell size ca</w:instrText>
      </w:r>
      <w:r>
        <w:rPr>
          <w:rFonts w:ascii="Arial" w:eastAsia="Times New Roman" w:hAnsi="Arial" w:cs="Arial"/>
          <w:color w:val="000000" w:themeColor="text1"/>
          <w:lang w:val="en-US" w:eastAsia="de-DE"/>
        </w:rPr>
        <w:instrText xml:space="preserve">n alter cellular fitness and function through cumulative reorganization of the proteome and organelle content. An extreme consequence of this pervasive size-scaling appears to be senescence.\n\n### Competing Interest Statement\n\nThe authors have declared </w:instrText>
      </w:r>
      <w:r>
        <w:rPr>
          <w:rFonts w:ascii="Arial" w:eastAsia="Times New Roman" w:hAnsi="Arial" w:cs="Arial"/>
          <w:color w:val="000000" w:themeColor="text1"/>
          <w:lang w:val="en-US" w:eastAsia="de-DE"/>
        </w:rPr>
        <w:instrText>no competing interest.","author":[{"dropping-particle":"","family":"Cheng","given":"Ling","non-dropping-particle":"","parse-names":false,"suffix":""},{"dropping-particle":"","family":"Chen","given":"Jingyuan","non-dropping-particle":"","parse-names":false,</w:instrText>
      </w:r>
      <w:r>
        <w:rPr>
          <w:rFonts w:ascii="Arial" w:eastAsia="Times New Roman" w:hAnsi="Arial" w:cs="Arial"/>
          <w:color w:val="000000" w:themeColor="text1"/>
          <w:lang w:val="en-US" w:eastAsia="de-DE"/>
        </w:rPr>
        <w:instrText>"suffix":""},{"dropping-particle":"","family":"Kong","given":"Yidi","non-dropping-particle":"","parse-names":false,"suffix":""},{"dropping-particle":"","family":"Tan","given":"Ceryl","non-dropping-particle":"","parse-names":false,"suffix":""},{"dropping-pa</w:instrText>
      </w:r>
      <w:r>
        <w:rPr>
          <w:rFonts w:ascii="Arial" w:eastAsia="Times New Roman" w:hAnsi="Arial" w:cs="Arial"/>
          <w:color w:val="000000" w:themeColor="text1"/>
          <w:lang w:val="en-US" w:eastAsia="de-DE"/>
        </w:rPr>
        <w:instrText>rticle":"","family":"Kafri","given":"Ran","non-dropping-particle":"","parse-names":false,"suffix":""},{"dropping-particle":"","family":"Björklund","given":"Mikael","non-dropping-particle":"","parse-names":false,"suffix":""}],"container-title":"bioRxiv","id</w:instrText>
      </w:r>
      <w:r>
        <w:rPr>
          <w:rFonts w:ascii="Arial" w:eastAsia="Times New Roman" w:hAnsi="Arial" w:cs="Arial"/>
          <w:color w:val="000000" w:themeColor="text1"/>
          <w:lang w:val="en-US" w:eastAsia="de-DE"/>
        </w:rPr>
        <w:instrText>":"ITEM-2","issued":{"date-parts":[["2021","8","5"]]},"page":"2021.08.05.455193","publisher":"Cold Spring Harbor Laboratory","title":"Size-scaling promotes senescence-like changes in proteome and organelle content","type":"article-journal"},"uris":["http:/</w:instrText>
      </w:r>
      <w:r>
        <w:rPr>
          <w:rFonts w:ascii="Arial" w:eastAsia="Times New Roman" w:hAnsi="Arial" w:cs="Arial"/>
          <w:color w:val="000000" w:themeColor="text1"/>
          <w:lang w:val="en-US" w:eastAsia="de-DE"/>
        </w:rPr>
        <w:instrText>/www.mendeley.com/documents/?uuid=b18bf84a-28a0-3d8e-b9ff-d89e4f1f9d63"]}],"mendeley":{"formattedCitation":"&lt;sup&gt;5,47&lt;/sup&gt;","plainTextFormattedCitation":"5,47","previouslyFormattedCitation":"&lt;sup&gt;5,47&lt;/sup&gt;"},"properties":{"noteIndex":0},"schema":"https:/</w:instrText>
      </w:r>
      <w:r>
        <w:rPr>
          <w:rFonts w:ascii="Arial" w:eastAsia="Times New Roman" w:hAnsi="Arial" w:cs="Arial"/>
          <w:color w:val="000000" w:themeColor="text1"/>
          <w:lang w:val="en-US" w:eastAsia="de-DE"/>
        </w:rPr>
        <w:instrText>/github.com/citation-style-language/schema/raw/master/csl-citation.json"}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5,47</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177A914F" w14:textId="77777777" w:rsidR="00066D11" w:rsidRDefault="00E55468">
      <w:pPr>
        <w:spacing w:before="240" w:after="240" w:line="240" w:lineRule="auto"/>
        <w:jc w:val="center"/>
      </w:pPr>
      <w:r>
        <w:rPr>
          <w:noProof/>
          <w:lang w:eastAsia="de-DE"/>
        </w:rPr>
        <w:lastRenderedPageBreak/>
        <w:drawing>
          <wp:inline distT="0" distB="0" distL="0" distR="0" wp14:anchorId="18946ABD" wp14:editId="10CF9DA5">
            <wp:extent cx="5118221" cy="7239000"/>
            <wp:effectExtent l="0" t="0" r="6350" b="0"/>
            <wp:docPr id="21359210" name="Picture 7" descr="Diagram of a diagram of a cell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210" name="Picture 7" descr="Diagram of a diagram of a cell cycle&#10;&#10;Description automatically generated"/>
                    <pic:cNvPicPr/>
                  </pic:nvPicPr>
                  <pic:blipFill>
                    <a:blip r:embed="rId17"/>
                    <a:stretch>
                      <a:fillRect/>
                    </a:stretch>
                  </pic:blipFill>
                  <pic:spPr>
                    <a:xfrm>
                      <a:off x="0" y="0"/>
                      <a:ext cx="5130574" cy="7256472"/>
                    </a:xfrm>
                    <a:prstGeom prst="rect">
                      <a:avLst/>
                    </a:prstGeom>
                  </pic:spPr>
                </pic:pic>
              </a:graphicData>
            </a:graphic>
          </wp:inline>
        </w:drawing>
      </w:r>
    </w:p>
    <w:p w14:paraId="54255392" w14:textId="77777777" w:rsidR="00066D11" w:rsidRDefault="00E55468">
      <w:pPr>
        <w:spacing w:before="240" w:after="240" w:line="240" w:lineRule="auto"/>
        <w:jc w:val="both"/>
        <w:rPr>
          <w:rFonts w:ascii="Arial" w:eastAsia="Times New Roman" w:hAnsi="Arial" w:cs="Arial"/>
          <w:i/>
          <w:iCs/>
          <w:color w:val="000000"/>
          <w:lang w:val="en-US" w:eastAsia="de-DE"/>
        </w:rPr>
      </w:pPr>
      <w:r>
        <w:rPr>
          <w:rFonts w:ascii="Arial" w:eastAsia="Times New Roman" w:hAnsi="Arial" w:cs="Arial"/>
          <w:b/>
          <w:bCs/>
          <w:i/>
          <w:iCs/>
          <w:color w:val="000000" w:themeColor="text1"/>
          <w:lang w:val="en-US" w:eastAsia="de-DE"/>
        </w:rPr>
        <w:t xml:space="preserve">Fig. 9: </w:t>
      </w:r>
      <w:r>
        <w:rPr>
          <w:rFonts w:ascii="Arial" w:eastAsia="Times New Roman" w:hAnsi="Arial" w:cs="Arial"/>
          <w:i/>
          <w:iCs/>
          <w:color w:val="000000" w:themeColor="text1"/>
          <w:lang w:val="en-US" w:eastAsia="de-DE"/>
        </w:rPr>
        <w:t>Large cell size promotes cellular senescence through cellular malfunction at different stages of the cell cycle. In G1, excessively increased cell size leads to cyt</w:t>
      </w:r>
      <w:r>
        <w:rPr>
          <w:rFonts w:ascii="Arial" w:eastAsia="Times New Roman" w:hAnsi="Arial" w:cs="Arial"/>
          <w:i/>
          <w:iCs/>
          <w:color w:val="000000" w:themeColor="text1"/>
          <w:lang w:val="en-US" w:eastAsia="de-DE"/>
        </w:rPr>
        <w:t>oplasm dilution, which promotes permanent cell cycle exit. If large cells enter the cell cycle, DNA damage and impaired DNA repair cause cell cycle exit and mitotic failure.</w:t>
      </w:r>
    </w:p>
    <w:p w14:paraId="3703FA02"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themeColor="text1"/>
          <w:lang w:val="en-US" w:eastAsia="de-DE"/>
        </w:rPr>
        <w:t>A valuable strategy to investigate the consequence of increased cell size in mamma</w:t>
      </w:r>
      <w:r>
        <w:rPr>
          <w:rFonts w:ascii="Arial" w:eastAsia="Times New Roman" w:hAnsi="Arial" w:cs="Arial"/>
          <w:color w:val="000000" w:themeColor="text1"/>
          <w:lang w:val="en-US" w:eastAsia="de-DE"/>
        </w:rPr>
        <w:t>lian cells has been a temporary treatment with drugs that induce a G1 arrest during which cells keep growing</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{"citationItems":[{"id":"ITEM-1","itemData":{"DOI":"10.1016/J.CELL.2019.01.018","ISSN":"0092-8674","abstract":"Cell size varies g</w:instrText>
      </w:r>
      <w:r>
        <w:rPr>
          <w:rFonts w:ascii="Arial" w:eastAsia="Times New Roman" w:hAnsi="Arial" w:cs="Arial"/>
          <w:color w:val="000000" w:themeColor="text1"/>
          <w:lang w:val="en-US" w:eastAsia="de-DE"/>
        </w:rPr>
        <w:instrText>reatly between cell types, yet within a specific cell type and growth condition, cell size is narrowly distributed. Why maintenance of a cell-type specific cell size is important remains poorly understood. Here we show that growing budding yeast and primar</w:instrText>
      </w:r>
      <w:r>
        <w:rPr>
          <w:rFonts w:ascii="Arial" w:eastAsia="Times New Roman" w:hAnsi="Arial" w:cs="Arial"/>
          <w:color w:val="000000" w:themeColor="text1"/>
          <w:lang w:val="en-US" w:eastAsia="de-DE"/>
        </w:rPr>
        <w:instrText xml:space="preserve">y mammalian cells beyond a certain size impairs gene induction, cell-cycle progression, and cell signaling. These defects are due to the inability of large cells to scale nucleic acid and protein biosynthesis in accordance with cell volume increase, which </w:instrText>
      </w:r>
      <w:r>
        <w:rPr>
          <w:rFonts w:ascii="Arial" w:eastAsia="Times New Roman" w:hAnsi="Arial" w:cs="Arial"/>
          <w:color w:val="000000" w:themeColor="text1"/>
          <w:lang w:val="en-US" w:eastAsia="de-DE"/>
        </w:rPr>
        <w:instrText>effectively leads to cytoplasm dilution. We further show that loss of scaling beyond a certain critical size is due to DNA becoming limiting. Based on the observation that senescent cells are large and exhibit many of the phenotypes of large cells, we prop</w:instrText>
      </w:r>
      <w:r>
        <w:rPr>
          <w:rFonts w:ascii="Arial" w:eastAsia="Times New Roman" w:hAnsi="Arial" w:cs="Arial"/>
          <w:color w:val="000000" w:themeColor="text1"/>
          <w:lang w:val="en-US" w:eastAsia="de-DE"/>
        </w:rPr>
        <w:instrText>ose that the range of DNA:cytoplasm ratio that supports optimal cell function is limited and that ratios outside these bounds contribute to aging.","author":[{"dropping-particle":"","family":"Neurohr","given":"Gabriel E.","non-dropping-particle":"","parse-</w:instrText>
      </w:r>
      <w:r>
        <w:rPr>
          <w:rFonts w:ascii="Arial" w:eastAsia="Times New Roman" w:hAnsi="Arial" w:cs="Arial"/>
          <w:color w:val="000000" w:themeColor="text1"/>
          <w:lang w:val="en-US" w:eastAsia="de-DE"/>
        </w:rPr>
        <w:instrText>names":false,"suffix":""},{"dropping-particle":"","family":"Terry","given":"Rachel L.","non-dropping-particle":"","parse-names":false,"suffix":""},{"dropping-particle":"","family":"Lengefeld","given":"Jette","non-dropping-particle":"","parse-names":false,"</w:instrText>
      </w:r>
      <w:r>
        <w:rPr>
          <w:rFonts w:ascii="Arial" w:eastAsia="Times New Roman" w:hAnsi="Arial" w:cs="Arial"/>
          <w:color w:val="000000" w:themeColor="text1"/>
          <w:lang w:val="en-US" w:eastAsia="de-DE"/>
        </w:rPr>
        <w:instrText>suffix":""},{"dropping-particle":"","family":"Bonney","given":"Megan","non-dropping-particle":"","parse-names":false,"suffix":""},{"dropping-particle":"","family":"Brittingham","given":"Gregory P.","non-dropping-particle":"","parse-names":false,"suffix":""</w:instrText>
      </w:r>
      <w:r>
        <w:rPr>
          <w:rFonts w:ascii="Arial" w:eastAsia="Times New Roman" w:hAnsi="Arial" w:cs="Arial"/>
          <w:color w:val="000000" w:themeColor="text1"/>
          <w:lang w:val="en-US" w:eastAsia="de-DE"/>
        </w:rPr>
        <w:instrText>},{"dropping-particle":"","family":"Moretto","given":"Fabien","non-dropping-particle":"","parse-names":false,"suffix":""},{"dropping-particle":"","family":"Miettinen","given":"Teemu P.","non-dropping-particle":"","parse-names":false,"suffix":""},{"dropping</w:instrText>
      </w:r>
      <w:r>
        <w:rPr>
          <w:rFonts w:ascii="Arial" w:eastAsia="Times New Roman" w:hAnsi="Arial" w:cs="Arial"/>
          <w:color w:val="000000" w:themeColor="text1"/>
          <w:lang w:val="en-US" w:eastAsia="de-DE"/>
        </w:rPr>
        <w:instrText>-particle":"","family":"Vaites","given":"Laura Pontano","non-dropping-particle":"","parse-names":false,"suffix":""},{"dropping-particle":"","family":"Soares","given":"Luis M.","non-dropping-particle":"","parse-names":false,"suffix":""},{"dropping-particle"</w:instrText>
      </w:r>
      <w:r>
        <w:rPr>
          <w:rFonts w:ascii="Arial" w:eastAsia="Times New Roman" w:hAnsi="Arial" w:cs="Arial"/>
          <w:color w:val="000000" w:themeColor="text1"/>
          <w:lang w:val="en-US" w:eastAsia="de-DE"/>
        </w:rPr>
        <w:instrText>:"","family":"Paulo","given":"Joao A.","non-dropping-particle":"","parse-names":false,"suffix":""},{"dropping-particle":"","family":"Harper","given":"J. Wade","non-dropping-particle":"","parse-names":false,"suffix":""},{"dropping-particle":"","family":"Bur</w:instrText>
      </w:r>
      <w:r>
        <w:rPr>
          <w:rFonts w:ascii="Arial" w:eastAsia="Times New Roman" w:hAnsi="Arial" w:cs="Arial"/>
          <w:color w:val="000000" w:themeColor="text1"/>
          <w:lang w:val="en-US" w:eastAsia="de-DE"/>
        </w:rPr>
        <w:instrText>atowski","given":"Stephen","non-dropping-particle":"","parse-names":false,"suffix":""},{"dropping-particle":"","family":"Manalis","given":"Scott","non-dropping-particle":"","parse-names":false,"suffix":""},{"dropping-particle":"","family":"Werven","given":</w:instrText>
      </w:r>
      <w:r>
        <w:rPr>
          <w:rFonts w:ascii="Arial" w:eastAsia="Times New Roman" w:hAnsi="Arial" w:cs="Arial"/>
          <w:color w:val="000000" w:themeColor="text1"/>
          <w:lang w:val="en-US" w:eastAsia="de-DE"/>
        </w:rPr>
        <w:instrText>"Folkert J.","non-dropping-particle":"van","parse-names":false,"suffix":""},{"dropping-particle":"","family":"Holt","given":"Liam J.","non-dropping-particle":"","parse-names":false,"suffix":""},{"dropping-particle":"","family":"Amon","given":"Angelika","no</w:instrText>
      </w:r>
      <w:r>
        <w:rPr>
          <w:rFonts w:ascii="Arial" w:eastAsia="Times New Roman" w:hAnsi="Arial" w:cs="Arial"/>
          <w:color w:val="000000" w:themeColor="text1"/>
          <w:lang w:val="en-US" w:eastAsia="de-DE"/>
        </w:rPr>
        <w:instrText>n-dropping-particle":"","parse-names":false,"suffix":""}],"container-title":"Cell","id":"ITEM-1","issue":"5","issued":{"date-parts":[["2019","2","21"]]},"page":"1083-1097.e18","publisher":"Cell Press","title":"Excessive Cell Growth Causes Cytoplasm Dilutio</w:instrText>
      </w:r>
      <w:r>
        <w:rPr>
          <w:rFonts w:ascii="Arial" w:eastAsia="Times New Roman" w:hAnsi="Arial" w:cs="Arial"/>
          <w:color w:val="000000" w:themeColor="text1"/>
          <w:lang w:val="en-US" w:eastAsia="de-DE"/>
        </w:rPr>
        <w:instrText>n And Contributes to Senescence","type":"article-journal","volume":"176"},"uris":["http://www.mendeley.com/documents/?uuid=4833c8e1-6ce1-37ae-98d6-80963c92a809"]},{"id":"ITEM-2","itemData":{"DOI":"10.1016/J.MOLCEL.2022.07.017","ISSN":"1097-2765","PMID":"35</w:instrText>
      </w:r>
      <w:r>
        <w:rPr>
          <w:rFonts w:ascii="Arial" w:eastAsia="Times New Roman" w:hAnsi="Arial" w:cs="Arial"/>
          <w:color w:val="000000" w:themeColor="text1"/>
          <w:lang w:val="en-US" w:eastAsia="de-DE"/>
        </w:rPr>
        <w:instrText>987199","abstract":"Cell size is tightly controlled in healthy tissues, but it is unclear how deviations in cell size affect cell physiology. To address this, we measured how the cell's proteome changes with increasing cell size. Size-dependent protein con</w:instrText>
      </w:r>
      <w:r>
        <w:rPr>
          <w:rFonts w:ascii="Arial" w:eastAsia="Times New Roman" w:hAnsi="Arial" w:cs="Arial"/>
          <w:color w:val="000000" w:themeColor="text1"/>
          <w:lang w:val="en-US" w:eastAsia="de-DE"/>
        </w:rPr>
        <w:instrText xml:space="preserve">centration changes are widespread and predicted by subcellular localization, size-dependent mRNA concentrations, and protein turnover. As proliferating cells grow larger, concentration changes typically associated with cellular senescence are increasingly </w:instrText>
      </w:r>
      <w:r>
        <w:rPr>
          <w:rFonts w:ascii="Arial" w:eastAsia="Times New Roman" w:hAnsi="Arial" w:cs="Arial"/>
          <w:color w:val="000000" w:themeColor="text1"/>
          <w:lang w:val="en-US" w:eastAsia="de-DE"/>
        </w:rPr>
        <w:instrText>pronounced, suggesting that large size may be a cause rather than just a consequence of cell senescence. Consistent with this hypothesis, larger cells are prone to replicative, DNA-damage-induced, and CDK4/6i-induced senescence. Size-dependent changes to t</w:instrText>
      </w:r>
      <w:r>
        <w:rPr>
          <w:rFonts w:ascii="Arial" w:eastAsia="Times New Roman" w:hAnsi="Arial" w:cs="Arial"/>
          <w:color w:val="000000" w:themeColor="text1"/>
          <w:lang w:val="en-US" w:eastAsia="de-DE"/>
        </w:rPr>
        <w:instrText>he proteome, including those associated with senescence, are not observed when an increase in cell size is accompanied by an increase in ploidy. Together, our findings show how cell size could impact many aspects of cell physiology by remodeling the proteo</w:instrText>
      </w:r>
      <w:r>
        <w:rPr>
          <w:rFonts w:ascii="Arial" w:eastAsia="Times New Roman" w:hAnsi="Arial" w:cs="Arial"/>
          <w:color w:val="000000" w:themeColor="text1"/>
          <w:lang w:val="en-US" w:eastAsia="de-DE"/>
        </w:rPr>
        <w:instrText>me and provide a rationale for cell size control and polyploidization.","author":[{"dropping-particle":"","family":"Lanz","given":"Michael C.","non-dropping-particle":"","parse-names":false,"suffix":""},{"dropping-particle":"","family":"Zatulovskiy","given</w:instrText>
      </w:r>
      <w:r>
        <w:rPr>
          <w:rFonts w:ascii="Arial" w:eastAsia="Times New Roman" w:hAnsi="Arial" w:cs="Arial"/>
          <w:color w:val="000000" w:themeColor="text1"/>
          <w:lang w:val="en-US" w:eastAsia="de-DE"/>
        </w:rPr>
        <w:instrText>":"Evgeny","non-dropping-particle":"","parse-names":false,"suffix":""},{"dropping-particle":"","family":"Swaffer","given":"Matthew P.","non-dropping-particle":"","parse-names":false,"suffix":""},{"dropping-particle":"","family":"Zhang","given":"Lichao","no</w:instrText>
      </w:r>
      <w:r>
        <w:rPr>
          <w:rFonts w:ascii="Arial" w:eastAsia="Times New Roman" w:hAnsi="Arial" w:cs="Arial"/>
          <w:color w:val="000000" w:themeColor="text1"/>
          <w:lang w:val="en-US" w:eastAsia="de-DE"/>
        </w:rPr>
        <w:instrText>n-dropping-particle":"","parse-names":false,"suffix":""},{"dropping-particle":"","family":"Ilerten","given":"Ilayda","non-dropping-particle":"","parse-names":false,"suffix":""},{"dropping-particle":"","family":"Zhang","given":"Shuyuan","non-dropping-partic</w:instrText>
      </w:r>
      <w:r>
        <w:rPr>
          <w:rFonts w:ascii="Arial" w:eastAsia="Times New Roman" w:hAnsi="Arial" w:cs="Arial"/>
          <w:color w:val="000000" w:themeColor="text1"/>
          <w:lang w:val="en-US" w:eastAsia="de-DE"/>
        </w:rPr>
        <w:instrText>le":"","parse-names":false,"suffix":""},{"dropping-particle":"","family":"You","given":"Dong Shin","non-dropping-particle":"","parse-names":false,"suffix":""},{"dropping-particle":"","family":"Marinov","given":"Georgi","non-dropping-particle":"","parse-nam</w:instrText>
      </w:r>
      <w:r>
        <w:rPr>
          <w:rFonts w:ascii="Arial" w:eastAsia="Times New Roman" w:hAnsi="Arial" w:cs="Arial"/>
          <w:color w:val="000000" w:themeColor="text1"/>
          <w:lang w:val="en-US" w:eastAsia="de-DE"/>
        </w:rPr>
        <w:instrText>es":false,"suffix":""},{"dropping-particle":"","family":"McAlpine","given":"Patrick","non-dropping-particle":"","parse-names":false,"suffix":""},{"dropping-particle":"","family":"Elias","given":"Joshua E.","non-dropping-particle":"","parse-names":false,"su</w:instrText>
      </w:r>
      <w:r>
        <w:rPr>
          <w:rFonts w:ascii="Arial" w:eastAsia="Times New Roman" w:hAnsi="Arial" w:cs="Arial"/>
          <w:color w:val="000000" w:themeColor="text1"/>
          <w:lang w:val="en-US" w:eastAsia="de-DE"/>
        </w:rPr>
        <w:instrText>ffix":""},{"dropping-particle":"","family":"Skotheim","given":"Jan M.","non-dropping-particle":"","parse-names":false,"suffix":""}],"container-title":"Molecular Cell","id":"ITEM-2","issue":"17","issued":{"date-parts":[["2022","9","1"]]},"page":"3255-3269.e</w:instrText>
      </w:r>
      <w:r>
        <w:rPr>
          <w:rFonts w:ascii="Arial" w:eastAsia="Times New Roman" w:hAnsi="Arial" w:cs="Arial"/>
          <w:color w:val="000000" w:themeColor="text1"/>
          <w:lang w:val="en-US" w:eastAsia="de-DE"/>
        </w:rPr>
        <w:instrText>8","publisher":"Cell Press","title":"Increasing cell size remodels the proteome and promotes senescence","type":"article-journal","volume":"82"},"uris":["http://www.mendeley.com/documents/?uuid=8e51a3f0-6440-3670-854f-e466aa3f4159"]}],"mendeley":{"formatte</w:instrText>
      </w:r>
      <w:r>
        <w:rPr>
          <w:rFonts w:ascii="Arial" w:eastAsia="Times New Roman" w:hAnsi="Arial" w:cs="Arial"/>
          <w:color w:val="000000" w:themeColor="text1"/>
          <w:lang w:val="en-US" w:eastAsia="de-DE"/>
        </w:rPr>
        <w:instrText>dCitation":"&lt;sup&gt;3,5&lt;/sup&gt;","plainTextFormattedCitation":"3,5","previouslyFormattedCitation":"&lt;sup&gt;3,5&lt;/sup&gt;"},"properties":{"noteIndex":0},"schema":"https://github.com/citation-style-language/schema/raw/master/csl-citation.json"}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3,5</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Comparison with a control experiment in which cell growth is reduced, for example through a simultaneous treatment with rapamycin or a reduction of the serum concentration, </w:t>
      </w:r>
      <w:r>
        <w:rPr>
          <w:rFonts w:ascii="Arial" w:eastAsia="Times New Roman" w:hAnsi="Arial" w:cs="Arial"/>
          <w:color w:val="000000" w:themeColor="text1"/>
          <w:lang w:val="en-US" w:eastAsia="de-DE"/>
        </w:rPr>
        <w:lastRenderedPageBreak/>
        <w:t>then allows to disentangle the causal contribution of increased cell size and the</w:t>
      </w:r>
      <w:r>
        <w:rPr>
          <w:rFonts w:ascii="Arial" w:eastAsia="Times New Roman" w:hAnsi="Arial" w:cs="Arial"/>
          <w:color w:val="000000" w:themeColor="text1"/>
          <w:lang w:val="en-US" w:eastAsia="de-DE"/>
        </w:rPr>
        <w:t xml:space="preserve"> cell cycle arrest itself. Using this approach, several recent studies identified multiple pathways through which strongly increased cell size leads to cell cycle exit</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{"citationItems":[{"id":"ITEM-1","itemData":{"DOI":"10.1016/J.CELL.201</w:instrText>
      </w:r>
      <w:r>
        <w:rPr>
          <w:rFonts w:ascii="Arial" w:eastAsia="Times New Roman" w:hAnsi="Arial" w:cs="Arial"/>
          <w:color w:val="000000" w:themeColor="text1"/>
          <w:lang w:val="en-US" w:eastAsia="de-DE"/>
        </w:rPr>
        <w:instrText>9.01.018","ISSN":"0092-8674","abstract":"Cell size varies greatly between cell types, yet within a specific cell type and growth condition, cell size is narrowly distributed. Why maintenance of a cell-type specific cell size is important remains poorly und</w:instrText>
      </w:r>
      <w:r>
        <w:rPr>
          <w:rFonts w:ascii="Arial" w:eastAsia="Times New Roman" w:hAnsi="Arial" w:cs="Arial"/>
          <w:color w:val="000000" w:themeColor="text1"/>
          <w:lang w:val="en-US" w:eastAsia="de-DE"/>
        </w:rPr>
        <w:instrText>erstood. Here we show that growing budding yeast and primary mammalian cells beyond a certain size impairs gene induction, cell-cycle progression, and cell signaling. These defects are due to the inability of large cells to scale nucleic acid and protein b</w:instrText>
      </w:r>
      <w:r>
        <w:rPr>
          <w:rFonts w:ascii="Arial" w:eastAsia="Times New Roman" w:hAnsi="Arial" w:cs="Arial"/>
          <w:color w:val="000000" w:themeColor="text1"/>
          <w:lang w:val="en-US" w:eastAsia="de-DE"/>
        </w:rPr>
        <w:instrText>iosynthesis in accordance with cell volume increase, which effectively leads to cytoplasm dilution. We further show that loss of scaling beyond a certain critical size is due to DNA becoming limiting. Based on the observation that senescent cells are large</w:instrText>
      </w:r>
      <w:r>
        <w:rPr>
          <w:rFonts w:ascii="Arial" w:eastAsia="Times New Roman" w:hAnsi="Arial" w:cs="Arial"/>
          <w:color w:val="000000" w:themeColor="text1"/>
          <w:lang w:val="en-US" w:eastAsia="de-DE"/>
        </w:rPr>
        <w:instrText xml:space="preserve"> and exhibit many of the phenotypes of large cells, we propose that the range of DNA:cytoplasm ratio that supports optimal cell function is limited and that ratios outside these bounds contribute to aging.","author":[{"dropping-particle":"","family":"Neuro</w:instrText>
      </w:r>
      <w:r>
        <w:rPr>
          <w:rFonts w:ascii="Arial" w:eastAsia="Times New Roman" w:hAnsi="Arial" w:cs="Arial"/>
          <w:color w:val="000000" w:themeColor="text1"/>
          <w:lang w:val="en-US" w:eastAsia="de-DE"/>
        </w:rPr>
        <w:instrText>hr","given":"Gabriel E.","non-dropping-particle":"","parse-names":false,"suffix":""},{"dropping-particle":"","family":"Terry","given":"Rachel L.","non-dropping-particle":"","parse-names":false,"suffix":""},{"dropping-particle":"","family":"Lengefeld","give</w:instrText>
      </w:r>
      <w:r>
        <w:rPr>
          <w:rFonts w:ascii="Arial" w:eastAsia="Times New Roman" w:hAnsi="Arial" w:cs="Arial"/>
          <w:color w:val="000000" w:themeColor="text1"/>
          <w:lang w:val="en-US" w:eastAsia="de-DE"/>
        </w:rPr>
        <w:instrText>n":"Jette","non-dropping-particle":"","parse-names":false,"suffix":""},{"dropping-particle":"","family":"Bonney","given":"Megan","non-dropping-particle":"","parse-names":false,"suffix":""},{"dropping-particle":"","family":"Brittingham","given":"Gregory P."</w:instrText>
      </w:r>
      <w:r>
        <w:rPr>
          <w:rFonts w:ascii="Arial" w:eastAsia="Times New Roman" w:hAnsi="Arial" w:cs="Arial"/>
          <w:color w:val="000000" w:themeColor="text1"/>
          <w:lang w:val="en-US" w:eastAsia="de-DE"/>
        </w:rPr>
        <w:instrText>,"non-dropping-particle":"","parse-names":false,"suffix":""},{"dropping-particle":"","family":"Moretto","given":"Fabien","non-dropping-particle":"","parse-names":false,"suffix":""},{"dropping-particle":"","family":"Miettinen","given":"Teemu P.","non-droppi</w:instrText>
      </w:r>
      <w:r>
        <w:rPr>
          <w:rFonts w:ascii="Arial" w:eastAsia="Times New Roman" w:hAnsi="Arial" w:cs="Arial"/>
          <w:color w:val="000000" w:themeColor="text1"/>
          <w:lang w:val="en-US" w:eastAsia="de-DE"/>
        </w:rPr>
        <w:instrText>ng-particle":"","parse-names":false,"suffix":""},{"dropping-particle":"","family":"Vaites","given":"Laura Pontano","non-dropping-particle":"","parse-names":false,"suffix":""},{"dropping-particle":"","family":"Soares","given":"Luis M.","non-dropping-particl</w:instrText>
      </w:r>
      <w:r>
        <w:rPr>
          <w:rFonts w:ascii="Arial" w:eastAsia="Times New Roman" w:hAnsi="Arial" w:cs="Arial"/>
          <w:color w:val="000000" w:themeColor="text1"/>
          <w:lang w:val="en-US" w:eastAsia="de-DE"/>
        </w:rPr>
        <w:instrText>e":"","parse-names":false,"suffix":""},{"dropping-particle":"","family":"Paulo","given":"Joao A.","non-dropping-particle":"","parse-names":false,"suffix":""},{"dropping-particle":"","family":"Harper","given":"J. Wade","non-dropping-particle":"","parse-name</w:instrText>
      </w:r>
      <w:r>
        <w:rPr>
          <w:rFonts w:ascii="Arial" w:eastAsia="Times New Roman" w:hAnsi="Arial" w:cs="Arial"/>
          <w:color w:val="000000" w:themeColor="text1"/>
          <w:lang w:val="en-US" w:eastAsia="de-DE"/>
        </w:rPr>
        <w:instrText>s":false,"suffix":""},{"dropping-particle":"","family":"Buratowski","given":"Stephen","non-dropping-particle":"","parse-names":false,"suffix":""},{"dropping-particle":"","family":"Manalis","given":"Scott","non-dropping-particle":"","parse-names":false,"suf</w:instrText>
      </w:r>
      <w:r>
        <w:rPr>
          <w:rFonts w:ascii="Arial" w:eastAsia="Times New Roman" w:hAnsi="Arial" w:cs="Arial"/>
          <w:color w:val="000000" w:themeColor="text1"/>
          <w:lang w:val="en-US" w:eastAsia="de-DE"/>
        </w:rPr>
        <w:instrText>fix":""},{"dropping-particle":"","family":"Werven","given":"Folkert J.","non-dropping-particle":"van","parse-names":false,"suffix":""},{"dropping-particle":"","family":"Holt","given":"Liam J.","non-dropping-particle":"","parse-names":false,"suffix":""},{"d</w:instrText>
      </w:r>
      <w:r>
        <w:rPr>
          <w:rFonts w:ascii="Arial" w:eastAsia="Times New Roman" w:hAnsi="Arial" w:cs="Arial"/>
          <w:color w:val="000000" w:themeColor="text1"/>
          <w:lang w:val="en-US" w:eastAsia="de-DE"/>
        </w:rPr>
        <w:instrText>ropping-particle":"","family":"Amon","given":"Angelika","non-dropping-particle":"","parse-names":false,"suffix":""}],"container-title":"Cell","id":"ITEM-1","issue":"5","issued":{"date-parts":[["2019","2","21"]]},"page":"1083-1097.e18","publisher":"Cell Pre</w:instrText>
      </w:r>
      <w:r>
        <w:rPr>
          <w:rFonts w:ascii="Arial" w:eastAsia="Times New Roman" w:hAnsi="Arial" w:cs="Arial"/>
          <w:color w:val="000000" w:themeColor="text1"/>
          <w:lang w:val="en-US" w:eastAsia="de-DE"/>
        </w:rPr>
        <w:instrText>ss","title":"Excessive Cell Growth Causes Cytoplasm Dilution And Contributes to Senescence","type":"article-journal","volume":"176"},"uris":["http://www.mendeley.com/documents/?uuid=4833c8e1-6ce1-37ae-98d6-80963c92a809"]},{"id":"ITEM-2","itemData":{"DOI":"</w:instrText>
      </w:r>
      <w:r>
        <w:rPr>
          <w:rFonts w:ascii="Arial" w:eastAsia="Times New Roman" w:hAnsi="Arial" w:cs="Arial"/>
          <w:color w:val="000000" w:themeColor="text1"/>
          <w:lang w:val="en-US" w:eastAsia="de-DE"/>
        </w:rPr>
        <w:instrText>10.1016/J.MOLCEL.2022.07.017","ISSN":"1097-2765","PMID":"35987199","abstract":"Cell size is tightly controlled in healthy tissues, but it is unclear how deviations in cell size affect cell physiology. To address this, we measured how the cell's proteome ch</w:instrText>
      </w:r>
      <w:r>
        <w:rPr>
          <w:rFonts w:ascii="Arial" w:eastAsia="Times New Roman" w:hAnsi="Arial" w:cs="Arial"/>
          <w:color w:val="000000" w:themeColor="text1"/>
          <w:lang w:val="en-US" w:eastAsia="de-DE"/>
        </w:rPr>
        <w:instrText>anges with increasing cell size. Size-dependent protein concentration changes are widespread and predicted by subcellular localization, size-dependent mRNA concentrations, and protein turnover. As proliferating cells grow larger, concentration changes typi</w:instrText>
      </w:r>
      <w:r>
        <w:rPr>
          <w:rFonts w:ascii="Arial" w:eastAsia="Times New Roman" w:hAnsi="Arial" w:cs="Arial"/>
          <w:color w:val="000000" w:themeColor="text1"/>
          <w:lang w:val="en-US" w:eastAsia="de-DE"/>
        </w:rPr>
        <w:instrText xml:space="preserve">cally associated with cellular senescence are increasingly pronounced, suggesting that large size may be a cause rather than just a consequence of cell senescence. Consistent with this hypothesis, larger cells are prone to replicative, DNA-damage-induced, </w:instrText>
      </w:r>
      <w:r>
        <w:rPr>
          <w:rFonts w:ascii="Arial" w:eastAsia="Times New Roman" w:hAnsi="Arial" w:cs="Arial"/>
          <w:color w:val="000000" w:themeColor="text1"/>
          <w:lang w:val="en-US" w:eastAsia="de-DE"/>
        </w:rPr>
        <w:instrText>and CDK4/6i-induced senescence. Size-dependent changes to the proteome, including those associated with senescence, are not observed when an increase in cell size is accompanied by an increase in ploidy. Together, our findings show how cell size could impa</w:instrText>
      </w:r>
      <w:r>
        <w:rPr>
          <w:rFonts w:ascii="Arial" w:eastAsia="Times New Roman" w:hAnsi="Arial" w:cs="Arial"/>
          <w:color w:val="000000" w:themeColor="text1"/>
          <w:lang w:val="en-US" w:eastAsia="de-DE"/>
        </w:rPr>
        <w:instrText>ct many aspects of cell physiology by remodeling the proteome and provide a rationale for cell size control and polyploidization.","author":[{"dropping-particle":"","family":"Lanz","given":"Michael C.","non-dropping-particle":"","parse-names":false,"suffix</w:instrText>
      </w:r>
      <w:r>
        <w:rPr>
          <w:rFonts w:ascii="Arial" w:eastAsia="Times New Roman" w:hAnsi="Arial" w:cs="Arial"/>
          <w:color w:val="000000" w:themeColor="text1"/>
          <w:lang w:val="en-US" w:eastAsia="de-DE"/>
        </w:rPr>
        <w:instrText>":""},{"dropping-particle":"","family":"Zatulovskiy","given":"Evgeny","non-dropping-particle":"","parse-names":false,"suffix":""},{"dropping-particle":"","family":"Swaffer","given":"Matthew P.","non-dropping-particle":"","parse-names":false,"suffix":""},{"</w:instrText>
      </w:r>
      <w:r>
        <w:rPr>
          <w:rFonts w:ascii="Arial" w:eastAsia="Times New Roman" w:hAnsi="Arial" w:cs="Arial"/>
          <w:color w:val="000000" w:themeColor="text1"/>
          <w:lang w:val="en-US" w:eastAsia="de-DE"/>
        </w:rPr>
        <w:instrText>dropping-particle":"","family":"Zhang","given":"Lichao","non-dropping-particle":"","parse-names":false,"suffix":""},{"dropping-particle":"","family":"Ilerten","given":"Ilayda","non-dropping-particle":"","parse-names":false,"suffix":""},{"dropping-particle"</w:instrText>
      </w:r>
      <w:r>
        <w:rPr>
          <w:rFonts w:ascii="Arial" w:eastAsia="Times New Roman" w:hAnsi="Arial" w:cs="Arial"/>
          <w:color w:val="000000" w:themeColor="text1"/>
          <w:lang w:val="en-US" w:eastAsia="de-DE"/>
        </w:rPr>
        <w:instrText>:"","family":"Zhang","given":"Shuyuan","non-dropping-particle":"","parse-names":false,"suffix":""},{"dropping-particle":"","family":"You","given":"Dong Shin","non-dropping-particle":"","parse-names":false,"suffix":""},{"dropping-particle":"","family":"Mari</w:instrText>
      </w:r>
      <w:r>
        <w:rPr>
          <w:rFonts w:ascii="Arial" w:eastAsia="Times New Roman" w:hAnsi="Arial" w:cs="Arial"/>
          <w:color w:val="000000" w:themeColor="text1"/>
          <w:lang w:val="en-US" w:eastAsia="de-DE"/>
        </w:rPr>
        <w:instrText>nov","given":"Georgi","non-dropping-particle":"","parse-names":false,"suffix":""},{"dropping-particle":"","family":"McAlpine","given":"Patrick","non-dropping-particle":"","parse-names":false,"suffix":""},{"dropping-particle":"","family":"Elias","given":"Jo</w:instrText>
      </w:r>
      <w:r>
        <w:rPr>
          <w:rFonts w:ascii="Arial" w:eastAsia="Times New Roman" w:hAnsi="Arial" w:cs="Arial"/>
          <w:color w:val="000000" w:themeColor="text1"/>
          <w:lang w:val="en-US" w:eastAsia="de-DE"/>
        </w:rPr>
        <w:instrText>shua E.","non-dropping-particle":"","parse-names":false,"suffix":""},{"dropping-particle":"","family":"Skotheim","given":"Jan M.","non-dropping-particle":"","parse-names":false,"suffix":""}],"container-title":"Molecular Cell","id":"ITEM-2","issue":"17","is</w:instrText>
      </w:r>
      <w:r>
        <w:rPr>
          <w:rFonts w:ascii="Arial" w:eastAsia="Times New Roman" w:hAnsi="Arial" w:cs="Arial"/>
          <w:color w:val="000000" w:themeColor="text1"/>
          <w:lang w:val="en-US" w:eastAsia="de-DE"/>
        </w:rPr>
        <w:instrText>sued":{"date-parts":[["2022","9","1"]]},"page":"3255-3269.e8","publisher":"Cell Press","title":"Increasing cell size remodels the proteome and promotes senescence","type":"article-journal","volume":"82"},"uris":["http://www.mendeley.com/documents/?uuid=8e5</w:instrText>
      </w:r>
      <w:r>
        <w:rPr>
          <w:rFonts w:ascii="Arial" w:eastAsia="Times New Roman" w:hAnsi="Arial" w:cs="Arial"/>
          <w:color w:val="000000" w:themeColor="text1"/>
          <w:lang w:val="en-US" w:eastAsia="de-DE"/>
        </w:rPr>
        <w:instrText>1a3f0-6440-3670-854f-e466aa3f4159"]},{"id":"ITEM-3","itemData":{"DOI":"10.1016/J.MOLCEL.2023.10.020","ISSN":"1097-2765","PMID":"37977117","abstract":"&lt;h2&gt;Summary&lt;/h2&gt;&lt;p&gt;CDK4/6 inhibitors are remarkable anti-cancer drugs that can arrest tumor cells in G1 an</w:instrText>
      </w:r>
      <w:r>
        <w:rPr>
          <w:rFonts w:ascii="Arial" w:eastAsia="Times New Roman" w:hAnsi="Arial" w:cs="Arial"/>
          <w:color w:val="000000" w:themeColor="text1"/>
          <w:lang w:val="en-US" w:eastAsia="de-DE"/>
        </w:rPr>
        <w:instrText>d induce their senescence while causing only relatively mild toxicities in healthy tissues. How they achieve this mechanistically is unclear. We show here that tumor cells are specifically vulnerable to CDK4/6 inhibition because during the G1 arrest, oncog</w:instrText>
      </w:r>
      <w:r>
        <w:rPr>
          <w:rFonts w:ascii="Arial" w:eastAsia="Times New Roman" w:hAnsi="Arial" w:cs="Arial"/>
          <w:color w:val="000000" w:themeColor="text1"/>
          <w:lang w:val="en-US" w:eastAsia="de-DE"/>
        </w:rPr>
        <w:instrText>enic signals drive toxic cell overgrowth. This overgrowth causes permanent cell cycle withdrawal by either preventing progression from G1 or inducing genotoxic damage during the subsequent S-phase and mitosis. Inhibiting or reverting oncogenic signals that</w:instrText>
      </w:r>
      <w:r>
        <w:rPr>
          <w:rFonts w:ascii="Arial" w:eastAsia="Times New Roman" w:hAnsi="Arial" w:cs="Arial"/>
          <w:color w:val="000000" w:themeColor="text1"/>
          <w:lang w:val="en-US" w:eastAsia="de-DE"/>
        </w:rPr>
        <w:instrText xml:space="preserve"> converge onto mTOR can rescue this excessive growth, DNA damage, and cell cycle exit in cancer cells. Conversely, inducing oncogenic signals in non-transformed cells can drive these toxic phenotypes and sensitize the cells to CDK4/6 inhibition. Together, </w:instrText>
      </w:r>
      <w:r>
        <w:rPr>
          <w:rFonts w:ascii="Arial" w:eastAsia="Times New Roman" w:hAnsi="Arial" w:cs="Arial"/>
          <w:color w:val="000000" w:themeColor="text1"/>
          <w:lang w:val="en-US" w:eastAsia="de-DE"/>
        </w:rPr>
        <w:instrText>this demonstrates that cell cycle arrest and oncogenic cell growth is a synthetic lethal combination that is exploited by CDK4/6 inhibitors to induce tumor-specific toxicity.&lt;/p&gt;","author":[{"dropping-particle":"","family":"Foy","given":"Reece","non-droppi</w:instrText>
      </w:r>
      <w:r>
        <w:rPr>
          <w:rFonts w:ascii="Arial" w:eastAsia="Times New Roman" w:hAnsi="Arial" w:cs="Arial"/>
          <w:color w:val="000000" w:themeColor="text1"/>
          <w:lang w:val="en-US" w:eastAsia="de-DE"/>
        </w:rPr>
        <w:instrText>ng-particle":"","parse-names":false,"suffix":""},{"dropping-particle":"","family":"Crozier","given":"Lisa","non-dropping-particle":"","parse-names":false,"suffix":""},{"dropping-particle":"","family":"Pareri","given":"Aanchal U","non-dropping-particle":"",</w:instrText>
      </w:r>
      <w:r>
        <w:rPr>
          <w:rFonts w:ascii="Arial" w:eastAsia="Times New Roman" w:hAnsi="Arial" w:cs="Arial"/>
          <w:color w:val="000000" w:themeColor="text1"/>
          <w:lang w:val="en-US" w:eastAsia="de-DE"/>
        </w:rPr>
        <w:instrText>"parse-names":false,"suffix":""},{"dropping-particle":"","family":"Valverde","given":"Juan Manuel","non-dropping-particle":"","parse-names":false,"suffix":""},{"dropping-particle":"","family":"Park","given":"Ben Ho","non-dropping-particle":"","parse-names"</w:instrText>
      </w:r>
      <w:r>
        <w:rPr>
          <w:rFonts w:ascii="Arial" w:eastAsia="Times New Roman" w:hAnsi="Arial" w:cs="Arial"/>
          <w:color w:val="000000" w:themeColor="text1"/>
          <w:lang w:val="en-US" w:eastAsia="de-DE"/>
        </w:rPr>
        <w:instrText>:false,"suffix":""},{"dropping-particle":"","family":"Ly","given":"Tony","non-dropping-particle":"","parse-names":false,"suffix":""},{"dropping-particle":"","family":"Saurin Correspondence","given":"Adrian T","non-dropping-particle":"","parse-names":false,</w:instrText>
      </w:r>
      <w:r>
        <w:rPr>
          <w:rFonts w:ascii="Arial" w:eastAsia="Times New Roman" w:hAnsi="Arial" w:cs="Arial"/>
          <w:color w:val="000000" w:themeColor="text1"/>
          <w:lang w:val="en-US" w:eastAsia="de-DE"/>
        </w:rPr>
        <w:instrText>"suffix":""}],"container-title":"Molecular Cell","id":"ITEM-3","issue":"22","issued":{"date-parts":[["2023","11","16"]]},"page":"4047-4061.e6","publisher":"Elsevier","title":"Oncogenic signals prime cancer cells for toxic cell overgrowth during a G1 cell c</w:instrText>
      </w:r>
      <w:r>
        <w:rPr>
          <w:rFonts w:ascii="Arial" w:eastAsia="Times New Roman" w:hAnsi="Arial" w:cs="Arial"/>
          <w:color w:val="000000" w:themeColor="text1"/>
          <w:lang w:val="en-US" w:eastAsia="de-DE"/>
        </w:rPr>
        <w:instrText>ycle arrest","type":"article-journal","volume":"83"},"uris":["http://www.mendeley.com/documents/?uuid=83b6397d-b756-3c24-807d-7468030aa211"]},{"id":"ITEM-4","itemData":{"DOI":"10.1016/j.molcel.2023.10.017","ISSN":"10974164","abstract":"Tumor growth is driv</w:instrText>
      </w:r>
      <w:r>
        <w:rPr>
          <w:rFonts w:ascii="Arial" w:eastAsia="Times New Roman" w:hAnsi="Arial" w:cs="Arial"/>
          <w:color w:val="000000" w:themeColor="text1"/>
          <w:lang w:val="en-US" w:eastAsia="de-DE"/>
        </w:rPr>
        <w:instrText>en by continued cellular growth and proliferation. Cyclin-dependent kinase 7’s (CDK7) role in activating mitotic CDKs and global gene expression makes it therefore an attractive target for cancer therapies. However, what makes cancer cells particularly sen</w:instrText>
      </w:r>
      <w:r>
        <w:rPr>
          <w:rFonts w:ascii="Arial" w:eastAsia="Times New Roman" w:hAnsi="Arial" w:cs="Arial"/>
          <w:color w:val="000000" w:themeColor="text1"/>
          <w:lang w:val="en-US" w:eastAsia="de-DE"/>
        </w:rPr>
        <w:instrText>sitive to CDK7 inhibition (CDK7i) remains unclear. Here, we address this question. We show that CDK7i, by samuraciclib, induces a permanent cell-cycle exit, known as senescence, without promoting DNA damage signaling or cell death. A chemogenetic genome-wi</w:instrText>
      </w:r>
      <w:r>
        <w:rPr>
          <w:rFonts w:ascii="Arial" w:eastAsia="Times New Roman" w:hAnsi="Arial" w:cs="Arial"/>
          <w:color w:val="000000" w:themeColor="text1"/>
          <w:lang w:val="en-US" w:eastAsia="de-DE"/>
        </w:rPr>
        <w:instrText>de CRISPR knockout screen identified that active mTOR (mammalian target of rapamycin) signaling promotes samuraciclib-induced senescence. mTOR inhibition decreases samuraciclib sensitivity, and increased mTOR-dependent growth signaling correlates with sens</w:instrText>
      </w:r>
      <w:r>
        <w:rPr>
          <w:rFonts w:ascii="Arial" w:eastAsia="Times New Roman" w:hAnsi="Arial" w:cs="Arial"/>
          <w:color w:val="000000" w:themeColor="text1"/>
          <w:lang w:val="en-US" w:eastAsia="de-DE"/>
        </w:rPr>
        <w:instrText>itivity in cancer cell lines. Reverting a growth-promoting mutation in PIK3CA to wild type decreases sensitivity to CDK7i. Our work establishes that enhanced growth alone promotes CDK7i sensitivity, providing an explanation for why some cancers are more se</w:instrText>
      </w:r>
      <w:r>
        <w:rPr>
          <w:rFonts w:ascii="Arial" w:eastAsia="Times New Roman" w:hAnsi="Arial" w:cs="Arial"/>
          <w:color w:val="000000" w:themeColor="text1"/>
          <w:lang w:val="en-US" w:eastAsia="de-DE"/>
        </w:rPr>
        <w:instrText>nsitive to CDK inhibition than normally growing cells.","author":[{"dropping-particle":"","family":"Wilson","given":"Gemma A.","non-dropping-particle":"","parse-names":false,"suffix":""},{"dropping-particle":"","family":"Vuina","given":"Karla","non-droppin</w:instrText>
      </w:r>
      <w:r>
        <w:rPr>
          <w:rFonts w:ascii="Arial" w:eastAsia="Times New Roman" w:hAnsi="Arial" w:cs="Arial"/>
          <w:color w:val="000000" w:themeColor="text1"/>
          <w:lang w:val="en-US" w:eastAsia="de-DE"/>
        </w:rPr>
        <w:instrText>g-particle":"","parse-names":false,"suffix":""},{"dropping-particle":"","family":"Sava","given":"Georgina","non-dropping-particle":"","parse-names":false,"suffix":""},{"dropping-particle":"","family":"Huard","given":"Caroline","non-dropping-particle":"","p</w:instrText>
      </w:r>
      <w:r>
        <w:rPr>
          <w:rFonts w:ascii="Arial" w:eastAsia="Times New Roman" w:hAnsi="Arial" w:cs="Arial"/>
          <w:color w:val="000000" w:themeColor="text1"/>
          <w:lang w:val="en-US" w:eastAsia="de-DE"/>
        </w:rPr>
        <w:instrText>arse-names":false,"suffix":""},{"dropping-particle":"","family":"Meneguello","given":"Leticia","non-dropping-particle":"","parse-names":false,"suffix":""},{"dropping-particle":"","family":"Coulombe-Huntington","given":"Jasmin","non-dropping-particle":"","p</w:instrText>
      </w:r>
      <w:r>
        <w:rPr>
          <w:rFonts w:ascii="Arial" w:eastAsia="Times New Roman" w:hAnsi="Arial" w:cs="Arial"/>
          <w:color w:val="000000" w:themeColor="text1"/>
          <w:lang w:val="en-US" w:eastAsia="de-DE"/>
        </w:rPr>
        <w:instrText>arse-names":false,"suffix":""},{"dropping-particle":"","family":"Bertomeu","given":"Thierry","non-dropping-particle":"","parse-names":false,"suffix":""},{"dropping-particle":"","family":"Maizels","given":"Rory J.","non-dropping-particle":"","parse-names":f</w:instrText>
      </w:r>
      <w:r>
        <w:rPr>
          <w:rFonts w:ascii="Arial" w:eastAsia="Times New Roman" w:hAnsi="Arial" w:cs="Arial"/>
          <w:color w:val="000000" w:themeColor="text1"/>
          <w:lang w:val="en-US" w:eastAsia="de-DE"/>
        </w:rPr>
        <w:instrText>alse,"suffix":""},{"dropping-particle":"","family":"Lauring","given":"Josh","non-dropping-particle":"","parse-names":false,"suffix":""},{"dropping-particle":"","family":"Kriston-Vizi","given":"Janos","non-dropping-particle":"","parse-names":false,"suffix":</w:instrText>
      </w:r>
      <w:r>
        <w:rPr>
          <w:rFonts w:ascii="Arial" w:eastAsia="Times New Roman" w:hAnsi="Arial" w:cs="Arial"/>
          <w:color w:val="000000" w:themeColor="text1"/>
          <w:lang w:val="en-US" w:eastAsia="de-DE"/>
        </w:rPr>
        <w:instrText>""},{"dropping-particle":"","family":"Tyers","given":"Mike","non-dropping-particle":"","parse-names":false,"suffix":""},{"dropping-particle":"","family":"Ali","given":"Simak","non-dropping-particle":"","parse-names":false,"suffix":""},{"dropping-particle":</w:instrText>
      </w:r>
      <w:r>
        <w:rPr>
          <w:rFonts w:ascii="Arial" w:eastAsia="Times New Roman" w:hAnsi="Arial" w:cs="Arial"/>
          <w:color w:val="000000" w:themeColor="text1"/>
          <w:lang w:val="en-US" w:eastAsia="de-DE"/>
        </w:rPr>
        <w:instrText>"","family":"Bertoli","given":"Cosetta","non-dropping-particle":"","parse-names":false,"suffix":""},{"dropping-particle":"","family":"Bruin","given":"Robertus A.M.","non-dropping-particle":"de","parse-names":false,"suffix":""}],"container-title":"Molecular</w:instrText>
      </w:r>
      <w:r>
        <w:rPr>
          <w:rFonts w:ascii="Arial" w:eastAsia="Times New Roman" w:hAnsi="Arial" w:cs="Arial"/>
          <w:color w:val="000000" w:themeColor="text1"/>
          <w:lang w:val="en-US" w:eastAsia="de-DE"/>
        </w:rPr>
        <w:instrText xml:space="preserve"> Cell","id":"ITEM-4","issue":"22","issued":{"date-parts":[["2023","11","16"]]},"page":"4078-4092.e6","publisher":"Cell Press","title":"Active growth signaling promotes senescence and cancer cell sensitivity to CDK7 inhibition","type":"article-journal","vol</w:instrText>
      </w:r>
      <w:r>
        <w:rPr>
          <w:rFonts w:ascii="Arial" w:eastAsia="Times New Roman" w:hAnsi="Arial" w:cs="Arial"/>
          <w:color w:val="000000" w:themeColor="text1"/>
          <w:lang w:val="en-US" w:eastAsia="de-DE"/>
        </w:rPr>
        <w:instrText>ume":"83"},"uris":["http://www.mendeley.com/documents/?uuid=500fc6dc-0cd8-3732-90c8-6f6027111e2a"]},{"id":"ITEM-5","itemData":{"DOI":"10.1016/J.MOLCEL.2023.10.018/ATTACHMENT/290719E4-7D08-45D5-8470-9BCA25B99A39/MMC2.XLSX","ISSN":"1097-4164","PMID":"3797711</w:instrText>
      </w:r>
      <w:r>
        <w:rPr>
          <w:rFonts w:ascii="Arial" w:eastAsia="Times New Roman" w:hAnsi="Arial" w:cs="Arial"/>
          <w:color w:val="000000" w:themeColor="text1"/>
          <w:lang w:val="en-US" w:eastAsia="de-DE"/>
        </w:rPr>
        <w:instrText>6","abstract":"Cellular senescence refers to an irreversible state of cell-cycle arrest and plays important roles in aging and cancer biology. Because senescence is associated with increased cell size, we used reversible cell-cycle arrests combined with gr</w:instrText>
      </w:r>
      <w:r>
        <w:rPr>
          <w:rFonts w:ascii="Arial" w:eastAsia="Times New Roman" w:hAnsi="Arial" w:cs="Arial"/>
          <w:color w:val="000000" w:themeColor="text1"/>
          <w:lang w:val="en-US" w:eastAsia="de-DE"/>
        </w:rPr>
        <w:instrText>owth rate modulation to study how excessive growth affects proliferation. We find that enlarged cells upregulate p21, which limits cell-cycle progression. Cells that re-enter the cell cycle encounter replication stress that is well tolerated in physiologic</w:instrText>
      </w:r>
      <w:r>
        <w:rPr>
          <w:rFonts w:ascii="Arial" w:eastAsia="Times New Roman" w:hAnsi="Arial" w:cs="Arial"/>
          <w:color w:val="000000" w:themeColor="text1"/>
          <w:lang w:val="en-US" w:eastAsia="de-DE"/>
        </w:rPr>
        <w:instrText xml:space="preserve">ally sized cells but causes severe DNA damage in enlarged cells, ultimately resulting in mitotic failure and permanent cell-cycle withdrawal. We demonstrate that enlarged cells fail to recruit 53BP1 and other non-homologous end joining (NHEJ) machinery to </w:instrText>
      </w:r>
      <w:r>
        <w:rPr>
          <w:rFonts w:ascii="Arial" w:eastAsia="Times New Roman" w:hAnsi="Arial" w:cs="Arial"/>
          <w:color w:val="000000" w:themeColor="text1"/>
          <w:lang w:val="en-US" w:eastAsia="de-DE"/>
        </w:rPr>
        <w:instrText>DNA damage sites and fail to robustly initiate DNA damage-dependent p53 signaling, rendering them highly sensitive to genotoxic stress. We propose that an impaired DNA damage response primes enlarged cells for persistent replication-acquired damage, ultima</w:instrText>
      </w:r>
      <w:r>
        <w:rPr>
          <w:rFonts w:ascii="Arial" w:eastAsia="Times New Roman" w:hAnsi="Arial" w:cs="Arial"/>
          <w:color w:val="000000" w:themeColor="text1"/>
          <w:lang w:val="en-US" w:eastAsia="de-DE"/>
        </w:rPr>
        <w:instrText>tely leading to cell division failure and permanent cell-cycle exit.","author":[{"dropping-particle":"","family":"Manohar","given":"Sandhya","non-dropping-particle":"","parse-names":false,"suffix":""},{"dropping-particle":"","family":"Estrada","given":"Mar</w:instrText>
      </w:r>
      <w:r>
        <w:rPr>
          <w:rFonts w:ascii="Arial" w:eastAsia="Times New Roman" w:hAnsi="Arial" w:cs="Arial"/>
          <w:color w:val="000000" w:themeColor="text1"/>
          <w:lang w:val="en-US" w:eastAsia="de-DE"/>
        </w:rPr>
        <w:instrText>ianna E","non-dropping-particle":"","parse-names":false,"suffix":""},{"dropping-particle":"","family":"Uliana","given":"Federico","non-dropping-particle":"","parse-names":false,"suffix":""},{"dropping-particle":"","family":"Vuina","given":"Karla","non-drop</w:instrText>
      </w:r>
      <w:r>
        <w:rPr>
          <w:rFonts w:ascii="Arial" w:eastAsia="Times New Roman" w:hAnsi="Arial" w:cs="Arial"/>
          <w:color w:val="000000" w:themeColor="text1"/>
          <w:lang w:val="en-US" w:eastAsia="de-DE"/>
        </w:rPr>
        <w:instrText>ping-particle":"","parse-names":false,"suffix":""},{"dropping-particle":"","family":"Alvarez","given":"Patricia Moyano","non-dropping-particle":"","parse-names":false,"suffix":""},{"dropping-particle":"","family":"Bruin","given":"Robertus A M","non-droppin</w:instrText>
      </w:r>
      <w:r>
        <w:rPr>
          <w:rFonts w:ascii="Arial" w:eastAsia="Times New Roman" w:hAnsi="Arial" w:cs="Arial"/>
          <w:color w:val="000000" w:themeColor="text1"/>
          <w:lang w:val="en-US" w:eastAsia="de-DE"/>
        </w:rPr>
        <w:instrText>g-particle":"de","parse-names":false,"suffix":""},{"dropping-particle":"","family":"Neurohr","given":"Gabriel E","non-dropping-particle":"","parse-names":false,"suffix":""}],"container-title":"Molecular cell","id":"ITEM-5","issue":"22","issued":{"date-part</w:instrText>
      </w:r>
      <w:r>
        <w:rPr>
          <w:rFonts w:ascii="Arial" w:eastAsia="Times New Roman" w:hAnsi="Arial" w:cs="Arial"/>
          <w:color w:val="000000" w:themeColor="text1"/>
          <w:lang w:val="en-US" w:eastAsia="de-DE"/>
        </w:rPr>
        <w:instrText>s":[["2023","11","16"]]},"page":"4032-4046.e6","publisher":"Elsevier","title":"Genome homeostasis defects drive enlarged cells into senescence.","type":"article-journal","volume":"83"},"uris":["http://www.mendeley.com/documents/?uuid=fbb4b839-5ba0-313d-821</w:instrText>
      </w:r>
      <w:r>
        <w:rPr>
          <w:rFonts w:ascii="Arial" w:eastAsia="Times New Roman" w:hAnsi="Arial" w:cs="Arial"/>
          <w:color w:val="000000" w:themeColor="text1"/>
          <w:lang w:val="en-US" w:eastAsia="de-DE"/>
        </w:rPr>
        <w:instrText xml:space="preserve">6-13cda1164b1d"]},{"id":"ITEM-6","itemData":{"DOI":"10.1016/j.molcel.2023.10.016","ISSN":"10974164","abstract":"Abnormal increases in cell size are associated with senescence and cell cycle exit. The mechanisms by which overgrowth primes cells to withdraw </w:instrText>
      </w:r>
      <w:r>
        <w:rPr>
          <w:rFonts w:ascii="Arial" w:eastAsia="Times New Roman" w:hAnsi="Arial" w:cs="Arial"/>
          <w:color w:val="000000" w:themeColor="text1"/>
          <w:lang w:val="en-US" w:eastAsia="de-DE"/>
        </w:rPr>
        <w:instrText>from the cell cycle remain unknown. We address this question using CDK4/6 inhibitors, which arrest cells in G0/G1 and are licensed to treat advanced HR+/HER2− breast cancer. We demonstrate that CDK4/6-inhibited cells overgrow during G0/G1, causing p38/p53/</w:instrText>
      </w:r>
      <w:r>
        <w:rPr>
          <w:rFonts w:ascii="Arial" w:eastAsia="Times New Roman" w:hAnsi="Arial" w:cs="Arial"/>
          <w:color w:val="000000" w:themeColor="text1"/>
          <w:lang w:val="en-US" w:eastAsia="de-DE"/>
        </w:rPr>
        <w:instrText>p21-dependent cell cycle withdrawal. Cell cycle withdrawal is triggered by biphasic p21 induction. The first p21 wave is caused by osmotic stress, leading to p38- and size-dependent accumulation of p21. CDK4/6 inhibitor washout results in some cells enteri</w:instrText>
      </w:r>
      <w:r>
        <w:rPr>
          <w:rFonts w:ascii="Arial" w:eastAsia="Times New Roman" w:hAnsi="Arial" w:cs="Arial"/>
          <w:color w:val="000000" w:themeColor="text1"/>
          <w:lang w:val="en-US" w:eastAsia="de-DE"/>
        </w:rPr>
        <w:instrText xml:space="preserve">ng S-phase. Overgrown cells experience replication stress, resulting in a second p21 wave that promotes cell cycle withdrawal from G2 or the subsequent G1. We propose that the levels of p21 integrate signals from overgrowth-triggered stresses to determine </w:instrText>
      </w:r>
      <w:r>
        <w:rPr>
          <w:rFonts w:ascii="Arial" w:eastAsia="Times New Roman" w:hAnsi="Arial" w:cs="Arial"/>
          <w:color w:val="000000" w:themeColor="text1"/>
          <w:lang w:val="en-US" w:eastAsia="de-DE"/>
        </w:rPr>
        <w:instrText>cell fate. This model explains how hypertrophy can drive senescence and why CDK4/6 inhibitors have long-lasting effects in patients.","author":[{"dropping-particle":"","family":"Crozier","given":"Lisa","non-dropping-particle":"","parse-names":false,"suffix</w:instrText>
      </w:r>
      <w:r>
        <w:rPr>
          <w:rFonts w:ascii="Arial" w:eastAsia="Times New Roman" w:hAnsi="Arial" w:cs="Arial"/>
          <w:color w:val="000000" w:themeColor="text1"/>
          <w:lang w:val="en-US" w:eastAsia="de-DE"/>
        </w:rPr>
        <w:instrText>":""},{"dropping-particle":"","family":"Foy","given":"Reece","non-dropping-particle":"","parse-names":false,"suffix":""},{"dropping-particle":"","family":"Adib","given":"Rozita","non-dropping-particle":"","parse-names":false,"suffix":""},{"dropping-particl</w:instrText>
      </w:r>
      <w:r>
        <w:rPr>
          <w:rFonts w:ascii="Arial" w:eastAsia="Times New Roman" w:hAnsi="Arial" w:cs="Arial"/>
          <w:color w:val="000000" w:themeColor="text1"/>
          <w:lang w:val="en-US" w:eastAsia="de-DE"/>
        </w:rPr>
        <w:instrText>e":"","family":"Kar","given":"Ananya","non-dropping-particle":"","parse-names":false,"suffix":""},{"dropping-particle":"","family":"Holt","given":"Jordan A.","non-dropping-particle":"","parse-names":false,"suffix":""},{"dropping-particle":"","family":"Pare</w:instrText>
      </w:r>
      <w:r>
        <w:rPr>
          <w:rFonts w:ascii="Arial" w:eastAsia="Times New Roman" w:hAnsi="Arial" w:cs="Arial"/>
          <w:color w:val="000000" w:themeColor="text1"/>
          <w:lang w:val="en-US" w:eastAsia="de-DE"/>
        </w:rPr>
        <w:instrText>ri","given":"Aanchal U.","non-dropping-particle":"","parse-names":false,"suffix":""},{"dropping-particle":"","family":"Valverde","given":"Juan Manuel","non-dropping-particle":"","parse-names":false,"suffix":""},{"dropping-particle":"","family":"Rivera","gi</w:instrText>
      </w:r>
      <w:r>
        <w:rPr>
          <w:rFonts w:ascii="Arial" w:eastAsia="Times New Roman" w:hAnsi="Arial" w:cs="Arial"/>
          <w:color w:val="000000" w:themeColor="text1"/>
          <w:lang w:val="en-US" w:eastAsia="de-DE"/>
        </w:rPr>
        <w:instrText>ven":"Rene","non-dropping-particle":"","parse-names":false,"suffix":""},{"dropping-particle":"","family":"Weston","given":"William A.","non-dropping-particle":"","parse-names":false,"suffix":""},{"dropping-particle":"","family":"Wilson","given":"Rona","non</w:instrText>
      </w:r>
      <w:r>
        <w:rPr>
          <w:rFonts w:ascii="Arial" w:eastAsia="Times New Roman" w:hAnsi="Arial" w:cs="Arial"/>
          <w:color w:val="000000" w:themeColor="text1"/>
          <w:lang w:val="en-US" w:eastAsia="de-DE"/>
        </w:rPr>
        <w:instrText>-dropping-particle":"","parse-names":false,"suffix":""},{"dropping-particle":"","family":"Regnault","given":"Clement","non-dropping-particle":"","parse-names":false,"suffix":""},{"dropping-particle":"","family":"Whitfield","given":"Phil","non-dropping-part</w:instrText>
      </w:r>
      <w:r>
        <w:rPr>
          <w:rFonts w:ascii="Arial" w:eastAsia="Times New Roman" w:hAnsi="Arial" w:cs="Arial"/>
          <w:color w:val="000000" w:themeColor="text1"/>
          <w:lang w:val="en-US" w:eastAsia="de-DE"/>
        </w:rPr>
        <w:instrText>icle":"","parse-names":false,"suffix":""},{"dropping-particle":"","family":"Badonyi","given":"Mihaly","non-dropping-particle":"","parse-names":false,"suffix":""},{"dropping-particle":"","family":"Bennett","given":"Laura G.","non-dropping-particle":"","pars</w:instrText>
      </w:r>
      <w:r>
        <w:rPr>
          <w:rFonts w:ascii="Arial" w:eastAsia="Times New Roman" w:hAnsi="Arial" w:cs="Arial"/>
          <w:color w:val="000000" w:themeColor="text1"/>
          <w:lang w:val="en-US" w:eastAsia="de-DE"/>
        </w:rPr>
        <w:instrText>e-names":false,"suffix":""},{"dropping-particle":"","family":"Vernon","given":"Ellen G.","non-dropping-particle":"","parse-names":false,"suffix":""},{"dropping-particle":"","family":"Gamble","given":"Amelia","non-dropping-particle":"","parse-names":false,"</w:instrText>
      </w:r>
      <w:r>
        <w:rPr>
          <w:rFonts w:ascii="Arial" w:eastAsia="Times New Roman" w:hAnsi="Arial" w:cs="Arial"/>
          <w:color w:val="000000" w:themeColor="text1"/>
          <w:lang w:val="en-US" w:eastAsia="de-DE"/>
        </w:rPr>
        <w:instrText>suffix":""},{"dropping-particle":"","family":"Marsh","given":"Joseph A.","non-dropping-particle":"","parse-names":false,"suffix":""},{"dropping-particle":"","family":"Staples","given":"Christopher J.","non-dropping-particle":"","parse-names":false,"suffix"</w:instrText>
      </w:r>
      <w:r>
        <w:rPr>
          <w:rFonts w:ascii="Arial" w:eastAsia="Times New Roman" w:hAnsi="Arial" w:cs="Arial"/>
          <w:color w:val="000000" w:themeColor="text1"/>
          <w:lang w:val="en-US" w:eastAsia="de-DE"/>
        </w:rPr>
        <w:instrText>:""},{"dropping-particle":"","family":"Saurin","given":"Adrian T.","non-dropping-particle":"","parse-names":false,"suffix":""},{"dropping-particle":"","family":"Barr","given":"Alexis R.","non-dropping-particle":"","parse-names":false,"suffix":""},{"droppin</w:instrText>
      </w:r>
      <w:r>
        <w:rPr>
          <w:rFonts w:ascii="Arial" w:eastAsia="Times New Roman" w:hAnsi="Arial" w:cs="Arial"/>
          <w:color w:val="000000" w:themeColor="text1"/>
          <w:lang w:val="en-US" w:eastAsia="de-DE"/>
        </w:rPr>
        <w:instrText>g-particle":"","family":"Ly","given":"Tony","non-dropping-particle":"","parse-names":false,"suffix":""}],"container-title":"Molecular Cell","id":"ITEM-6","issue":"22","issued":{"date-parts":[["2023","11","16"]]},"page":"4062-4077.e5","publisher":"Cell Pres</w:instrText>
      </w:r>
      <w:r>
        <w:rPr>
          <w:rFonts w:ascii="Arial" w:eastAsia="Times New Roman" w:hAnsi="Arial" w:cs="Arial"/>
          <w:color w:val="000000" w:themeColor="text1"/>
          <w:lang w:val="en-US" w:eastAsia="de-DE"/>
        </w:rPr>
        <w:instrText>s","title":"CDK4/6 inhibitor-mediated cell overgrowth triggers osmotic and replication stress to promote senescence","type":"article-journal","volume":"83"},"uris":["http://www.mendeley.com/documents/?uuid=8aba87f2-0eb9-3272-acf9-d0ad9b393fd4"]}],"mendeley</w:instrText>
      </w:r>
      <w:r>
        <w:rPr>
          <w:rFonts w:ascii="Arial" w:eastAsia="Times New Roman" w:hAnsi="Arial" w:cs="Arial"/>
          <w:color w:val="000000" w:themeColor="text1"/>
          <w:lang w:val="en-US" w:eastAsia="de-DE"/>
        </w:rPr>
        <w:instrText>":{"formattedCitation":"&lt;sup&gt;3,5,387–390&lt;/sup&gt;","plainTextFormattedCitation":"3,5,387–390","previouslyFormattedCitation":"&lt;sup&gt;3,5,387–390&lt;/sup&gt;"},"properties":{"noteIndex":0},"schema":"https://github.com/citation-style-language/schema/raw/master/csl-citat</w:instrText>
      </w:r>
      <w:r>
        <w:rPr>
          <w:rFonts w:ascii="Arial" w:eastAsia="Times New Roman" w:hAnsi="Arial" w:cs="Arial"/>
          <w:color w:val="000000" w:themeColor="text1"/>
          <w:lang w:val="en-US" w:eastAsia="de-DE"/>
        </w:rPr>
        <w:instrTex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3,5,387–390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xml:space="preserve"> (Fig. 9). First, p53- and p38-dependent p21 upregulation in large G1 cells, potentially due to an osmotic stress response, can prevent cell cycle entry</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{"citationItems":[{"id":"ITEM-1","itemData":{"DOI":"10.1016/J</w:instrText>
      </w:r>
      <w:r>
        <w:rPr>
          <w:rFonts w:ascii="Arial" w:eastAsia="Times New Roman" w:hAnsi="Arial" w:cs="Arial"/>
          <w:color w:val="000000" w:themeColor="text1"/>
          <w:lang w:val="en-US" w:eastAsia="de-DE"/>
        </w:rPr>
        <w:instrText>.MOLCEL.2022.07.017","ISSN":"1097-2765","PMID":"35987199","abstract":"Cell size is tightly controlled in healthy tissues, but it is unclear how deviations in cell size affect cell physiology. To address this, we measured how the cell's proteome changes wit</w:instrText>
      </w:r>
      <w:r>
        <w:rPr>
          <w:rFonts w:ascii="Arial" w:eastAsia="Times New Roman" w:hAnsi="Arial" w:cs="Arial"/>
          <w:color w:val="000000" w:themeColor="text1"/>
          <w:lang w:val="en-US" w:eastAsia="de-DE"/>
        </w:rPr>
        <w:instrText>h increasing cell size. Size-dependent protein concentration changes are widespread and predicted by subcellular localization, size-dependent mRNA concentrations, and protein turnover. As proliferating cells grow larger, concentration changes typically ass</w:instrText>
      </w:r>
      <w:r>
        <w:rPr>
          <w:rFonts w:ascii="Arial" w:eastAsia="Times New Roman" w:hAnsi="Arial" w:cs="Arial"/>
          <w:color w:val="000000" w:themeColor="text1"/>
          <w:lang w:val="en-US" w:eastAsia="de-DE"/>
        </w:rPr>
        <w:instrText>ociated with cellular senescence are increasingly pronounced, suggesting that large size may be a cause rather than just a consequence of cell senescence. Consistent with this hypothesis, larger cells are prone to replicative, DNA-damage-induced, and CDK4/</w:instrText>
      </w:r>
      <w:r>
        <w:rPr>
          <w:rFonts w:ascii="Arial" w:eastAsia="Times New Roman" w:hAnsi="Arial" w:cs="Arial"/>
          <w:color w:val="000000" w:themeColor="text1"/>
          <w:lang w:val="en-US" w:eastAsia="de-DE"/>
        </w:rPr>
        <w:instrText>6i-induced senescence. Size-dependent changes to the proteome, including those associated with senescence, are not observed when an increase in cell size is accompanied by an increase in ploidy. Together, our findings show how cell size could impact many a</w:instrText>
      </w:r>
      <w:r>
        <w:rPr>
          <w:rFonts w:ascii="Arial" w:eastAsia="Times New Roman" w:hAnsi="Arial" w:cs="Arial"/>
          <w:color w:val="000000" w:themeColor="text1"/>
          <w:lang w:val="en-US" w:eastAsia="de-DE"/>
        </w:rPr>
        <w:instrText>spects of cell physiology by remodeling the proteome and provide a rationale for cell size control and polyploidization.","author":[{"dropping-particle":"","family":"Lanz","given":"Michael C.","non-dropping-particle":"","parse-names":false,"suffix":""},{"d</w:instrText>
      </w:r>
      <w:r>
        <w:rPr>
          <w:rFonts w:ascii="Arial" w:eastAsia="Times New Roman" w:hAnsi="Arial" w:cs="Arial"/>
          <w:color w:val="000000" w:themeColor="text1"/>
          <w:lang w:val="en-US" w:eastAsia="de-DE"/>
        </w:rPr>
        <w:instrText>ropping-particle":"","family":"Zatulovskiy","given":"Evgeny","non-dropping-particle":"","parse-names":false,"suffix":""},{"dropping-particle":"","family":"Swaffer","given":"Matthew P.","non-dropping-particle":"","parse-names":false,"suffix":""},{"dropping-</w:instrText>
      </w:r>
      <w:r>
        <w:rPr>
          <w:rFonts w:ascii="Arial" w:eastAsia="Times New Roman" w:hAnsi="Arial" w:cs="Arial"/>
          <w:color w:val="000000" w:themeColor="text1"/>
          <w:lang w:val="en-US" w:eastAsia="de-DE"/>
        </w:rPr>
        <w:instrText>particle":"","family":"Zhang","given":"Lichao","non-dropping-particle":"","parse-names":false,"suffix":""},{"dropping-particle":"","family":"Ilerten","given":"Ilayda","non-dropping-particle":"","parse-names":false,"suffix":""},{"dropping-particle":"","fami</w:instrText>
      </w:r>
      <w:r>
        <w:rPr>
          <w:rFonts w:ascii="Arial" w:eastAsia="Times New Roman" w:hAnsi="Arial" w:cs="Arial"/>
          <w:color w:val="000000" w:themeColor="text1"/>
          <w:lang w:val="en-US" w:eastAsia="de-DE"/>
        </w:rPr>
        <w:instrText>ly":"Zhang","given":"Shuyuan","non-dropping-particle":"","parse-names":false,"suffix":""},{"dropping-particle":"","family":"You","given":"Dong Shin","non-dropping-particle":"","parse-names":false,"suffix":""},{"dropping-particle":"","family":"Marinov","giv</w:instrText>
      </w:r>
      <w:r>
        <w:rPr>
          <w:rFonts w:ascii="Arial" w:eastAsia="Times New Roman" w:hAnsi="Arial" w:cs="Arial"/>
          <w:color w:val="000000" w:themeColor="text1"/>
          <w:lang w:val="en-US" w:eastAsia="de-DE"/>
        </w:rPr>
        <w:instrText>en":"Georgi","non-dropping-particle":"","parse-names":false,"suffix":""},{"dropping-particle":"","family":"McAlpine","given":"Patrick","non-dropping-particle":"","parse-names":false,"suffix":""},{"dropping-particle":"","family":"Elias","given":"Joshua E.",</w:instrText>
      </w:r>
      <w:r>
        <w:rPr>
          <w:rFonts w:ascii="Arial" w:eastAsia="Times New Roman" w:hAnsi="Arial" w:cs="Arial"/>
          <w:color w:val="000000" w:themeColor="text1"/>
          <w:lang w:val="en-US" w:eastAsia="de-DE"/>
        </w:rPr>
        <w:instrText>"non-dropping-particle":"","parse-names":false,"suffix":""},{"dropping-particle":"","family":"Skotheim","given":"Jan M.","non-dropping-particle":"","parse-names":false,"suffix":""}],"container-title":"Molecular Cell","id":"ITEM-1","issue":"17","issued":{"d</w:instrText>
      </w:r>
      <w:r>
        <w:rPr>
          <w:rFonts w:ascii="Arial" w:eastAsia="Times New Roman" w:hAnsi="Arial" w:cs="Arial"/>
          <w:color w:val="000000" w:themeColor="text1"/>
          <w:lang w:val="en-US" w:eastAsia="de-DE"/>
        </w:rPr>
        <w:instrText>ate-parts":[["2022","9","1"]]},"page":"3255-3269.e8","publisher":"Cell Press","title":"Increasing cell size remodels the proteome and promotes senescence","type":"article-journal","volume":"82"},"uris":["http://www.mendeley.com/documents/?uuid=8e51a3f0-644</w:instrText>
      </w:r>
      <w:r>
        <w:rPr>
          <w:rFonts w:ascii="Arial" w:eastAsia="Times New Roman" w:hAnsi="Arial" w:cs="Arial"/>
          <w:color w:val="000000" w:themeColor="text1"/>
          <w:lang w:val="en-US" w:eastAsia="de-DE"/>
        </w:rPr>
        <w:instrText>0-3670-854f-e466aa3f4159"]},{"id":"ITEM-2","itemData":{"DOI":"10.1016/J.MOLCEL.2023.10.018/ATTACHMENT/290719E4-7D08-45D5-8470-9BCA25B99A39/MMC2.XLSX","ISSN":"1097-4164","PMID":"37977116","abstract":"Cellular senescence refers to an irreversible state of ce</w:instrText>
      </w:r>
      <w:r>
        <w:rPr>
          <w:rFonts w:ascii="Arial" w:eastAsia="Times New Roman" w:hAnsi="Arial" w:cs="Arial"/>
          <w:color w:val="000000" w:themeColor="text1"/>
          <w:lang w:val="en-US" w:eastAsia="de-DE"/>
        </w:rPr>
        <w:instrText>ll-cycle arrest and plays important roles in aging and cancer biology. Because senescence is associated with increased cell size, we used reversible cell-cycle arrests combined with growth rate modulation to study how excessive growth affects proliferation</w:instrText>
      </w:r>
      <w:r>
        <w:rPr>
          <w:rFonts w:ascii="Arial" w:eastAsia="Times New Roman" w:hAnsi="Arial" w:cs="Arial"/>
          <w:color w:val="000000" w:themeColor="text1"/>
          <w:lang w:val="en-US" w:eastAsia="de-DE"/>
        </w:rPr>
        <w:instrText>. We find that enlarged cells upregulate p21, which limits cell-cycle progression. Cells that re-enter the cell cycle encounter replication stress that is well tolerated in physiologically sized cells but causes severe DNA damage in enlarged cells, ultimat</w:instrText>
      </w:r>
      <w:r>
        <w:rPr>
          <w:rFonts w:ascii="Arial" w:eastAsia="Times New Roman" w:hAnsi="Arial" w:cs="Arial"/>
          <w:color w:val="000000" w:themeColor="text1"/>
          <w:lang w:val="en-US" w:eastAsia="de-DE"/>
        </w:rPr>
        <w:instrText xml:space="preserve">ely resulting in mitotic failure and permanent cell-cycle withdrawal. We demonstrate that enlarged cells fail to recruit 53BP1 and other non-homologous end joining (NHEJ) machinery to DNA damage sites and fail to robustly initiate DNA damage-dependent p53 </w:instrText>
      </w:r>
      <w:r>
        <w:rPr>
          <w:rFonts w:ascii="Arial" w:eastAsia="Times New Roman" w:hAnsi="Arial" w:cs="Arial"/>
          <w:color w:val="000000" w:themeColor="text1"/>
          <w:lang w:val="en-US" w:eastAsia="de-DE"/>
        </w:rPr>
        <w:instrText>signaling, rendering them highly sensitive to genotoxic stress. We propose that an impaired DNA damage response primes enlarged cells for persistent replication-acquired damage, ultimately leading to cell division failure and permanent cell-cycle exit.","a</w:instrText>
      </w:r>
      <w:r>
        <w:rPr>
          <w:rFonts w:ascii="Arial" w:eastAsia="Times New Roman" w:hAnsi="Arial" w:cs="Arial"/>
          <w:color w:val="000000" w:themeColor="text1"/>
          <w:lang w:val="en-US" w:eastAsia="de-DE"/>
        </w:rPr>
        <w:instrText>uthor":[{"dropping-particle":"","family":"Manohar","given":"Sandhya","non-dropping-particle":"","parse-names":false,"suffix":""},{"dropping-particle":"","family":"Estrada","given":"Marianna E","non-dropping-particle":"","parse-names":false,"suffix":""},{"d</w:instrText>
      </w:r>
      <w:r>
        <w:rPr>
          <w:rFonts w:ascii="Arial" w:eastAsia="Times New Roman" w:hAnsi="Arial" w:cs="Arial"/>
          <w:color w:val="000000" w:themeColor="text1"/>
          <w:lang w:val="en-US" w:eastAsia="de-DE"/>
        </w:rPr>
        <w:instrText>ropping-particle":"","family":"Uliana","given":"Federico","non-dropping-particle":"","parse-names":false,"suffix":""},{"dropping-particle":"","family":"Vuina","given":"Karla","non-dropping-particle":"","parse-names":false,"suffix":""},{"dropping-particle":</w:instrText>
      </w:r>
      <w:r>
        <w:rPr>
          <w:rFonts w:ascii="Arial" w:eastAsia="Times New Roman" w:hAnsi="Arial" w:cs="Arial"/>
          <w:color w:val="000000" w:themeColor="text1"/>
          <w:lang w:val="en-US" w:eastAsia="de-DE"/>
        </w:rPr>
        <w:instrText>"","family":"Alvarez","given":"Patricia Moyano","non-dropping-particle":"","parse-names":false,"suffix":""},{"dropping-particle":"","family":"Bruin","given":"Robertus A M","non-dropping-particle":"de","parse-names":false,"suffix":""},{"dropping-particle":"</w:instrText>
      </w:r>
      <w:r>
        <w:rPr>
          <w:rFonts w:ascii="Arial" w:eastAsia="Times New Roman" w:hAnsi="Arial" w:cs="Arial"/>
          <w:color w:val="000000" w:themeColor="text1"/>
          <w:lang w:val="en-US" w:eastAsia="de-DE"/>
        </w:rPr>
        <w:instrText>","family":"Neurohr","given":"Gabriel E","non-dropping-particle":"","parse-names":false,"suffix":""}],"container-title":"Molecular cell","id":"ITEM-2","issue":"22","issued":{"date-parts":[["2023","11","16"]]},"page":"4032-4046.e6","publisher":"Elsevier","t</w:instrText>
      </w:r>
      <w:r>
        <w:rPr>
          <w:rFonts w:ascii="Arial" w:eastAsia="Times New Roman" w:hAnsi="Arial" w:cs="Arial"/>
          <w:color w:val="000000" w:themeColor="text1"/>
          <w:lang w:val="en-US" w:eastAsia="de-DE"/>
        </w:rPr>
        <w:instrText>itle":"Genome homeostasis defects drive enlarged cells into senescence.","type":"article-journal","volume":"83"},"uris":["http://www.mendeley.com/documents/?uuid=fbb4b839-5ba0-313d-8216-13cda1164b1d"]},{"id":"ITEM-3","itemData":{"DOI":"10.1016/j.molcel.202</w:instrText>
      </w:r>
      <w:r>
        <w:rPr>
          <w:rFonts w:ascii="Arial" w:eastAsia="Times New Roman" w:hAnsi="Arial" w:cs="Arial"/>
          <w:color w:val="000000" w:themeColor="text1"/>
          <w:lang w:val="en-US" w:eastAsia="de-DE"/>
        </w:rPr>
        <w:instrText>3.10.016","ISSN":"10974164","abstract":"Abnormal increases in cell size are associated with senescence and cell cycle exit. The mechanisms by which overgrowth primes cells to withdraw from the cell cycle remain unknown. We address this question using CDK4/</w:instrText>
      </w:r>
      <w:r>
        <w:rPr>
          <w:rFonts w:ascii="Arial" w:eastAsia="Times New Roman" w:hAnsi="Arial" w:cs="Arial"/>
          <w:color w:val="000000" w:themeColor="text1"/>
          <w:lang w:val="en-US" w:eastAsia="de-DE"/>
        </w:rPr>
        <w:instrText xml:space="preserve">6 inhibitors, which arrest cells in G0/G1 and are licensed to treat advanced HR+/HER2− breast cancer. We demonstrate that CDK4/6-inhibited cells overgrow during G0/G1, causing p38/p53/p21-dependent cell cycle withdrawal. Cell cycle withdrawal is triggered </w:instrText>
      </w:r>
      <w:r>
        <w:rPr>
          <w:rFonts w:ascii="Arial" w:eastAsia="Times New Roman" w:hAnsi="Arial" w:cs="Arial"/>
          <w:color w:val="000000" w:themeColor="text1"/>
          <w:lang w:val="en-US" w:eastAsia="de-DE"/>
        </w:rPr>
        <w:instrText xml:space="preserve">by biphasic p21 induction. The first p21 wave is caused by osmotic stress, leading to p38- and size-dependent accumulation of p21. CDK4/6 inhibitor washout results in some cells entering S-phase. Overgrown cells experience replication stress, resulting in </w:instrText>
      </w:r>
      <w:r>
        <w:rPr>
          <w:rFonts w:ascii="Arial" w:eastAsia="Times New Roman" w:hAnsi="Arial" w:cs="Arial"/>
          <w:color w:val="000000" w:themeColor="text1"/>
          <w:lang w:val="en-US" w:eastAsia="de-DE"/>
        </w:rPr>
        <w:instrText xml:space="preserve">a second p21 wave that promotes cell cycle withdrawal from G2 or the subsequent G1. We propose that the levels of p21 integrate signals from overgrowth-triggered stresses to determine cell fate. This model explains how hypertrophy can drive senescence and </w:instrText>
      </w:r>
      <w:r>
        <w:rPr>
          <w:rFonts w:ascii="Arial" w:eastAsia="Times New Roman" w:hAnsi="Arial" w:cs="Arial"/>
          <w:color w:val="000000" w:themeColor="text1"/>
          <w:lang w:val="en-US" w:eastAsia="de-DE"/>
        </w:rPr>
        <w:instrText>why CDK4/6 inhibitors have long-lasting effects in patients.","author":[{"dropping-particle":"","family":"Crozier","given":"Lisa","non-dropping-particle":"","parse-names":false,"suffix":""},{"dropping-particle":"","family":"Foy","given":"Reece","non-droppi</w:instrText>
      </w:r>
      <w:r>
        <w:rPr>
          <w:rFonts w:ascii="Arial" w:eastAsia="Times New Roman" w:hAnsi="Arial" w:cs="Arial"/>
          <w:color w:val="000000" w:themeColor="text1"/>
          <w:lang w:val="en-US" w:eastAsia="de-DE"/>
        </w:rPr>
        <w:instrText>ng-particle":"","parse-names":false,"suffix":""},{"dropping-particle":"","family":"Adib","given":"Rozita","non-dropping-particle":"","parse-names":false,"suffix":""},{"dropping-particle":"","family":"Kar","given":"Ananya","non-dropping-particle":"","parse-</w:instrText>
      </w:r>
      <w:r>
        <w:rPr>
          <w:rFonts w:ascii="Arial" w:eastAsia="Times New Roman" w:hAnsi="Arial" w:cs="Arial"/>
          <w:color w:val="000000" w:themeColor="text1"/>
          <w:lang w:val="en-US" w:eastAsia="de-DE"/>
        </w:rPr>
        <w:instrText>names":false,"suffix":""},{"dropping-particle":"","family":"Holt","given":"Jordan A.","non-dropping-particle":"","parse-names":false,"suffix":""},{"dropping-particle":"","family":"Pareri","given":"Aanchal U.","non-dropping-particle":"","parse-names":false,</w:instrText>
      </w:r>
      <w:r>
        <w:rPr>
          <w:rFonts w:ascii="Arial" w:eastAsia="Times New Roman" w:hAnsi="Arial" w:cs="Arial"/>
          <w:color w:val="000000" w:themeColor="text1"/>
          <w:lang w:val="en-US" w:eastAsia="de-DE"/>
        </w:rPr>
        <w:instrText>"suffix":""},{"dropping-particle":"","family":"Valverde","given":"Juan Manuel","non-dropping-particle":"","parse-names":false,"suffix":""},{"dropping-particle":"","family":"Rivera","given":"Rene","non-dropping-particle":"","parse-names":false,"suffix":""},</w:instrText>
      </w:r>
      <w:r>
        <w:rPr>
          <w:rFonts w:ascii="Arial" w:eastAsia="Times New Roman" w:hAnsi="Arial" w:cs="Arial"/>
          <w:color w:val="000000" w:themeColor="text1"/>
          <w:lang w:val="en-US" w:eastAsia="de-DE"/>
        </w:rPr>
        <w:instrText>{"dropping-particle":"","family":"Weston","given":"William A.","non-dropping-particle":"","parse-names":false,"suffix":""},{"dropping-particle":"","family":"Wilson","given":"Rona","non-dropping-particle":"","parse-names":false,"suffix":""},{"dropping-parti</w:instrText>
      </w:r>
      <w:r>
        <w:rPr>
          <w:rFonts w:ascii="Arial" w:eastAsia="Times New Roman" w:hAnsi="Arial" w:cs="Arial"/>
          <w:color w:val="000000" w:themeColor="text1"/>
          <w:lang w:val="en-US" w:eastAsia="de-DE"/>
        </w:rPr>
        <w:instrText>cle":"","family":"Regnault","given":"Clement","non-dropping-particle":"","parse-names":false,"suffix":""},{"dropping-particle":"","family":"Whitfield","given":"Phil","non-dropping-particle":"","parse-names":false,"suffix":""},{"dropping-particle":"","famil</w:instrText>
      </w:r>
      <w:r>
        <w:rPr>
          <w:rFonts w:ascii="Arial" w:eastAsia="Times New Roman" w:hAnsi="Arial" w:cs="Arial"/>
          <w:color w:val="000000" w:themeColor="text1"/>
          <w:lang w:val="en-US" w:eastAsia="de-DE"/>
        </w:rPr>
        <w:instrText>y":"Badonyi","given":"Mihaly","non-dropping-particle":"","parse-names":false,"suffix":""},{"dropping-particle":"","family":"Bennett","given":"Laura G.","non-dropping-particle":"","parse-names":false,"suffix":""},{"dropping-particle":"","family":"Vernon","g</w:instrText>
      </w:r>
      <w:r>
        <w:rPr>
          <w:rFonts w:ascii="Arial" w:eastAsia="Times New Roman" w:hAnsi="Arial" w:cs="Arial"/>
          <w:color w:val="000000" w:themeColor="text1"/>
          <w:lang w:val="en-US" w:eastAsia="de-DE"/>
        </w:rPr>
        <w:instrText>iven":"Ellen G.","non-dropping-particle":"","parse-names":false,"suffix":""},{"dropping-particle":"","family":"Gamble","given":"Amelia","non-dropping-particle":"","parse-names":false,"suffix":""},{"dropping-particle":"","family":"Marsh","given":"Joseph A."</w:instrText>
      </w:r>
      <w:r>
        <w:rPr>
          <w:rFonts w:ascii="Arial" w:eastAsia="Times New Roman" w:hAnsi="Arial" w:cs="Arial"/>
          <w:color w:val="000000" w:themeColor="text1"/>
          <w:lang w:val="en-US" w:eastAsia="de-DE"/>
        </w:rPr>
        <w:instrText>,"non-dropping-particle":"","parse-names":false,"suffix":""},{"dropping-particle":"","family":"Staples","given":"Christopher J.","non-dropping-particle":"","parse-names":false,"suffix":""},{"dropping-particle":"","family":"Saurin","given":"Adrian T.","non-</w:instrText>
      </w:r>
      <w:r>
        <w:rPr>
          <w:rFonts w:ascii="Arial" w:eastAsia="Times New Roman" w:hAnsi="Arial" w:cs="Arial"/>
          <w:color w:val="000000" w:themeColor="text1"/>
          <w:lang w:val="en-US" w:eastAsia="de-DE"/>
        </w:rPr>
        <w:instrText>dropping-particle":"","parse-names":false,"suffix":""},{"dropping-particle":"","family":"Barr","given":"Alexis R.","non-dropping-particle":"","parse-names":false,"suffix":""},{"dropping-particle":"","family":"Ly","given":"Tony","non-dropping-particle":"","</w:instrText>
      </w:r>
      <w:r>
        <w:rPr>
          <w:rFonts w:ascii="Arial" w:eastAsia="Times New Roman" w:hAnsi="Arial" w:cs="Arial"/>
          <w:color w:val="000000" w:themeColor="text1"/>
          <w:lang w:val="en-US" w:eastAsia="de-DE"/>
        </w:rPr>
        <w:instrText>parse-names":false,"suffix":""}],"container-title":"Molecular Cell","id":"ITEM-3","issue":"22","issued":{"date-parts":[["2023","11","16"]]},"page":"4062-4077.e5","publisher":"Cell Press","title":"CDK4/6 inhibitor-mediated cell overgrowth triggers osmotic a</w:instrText>
      </w:r>
      <w:r>
        <w:rPr>
          <w:rFonts w:ascii="Arial" w:eastAsia="Times New Roman" w:hAnsi="Arial" w:cs="Arial"/>
          <w:color w:val="000000" w:themeColor="text1"/>
          <w:lang w:val="en-US" w:eastAsia="de-DE"/>
        </w:rPr>
        <w:instrText>nd replication stress to promote senescence","type":"article-journal","volume":"83"},"uris":["http://www.mendeley.com/documents/?uuid=8aba87f2-0eb9-3272-acf9-d0ad9b393fd4"]}],"mendeley":{"formattedCitation":"&lt;sup&gt;5,389,390&lt;/sup&gt;","plainTextFormattedCitatio</w:instrText>
      </w:r>
      <w:r>
        <w:rPr>
          <w:rFonts w:ascii="Arial" w:eastAsia="Times New Roman" w:hAnsi="Arial" w:cs="Arial"/>
          <w:color w:val="000000" w:themeColor="text1"/>
          <w:lang w:val="en-US" w:eastAsia="de-DE"/>
        </w:rPr>
        <w:instrText>n":"5,389,390","previouslyFormattedCitation":"&lt;sup&gt;5,389,390&lt;/sup&gt;"},"properties":{"noteIndex":0},"schema":"https://github.com/citation-style-language/schema/raw/master/csl-citation.json"}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5,389,390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Second, enlarged cells that manage to enter S-phase ma</w:t>
      </w:r>
      <w:r>
        <w:rPr>
          <w:rFonts w:ascii="Arial" w:eastAsia="Times New Roman" w:hAnsi="Arial" w:cs="Arial"/>
          <w:color w:val="000000" w:themeColor="text1"/>
          <w:lang w:val="en-US" w:eastAsia="de-DE"/>
        </w:rPr>
        <w:t>y experience replication stress. Due to impaired DNA damage repair this then leads to mitotic failure and permanent cell cycle exit, either from the G2 and M phases, or from the next cell cycle</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w:instrText>
      </w:r>
      <w:r>
        <w:rPr>
          <w:rFonts w:ascii="Arial" w:eastAsia="Times New Roman" w:hAnsi="Arial" w:cs="Arial"/>
          <w:color w:val="000000" w:themeColor="text1"/>
          <w:lang w:val="en-US" w:eastAsia="de-DE"/>
        </w:rPr>
        <w:instrText xml:space="preserve">{"DOI":"10.15252/EMBJ.2021108599","ISSN":"1460-2075","PMID":"35037284","abstract":"CDK4/6 inhibitors arrest the cell cycle in G1-phase. They are approved to treat breast cancer and are also undergoing clinical trials against a range of other tumour types. </w:instrText>
      </w:r>
      <w:r>
        <w:rPr>
          <w:rFonts w:ascii="Arial" w:eastAsia="Times New Roman" w:hAnsi="Arial" w:cs="Arial"/>
          <w:color w:val="000000" w:themeColor="text1"/>
          <w:lang w:val="en-US" w:eastAsia="de-DE"/>
        </w:rPr>
        <w:instrText>To facilitate these efforts, it is important to understand why a cytostatic arrest in G1 causes long-lasting effects on tumour growth. Here we demonstrate that a prolonged G1-arrest following CDK4/6 inhibition downregulates replisome components and impairs</w:instrText>
      </w:r>
      <w:r>
        <w:rPr>
          <w:rFonts w:ascii="Arial" w:eastAsia="Times New Roman" w:hAnsi="Arial" w:cs="Arial"/>
          <w:color w:val="000000" w:themeColor="text1"/>
          <w:lang w:val="en-US" w:eastAsia="de-DE"/>
        </w:rPr>
        <w:instrText xml:space="preserve"> origin licencing. This causes a failure in DNA replication after release from that arrest, resulting in a p53-dependent withdrawal from the cell cycle. If p53 is absent, then cells bypass the G2-checkpoint and undergo a catastrophic mitosis resulting in e</w:instrText>
      </w:r>
      <w:r>
        <w:rPr>
          <w:rFonts w:ascii="Arial" w:eastAsia="Times New Roman" w:hAnsi="Arial" w:cs="Arial"/>
          <w:color w:val="000000" w:themeColor="text1"/>
          <w:lang w:val="en-US" w:eastAsia="de-DE"/>
        </w:rPr>
        <w:instrText>xcessive DNA damage. These data therefore link CDK4/6 inhibition to genotoxic stress; a phenotype that is shared by most other broad-spectrum anti-cancer drugs. This provides a rationale to predict responsive tumour types and effective combination therapie</w:instrText>
      </w:r>
      <w:r>
        <w:rPr>
          <w:rFonts w:ascii="Arial" w:eastAsia="Times New Roman" w:hAnsi="Arial" w:cs="Arial"/>
          <w:color w:val="000000" w:themeColor="text1"/>
          <w:lang w:val="en-US" w:eastAsia="de-DE"/>
        </w:rPr>
        <w:instrText>s, as demonstrated by the fact that CDK4/6 inhibition induces sensitivity to chemotherapeutics that also cause replication stress.","author":[{"dropping-particle":"","family":"Crozier","given":"Lisa","non-dropping-particle":"","parse-names":false,"suffix":</w:instrText>
      </w:r>
      <w:r>
        <w:rPr>
          <w:rFonts w:ascii="Arial" w:eastAsia="Times New Roman" w:hAnsi="Arial" w:cs="Arial"/>
          <w:color w:val="000000" w:themeColor="text1"/>
          <w:lang w:val="en-US" w:eastAsia="de-DE"/>
        </w:rPr>
        <w:instrText>""},{"dropping-particle":"","family":"Foy","given":"Reece","non-dropping-particle":"","parse-names":false,"suffix":""},{"dropping-particle":"","family":"Mouery","given":"Brandon L","non-dropping-particle":"","parse-names":false,"suffix":""},{"dropping-part</w:instrText>
      </w:r>
      <w:r>
        <w:rPr>
          <w:rFonts w:ascii="Arial" w:eastAsia="Times New Roman" w:hAnsi="Arial" w:cs="Arial"/>
          <w:color w:val="000000" w:themeColor="text1"/>
          <w:lang w:val="en-US" w:eastAsia="de-DE"/>
        </w:rPr>
        <w:instrText>icle":"","family":"Whitaker","given":"Robert H","non-dropping-particle":"","parse-names":false,"suffix":""},{"dropping-particle":"","family":"Corno","given":"Andrea","non-dropping-particle":"","parse-names":false,"suffix":""},{"dropping-particle":"","famil</w:instrText>
      </w:r>
      <w:r>
        <w:rPr>
          <w:rFonts w:ascii="Arial" w:eastAsia="Times New Roman" w:hAnsi="Arial" w:cs="Arial"/>
          <w:color w:val="000000" w:themeColor="text1"/>
          <w:lang w:val="en-US" w:eastAsia="de-DE"/>
        </w:rPr>
        <w:instrText>y":"Spanos","given":"Christos","non-dropping-particle":"","parse-names":false,"suffix":""},{"dropping-particle":"","family":"Ly","given":"Tony","non-dropping-particle":"","parse-names":false,"suffix":""},{"dropping-particle":"","family":"Cook","given":"Jea</w:instrText>
      </w:r>
      <w:r>
        <w:rPr>
          <w:rFonts w:ascii="Arial" w:eastAsia="Times New Roman" w:hAnsi="Arial" w:cs="Arial"/>
          <w:color w:val="000000" w:themeColor="text1"/>
          <w:lang w:val="en-US" w:eastAsia="de-DE"/>
        </w:rPr>
        <w:instrText>nette Gowen","non-dropping-particle":"","parse-names":false,"suffix":""},{"dropping-particle":"","family":"Saurin","given":"Adrian T","non-dropping-particle":"","parse-names":false,"suffix":""}],"container-title":"The EMBO Journal","id":"ITEM-1","issue":"6</w:instrText>
      </w:r>
      <w:r>
        <w:rPr>
          <w:rFonts w:ascii="Arial" w:eastAsia="Times New Roman" w:hAnsi="Arial" w:cs="Arial"/>
          <w:color w:val="000000" w:themeColor="text1"/>
          <w:lang w:val="en-US" w:eastAsia="de-DE"/>
        </w:rPr>
        <w:instrText>","issued":{"date-parts":[["2022","3","15"]]},"page":"e108599","publisher":"John Wiley &amp; Sons, Ltd","title":"CDK4/6 inhibitors induce replication stress to cause long-term cell cycle withdrawal","type":"article-journal","volume":"41"},"uris":["http://www.m</w:instrText>
      </w:r>
      <w:r>
        <w:rPr>
          <w:rFonts w:ascii="Arial" w:eastAsia="Times New Roman" w:hAnsi="Arial" w:cs="Arial"/>
          <w:color w:val="000000" w:themeColor="text1"/>
          <w:lang w:val="en-US" w:eastAsia="de-DE"/>
        </w:rPr>
        <w:instrText>endeley.com/documents/?uuid=e95f2f00-af2f-3620-8b21-636eb58907be"]},{"id":"ITEM-2","itemData":{"DOI":"10.1016/j.molcel.2023.10.016","ISSN":"10974164","abstract":"Abnormal increases in cell size are associated with senescence and cell cycle exit. The mechan</w:instrText>
      </w:r>
      <w:r>
        <w:rPr>
          <w:rFonts w:ascii="Arial" w:eastAsia="Times New Roman" w:hAnsi="Arial" w:cs="Arial"/>
          <w:color w:val="000000" w:themeColor="text1"/>
          <w:lang w:val="en-US" w:eastAsia="de-DE"/>
        </w:rPr>
        <w:instrText>isms by which overgrowth primes cells to withdraw from the cell cycle remain unknown. We address this question using CDK4/6 inhibitors, which arrest cells in G0/G1 and are licensed to treat advanced HR+/HER2− breast cancer. We demonstrate that CDK4/6-inhib</w:instrText>
      </w:r>
      <w:r>
        <w:rPr>
          <w:rFonts w:ascii="Arial" w:eastAsia="Times New Roman" w:hAnsi="Arial" w:cs="Arial"/>
          <w:color w:val="000000" w:themeColor="text1"/>
          <w:lang w:val="en-US" w:eastAsia="de-DE"/>
        </w:rPr>
        <w:instrText>ited cells overgrow during G0/G1, causing p38/p53/p21-dependent cell cycle withdrawal. Cell cycle withdrawal is triggered by biphasic p21 induction. The first p21 wave is caused by osmotic stress, leading to p38- and size-dependent accumulation of p21. CDK</w:instrText>
      </w:r>
      <w:r>
        <w:rPr>
          <w:rFonts w:ascii="Arial" w:eastAsia="Times New Roman" w:hAnsi="Arial" w:cs="Arial"/>
          <w:color w:val="000000" w:themeColor="text1"/>
          <w:lang w:val="en-US" w:eastAsia="de-DE"/>
        </w:rPr>
        <w:instrText>4/6 inhibitor washout results in some cells entering S-phase. Overgrown cells experience replication stress, resulting in a second p21 wave that promotes cell cycle withdrawal from G2 or the subsequent G1. We propose that the levels of p21 integrate signal</w:instrText>
      </w:r>
      <w:r>
        <w:rPr>
          <w:rFonts w:ascii="Arial" w:eastAsia="Times New Roman" w:hAnsi="Arial" w:cs="Arial"/>
          <w:color w:val="000000" w:themeColor="text1"/>
          <w:lang w:val="en-US" w:eastAsia="de-DE"/>
        </w:rPr>
        <w:instrText>s from overgrowth-triggered stresses to determine cell fate. This model explains how hypertrophy can drive senescence and why CDK4/6 inhibitors have long-lasting effects in patients.","author":[{"dropping-particle":"","family":"Crozier","given":"Lisa","non</w:instrText>
      </w:r>
      <w:r>
        <w:rPr>
          <w:rFonts w:ascii="Arial" w:eastAsia="Times New Roman" w:hAnsi="Arial" w:cs="Arial"/>
          <w:color w:val="000000" w:themeColor="text1"/>
          <w:lang w:val="en-US" w:eastAsia="de-DE"/>
        </w:rPr>
        <w:instrText>-dropping-particle":"","parse-names":false,"suffix":""},{"dropping-particle":"","family":"Foy","given":"Reece","non-dropping-particle":"","parse-names":false,"suffix":""},{"dropping-particle":"","family":"Adib","given":"Rozita","non-dropping-particle":"","</w:instrText>
      </w:r>
      <w:r>
        <w:rPr>
          <w:rFonts w:ascii="Arial" w:eastAsia="Times New Roman" w:hAnsi="Arial" w:cs="Arial"/>
          <w:color w:val="000000" w:themeColor="text1"/>
          <w:lang w:val="en-US" w:eastAsia="de-DE"/>
        </w:rPr>
        <w:instrText>parse-names":false,"suffix":""},{"dropping-particle":"","family":"Kar","given":"Ananya","non-dropping-particle":"","parse-names":false,"suffix":""},{"dropping-particle":"","family":"Holt","given":"Jordan A.","non-dropping-particle":"","parse-names":false,"</w:instrText>
      </w:r>
      <w:r>
        <w:rPr>
          <w:rFonts w:ascii="Arial" w:eastAsia="Times New Roman" w:hAnsi="Arial" w:cs="Arial"/>
          <w:color w:val="000000" w:themeColor="text1"/>
          <w:lang w:val="en-US" w:eastAsia="de-DE"/>
        </w:rPr>
        <w:instrText>suffix":""},{"dropping-particle":"","family":"Pareri","given":"Aanchal U.","non-dropping-particle":"","parse-names":false,"suffix":""},{"dropping-particle":"","family":"Valverde","given":"Juan Manuel","non-dropping-particle":"","parse-names":false,"suffix"</w:instrText>
      </w:r>
      <w:r>
        <w:rPr>
          <w:rFonts w:ascii="Arial" w:eastAsia="Times New Roman" w:hAnsi="Arial" w:cs="Arial"/>
          <w:color w:val="000000" w:themeColor="text1"/>
          <w:lang w:val="en-US" w:eastAsia="de-DE"/>
        </w:rPr>
        <w:instrText>:""},{"dropping-particle":"","family":"Rivera","given":"Rene","non-dropping-particle":"","parse-names":false,"suffix":""},{"dropping-particle":"","family":"Weston","given":"William A.","non-dropping-particle":"","parse-names":false,"suffix":""},{"dropping-</w:instrText>
      </w:r>
      <w:r>
        <w:rPr>
          <w:rFonts w:ascii="Arial" w:eastAsia="Times New Roman" w:hAnsi="Arial" w:cs="Arial"/>
          <w:color w:val="000000" w:themeColor="text1"/>
          <w:lang w:val="en-US" w:eastAsia="de-DE"/>
        </w:rPr>
        <w:instrText>particle":"","family":"Wilson","given":"Rona","non-dropping-particle":"","parse-names":false,"suffix":""},{"dropping-particle":"","family":"Regnault","given":"Clement","non-dropping-particle":"","parse-names":false,"suffix":""},{"dropping-particle":"","fam</w:instrText>
      </w:r>
      <w:r>
        <w:rPr>
          <w:rFonts w:ascii="Arial" w:eastAsia="Times New Roman" w:hAnsi="Arial" w:cs="Arial"/>
          <w:color w:val="000000" w:themeColor="text1"/>
          <w:lang w:val="en-US" w:eastAsia="de-DE"/>
        </w:rPr>
        <w:instrText>ily":"Whitfield","given":"Phil","non-dropping-particle":"","parse-names":false,"suffix":""},{"dropping-particle":"","family":"Badonyi","given":"Mihaly","non-dropping-particle":"","parse-names":false,"suffix":""},{"dropping-particle":"","family":"Bennett","</w:instrText>
      </w:r>
      <w:r>
        <w:rPr>
          <w:rFonts w:ascii="Arial" w:eastAsia="Times New Roman" w:hAnsi="Arial" w:cs="Arial"/>
          <w:color w:val="000000" w:themeColor="text1"/>
          <w:lang w:val="en-US" w:eastAsia="de-DE"/>
        </w:rPr>
        <w:instrText>given":"Laura G.","non-dropping-particle":"","parse-names":false,"suffix":""},{"dropping-particle":"","family":"Vernon","given":"Ellen G.","non-dropping-particle":"","parse-names":false,"suffix":""},{"dropping-particle":"","family":"Gamble","given":"Amelia</w:instrText>
      </w:r>
      <w:r>
        <w:rPr>
          <w:rFonts w:ascii="Arial" w:eastAsia="Times New Roman" w:hAnsi="Arial" w:cs="Arial"/>
          <w:color w:val="000000" w:themeColor="text1"/>
          <w:lang w:val="en-US" w:eastAsia="de-DE"/>
        </w:rPr>
        <w:instrText>","non-dropping-particle":"","parse-names":false,"suffix":""},{"dropping-particle":"","family":"Marsh","given":"Joseph A.","non-dropping-particle":"","parse-names":false,"suffix":""},{"dropping-particle":"","family":"Staples","given":"Christopher J.","non-</w:instrText>
      </w:r>
      <w:r>
        <w:rPr>
          <w:rFonts w:ascii="Arial" w:eastAsia="Times New Roman" w:hAnsi="Arial" w:cs="Arial"/>
          <w:color w:val="000000" w:themeColor="text1"/>
          <w:lang w:val="en-US" w:eastAsia="de-DE"/>
        </w:rPr>
        <w:instrText>dropping-particle":"","parse-names":false,"suffix":""},{"dropping-particle":"","family":"Saurin","given":"Adrian T.","non-dropping-particle":"","parse-names":false,"suffix":""},{"dropping-particle":"","family":"Barr","given":"Alexis R.","non-dropping-parti</w:instrText>
      </w:r>
      <w:r>
        <w:rPr>
          <w:rFonts w:ascii="Arial" w:eastAsia="Times New Roman" w:hAnsi="Arial" w:cs="Arial"/>
          <w:color w:val="000000" w:themeColor="text1"/>
          <w:lang w:val="en-US" w:eastAsia="de-DE"/>
        </w:rPr>
        <w:instrText>cle":"","parse-names":false,"suffix":""},{"dropping-particle":"","family":"Ly","given":"Tony","non-dropping-particle":"","parse-names":false,"suffix":""}],"container-title":"Molecular Cell","id":"ITEM-2","issue":"22","issued":{"date-parts":[["2023","11","1</w:instrText>
      </w:r>
      <w:r>
        <w:rPr>
          <w:rFonts w:ascii="Arial" w:eastAsia="Times New Roman" w:hAnsi="Arial" w:cs="Arial"/>
          <w:color w:val="000000" w:themeColor="text1"/>
          <w:lang w:val="en-US" w:eastAsia="de-DE"/>
        </w:rPr>
        <w:instrText>6"]]},"page":"4062-4077.e5","publisher":"Cell Press","title":"CDK4/6 inhibitor-mediated cell overgrowth triggers osmotic and replication stress to promote senescence","type":"article-journal","volume":"83"},"uris":["http://www.mendeley.com/documents/?uuid=</w:instrText>
      </w:r>
      <w:r>
        <w:rPr>
          <w:rFonts w:ascii="Arial" w:eastAsia="Times New Roman" w:hAnsi="Arial" w:cs="Arial"/>
          <w:color w:val="000000" w:themeColor="text1"/>
          <w:lang w:val="en-US" w:eastAsia="de-DE"/>
        </w:rPr>
        <w:instrText>8aba87f2-0eb9-3272-acf9-d0ad9b393fd4"]},{"id":"ITEM-3","itemData":{"DOI":"10.1016/J.MOLCEL.2023.10.018/ATTACHMENT/290719E4-7D08-45D5-8470-9BCA25B99A39/MMC2.XLSX","ISSN":"1097-4164","PMID":"37977116","abstract":"Cellular senescence refers to an irreversible</w:instrText>
      </w:r>
      <w:r>
        <w:rPr>
          <w:rFonts w:ascii="Arial" w:eastAsia="Times New Roman" w:hAnsi="Arial" w:cs="Arial"/>
          <w:color w:val="000000" w:themeColor="text1"/>
          <w:lang w:val="en-US" w:eastAsia="de-DE"/>
        </w:rPr>
        <w:instrText xml:space="preserve"> state of cell-cycle arrest and plays important roles in aging and cancer biology. Because senescence is associated with increased cell size, we used reversible cell-cycle arrests combined with growth rate modulation to study how excessive growth affects p</w:instrText>
      </w:r>
      <w:r>
        <w:rPr>
          <w:rFonts w:ascii="Arial" w:eastAsia="Times New Roman" w:hAnsi="Arial" w:cs="Arial"/>
          <w:color w:val="000000" w:themeColor="text1"/>
          <w:lang w:val="en-US" w:eastAsia="de-DE"/>
        </w:rPr>
        <w:instrText>roliferation. We find that enlarged cells upregulate p21, which limits cell-cycle progression. Cells that re-enter the cell cycle encounter replication stress that is well tolerated in physiologically sized cells but causes severe DNA damage in enlarged ce</w:instrText>
      </w:r>
      <w:r>
        <w:rPr>
          <w:rFonts w:ascii="Arial" w:eastAsia="Times New Roman" w:hAnsi="Arial" w:cs="Arial"/>
          <w:color w:val="000000" w:themeColor="text1"/>
          <w:lang w:val="en-US" w:eastAsia="de-DE"/>
        </w:rPr>
        <w:instrText>lls, ultimately resulting in mitotic failure and permanent cell-cycle withdrawal. We demonstrate that enlarged cells fail to recruit 53BP1 and other non-homologous end joining (NHEJ) machinery to DNA damage sites and fail to robustly initiate DNA damage-de</w:instrText>
      </w:r>
      <w:r>
        <w:rPr>
          <w:rFonts w:ascii="Arial" w:eastAsia="Times New Roman" w:hAnsi="Arial" w:cs="Arial"/>
          <w:color w:val="000000" w:themeColor="text1"/>
          <w:lang w:val="en-US" w:eastAsia="de-DE"/>
        </w:rPr>
        <w:instrText>pendent p53 signaling, rendering them highly sensitive to genotoxic stress. We propose that an impaired DNA damage response primes enlarged cells for persistent replication-acquired damage, ultimately leading to cell division failure and permanent cell-cyc</w:instrText>
      </w:r>
      <w:r>
        <w:rPr>
          <w:rFonts w:ascii="Arial" w:eastAsia="Times New Roman" w:hAnsi="Arial" w:cs="Arial"/>
          <w:color w:val="000000" w:themeColor="text1"/>
          <w:lang w:val="en-US" w:eastAsia="de-DE"/>
        </w:rPr>
        <w:instrText>le exit.","author":[{"dropping-particle":"","family":"Manohar","given":"Sandhya","non-dropping-particle":"","parse-names":false,"suffix":""},{"dropping-particle":"","family":"Estrada","given":"Marianna E","non-dropping-particle":"","parse-names":false,"suf</w:instrText>
      </w:r>
      <w:r>
        <w:rPr>
          <w:rFonts w:ascii="Arial" w:eastAsia="Times New Roman" w:hAnsi="Arial" w:cs="Arial"/>
          <w:color w:val="000000" w:themeColor="text1"/>
          <w:lang w:val="en-US" w:eastAsia="de-DE"/>
        </w:rPr>
        <w:instrText>fix":""},{"dropping-particle":"","family":"Uliana","given":"Federico","non-dropping-particle":"","parse-names":false,"suffix":""},{"dropping-particle":"","family":"Vuina","given":"Karla","non-dropping-particle":"","parse-names":false,"suffix":""},{"droppin</w:instrText>
      </w:r>
      <w:r>
        <w:rPr>
          <w:rFonts w:ascii="Arial" w:eastAsia="Times New Roman" w:hAnsi="Arial" w:cs="Arial"/>
          <w:color w:val="000000" w:themeColor="text1"/>
          <w:lang w:val="en-US" w:eastAsia="de-DE"/>
        </w:rPr>
        <w:instrText>g-particle":"","family":"Alvarez","given":"Patricia Moyano","non-dropping-particle":"","parse-names":false,"suffix":""},{"dropping-particle":"","family":"Bruin","given":"Robertus A M","non-dropping-particle":"de","parse-names":false,"suffix":""},{"dropping</w:instrText>
      </w:r>
      <w:r>
        <w:rPr>
          <w:rFonts w:ascii="Arial" w:eastAsia="Times New Roman" w:hAnsi="Arial" w:cs="Arial"/>
          <w:color w:val="000000" w:themeColor="text1"/>
          <w:lang w:val="en-US" w:eastAsia="de-DE"/>
        </w:rPr>
        <w:instrText>-particle":"","family":"Neurohr","given":"Gabriel E","non-dropping-particle":"","parse-names":false,"suffix":""}],"container-title":"Molecular cell","id":"ITEM-3","issue":"22","issued":{"date-parts":[["2023","11","16"]]},"page":"4032-4046.e6","publisher":"</w:instrText>
      </w:r>
      <w:r>
        <w:rPr>
          <w:rFonts w:ascii="Arial" w:eastAsia="Times New Roman" w:hAnsi="Arial" w:cs="Arial"/>
          <w:color w:val="000000" w:themeColor="text1"/>
          <w:lang w:val="en-US" w:eastAsia="de-DE"/>
        </w:rPr>
        <w:instrText>Elsevier","title":"Genome homeostasis defects drive enlarged cells into senescence.","type":"article-journal","volume":"83"},"uris":["http://www.mendeley.com/documents/?uuid=fbb4b839-5ba0-313d-8216-13cda1164b1d"]}],"mendeley":{"formattedCitation":"&lt;sup&gt;389</w:instrText>
      </w:r>
      <w:r>
        <w:rPr>
          <w:rFonts w:ascii="Arial" w:eastAsia="Times New Roman" w:hAnsi="Arial" w:cs="Arial"/>
          <w:color w:val="000000" w:themeColor="text1"/>
          <w:lang w:val="en-US" w:eastAsia="de-DE"/>
        </w:rPr>
        <w:instrText>–391&lt;/sup&gt;","plainTextFormattedCitation":"389–391","previouslyFormattedCitation":"&lt;sup&gt;389–391&lt;/sup&gt;"},"properties":{"noteIndex":0},"schema":"https://github.com/citation-style-language/schema/raw/master/csl-citation.json"}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389–391</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For more details on th</w:t>
      </w:r>
      <w:r>
        <w:rPr>
          <w:rFonts w:ascii="Arial" w:eastAsia="Times New Roman" w:hAnsi="Arial" w:cs="Arial"/>
          <w:color w:val="000000" w:themeColor="text1"/>
          <w:lang w:val="en-US" w:eastAsia="de-DE"/>
        </w:rPr>
        <w:t>e link between cell size and senescence, we recommend a recent review by Manohar and Neurohr</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 xml:space="preserve">ADDIN CSL_CITATION {"citationItems":[{"id":"ITEM-1","itemData":{"DOI":"10.1111/FEBS.16983","ISSN":"1742-4658","abstract":"Cellular senescence refers to a permanent </w:instrText>
      </w:r>
      <w:r>
        <w:rPr>
          <w:rFonts w:ascii="Arial" w:eastAsia="Times New Roman" w:hAnsi="Arial" w:cs="Arial"/>
          <w:color w:val="000000" w:themeColor="text1"/>
          <w:lang w:val="en-US" w:eastAsia="de-DE"/>
        </w:rPr>
        <w:instrText>and stable state of cell cycle exit. This process plays an important role in many cellular functions, including tumor suppression. It was first noted that senescence is associated with increased cell size in the early 1960s; however, how this contributes t</w:instrText>
      </w:r>
      <w:r>
        <w:rPr>
          <w:rFonts w:ascii="Arial" w:eastAsia="Times New Roman" w:hAnsi="Arial" w:cs="Arial"/>
          <w:color w:val="000000" w:themeColor="text1"/>
          <w:lang w:val="en-US" w:eastAsia="de-DE"/>
        </w:rPr>
        <w:instrText>o permanent cell cycle exit was poorly understood until recently. In this review, we discuss new findings that identify increased cell size as not only a consequence but also a cause of permanent cell cycle exit. We highlight recent insights into how incre</w:instrText>
      </w:r>
      <w:r>
        <w:rPr>
          <w:rFonts w:ascii="Arial" w:eastAsia="Times New Roman" w:hAnsi="Arial" w:cs="Arial"/>
          <w:color w:val="000000" w:themeColor="text1"/>
          <w:lang w:val="en-US" w:eastAsia="de-DE"/>
        </w:rPr>
        <w:instrText>ased cell size alters normal cellular physiology and creates homeostatic imbalances that contribute to senescence induction. Finally, we focus on the potential clinical implications of these findings in the context of cell cycle arrest-causing cancer thera</w:instrText>
      </w:r>
      <w:r>
        <w:rPr>
          <w:rFonts w:ascii="Arial" w:eastAsia="Times New Roman" w:hAnsi="Arial" w:cs="Arial"/>
          <w:color w:val="000000" w:themeColor="text1"/>
          <w:lang w:val="en-US" w:eastAsia="de-DE"/>
        </w:rPr>
        <w:instrText>peutics and speculate on how tumor cell size changes may impact outcomes in patients treated with these drugs.","author":[{"dropping-particle":"","family":"Manohar","given":"Sandhya","non-dropping-particle":"","parse-names":false,"suffix":""},{"dropping-pa</w:instrText>
      </w:r>
      <w:r>
        <w:rPr>
          <w:rFonts w:ascii="Arial" w:eastAsia="Times New Roman" w:hAnsi="Arial" w:cs="Arial"/>
          <w:color w:val="000000" w:themeColor="text1"/>
          <w:lang w:val="en-US" w:eastAsia="de-DE"/>
        </w:rPr>
        <w:instrText xml:space="preserve">rticle":"","family":"Neurohr","given":"Gabriel E.","non-dropping-particle":"","parse-names":false,"suffix":""}],"container-title":"The FEBS Journal","id":"ITEM-1","issued":{"date-parts":[["2023"]]},"publisher":"John Wiley &amp; Sons, Ltd","title":"Too big not </w:instrText>
      </w:r>
      <w:r>
        <w:rPr>
          <w:rFonts w:ascii="Arial" w:eastAsia="Times New Roman" w:hAnsi="Arial" w:cs="Arial"/>
          <w:color w:val="000000" w:themeColor="text1"/>
          <w:lang w:val="en-US" w:eastAsia="de-DE"/>
        </w:rPr>
        <w:instrText>to fail: emerging evidence for size-induced senescence","type":"article-journal"},"uris":["http://www.mendeley.com/documents/?uuid=ba8e639b-51a1-322a-87de-bf6ce9cd8865"]}],"mendeley":{"formattedCitation":"&lt;sup&gt;9&lt;/sup&gt;","plainTextFormattedCitation":"9","pre</w:instrText>
      </w:r>
      <w:r>
        <w:rPr>
          <w:rFonts w:ascii="Arial" w:eastAsia="Times New Roman" w:hAnsi="Arial" w:cs="Arial"/>
          <w:color w:val="000000" w:themeColor="text1"/>
          <w:lang w:val="en-US" w:eastAsia="de-DE"/>
        </w:rPr>
        <w:instrText>viouslyFormattedCitation":"&lt;sup&gt;9&lt;/sup&gt;"},"properties":{"noteIndex":0},"schema":"https://github.com/citation-style-language/schema/raw/master/csl-citation.json"}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9</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w:t>
      </w:r>
    </w:p>
    <w:p w14:paraId="2E9ADCC5"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8.2 Implications for cancer treatment</w:t>
      </w:r>
    </w:p>
    <w:p w14:paraId="06143455"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lang w:val="en-US" w:eastAsia="de-DE"/>
        </w:rPr>
        <w:t>The observation that excessive cell growth during a</w:t>
      </w:r>
      <w:r>
        <w:rPr>
          <w:rFonts w:ascii="Arial" w:eastAsia="Times New Roman" w:hAnsi="Arial" w:cs="Arial"/>
          <w:color w:val="000000"/>
          <w:lang w:val="en-US" w:eastAsia="de-DE"/>
        </w:rPr>
        <w:t xml:space="preserve"> prolonged G1 arrest, as caused by CDK inhibitors such as the cancer drugs </w:t>
      </w:r>
      <w:proofErr w:type="spellStart"/>
      <w:r>
        <w:rPr>
          <w:rFonts w:ascii="Arial" w:eastAsia="Times New Roman" w:hAnsi="Arial" w:cs="Arial"/>
          <w:color w:val="000000"/>
          <w:lang w:val="en-US" w:eastAsia="de-DE"/>
        </w:rPr>
        <w:t>palbociclib</w:t>
      </w:r>
      <w:proofErr w:type="spellEnd"/>
      <w:r>
        <w:rPr>
          <w:rFonts w:ascii="Arial" w:eastAsia="Times New Roman" w:hAnsi="Arial" w:cs="Arial"/>
          <w:color w:val="000000"/>
          <w:lang w:val="en-US" w:eastAsia="de-DE"/>
        </w:rPr>
        <w:t xml:space="preserve"> and </w:t>
      </w:r>
      <w:proofErr w:type="spellStart"/>
      <w:r>
        <w:rPr>
          <w:rFonts w:ascii="Arial" w:eastAsia="Times New Roman" w:hAnsi="Arial" w:cs="Arial"/>
          <w:color w:val="000000"/>
          <w:lang w:val="en-US" w:eastAsia="de-DE"/>
        </w:rPr>
        <w:t>samuraciclib</w:t>
      </w:r>
      <w:proofErr w:type="spellEnd"/>
      <w:r>
        <w:rPr>
          <w:rFonts w:ascii="Arial" w:eastAsia="Times New Roman" w:hAnsi="Arial" w:cs="Arial"/>
          <w:color w:val="000000"/>
          <w:lang w:val="en-US" w:eastAsia="de-DE"/>
        </w:rPr>
        <w:t>, leads to cellular senescence may also have important implications for cancer treatment</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{"citationItems":[{"id":"ITEM-1","itemData":{"</w:instrText>
      </w:r>
      <w:r>
        <w:rPr>
          <w:rFonts w:ascii="Arial" w:eastAsia="Times New Roman" w:hAnsi="Arial" w:cs="Arial"/>
          <w:i/>
          <w:iCs/>
          <w:color w:val="000000"/>
          <w:lang w:val="en-US" w:eastAsia="de-DE"/>
        </w:rPr>
        <w:instrText>DOI":"10.1016/j.molcel.2023.10.017","ISSN":"10974164","abstract":"Tumor growth is driven by continued cellular growth and proliferation. Cyclin-dependent kinase 7’s (CDK7) role in activating mitotic CDKs and global gene expression makes it therefore an att</w:instrText>
      </w:r>
      <w:r>
        <w:rPr>
          <w:rFonts w:ascii="Arial" w:eastAsia="Times New Roman" w:hAnsi="Arial" w:cs="Arial"/>
          <w:i/>
          <w:iCs/>
          <w:color w:val="000000"/>
          <w:lang w:val="en-US" w:eastAsia="de-DE"/>
        </w:rPr>
        <w:instrText>ractive target for cancer therapies. However, what makes cancer cells particularly sensitive to CDK7 inhibition (CDK7i) remains unclear. Here, we address this question. We show that CDK7i, by samuraciclib, induces a permanent cell-cycle exit, known as sene</w:instrText>
      </w:r>
      <w:r>
        <w:rPr>
          <w:rFonts w:ascii="Arial" w:eastAsia="Times New Roman" w:hAnsi="Arial" w:cs="Arial"/>
          <w:i/>
          <w:iCs/>
          <w:color w:val="000000"/>
          <w:lang w:val="en-US" w:eastAsia="de-DE"/>
        </w:rPr>
        <w:instrText>scence, without promoting DNA damage signaling or cell death. A chemogenetic genome-wide CRISPR knockout screen identified that active mTOR (mammalian target of rapamycin) signaling promotes samuraciclib-induced senescence. mTOR inhibition decreases samura</w:instrText>
      </w:r>
      <w:r>
        <w:rPr>
          <w:rFonts w:ascii="Arial" w:eastAsia="Times New Roman" w:hAnsi="Arial" w:cs="Arial"/>
          <w:i/>
          <w:iCs/>
          <w:color w:val="000000"/>
          <w:lang w:val="en-US" w:eastAsia="de-DE"/>
        </w:rPr>
        <w:instrText>ciclib sensitivity, and increased mTOR-dependent growth signaling correlates with sensitivity in cancer cell lines. Reverting a growth-promoting mutation in PIK3CA to wild type decreases sensitivity to CDK7i. Our work establishes that enhanced growth alone</w:instrText>
      </w:r>
      <w:r>
        <w:rPr>
          <w:rFonts w:ascii="Arial" w:eastAsia="Times New Roman" w:hAnsi="Arial" w:cs="Arial"/>
          <w:i/>
          <w:iCs/>
          <w:color w:val="000000"/>
          <w:lang w:val="en-US" w:eastAsia="de-DE"/>
        </w:rPr>
        <w:instrText xml:space="preserve"> promotes CDK7i sensitivity, providing an explanation for why some cancers are more sensitive to CDK inhibition than normally growing cells.","author":[{"dropping-particle":"","family":"Wilson","given":"Gemma A.","non-dropping-particle":"","parse-names":fa</w:instrText>
      </w:r>
      <w:r>
        <w:rPr>
          <w:rFonts w:ascii="Arial" w:eastAsia="Times New Roman" w:hAnsi="Arial" w:cs="Arial"/>
          <w:i/>
          <w:iCs/>
          <w:color w:val="000000"/>
          <w:lang w:val="en-US" w:eastAsia="de-DE"/>
        </w:rPr>
        <w:instrText>lse,"suffix":""},{"dropping-particle":"","family":"Vuina","given":"Karla","non-dropping-particle":"","parse-names":false,"suffix":""},{"dropping-particle":"","family":"Sava","given":"Georgina","non-dropping-particle":"","parse-names":false,"suffix":""},{"d</w:instrText>
      </w:r>
      <w:r>
        <w:rPr>
          <w:rFonts w:ascii="Arial" w:eastAsia="Times New Roman" w:hAnsi="Arial" w:cs="Arial"/>
          <w:i/>
          <w:iCs/>
          <w:color w:val="000000"/>
          <w:lang w:val="en-US" w:eastAsia="de-DE"/>
        </w:rPr>
        <w:instrText>ropping-particle":"","family":"Huard","given":"Caroline","non-dropping-particle":"","parse-names":false,"suffix":""},{"dropping-particle":"","family":"Meneguello","given":"Leticia","non-dropping-particle":"","parse-names":false,"suffix":""},{"dropping-part</w:instrText>
      </w:r>
      <w:r>
        <w:rPr>
          <w:rFonts w:ascii="Arial" w:eastAsia="Times New Roman" w:hAnsi="Arial" w:cs="Arial"/>
          <w:i/>
          <w:iCs/>
          <w:color w:val="000000"/>
          <w:lang w:val="en-US" w:eastAsia="de-DE"/>
        </w:rPr>
        <w:instrText>icle":"","family":"Coulombe-Huntington","given":"Jasmin","non-dropping-particle":"","parse-names":false,"suffix":""},{"dropping-particle":"","family":"Bertomeu","given":"Thierry","non-dropping-particle":"","parse-names":false,"suffix":""},{"dropping-partic</w:instrText>
      </w:r>
      <w:r>
        <w:rPr>
          <w:rFonts w:ascii="Arial" w:eastAsia="Times New Roman" w:hAnsi="Arial" w:cs="Arial"/>
          <w:i/>
          <w:iCs/>
          <w:color w:val="000000"/>
          <w:lang w:val="en-US" w:eastAsia="de-DE"/>
        </w:rPr>
        <w:instrText>le":"","family":"Maizels","given":"Rory J.","non-dropping-particle":"","parse-names":false,"suffix":""},{"dropping-particle":"","family":"Lauring","given":"Josh","non-dropping-particle":"","parse-names":false,"suffix":""},{"dropping-particle":"","family":"</w:instrText>
      </w:r>
      <w:r>
        <w:rPr>
          <w:rFonts w:ascii="Arial" w:eastAsia="Times New Roman" w:hAnsi="Arial" w:cs="Arial"/>
          <w:i/>
          <w:iCs/>
          <w:color w:val="000000"/>
          <w:lang w:val="en-US" w:eastAsia="de-DE"/>
        </w:rPr>
        <w:instrText>Kriston-Vizi","given":"Janos","non-dropping-particle":"","parse-names":false,"suffix":""},{"dropping-particle":"","family":"Tyers","given":"Mike","non-dropping-particle":"","parse-names":false,"suffix":""},{"dropping-particle":"","family":"Ali","given":"Si</w:instrText>
      </w:r>
      <w:r>
        <w:rPr>
          <w:rFonts w:ascii="Arial" w:eastAsia="Times New Roman" w:hAnsi="Arial" w:cs="Arial"/>
          <w:i/>
          <w:iCs/>
          <w:color w:val="000000"/>
          <w:lang w:val="en-US" w:eastAsia="de-DE"/>
        </w:rPr>
        <w:instrText>mak","non-dropping-particle":"","parse-names":false,"suffix":""},{"dropping-particle":"","family":"Bertoli","given":"Cosetta","non-dropping-particle":"","parse-names":false,"suffix":""},{"dropping-particle":"","family":"Bruin","given":"Robertus A.M.","non-</w:instrText>
      </w:r>
      <w:r>
        <w:rPr>
          <w:rFonts w:ascii="Arial" w:eastAsia="Times New Roman" w:hAnsi="Arial" w:cs="Arial"/>
          <w:i/>
          <w:iCs/>
          <w:color w:val="000000"/>
          <w:lang w:val="en-US" w:eastAsia="de-DE"/>
        </w:rPr>
        <w:instrText>dropping-particle":"de","parse-names":false,"suffix":""}],"container-title":"Molecular Cell","id":"ITEM-1","issue":"22","issued":{"date-parts":[["2023","11","16"]]},"page":"4078-4092.e6","publisher":"Cell Press","title":"Active growth signaling promotes se</w:instrText>
      </w:r>
      <w:r>
        <w:rPr>
          <w:rFonts w:ascii="Arial" w:eastAsia="Times New Roman" w:hAnsi="Arial" w:cs="Arial"/>
          <w:i/>
          <w:iCs/>
          <w:color w:val="000000"/>
          <w:lang w:val="en-US" w:eastAsia="de-DE"/>
        </w:rPr>
        <w:instrText>nescence and cancer cell sensitivity to CDK7 inhibition","type":"article-journal","volume":"83"},"uris":["http://www.mendeley.com/documents/?uuid=500fc6dc-0cd8-3732-90c8-6f6027111e2a"]},{"id":"ITEM-2","itemData":{"DOI":"10.1016/J.MOLCEL.2023.10.020","ISSN"</w:instrText>
      </w:r>
      <w:r>
        <w:rPr>
          <w:rFonts w:ascii="Arial" w:eastAsia="Times New Roman" w:hAnsi="Arial" w:cs="Arial"/>
          <w:i/>
          <w:iCs/>
          <w:color w:val="000000"/>
          <w:lang w:val="en-US" w:eastAsia="de-DE"/>
        </w:rPr>
        <w:instrText>:"1097-2765","PMID":"37977117","abstract":"&lt;h2&gt;Summary&lt;/h2&gt;&lt;p&gt;CDK4/6 inhibitors are remarkable anti-cancer drugs that can arrest tumor cells in G1 and induce their senescence while causing only relatively mild toxicities in healthy tissues. How they achiev</w:instrText>
      </w:r>
      <w:r>
        <w:rPr>
          <w:rFonts w:ascii="Arial" w:eastAsia="Times New Roman" w:hAnsi="Arial" w:cs="Arial"/>
          <w:i/>
          <w:iCs/>
          <w:color w:val="000000"/>
          <w:lang w:val="en-US" w:eastAsia="de-DE"/>
        </w:rPr>
        <w:instrText xml:space="preserve">e this mechanistically is unclear. We show here that tumor cells are specifically vulnerable to CDK4/6 inhibition because during the G1 arrest, oncogenic signals drive toxic cell overgrowth. This overgrowth causes permanent cell cycle withdrawal by either </w:instrText>
      </w:r>
      <w:r>
        <w:rPr>
          <w:rFonts w:ascii="Arial" w:eastAsia="Times New Roman" w:hAnsi="Arial" w:cs="Arial"/>
          <w:i/>
          <w:iCs/>
          <w:color w:val="000000"/>
          <w:lang w:val="en-US" w:eastAsia="de-DE"/>
        </w:rPr>
        <w:instrText>preventing progression from G1 or inducing genotoxic damage during the subsequent S-phase and mitosis. Inhibiting or reverting oncogenic signals that converge onto mTOR can rescue this excessive growth, DNA damage, and cell cycle exit in cancer cells. Conv</w:instrText>
      </w:r>
      <w:r>
        <w:rPr>
          <w:rFonts w:ascii="Arial" w:eastAsia="Times New Roman" w:hAnsi="Arial" w:cs="Arial"/>
          <w:i/>
          <w:iCs/>
          <w:color w:val="000000"/>
          <w:lang w:val="en-US" w:eastAsia="de-DE"/>
        </w:rPr>
        <w:instrText>ersely, inducing oncogenic signals in non-transformed cells can drive these toxic phenotypes and sensitize the cells to CDK4/6 inhibition. Together, this demonstrates that cell cycle arrest and oncogenic cell growth is a synthetic lethal combination that i</w:instrText>
      </w:r>
      <w:r>
        <w:rPr>
          <w:rFonts w:ascii="Arial" w:eastAsia="Times New Roman" w:hAnsi="Arial" w:cs="Arial"/>
          <w:i/>
          <w:iCs/>
          <w:color w:val="000000"/>
          <w:lang w:val="en-US" w:eastAsia="de-DE"/>
        </w:rPr>
        <w:instrText>s exploited by CDK4/6 inhibitors to induce tumor-specific toxicity.&lt;/p&gt;","author":[{"dropping-particle":"","family":"Foy","given":"Reece","non-dropping-particle":"","parse-names":false,"suffix":""},{"dropping-particle":"","family":"Crozier","given":"Lisa",</w:instrText>
      </w:r>
      <w:r>
        <w:rPr>
          <w:rFonts w:ascii="Arial" w:eastAsia="Times New Roman" w:hAnsi="Arial" w:cs="Arial"/>
          <w:i/>
          <w:iCs/>
          <w:color w:val="000000"/>
          <w:lang w:val="en-US" w:eastAsia="de-DE"/>
        </w:rPr>
        <w:instrText>"non-dropping-particle":"","parse-names":false,"suffix":""},{"dropping-particle":"","family":"Pareri","given":"Aanchal U","non-dropping-particle":"","parse-names":false,"suffix":""},{"dropping-particle":"","family":"Valverde","given":"Juan Manuel","non-dro</w:instrText>
      </w:r>
      <w:r>
        <w:rPr>
          <w:rFonts w:ascii="Arial" w:eastAsia="Times New Roman" w:hAnsi="Arial" w:cs="Arial"/>
          <w:i/>
          <w:iCs/>
          <w:color w:val="000000"/>
          <w:lang w:val="en-US" w:eastAsia="de-DE"/>
        </w:rPr>
        <w:instrText>pping-particle":"","parse-names":false,"suffix":""},{"dropping-particle":"","family":"Park","given":"Ben Ho","non-dropping-particle":"","parse-names":false,"suffix":""},{"dropping-particle":"","family":"Ly","given":"Tony","non-dropping-particle":"","parse-</w:instrText>
      </w:r>
      <w:r>
        <w:rPr>
          <w:rFonts w:ascii="Arial" w:eastAsia="Times New Roman" w:hAnsi="Arial" w:cs="Arial"/>
          <w:i/>
          <w:iCs/>
          <w:color w:val="000000"/>
          <w:lang w:val="en-US" w:eastAsia="de-DE"/>
        </w:rPr>
        <w:instrText>names":false,"suffix":""},{"dropping-particle":"","family":"Saurin Correspondence","given":"Adrian T","non-dropping-particle":"","parse-names":false,"suffix":""}],"container-title":"Molecular Cell","id":"ITEM-2","issue":"22","issued":{"date-parts":[["2023"</w:instrText>
      </w:r>
      <w:r>
        <w:rPr>
          <w:rFonts w:ascii="Arial" w:eastAsia="Times New Roman" w:hAnsi="Arial" w:cs="Arial"/>
          <w:i/>
          <w:iCs/>
          <w:color w:val="000000"/>
          <w:lang w:val="en-US" w:eastAsia="de-DE"/>
        </w:rPr>
        <w:instrText>,"11","16"]]},"page":"4047-4061.e6","publisher":"Elsevier","title":"Oncogenic signals prime cancer cells for toxic cell overgrowth during a G1 cell cycle arrest","type":"article-journal","volume":"83"},"uris":["http://www.mendeley.com/documents/?uuid=83b63</w:instrText>
      </w:r>
      <w:r>
        <w:rPr>
          <w:rFonts w:ascii="Arial" w:eastAsia="Times New Roman" w:hAnsi="Arial" w:cs="Arial"/>
          <w:i/>
          <w:iCs/>
          <w:color w:val="000000"/>
          <w:lang w:val="en-US" w:eastAsia="de-DE"/>
        </w:rPr>
        <w:instrText>97d-b756-3c24-807d-7468030aa211"]}],"mendeley":{"formattedCitation":"&lt;sup&gt;387,388&lt;/sup&gt;","plainTextFormattedCitation":"387,388","previouslyFormattedCitation":"&lt;sup&gt;387,388&lt;/sup&gt;"},"properties":{"noteIndex":0},"schema":"https://github.com/citation-style-lan</w:instrText>
      </w:r>
      <w:r>
        <w:rPr>
          <w:rFonts w:ascii="Arial" w:eastAsia="Times New Roman" w:hAnsi="Arial" w:cs="Arial"/>
          <w:i/>
          <w:iCs/>
          <w:color w:val="000000"/>
          <w:lang w:val="en-US" w:eastAsia="de-DE"/>
        </w:rPr>
        <w:instrText>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387,388</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Since it is the increased cell size caused by the G1 arrest, rather than the arrest itself, which causes permanent cell cycle exit, the fast cell growth of tumor cells seems to be a key requirement for</w:t>
      </w:r>
      <w:r>
        <w:rPr>
          <w:rFonts w:ascii="Arial" w:eastAsia="Times New Roman" w:hAnsi="Arial" w:cs="Arial"/>
          <w:color w:val="000000"/>
          <w:lang w:val="en-US" w:eastAsia="de-DE"/>
        </w:rPr>
        <w:t xml:space="preserve"> their selective sensitivity to drug treatment. Indeed, oncogenic mutations affect the probability of cells to enter senescence </w:t>
      </w:r>
      <w:r>
        <w:rPr>
          <w:rFonts w:ascii="Arial" w:eastAsia="Times New Roman" w:hAnsi="Arial" w:cs="Arial"/>
          <w:i/>
          <w:iCs/>
          <w:color w:val="000000"/>
          <w:lang w:val="en-US" w:eastAsia="de-DE"/>
        </w:rPr>
        <w:t>in vitro</w:t>
      </w:r>
      <w:r>
        <w:rPr>
          <w:rFonts w:ascii="Arial" w:eastAsia="Times New Roman" w:hAnsi="Arial" w:cs="Arial"/>
          <w:i/>
          <w:iCs/>
          <w:color w:val="000000"/>
          <w:lang w:val="en-US" w:eastAsia="de-DE"/>
        </w:rPr>
        <w:fldChar w:fldCharType="begin" w:fldLock="1"/>
      </w:r>
      <w:r>
        <w:rPr>
          <w:rFonts w:ascii="Arial" w:eastAsia="Times New Roman" w:hAnsi="Arial" w:cs="Arial"/>
          <w:i/>
          <w:iCs/>
          <w:color w:val="000000"/>
          <w:lang w:val="en-US" w:eastAsia="de-DE"/>
        </w:rPr>
        <w:instrText>ADDIN CSL_CITATION {"citationItems":[{"id":"ITEM-1","itemData":{"DOI":"10.1016/j.molcel.2023.10.017","ISSN":"10974164","</w:instrText>
      </w:r>
      <w:r>
        <w:rPr>
          <w:rFonts w:ascii="Arial" w:eastAsia="Times New Roman" w:hAnsi="Arial" w:cs="Arial"/>
          <w:i/>
          <w:iCs/>
          <w:color w:val="000000"/>
          <w:lang w:val="en-US" w:eastAsia="de-DE"/>
        </w:rPr>
        <w:instrText>abstract":"Tumor growth is driven by continued cellular growth and proliferation. Cyclin-dependent kinase 7’s (CDK7) role in activating mitotic CDKs and global gene expression makes it therefore an attractive target for cancer therapies. However, what make</w:instrText>
      </w:r>
      <w:r>
        <w:rPr>
          <w:rFonts w:ascii="Arial" w:eastAsia="Times New Roman" w:hAnsi="Arial" w:cs="Arial"/>
          <w:i/>
          <w:iCs/>
          <w:color w:val="000000"/>
          <w:lang w:val="en-US" w:eastAsia="de-DE"/>
        </w:rPr>
        <w:instrText xml:space="preserve">s cancer cells particularly sensitive to CDK7 inhibition (CDK7i) remains unclear. Here, we address this question. We show that CDK7i, by samuraciclib, induces a permanent cell-cycle exit, known as senescence, without promoting DNA damage signaling or cell </w:instrText>
      </w:r>
      <w:r>
        <w:rPr>
          <w:rFonts w:ascii="Arial" w:eastAsia="Times New Roman" w:hAnsi="Arial" w:cs="Arial"/>
          <w:i/>
          <w:iCs/>
          <w:color w:val="000000"/>
          <w:lang w:val="en-US" w:eastAsia="de-DE"/>
        </w:rPr>
        <w:instrText>death. A chemogenetic genome-wide CRISPR knockout screen identified that active mTOR (mammalian target of rapamycin) signaling promotes samuraciclib-induced senescence. mTOR inhibition decreases samuraciclib sensitivity, and increased mTOR-dependent growth</w:instrText>
      </w:r>
      <w:r>
        <w:rPr>
          <w:rFonts w:ascii="Arial" w:eastAsia="Times New Roman" w:hAnsi="Arial" w:cs="Arial"/>
          <w:i/>
          <w:iCs/>
          <w:color w:val="000000"/>
          <w:lang w:val="en-US" w:eastAsia="de-DE"/>
        </w:rPr>
        <w:instrText xml:space="preserve"> signaling correlates with sensitivity in cancer cell lines. Reverting a growth-promoting mutation in PIK3CA to wild type decreases sensitivity to CDK7i. Our work establishes that enhanced growth alone promotes CDK7i sensitivity, providing an explanation f</w:instrText>
      </w:r>
      <w:r>
        <w:rPr>
          <w:rFonts w:ascii="Arial" w:eastAsia="Times New Roman" w:hAnsi="Arial" w:cs="Arial"/>
          <w:i/>
          <w:iCs/>
          <w:color w:val="000000"/>
          <w:lang w:val="en-US" w:eastAsia="de-DE"/>
        </w:rPr>
        <w:instrText>or why some cancers are more sensitive to CDK inhibition than normally growing cells.","author":[{"dropping-particle":"","family":"Wilson","given":"Gemma A.","non-dropping-particle":"","parse-names":false,"suffix":""},{"dropping-particle":"","family":"Vuin</w:instrText>
      </w:r>
      <w:r>
        <w:rPr>
          <w:rFonts w:ascii="Arial" w:eastAsia="Times New Roman" w:hAnsi="Arial" w:cs="Arial"/>
          <w:i/>
          <w:iCs/>
          <w:color w:val="000000"/>
          <w:lang w:val="en-US" w:eastAsia="de-DE"/>
        </w:rPr>
        <w:instrText>a","given":"Karla","non-dropping-particle":"","parse-names":false,"suffix":""},{"dropping-particle":"","family":"Sava","given":"Georgina","non-dropping-particle":"","parse-names":false,"suffix":""},{"dropping-particle":"","family":"Huard","given":"Caroline</w:instrText>
      </w:r>
      <w:r>
        <w:rPr>
          <w:rFonts w:ascii="Arial" w:eastAsia="Times New Roman" w:hAnsi="Arial" w:cs="Arial"/>
          <w:i/>
          <w:iCs/>
          <w:color w:val="000000"/>
          <w:lang w:val="en-US" w:eastAsia="de-DE"/>
        </w:rPr>
        <w:instrText>","non-dropping-particle":"","parse-names":false,"suffix":""},{"dropping-particle":"","family":"Meneguello","given":"Leticia","non-dropping-particle":"","parse-names":false,"suffix":""},{"dropping-particle":"","family":"Coulombe-Huntington","given":"Jasmin</w:instrText>
      </w:r>
      <w:r>
        <w:rPr>
          <w:rFonts w:ascii="Arial" w:eastAsia="Times New Roman" w:hAnsi="Arial" w:cs="Arial"/>
          <w:i/>
          <w:iCs/>
          <w:color w:val="000000"/>
          <w:lang w:val="en-US" w:eastAsia="de-DE"/>
        </w:rPr>
        <w:instrText>","non-dropping-particle":"","parse-names":false,"suffix":""},{"dropping-particle":"","family":"Bertomeu","given":"Thierry","non-dropping-particle":"","parse-names":false,"suffix":""},{"dropping-particle":"","family":"Maizels","given":"Rory J.","non-droppi</w:instrText>
      </w:r>
      <w:r>
        <w:rPr>
          <w:rFonts w:ascii="Arial" w:eastAsia="Times New Roman" w:hAnsi="Arial" w:cs="Arial"/>
          <w:i/>
          <w:iCs/>
          <w:color w:val="000000"/>
          <w:lang w:val="en-US" w:eastAsia="de-DE"/>
        </w:rPr>
        <w:instrText>ng-particle":"","parse-names":false,"suffix":""},{"dropping-particle":"","family":"Lauring","given":"Josh","non-dropping-particle":"","parse-names":false,"suffix":""},{"dropping-particle":"","family":"Kriston-Vizi","given":"Janos","non-dropping-particle":"</w:instrText>
      </w:r>
      <w:r>
        <w:rPr>
          <w:rFonts w:ascii="Arial" w:eastAsia="Times New Roman" w:hAnsi="Arial" w:cs="Arial"/>
          <w:i/>
          <w:iCs/>
          <w:color w:val="000000"/>
          <w:lang w:val="en-US" w:eastAsia="de-DE"/>
        </w:rPr>
        <w:instrText>","parse-names":false,"suffix":""},{"dropping-particle":"","family":"Tyers","given":"Mike","non-dropping-particle":"","parse-names":false,"suffix":""},{"dropping-particle":"","family":"Ali","given":"Simak","non-dropping-particle":"","parse-names":false,"su</w:instrText>
      </w:r>
      <w:r>
        <w:rPr>
          <w:rFonts w:ascii="Arial" w:eastAsia="Times New Roman" w:hAnsi="Arial" w:cs="Arial"/>
          <w:i/>
          <w:iCs/>
          <w:color w:val="000000"/>
          <w:lang w:val="en-US" w:eastAsia="de-DE"/>
        </w:rPr>
        <w:instrText>ffix":""},{"dropping-particle":"","family":"Bertoli","given":"Cosetta","non-dropping-particle":"","parse-names":false,"suffix":""},{"dropping-particle":"","family":"Bruin","given":"Robertus A.M.","non-dropping-particle":"de","parse-names":false,"suffix":""</w:instrText>
      </w:r>
      <w:r>
        <w:rPr>
          <w:rFonts w:ascii="Arial" w:eastAsia="Times New Roman" w:hAnsi="Arial" w:cs="Arial"/>
          <w:i/>
          <w:iCs/>
          <w:color w:val="000000"/>
          <w:lang w:val="en-US" w:eastAsia="de-DE"/>
        </w:rPr>
        <w:instrText>}],"container-title":"Molecular Cell","id":"ITEM-1","issue":"22","issued":{"date-parts":[["2023","11","16"]]},"page":"4078-4092.e6","publisher":"Cell Press","title":"Active growth signaling promotes senescence and cancer cell sensitivity to CDK7 inhibition</w:instrText>
      </w:r>
      <w:r>
        <w:rPr>
          <w:rFonts w:ascii="Arial" w:eastAsia="Times New Roman" w:hAnsi="Arial" w:cs="Arial"/>
          <w:i/>
          <w:iCs/>
          <w:color w:val="000000"/>
          <w:lang w:val="en-US" w:eastAsia="de-DE"/>
        </w:rPr>
        <w:instrText>","type":"article-journal","volume":"83"},"uris":["http://www.mendeley.com/documents/?uuid=500fc6dc-0cd8-3732-90c8-6f6027111e2a"]},{"id":"ITEM-2","itemData":{"DOI":"10.1016/J.MOLCEL.2023.10.020","ISSN":"1097-2765","PMID":"37977117","abstract":"&lt;h2&gt;Summary&lt;</w:instrText>
      </w:r>
      <w:r>
        <w:rPr>
          <w:rFonts w:ascii="Arial" w:eastAsia="Times New Roman" w:hAnsi="Arial" w:cs="Arial"/>
          <w:i/>
          <w:iCs/>
          <w:color w:val="000000"/>
          <w:lang w:val="en-US" w:eastAsia="de-DE"/>
        </w:rPr>
        <w:instrText>/h2&gt;&lt;p&gt;CDK4/6 inhibitors are remarkable anti-cancer drugs that can arrest tumor cells in G1 and induce their senescence while causing only relatively mild toxicities in healthy tissues. How they achieve this mechanistically is unclear. We show here that tu</w:instrText>
      </w:r>
      <w:r>
        <w:rPr>
          <w:rFonts w:ascii="Arial" w:eastAsia="Times New Roman" w:hAnsi="Arial" w:cs="Arial"/>
          <w:i/>
          <w:iCs/>
          <w:color w:val="000000"/>
          <w:lang w:val="en-US" w:eastAsia="de-DE"/>
        </w:rPr>
        <w:instrText>mor cells are specifically vulnerable to CDK4/6 inhibition because during the G1 arrest, oncogenic signals drive toxic cell overgrowth. This overgrowth causes permanent cell cycle withdrawal by either preventing progression from G1 or inducing genotoxic da</w:instrText>
      </w:r>
      <w:r>
        <w:rPr>
          <w:rFonts w:ascii="Arial" w:eastAsia="Times New Roman" w:hAnsi="Arial" w:cs="Arial"/>
          <w:i/>
          <w:iCs/>
          <w:color w:val="000000"/>
          <w:lang w:val="en-US" w:eastAsia="de-DE"/>
        </w:rPr>
        <w:instrText>mage during the subsequent S-phase and mitosis. Inhibiting or reverting oncogenic signals that converge onto mTOR can rescue this excessive growth, DNA damage, and cell cycle exit in cancer cells. Conversely, inducing oncogenic signals in non-transformed c</w:instrText>
      </w:r>
      <w:r>
        <w:rPr>
          <w:rFonts w:ascii="Arial" w:eastAsia="Times New Roman" w:hAnsi="Arial" w:cs="Arial"/>
          <w:i/>
          <w:iCs/>
          <w:color w:val="000000"/>
          <w:lang w:val="en-US" w:eastAsia="de-DE"/>
        </w:rPr>
        <w:instrText>ells can drive these toxic phenotypes and sensitize the cells to CDK4/6 inhibition. Together, this demonstrates that cell cycle arrest and oncogenic cell growth is a synthetic lethal combination that is exploited by CDK4/6 inhibitors to induce tumor-specif</w:instrText>
      </w:r>
      <w:r>
        <w:rPr>
          <w:rFonts w:ascii="Arial" w:eastAsia="Times New Roman" w:hAnsi="Arial" w:cs="Arial"/>
          <w:i/>
          <w:iCs/>
          <w:color w:val="000000"/>
          <w:lang w:val="en-US" w:eastAsia="de-DE"/>
        </w:rPr>
        <w:instrText>ic toxicity.&lt;/p&gt;","author":[{"dropping-particle":"","family":"Foy","given":"Reece","non-dropping-particle":"","parse-names":false,"suffix":""},{"dropping-particle":"","family":"Crozier","given":"Lisa","non-dropping-particle":"","parse-names":false,"suffix"</w:instrText>
      </w:r>
      <w:r>
        <w:rPr>
          <w:rFonts w:ascii="Arial" w:eastAsia="Times New Roman" w:hAnsi="Arial" w:cs="Arial"/>
          <w:i/>
          <w:iCs/>
          <w:color w:val="000000"/>
          <w:lang w:val="en-US" w:eastAsia="de-DE"/>
        </w:rPr>
        <w:instrText>:""},{"dropping-particle":"","family":"Pareri","given":"Aanchal U","non-dropping-particle":"","parse-names":false,"suffix":""},{"dropping-particle":"","family":"Valverde","given":"Juan Manuel","non-dropping-particle":"","parse-names":false,"suffix":""},{"d</w:instrText>
      </w:r>
      <w:r>
        <w:rPr>
          <w:rFonts w:ascii="Arial" w:eastAsia="Times New Roman" w:hAnsi="Arial" w:cs="Arial"/>
          <w:i/>
          <w:iCs/>
          <w:color w:val="000000"/>
          <w:lang w:val="en-US" w:eastAsia="de-DE"/>
        </w:rPr>
        <w:instrText>ropping-particle":"","family":"Park","given":"Ben Ho","non-dropping-particle":"","parse-names":false,"suffix":""},{"dropping-particle":"","family":"Ly","given":"Tony","non-dropping-particle":"","parse-names":false,"suffix":""},{"dropping-particle":"","fami</w:instrText>
      </w:r>
      <w:r>
        <w:rPr>
          <w:rFonts w:ascii="Arial" w:eastAsia="Times New Roman" w:hAnsi="Arial" w:cs="Arial"/>
          <w:i/>
          <w:iCs/>
          <w:color w:val="000000"/>
          <w:lang w:val="en-US" w:eastAsia="de-DE"/>
        </w:rPr>
        <w:instrText>ly":"Saurin Correspondence","given":"Adrian T","non-dropping-particle":"","parse-names":false,"suffix":""}],"container-title":"Molecular Cell","id":"ITEM-2","issue":"22","issued":{"date-parts":[["2023","11","16"]]},"page":"4047-4061.e6","publisher":"Elsevi</w:instrText>
      </w:r>
      <w:r>
        <w:rPr>
          <w:rFonts w:ascii="Arial" w:eastAsia="Times New Roman" w:hAnsi="Arial" w:cs="Arial"/>
          <w:i/>
          <w:iCs/>
          <w:color w:val="000000"/>
          <w:lang w:val="en-US" w:eastAsia="de-DE"/>
        </w:rPr>
        <w:instrText>er","title":"Oncogenic signals prime cancer cells for toxic cell overgrowth during a G1 cell cycle arrest","type":"article-journal","volume":"83"},"uris":["http://www.mendeley.com/documents/?uuid=83b6397d-b756-3c24-807d-7468030aa211"]}],"mendeley":{"format</w:instrText>
      </w:r>
      <w:r>
        <w:rPr>
          <w:rFonts w:ascii="Arial" w:eastAsia="Times New Roman" w:hAnsi="Arial" w:cs="Arial"/>
          <w:i/>
          <w:iCs/>
          <w:color w:val="000000"/>
          <w:lang w:val="en-US" w:eastAsia="de-DE"/>
        </w:rPr>
        <w:instrText>tedCitation":"&lt;sup&gt;387,388&lt;/sup&gt;","plainTextFormattedCitation":"387,388","previouslyFormattedCitation":"&lt;sup&gt;387,388&lt;/sup&gt;"},"properties":{"noteIndex":0},"schema":"https://github.com/citation-style-language/schema/raw/master/csl-citation.json"}</w:instrText>
      </w:r>
      <w:r>
        <w:rPr>
          <w:rFonts w:ascii="Arial" w:eastAsia="Times New Roman" w:hAnsi="Arial" w:cs="Arial"/>
          <w:i/>
          <w:iCs/>
          <w:color w:val="000000"/>
          <w:lang w:val="en-US" w:eastAsia="de-DE"/>
        </w:rPr>
        <w:fldChar w:fldCharType="separate"/>
      </w:r>
      <w:r>
        <w:rPr>
          <w:rFonts w:ascii="Arial" w:eastAsia="Times New Roman" w:hAnsi="Arial" w:cs="Arial"/>
          <w:iCs/>
          <w:noProof/>
          <w:color w:val="000000"/>
          <w:vertAlign w:val="superscript"/>
          <w:lang w:val="en-US" w:eastAsia="de-DE"/>
        </w:rPr>
        <w:t>387,388</w:t>
      </w:r>
      <w:r>
        <w:rPr>
          <w:rFonts w:ascii="Arial" w:eastAsia="Times New Roman" w:hAnsi="Arial" w:cs="Arial"/>
          <w:i/>
          <w:iCs/>
          <w:color w:val="000000"/>
          <w:lang w:val="en-US" w:eastAsia="de-DE"/>
        </w:rPr>
        <w:fldChar w:fldCharType="end"/>
      </w:r>
      <w:r>
        <w:rPr>
          <w:rFonts w:ascii="Arial" w:eastAsia="Times New Roman" w:hAnsi="Arial" w:cs="Arial"/>
          <w:color w:val="000000"/>
          <w:lang w:val="en-US" w:eastAsia="de-DE"/>
        </w:rPr>
        <w:t xml:space="preserve">. </w:t>
      </w:r>
      <w:r>
        <w:rPr>
          <w:rFonts w:ascii="Arial" w:eastAsia="Times New Roman" w:hAnsi="Arial" w:cs="Arial"/>
          <w:color w:val="000000"/>
          <w:lang w:val="en-US" w:eastAsia="de-DE"/>
        </w:rPr>
        <w:t xml:space="preserve">Obtaining a better understanding of how cell size determines drug-induced senescence </w:t>
      </w:r>
      <w:r>
        <w:rPr>
          <w:rFonts w:ascii="Arial" w:eastAsia="Times New Roman" w:hAnsi="Arial" w:cs="Arial"/>
          <w:i/>
          <w:iCs/>
          <w:color w:val="000000"/>
          <w:lang w:val="en-US" w:eastAsia="de-DE"/>
        </w:rPr>
        <w:t>in vivo</w:t>
      </w:r>
      <w:r>
        <w:rPr>
          <w:rFonts w:ascii="Arial" w:eastAsia="Times New Roman" w:hAnsi="Arial" w:cs="Arial"/>
          <w:color w:val="000000"/>
          <w:lang w:val="en-US" w:eastAsia="de-DE"/>
        </w:rPr>
        <w:t xml:space="preserve"> will therefore provide important insights for patient stratification and multi-drug treatments. In particular, the dependence on cell size needs to be considered when pairing CDK inhibitors with drugs that modulate cell growth. </w:t>
      </w:r>
    </w:p>
    <w:p w14:paraId="50284E49"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t>8.3 Aging</w:t>
      </w:r>
    </w:p>
    <w:p w14:paraId="35502335"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In addition to s</w:t>
      </w:r>
      <w:r>
        <w:rPr>
          <w:rFonts w:ascii="Arial" w:eastAsia="Times New Roman" w:hAnsi="Arial" w:cs="Arial"/>
          <w:color w:val="000000"/>
          <w:lang w:val="en-US" w:eastAsia="de-DE"/>
        </w:rPr>
        <w:t>enescence, enlarged cell size recently also has been causally linked to aging, both in yeast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{"citationItems":[{"id":"ITEM-1","itemData":{"DOI":"10.1016/J.CELL.2019.01.018","ISSN":"0092-8674","abstract":"Cell size varies greatly between c</w:instrText>
      </w:r>
      <w:r>
        <w:rPr>
          <w:rFonts w:ascii="Arial" w:eastAsia="Times New Roman" w:hAnsi="Arial" w:cs="Arial"/>
          <w:color w:val="000000"/>
          <w:lang w:val="en-US" w:eastAsia="de-DE"/>
        </w:rPr>
        <w:instrText>ell types, yet within a specific cell type and growth condition, cell size is narrowly distributed. Why maintenance of a cell-type specific cell size is important remains poorly understood. Here we show that growing budding yeast and primary mammalian cell</w:instrText>
      </w:r>
      <w:r>
        <w:rPr>
          <w:rFonts w:ascii="Arial" w:eastAsia="Times New Roman" w:hAnsi="Arial" w:cs="Arial"/>
          <w:color w:val="000000"/>
          <w:lang w:val="en-US" w:eastAsia="de-DE"/>
        </w:rPr>
        <w:instrText>s beyond a certain size impairs gene induction, cell-cycle progression, and cell signaling. These defects are due to the inability of large cells to scale nucleic acid and protein biosynthesis in accordance with cell volume increase, which effectively lead</w:instrText>
      </w:r>
      <w:r>
        <w:rPr>
          <w:rFonts w:ascii="Arial" w:eastAsia="Times New Roman" w:hAnsi="Arial" w:cs="Arial"/>
          <w:color w:val="000000"/>
          <w:lang w:val="en-US" w:eastAsia="de-DE"/>
        </w:rPr>
        <w:instrText>s to cytoplasm dilution. We further show that loss of scaling beyond a certain critical size is due to DNA becoming limiting. Based on the observation that senescent cells are large and exhibit many of the phenotypes of large cells, we propose that the ran</w:instrText>
      </w:r>
      <w:r>
        <w:rPr>
          <w:rFonts w:ascii="Arial" w:eastAsia="Times New Roman" w:hAnsi="Arial" w:cs="Arial"/>
          <w:color w:val="000000"/>
          <w:lang w:val="en-US" w:eastAsia="de-DE"/>
        </w:rPr>
        <w:instrText>ge of DNA:cytoplasm ratio that supports optimal cell function is limited and that ratios outside these bounds contribute to aging.","author":[{"dropping-particle":"","family":"Neurohr","given":"Gabriel E.","non-dropping-particle":"","parse-names":false,"su</w:instrText>
      </w:r>
      <w:r>
        <w:rPr>
          <w:rFonts w:ascii="Arial" w:eastAsia="Times New Roman" w:hAnsi="Arial" w:cs="Arial"/>
          <w:color w:val="000000"/>
          <w:lang w:val="en-US" w:eastAsia="de-DE"/>
        </w:rPr>
        <w:instrText>ffix":""},{"dropping-particle":"","family":"Terry","given":"Rachel L.","non-dropping-particle":"","parse-names":false,"suffix":""},{"dropping-particle":"","family":"Lengefeld","given":"Jette","non-dropping-particle":"","parse-names":false,"suffix":""},{"dr</w:instrText>
      </w:r>
      <w:r>
        <w:rPr>
          <w:rFonts w:ascii="Arial" w:eastAsia="Times New Roman" w:hAnsi="Arial" w:cs="Arial"/>
          <w:color w:val="000000"/>
          <w:lang w:val="en-US" w:eastAsia="de-DE"/>
        </w:rPr>
        <w:instrText>opping-particle":"","family":"Bonney","given":"Megan","non-dropping-particle":"","parse-names":false,"suffix":""},{"dropping-particle":"","family":"Brittingham","given":"Gregory P.","non-dropping-particle":"","parse-names":false,"suffix":""},{"dropping-par</w:instrText>
      </w:r>
      <w:r>
        <w:rPr>
          <w:rFonts w:ascii="Arial" w:eastAsia="Times New Roman" w:hAnsi="Arial" w:cs="Arial"/>
          <w:color w:val="000000"/>
          <w:lang w:val="en-US" w:eastAsia="de-DE"/>
        </w:rPr>
        <w:instrText>ticle":"","family":"Moretto","given":"Fabien","non-dropping-particle":"","parse-names":false,"suffix":""},{"dropping-particle":"","family":"Miettinen","given":"Teemu P.","non-dropping-particle":"","parse-names":false,"suffix":""},{"dropping-particle":"","f</w:instrText>
      </w:r>
      <w:r>
        <w:rPr>
          <w:rFonts w:ascii="Arial" w:eastAsia="Times New Roman" w:hAnsi="Arial" w:cs="Arial"/>
          <w:color w:val="000000"/>
          <w:lang w:val="en-US" w:eastAsia="de-DE"/>
        </w:rPr>
        <w:instrText>amily":"Vaites","given":"Laura Pontano","non-dropping-particle":"","parse-names":false,"suffix":""},{"dropping-particle":"","family":"Soares","given":"Luis M.","non-dropping-particle":"","parse-names":false,"suffix":""},{"dropping-particle":"","family":"Pa</w:instrText>
      </w:r>
      <w:r>
        <w:rPr>
          <w:rFonts w:ascii="Arial" w:eastAsia="Times New Roman" w:hAnsi="Arial" w:cs="Arial"/>
          <w:color w:val="000000"/>
          <w:lang w:val="en-US" w:eastAsia="de-DE"/>
        </w:rPr>
        <w:instrText>ulo","given":"Joao A.","non-dropping-particle":"","parse-names":false,"suffix":""},{"dropping-particle":"","family":"Harper","given":"J. Wade","non-dropping-particle":"","parse-names":false,"suffix":""},{"dropping-particle":"","family":"Buratowski","given"</w:instrText>
      </w:r>
      <w:r>
        <w:rPr>
          <w:rFonts w:ascii="Arial" w:eastAsia="Times New Roman" w:hAnsi="Arial" w:cs="Arial"/>
          <w:color w:val="000000"/>
          <w:lang w:val="en-US" w:eastAsia="de-DE"/>
        </w:rPr>
        <w:instrText>:"Stephen","non-dropping-particle":"","parse-names":false,"suffix":""},{"dropping-particle":"","family":"Manalis","given":"Scott","non-dropping-particle":"","parse-names":false,"suffix":""},{"dropping-particle":"","family":"Werven","given":"Folkert J.","no</w:instrText>
      </w:r>
      <w:r>
        <w:rPr>
          <w:rFonts w:ascii="Arial" w:eastAsia="Times New Roman" w:hAnsi="Arial" w:cs="Arial"/>
          <w:color w:val="000000"/>
          <w:lang w:val="en-US" w:eastAsia="de-DE"/>
        </w:rPr>
        <w:instrText>n-dropping-particle":"van","parse-names":false,"suffix":""},{"dropping-particle":"","family":"Holt","given":"Liam J.","non-dropping-particle":"","parse-names":false,"suffix":""},{"dropping-particle":"","family":"Amon","given":"Angelika","non-dropping-parti</w:instrText>
      </w:r>
      <w:r>
        <w:rPr>
          <w:rFonts w:ascii="Arial" w:eastAsia="Times New Roman" w:hAnsi="Arial" w:cs="Arial"/>
          <w:color w:val="000000"/>
          <w:lang w:val="en-US" w:eastAsia="de-DE"/>
        </w:rPr>
        <w:instrText>cle":"","parse-names":false,"suffix":""}],"container-title":"Cell","id":"ITEM-1","issue":"5","issued":{"date-parts":[["2019","2","21"]]},"page":"1083-1097.e18","publisher":"Cell Press","title":"Excessive Cell Growth Causes Cytoplasm Dilution And Contribute</w:instrText>
      </w:r>
      <w:r>
        <w:rPr>
          <w:rFonts w:ascii="Arial" w:eastAsia="Times New Roman" w:hAnsi="Arial" w:cs="Arial"/>
          <w:color w:val="000000"/>
          <w:lang w:val="en-US" w:eastAsia="de-DE"/>
        </w:rPr>
        <w:instrText>s to Senescence","type":"article-journal","volume":"176"},"uris":["http://www.mendeley.com/documents/?uuid=4833c8e1-6ce1-37ae-98d6-80963c92a809"]}],"mendeley":{"formattedCitation":"&lt;sup&gt;3&lt;/sup&gt;","plainTextFormattedCitation":"3","previouslyFormattedCitation</w:instrText>
      </w:r>
      <w:r>
        <w:rPr>
          <w:rFonts w:ascii="Arial" w:eastAsia="Times New Roman" w:hAnsi="Arial" w:cs="Arial"/>
          <w:color w:val="000000"/>
          <w:lang w:val="en-US" w:eastAsia="de-DE"/>
        </w:rPr>
        <w:instrText>":"&lt;sup&gt;3&lt;/sup&gt;"},"properties":{"noteIndex":0},"schema":"https://github.com/citation-style-language/schema/raw/master/csl-citation.json"}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and mammals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{"citationItems":[{"id":"ITEM-1","itemData":{"DOI":"10.1126/SCIADV.ABK0271/SUPPL_FIL</w:instrText>
      </w:r>
      <w:r>
        <w:rPr>
          <w:rFonts w:ascii="Arial" w:eastAsia="Times New Roman" w:hAnsi="Arial" w:cs="Arial"/>
          <w:color w:val="000000"/>
          <w:lang w:val="en-US" w:eastAsia="de-DE"/>
        </w:rPr>
        <w:instrText xml:space="preserve">E/SCIADV.ABK0271_TABLES_S1_TO_S3.ZIP","ISSN":"23752548","PMID":"34767451","abstract":"Stem cells are remarkably small. Whether small size is important for stem cell function is unknown. We find that hematopoietic stem cells (HSCs) enlarge under conditions </w:instrText>
      </w:r>
      <w:r>
        <w:rPr>
          <w:rFonts w:ascii="Arial" w:eastAsia="Times New Roman" w:hAnsi="Arial" w:cs="Arial"/>
          <w:color w:val="000000"/>
          <w:lang w:val="en-US" w:eastAsia="de-DE"/>
        </w:rPr>
        <w:instrText>known to decrease stem cell function. This decreased fitness of large HSCs is due to reduced proliferation and was accompanied by altered metabolism. Preventing HSC enlargement or reducing large HSCs in size averts the loss of stem cell potential under con</w:instrText>
      </w:r>
      <w:r>
        <w:rPr>
          <w:rFonts w:ascii="Arial" w:eastAsia="Times New Roman" w:hAnsi="Arial" w:cs="Arial"/>
          <w:color w:val="000000"/>
          <w:lang w:val="en-US" w:eastAsia="de-DE"/>
        </w:rPr>
        <w:instrText>ditions causing stem cell exhaustion. Last, we show that murine and human HSCs enlarge during aging. Preventing this age-dependent enlargement improves HSC function. We conclude that small cell size is important for stem cell function in vivo and propose t</w:instrText>
      </w:r>
      <w:r>
        <w:rPr>
          <w:rFonts w:ascii="Arial" w:eastAsia="Times New Roman" w:hAnsi="Arial" w:cs="Arial"/>
          <w:color w:val="000000"/>
          <w:lang w:val="en-US" w:eastAsia="de-DE"/>
        </w:rPr>
        <w:instrText>hat stem cell enlargement contributes to their functional decline during aging.","author":[{"dropping-particle":"","family":"Lengefeld","given":"Jette","non-dropping-particle":"","parse-names":false,"suffix":""},{"dropping-particle":"","family":"Cheng","gi</w:instrText>
      </w:r>
      <w:r>
        <w:rPr>
          <w:rFonts w:ascii="Arial" w:eastAsia="Times New Roman" w:hAnsi="Arial" w:cs="Arial"/>
          <w:color w:val="000000"/>
          <w:lang w:val="en-US" w:eastAsia="de-DE"/>
        </w:rPr>
        <w:instrText>ven":"Chia Wei","non-dropping-particle":"","parse-names":false,"suffix":""},{"dropping-particle":"","family":"Maretich","given":"Pema","non-dropping-particle":"","parse-names":false,"suffix":""},{"dropping-particle":"","family":"Blair","given":"Marguerite"</w:instrText>
      </w:r>
      <w:r>
        <w:rPr>
          <w:rFonts w:ascii="Arial" w:eastAsia="Times New Roman" w:hAnsi="Arial" w:cs="Arial"/>
          <w:color w:val="000000"/>
          <w:lang w:val="en-US" w:eastAsia="de-DE"/>
        </w:rPr>
        <w:instrText>,"non-dropping-particle":"","parse-names":false,"suffix":""},{"dropping-particle":"","family":"Hagen","given":"Hannah","non-dropping-particle":"","parse-names":false,"suffix":""},{"dropping-particle":"","family":"McReynolds","given":"Melanie R.","non-dropp</w:instrText>
      </w:r>
      <w:r>
        <w:rPr>
          <w:rFonts w:ascii="Arial" w:eastAsia="Times New Roman" w:hAnsi="Arial" w:cs="Arial"/>
          <w:color w:val="000000"/>
          <w:lang w:val="en-US" w:eastAsia="de-DE"/>
        </w:rPr>
        <w:instrText>ing-particle":"","parse-names":false,"suffix":""},{"dropping-particle":"","family":"Sullivan","given":"Emily","non-dropping-particle":"","parse-names":false,"suffix":""},{"dropping-particle":"","family":"Majors","given":"Kyra","non-dropping-particle":"","p</w:instrText>
      </w:r>
      <w:r>
        <w:rPr>
          <w:rFonts w:ascii="Arial" w:eastAsia="Times New Roman" w:hAnsi="Arial" w:cs="Arial"/>
          <w:color w:val="000000"/>
          <w:lang w:val="en-US" w:eastAsia="de-DE"/>
        </w:rPr>
        <w:instrText>arse-names":false,"suffix":""},{"dropping-particle":"","family":"Roberts","given":"Christina","non-dropping-particle":"","parse-names":false,"suffix":""},{"dropping-particle":"","family":"Kang","given":"Joon Ho","non-dropping-particle":"","parse-names":fal</w:instrText>
      </w:r>
      <w:r>
        <w:rPr>
          <w:rFonts w:ascii="Arial" w:eastAsia="Times New Roman" w:hAnsi="Arial" w:cs="Arial"/>
          <w:color w:val="000000"/>
          <w:lang w:val="en-US" w:eastAsia="de-DE"/>
        </w:rPr>
        <w:instrText>se,"suffix":""},{"dropping-particle":"","family":"Steiner","given":"Joachim D.","non-dropping-particle":"","parse-names":false,"suffix":""},{"dropping-particle":"","family":"Miettinen","given":"Teemu P.","non-dropping-particle":"","parse-names":false,"suff</w:instrText>
      </w:r>
      <w:r>
        <w:rPr>
          <w:rFonts w:ascii="Arial" w:eastAsia="Times New Roman" w:hAnsi="Arial" w:cs="Arial"/>
          <w:color w:val="000000"/>
          <w:lang w:val="en-US" w:eastAsia="de-DE"/>
        </w:rPr>
        <w:instrText>ix":""},{"dropping-particle":"","family":"Manalis","given":"Scott R.","non-dropping-particle":"","parse-names":false,"suffix":""},{"dropping-particle":"","family":"Antebi","given":"Adam","non-dropping-particle":"","parse-names":false,"suffix":""},{"droppin</w:instrText>
      </w:r>
      <w:r>
        <w:rPr>
          <w:rFonts w:ascii="Arial" w:eastAsia="Times New Roman" w:hAnsi="Arial" w:cs="Arial"/>
          <w:color w:val="000000"/>
          <w:lang w:val="en-US" w:eastAsia="de-DE"/>
        </w:rPr>
        <w:instrText>g-particle":"","family":"Morrison","given":"Sean J.","non-dropping-particle":"","parse-names":false,"suffix":""},{"dropping-particle":"","family":"Lees","given":"Jacqueline A.","non-dropping-particle":"","parse-names":false,"suffix":""},{"dropping-particle</w:instrText>
      </w:r>
      <w:r>
        <w:rPr>
          <w:rFonts w:ascii="Arial" w:eastAsia="Times New Roman" w:hAnsi="Arial" w:cs="Arial"/>
          <w:color w:val="000000"/>
          <w:lang w:val="en-US" w:eastAsia="de-DE"/>
        </w:rPr>
        <w:instrText>":"","family":"Boyer","given":"Laurie A.","non-dropping-particle":"","parse-names":false,"suffix":""},{"dropping-particle":"","family":"Yilmaz","given":"Ömer H.","non-dropping-particle":"","parse-names":false,"suffix":""},{"dropping-particle":"","family":"</w:instrText>
      </w:r>
      <w:r>
        <w:rPr>
          <w:rFonts w:ascii="Arial" w:eastAsia="Times New Roman" w:hAnsi="Arial" w:cs="Arial"/>
          <w:color w:val="000000"/>
          <w:lang w:val="en-US" w:eastAsia="de-DE"/>
        </w:rPr>
        <w:instrText>Amon","given":"Angelika","non-dropping-particle":"","parse-names":false,"suffix":""}],"container-title":"Science Advances","id":"ITEM-1","issue":"46","issued":{"date-parts":[["2021","11","1"]]},"page":"271","publisher":"American Association for the Advance</w:instrText>
      </w:r>
      <w:r>
        <w:rPr>
          <w:rFonts w:ascii="Arial" w:eastAsia="Times New Roman" w:hAnsi="Arial" w:cs="Arial"/>
          <w:color w:val="000000"/>
          <w:lang w:val="en-US" w:eastAsia="de-DE"/>
        </w:rPr>
        <w:instrText>ment of Science","title":"Cell size is a determinant of stem cell potential during aging","type":"article-journal","volume":"7"},"uris":["http://www.mendeley.com/documents/?uuid=c34cdf40-a099-3fc7-a713-f26e7defa245"]}],"mendeley":{"formattedCitation":"&lt;sup</w:instrText>
      </w:r>
      <w:r>
        <w:rPr>
          <w:rFonts w:ascii="Arial" w:eastAsia="Times New Roman" w:hAnsi="Arial" w:cs="Arial"/>
          <w:color w:val="000000"/>
          <w:lang w:val="en-US" w:eastAsia="de-DE"/>
        </w:rPr>
        <w:instrText>&gt;11&lt;/sup&gt;","plainTextFormattedCitation":"11","previouslyFormattedCitation":"&lt;sup&gt;11&lt;/sup&gt;"},"properties":{"noteIndex":0},"schema":"https://github.com/citation-style-language/schema/raw/master/csl-citation.json"}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For yeast, it has long been clear that</w:t>
      </w:r>
      <w:r>
        <w:rPr>
          <w:rFonts w:ascii="Arial" w:eastAsia="Times New Roman" w:hAnsi="Arial" w:cs="Arial"/>
          <w:color w:val="000000"/>
          <w:lang w:val="en-US" w:eastAsia="de-DE"/>
        </w:rPr>
        <w:t xml:space="preserve"> because mother cells grow between each budding event, replicative aging leads to a continuous increase in cell size. More recently, it has been reported that the replicative lifespan of budding yeast, that is the number of budding events a single cell und</w:t>
      </w:r>
      <w:r>
        <w:rPr>
          <w:rFonts w:ascii="Arial" w:eastAsia="Times New Roman" w:hAnsi="Arial" w:cs="Arial"/>
          <w:color w:val="000000"/>
          <w:lang w:val="en-US" w:eastAsia="de-DE"/>
        </w:rPr>
        <w:t>ergoes before exiting the cell cycle, depends on the initial size of the cell: If young cells are larger, either due to a temporary G1 arrest</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{"citationItems":[{"id":"ITEM-1","itemData":{"DOI":"10.1016/J.BBRC.2005.05.081","ISSN":"0006-291</w:instrText>
      </w:r>
      <w:r>
        <w:rPr>
          <w:rFonts w:ascii="Arial" w:eastAsia="Times New Roman" w:hAnsi="Arial" w:cs="Arial"/>
          <w:color w:val="000000"/>
          <w:lang w:val="en-US" w:eastAsia="de-DE"/>
        </w:rPr>
        <w:instrText>X","PMID":"15939403","abstract":"Mating pheromone treatment resulting in shmoo formation is a physiologically relevant model for separation of cell growth and division processes in the yeast Saccharomyces cerevisiae. Using this attitude we demonstrate that</w:instrText>
      </w:r>
      <w:r>
        <w:rPr>
          <w:rFonts w:ascii="Arial" w:eastAsia="Times New Roman" w:hAnsi="Arial" w:cs="Arial"/>
          <w:color w:val="000000"/>
          <w:lang w:val="en-US" w:eastAsia="de-DE"/>
        </w:rPr>
        <w:instrText xml:space="preserve"> yeast loses its capacity for division at a faster rate when engaged in intensive growth and metabolism without cell divisions (in the shmoo state) than during normal reproductive growth. These results suggest that limitation of the division potential in t</w:instrText>
      </w:r>
      <w:r>
        <w:rPr>
          <w:rFonts w:ascii="Arial" w:eastAsia="Times New Roman" w:hAnsi="Arial" w:cs="Arial"/>
          <w:color w:val="000000"/>
          <w:lang w:val="en-US" w:eastAsia="de-DE"/>
        </w:rPr>
        <w:instrText>he yeast is not due to a counter of cell divisions but is of growth/metabolic nature, perhaps involving attaining a limitation of cell volume. © 2005 Elsevier Inc. All rights reserved.","author":[{"dropping-particle":"","family":"Zadrag","given":"Renata","</w:instrText>
      </w:r>
      <w:r>
        <w:rPr>
          <w:rFonts w:ascii="Arial" w:eastAsia="Times New Roman" w:hAnsi="Arial" w:cs="Arial"/>
          <w:color w:val="000000"/>
          <w:lang w:val="en-US" w:eastAsia="de-DE"/>
        </w:rPr>
        <w:instrText>non-dropping-particle":"","parse-names":false,"suffix":""},{"dropping-particle":"","family":"Bartosz","given":"Grzegorz","non-dropping-particle":"","parse-names":false,"suffix":""},{"dropping-particle":"","family":"Bilinski","given":"Tomasz","non-dropping-</w:instrText>
      </w:r>
      <w:r>
        <w:rPr>
          <w:rFonts w:ascii="Arial" w:eastAsia="Times New Roman" w:hAnsi="Arial" w:cs="Arial"/>
          <w:color w:val="000000"/>
          <w:lang w:val="en-US" w:eastAsia="de-DE"/>
        </w:rPr>
        <w:instrText>particle":"","parse-names":false,"suffix":""}],"container-title":"Biochemical and biophysical research communications","id":"ITEM-1","issue":"1","issued":{"date-parts":[["2005","7","22"]]},"page":"138-141","publisher":"Biochem Biophys Res Commun","title":"</w:instrText>
      </w:r>
      <w:r>
        <w:rPr>
          <w:rFonts w:ascii="Arial" w:eastAsia="Times New Roman" w:hAnsi="Arial" w:cs="Arial"/>
          <w:color w:val="000000"/>
          <w:lang w:val="en-US" w:eastAsia="de-DE"/>
        </w:rPr>
        <w:instrText>Replicative aging of the yeast does not require DNA replication","type":"article-journal","volume":"333"},"uris":["http://www.mendeley.com/documents/?uuid=838bc376-0eb9-3101-a8cd-775be96d753d"]},{"id":"ITEM-2","itemData":{"DOI":"10.1016/J.CELL.2019.01.018"</w:instrText>
      </w:r>
      <w:r>
        <w:rPr>
          <w:rFonts w:ascii="Arial" w:eastAsia="Times New Roman" w:hAnsi="Arial" w:cs="Arial"/>
          <w:color w:val="000000"/>
          <w:lang w:val="en-US" w:eastAsia="de-DE"/>
        </w:rPr>
        <w:instrText xml:space="preserve">,"ISSN":"0092-8674","abstract":"Cell size varies greatly between cell types, yet within a specific cell type and growth condition, cell size is narrowly distributed. Why maintenance of a cell-type specific cell size is important remains poorly understood. </w:instrText>
      </w:r>
      <w:r>
        <w:rPr>
          <w:rFonts w:ascii="Arial" w:eastAsia="Times New Roman" w:hAnsi="Arial" w:cs="Arial"/>
          <w:color w:val="000000"/>
          <w:lang w:val="en-US" w:eastAsia="de-DE"/>
        </w:rPr>
        <w:instrText>Here we show that growing budding yeast and primary mammalian cells beyond a certain size impairs gene induction, cell-cycle progression, and cell signaling. These defects are due to the inability of large cells to scale nucleic acid and protein biosynthes</w:instrText>
      </w:r>
      <w:r>
        <w:rPr>
          <w:rFonts w:ascii="Arial" w:eastAsia="Times New Roman" w:hAnsi="Arial" w:cs="Arial"/>
          <w:color w:val="000000"/>
          <w:lang w:val="en-US" w:eastAsia="de-DE"/>
        </w:rPr>
        <w:instrText>is in accordance with cell volume increase, which effectively leads to cytoplasm dilution. We further show that loss of scaling beyond a certain critical size is due to DNA becoming limiting. Based on the observation that senescent cells are large and exhi</w:instrText>
      </w:r>
      <w:r>
        <w:rPr>
          <w:rFonts w:ascii="Arial" w:eastAsia="Times New Roman" w:hAnsi="Arial" w:cs="Arial"/>
          <w:color w:val="000000"/>
          <w:lang w:val="en-US" w:eastAsia="de-DE"/>
        </w:rPr>
        <w:instrText>bit many of the phenotypes of large cells, we propose that the range of DNA:cytoplasm ratio that supports optimal cell function is limited and that ratios outside these bounds contribute to aging.","author":[{"dropping-particle":"","family":"Neurohr","give</w:instrText>
      </w:r>
      <w:r>
        <w:rPr>
          <w:rFonts w:ascii="Arial" w:eastAsia="Times New Roman" w:hAnsi="Arial" w:cs="Arial"/>
          <w:color w:val="000000"/>
          <w:lang w:val="en-US" w:eastAsia="de-DE"/>
        </w:rPr>
        <w:instrText>n":"Gabriel E.","non-dropping-particle":"","parse-names":false,"suffix":""},{"dropping-particle":"","family":"Terry","given":"Rachel L.","non-dropping-particle":"","parse-names":false,"suffix":""},{"dropping-particle":"","family":"Lengefeld","given":"Jette</w:instrText>
      </w:r>
      <w:r>
        <w:rPr>
          <w:rFonts w:ascii="Arial" w:eastAsia="Times New Roman" w:hAnsi="Arial" w:cs="Arial"/>
          <w:color w:val="000000"/>
          <w:lang w:val="en-US" w:eastAsia="de-DE"/>
        </w:rPr>
        <w:instrText>","non-dropping-particle":"","parse-names":false,"suffix":""},{"dropping-particle":"","family":"Bonney","given":"Megan","non-dropping-particle":"","parse-names":false,"suffix":""},{"dropping-particle":"","family":"Brittingham","given":"Gregory P.","non-dro</w:instrText>
      </w:r>
      <w:r>
        <w:rPr>
          <w:rFonts w:ascii="Arial" w:eastAsia="Times New Roman" w:hAnsi="Arial" w:cs="Arial"/>
          <w:color w:val="000000"/>
          <w:lang w:val="en-US" w:eastAsia="de-DE"/>
        </w:rPr>
        <w:instrText>pping-particle":"","parse-names":false,"suffix":""},{"dropping-particle":"","family":"Moretto","given":"Fabien","non-dropping-particle":"","parse-names":false,"suffix":""},{"dropping-particle":"","family":"Miettinen","given":"Teemu P.","non-dropping-partic</w:instrText>
      </w:r>
      <w:r>
        <w:rPr>
          <w:rFonts w:ascii="Arial" w:eastAsia="Times New Roman" w:hAnsi="Arial" w:cs="Arial"/>
          <w:color w:val="000000"/>
          <w:lang w:val="en-US" w:eastAsia="de-DE"/>
        </w:rPr>
        <w:instrText>le":"","parse-names":false,"suffix":""},{"dropping-particle":"","family":"Vaites","given":"Laura Pontano","non-dropping-particle":"","parse-names":false,"suffix":""},{"dropping-particle":"","family":"Soares","given":"Luis M.","non-dropping-particle":"","pa</w:instrText>
      </w:r>
      <w:r>
        <w:rPr>
          <w:rFonts w:ascii="Arial" w:eastAsia="Times New Roman" w:hAnsi="Arial" w:cs="Arial"/>
          <w:color w:val="000000"/>
          <w:lang w:val="en-US" w:eastAsia="de-DE"/>
        </w:rPr>
        <w:instrText>rse-names":false,"suffix":""},{"dropping-particle":"","family":"Paulo","given":"Joao A.","non-dropping-particle":"","parse-names":false,"suffix":""},{"dropping-particle":"","family":"Harper","given":"J. Wade","non-dropping-particle":"","parse-names":false,</w:instrText>
      </w:r>
      <w:r>
        <w:rPr>
          <w:rFonts w:ascii="Arial" w:eastAsia="Times New Roman" w:hAnsi="Arial" w:cs="Arial"/>
          <w:color w:val="000000"/>
          <w:lang w:val="en-US" w:eastAsia="de-DE"/>
        </w:rPr>
        <w:instrText>"suffix":""},{"dropping-particle":"","family":"Buratowski","given":"Stephen","non-dropping-particle":"","parse-names":false,"suffix":""},{"dropping-particle":"","family":"Manalis","given":"Scott","non-dropping-particle":"","parse-names":false,"suffix":""},</w:instrText>
      </w:r>
      <w:r>
        <w:rPr>
          <w:rFonts w:ascii="Arial" w:eastAsia="Times New Roman" w:hAnsi="Arial" w:cs="Arial"/>
          <w:color w:val="000000"/>
          <w:lang w:val="en-US" w:eastAsia="de-DE"/>
        </w:rPr>
        <w:instrText>{"dropping-particle":"","family":"Werven","given":"Folkert J.","non-dropping-particle":"van","parse-names":false,"suffix":""},{"dropping-particle":"","family":"Holt","given":"Liam J.","non-dropping-particle":"","parse-names":false,"suffix":""},{"dropping-p</w:instrText>
      </w:r>
      <w:r>
        <w:rPr>
          <w:rFonts w:ascii="Arial" w:eastAsia="Times New Roman" w:hAnsi="Arial" w:cs="Arial"/>
          <w:color w:val="000000"/>
          <w:lang w:val="en-US" w:eastAsia="de-DE"/>
        </w:rPr>
        <w:instrText>article":"","family":"Amon","given":"Angelika","non-dropping-particle":"","parse-names":false,"suffix":""}],"container-title":"Cell","id":"ITEM-2","issue":"5","issued":{"date-parts":[["2019","2","21"]]},"page":"1083-1097.e18","publisher":"Cell Press","titl</w:instrText>
      </w:r>
      <w:r>
        <w:rPr>
          <w:rFonts w:ascii="Arial" w:eastAsia="Times New Roman" w:hAnsi="Arial" w:cs="Arial"/>
          <w:color w:val="000000"/>
          <w:lang w:val="en-US" w:eastAsia="de-DE"/>
        </w:rPr>
        <w:instrText>e":"Excessive Cell Growth Causes Cytoplasm Dilution And Contributes to Senescence","type":"article-journal","volume":"176"},"uris":["http://www.mendeley.com/documents/?uuid=4833c8e1-6ce1-37ae-98d6-80963c92a809"]}],"mendeley":{"formattedCitation":"&lt;sup&gt;3,39</w:instrText>
      </w:r>
      <w:r>
        <w:rPr>
          <w:rFonts w:ascii="Arial" w:eastAsia="Times New Roman" w:hAnsi="Arial" w:cs="Arial"/>
          <w:color w:val="000000"/>
          <w:lang w:val="en-US" w:eastAsia="de-DE"/>
        </w:rPr>
        <w:instrText>2&lt;/sup&gt;","plainTextFormattedCitation":"3,392","previouslyFormattedCitation":"&lt;sup&gt;3,392&lt;/sup&gt;"},"properties":{"noteIndex":0},"schema":"https://github.com/citation-style-language/schema/raw/master/csl-citation.json"}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3,392</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or due to cell size mutations</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w:instrText>
      </w:r>
      <w:r>
        <w:rPr>
          <w:rFonts w:ascii="Arial" w:eastAsia="Times New Roman" w:hAnsi="Arial" w:cs="Arial"/>
          <w:color w:val="000000"/>
          <w:lang w:val="en-US" w:eastAsia="de-DE"/>
        </w:rPr>
        <w:instrText>IN CSL_CITATION {"citationItems":[{"id":"ITEM-1","itemData":{"DOI":"10.4161/cc.10.1.14455","abstract":"Yeast cells, like mammalian cells, enlarge steadily as they age. Unabated cell growth can promote cellular senescence; however, the significance of the r</w:instrText>
      </w:r>
      <w:r>
        <w:rPr>
          <w:rFonts w:ascii="Arial" w:eastAsia="Times New Roman" w:hAnsi="Arial" w:cs="Arial"/>
          <w:color w:val="000000"/>
          <w:lang w:val="en-US" w:eastAsia="de-DE"/>
        </w:rPr>
        <w:instrText>elationship between size and cellular lifespan is not well understood. Herein, we report a genetic link between cell size, growth rate and lifespan. Mutations that increase cell size concomitantly increase growth rate and decrease lifespan. As a result, la</w:instrText>
      </w:r>
      <w:r>
        <w:rPr>
          <w:rFonts w:ascii="Arial" w:eastAsia="Times New Roman" w:hAnsi="Arial" w:cs="Arial"/>
          <w:color w:val="000000"/>
          <w:lang w:val="en-US" w:eastAsia="de-DE"/>
        </w:rPr>
        <w:instrText>rge cells grow, divide and age dramatically faster than small cells. Conversely, small cell mutants age slowly and are long-lived. Investigation of the mechanisms involved suggests that attainment of a maximal size modulates lifespan. Indeed, cumulative re</w:instrText>
      </w:r>
      <w:r>
        <w:rPr>
          <w:rFonts w:ascii="Arial" w:eastAsia="Times New Roman" w:hAnsi="Arial" w:cs="Arial"/>
          <w:color w:val="000000"/>
          <w:lang w:val="en-US" w:eastAsia="de-DE"/>
        </w:rPr>
        <w:instrText>sults revealed that life expectancy is size-dependent, and that the rate at which cells age is determined in large part by the amount of cell growth per generation.","author":[{"dropping-particle":"","family":"Yang","given":"Jingye","non-dropping-particle"</w:instrText>
      </w:r>
      <w:r>
        <w:rPr>
          <w:rFonts w:ascii="Arial" w:eastAsia="Times New Roman" w:hAnsi="Arial" w:cs="Arial"/>
          <w:color w:val="000000"/>
          <w:lang w:val="en-US" w:eastAsia="de-DE"/>
        </w:rPr>
        <w:instrText>:"","parse-names":false,"suffix":""},{"dropping-particle":"","family":"Dungrawala","given":"Huzefa","non-dropping-particle":"","parse-names":false,"suffix":""},{"dropping-particle":"","family":"Hua","given":"Hui","non-dropping-particle":"","parse-names":fa</w:instrText>
      </w:r>
      <w:r>
        <w:rPr>
          <w:rFonts w:ascii="Arial" w:eastAsia="Times New Roman" w:hAnsi="Arial" w:cs="Arial"/>
          <w:color w:val="000000"/>
          <w:lang w:val="en-US" w:eastAsia="de-DE"/>
        </w:rPr>
        <w:instrText>lse,"suffix":""},{"dropping-particle":"","family":"Manukyan","given":"Arkadi","non-dropping-particle":"","parse-names":false,"suffix":""},{"dropping-particle":"","family":"Abraham","given":"Lesley","non-dropping-particle":"","parse-names":false,"suffix":""</w:instrText>
      </w:r>
      <w:r>
        <w:rPr>
          <w:rFonts w:ascii="Arial" w:eastAsia="Times New Roman" w:hAnsi="Arial" w:cs="Arial"/>
          <w:color w:val="000000"/>
          <w:lang w:val="en-US" w:eastAsia="de-DE"/>
        </w:rPr>
        <w:instrText>},{"dropping-particle":"","family":"Lane","given":"Wesley","non-dropping-particle":"","parse-names":false,"suffix":""},{"dropping-particle":"","family":"Mead","given":"Holly","non-dropping-particle":"","parse-names":false,"suffix":""},{"dropping-particle":</w:instrText>
      </w:r>
      <w:r>
        <w:rPr>
          <w:rFonts w:ascii="Arial" w:eastAsia="Times New Roman" w:hAnsi="Arial" w:cs="Arial"/>
          <w:color w:val="000000"/>
          <w:lang w:val="en-US" w:eastAsia="de-DE"/>
        </w:rPr>
        <w:instrText>"","family":"Wright","given":"Jill","non-dropping-particle":"","parse-names":false,"suffix":""},{"dropping-particle":"","family":"Schneider","given":"Brandt L.","non-dropping-particle":"","parse-names":false,"suffix":""}],"container-title":"Cell Cycle","id</w:instrText>
      </w:r>
      <w:r>
        <w:rPr>
          <w:rFonts w:ascii="Arial" w:eastAsia="Times New Roman" w:hAnsi="Arial" w:cs="Arial"/>
          <w:color w:val="000000"/>
          <w:lang w:val="en-US" w:eastAsia="de-DE"/>
        </w:rPr>
        <w:instrText>":"ITEM-1","issue":"1","issued":{"date-parts":[["2011","1"]]},"page":"144-155","publisher":"Taylor &amp; Francis","title":"Cell size and growth rate are major determinants of replicative lifespan","type":"article-journal","volume":"10"},"uris":["http://www.men</w:instrText>
      </w:r>
      <w:r>
        <w:rPr>
          <w:rFonts w:ascii="Arial" w:eastAsia="Times New Roman" w:hAnsi="Arial" w:cs="Arial"/>
          <w:color w:val="000000"/>
          <w:lang w:val="en-US" w:eastAsia="de-DE"/>
        </w:rPr>
        <w:instrText>deley.com/documents/?uuid=e5d6a10b-3c29-4a36-9678-cb5075833d73"]}],"mendeley":{"formattedCitation":"&lt;sup&gt;393&lt;/sup&gt;","plainTextFormattedCitation":"393","previouslyFormattedCitation":"&lt;sup&gt;393&lt;/sup&gt;"},"properties":{"noteIndex":0},"schema":"https://github.com</w:instrText>
      </w:r>
      <w:r>
        <w:rPr>
          <w:rFonts w:ascii="Arial" w:eastAsia="Times New Roman" w:hAnsi="Arial" w:cs="Arial"/>
          <w:color w:val="000000"/>
          <w:lang w:val="en-US" w:eastAsia="de-DE"/>
        </w:rPr>
        <w:instrText>/citation-style-language/schema/raw/master/csl-citation.json"}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393</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they will undergo fewer divisions. Lengefeld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{"citationItems":[{"id":"ITEM-1","itemData":{"DOI":"10.1126/SCIADV.ABK0271/SUPPL_FILE/SCIADV.ABK0271_TABLES_S1_TO_S3</w:instrText>
      </w:r>
      <w:r>
        <w:rPr>
          <w:rFonts w:ascii="Arial" w:eastAsia="Times New Roman" w:hAnsi="Arial" w:cs="Arial"/>
          <w:color w:val="000000"/>
          <w:lang w:val="en-US" w:eastAsia="de-DE"/>
        </w:rPr>
        <w:instrText>.ZIP","ISSN":"23752548","PMID":"34767451","abstract":"Stem cells are remarkably small. Whether small size is important for stem cell function is unknown. We find that hematopoietic stem cells (HSCs) enlarge under conditions known to decrease stem cell func</w:instrText>
      </w:r>
      <w:r>
        <w:rPr>
          <w:rFonts w:ascii="Arial" w:eastAsia="Times New Roman" w:hAnsi="Arial" w:cs="Arial"/>
          <w:color w:val="000000"/>
          <w:lang w:val="en-US" w:eastAsia="de-DE"/>
        </w:rPr>
        <w:instrText>tion. This decreased fitness of large HSCs is due to reduced proliferation and was accompanied by altered metabolism. Preventing HSC enlargement or reducing large HSCs in size averts the loss of stem cell potential under conditions causing stem cell exhaus</w:instrText>
      </w:r>
      <w:r>
        <w:rPr>
          <w:rFonts w:ascii="Arial" w:eastAsia="Times New Roman" w:hAnsi="Arial" w:cs="Arial"/>
          <w:color w:val="000000"/>
          <w:lang w:val="en-US" w:eastAsia="de-DE"/>
        </w:rPr>
        <w:instrText>tion. Last, we show that murine and human HSCs enlarge during aging. Preventing this age-dependent enlargement improves HSC function. We conclude that small cell size is important for stem cell function in vivo and propose that stem cell enlargement contri</w:instrText>
      </w:r>
      <w:r>
        <w:rPr>
          <w:rFonts w:ascii="Arial" w:eastAsia="Times New Roman" w:hAnsi="Arial" w:cs="Arial"/>
          <w:color w:val="000000"/>
          <w:lang w:val="en-US" w:eastAsia="de-DE"/>
        </w:rPr>
        <w:instrText>butes to their functional decline during aging.","author":[{"dropping-particle":"","family":"Lengefeld","given":"Jette","non-dropping-particle":"","parse-names":false,"suffix":""},{"dropping-particle":"","family":"Cheng","given":"Chia Wei","non-dropping-pa</w:instrText>
      </w:r>
      <w:r>
        <w:rPr>
          <w:rFonts w:ascii="Arial" w:eastAsia="Times New Roman" w:hAnsi="Arial" w:cs="Arial"/>
          <w:color w:val="000000"/>
          <w:lang w:val="en-US" w:eastAsia="de-DE"/>
        </w:rPr>
        <w:instrText>rticle":"","parse-names":false,"suffix":""},{"dropping-particle":"","family":"Maretich","given":"Pema","non-dropping-particle":"","parse-names":false,"suffix":""},{"dropping-particle":"","family":"Blair","given":"Marguerite","non-dropping-particle":"","par</w:instrText>
      </w:r>
      <w:r>
        <w:rPr>
          <w:rFonts w:ascii="Arial" w:eastAsia="Times New Roman" w:hAnsi="Arial" w:cs="Arial"/>
          <w:color w:val="000000"/>
          <w:lang w:val="en-US" w:eastAsia="de-DE"/>
        </w:rPr>
        <w:instrText>se-names":false,"suffix":""},{"dropping-particle":"","family":"Hagen","given":"Hannah","non-dropping-particle":"","parse-names":false,"suffix":""},{"dropping-particle":"","family":"McReynolds","given":"Melanie R.","non-dropping-particle":"","parse-names":f</w:instrText>
      </w:r>
      <w:r>
        <w:rPr>
          <w:rFonts w:ascii="Arial" w:eastAsia="Times New Roman" w:hAnsi="Arial" w:cs="Arial"/>
          <w:color w:val="000000"/>
          <w:lang w:val="en-US" w:eastAsia="de-DE"/>
        </w:rPr>
        <w:instrText>alse,"suffix":""},{"dropping-particle":"","family":"Sullivan","given":"Emily","non-dropping-particle":"","parse-names":false,"suffix":""},{"dropping-particle":"","family":"Majors","given":"Kyra","non-dropping-particle":"","parse-names":false,"suffix":""},{</w:instrText>
      </w:r>
      <w:r>
        <w:rPr>
          <w:rFonts w:ascii="Arial" w:eastAsia="Times New Roman" w:hAnsi="Arial" w:cs="Arial"/>
          <w:color w:val="000000"/>
          <w:lang w:val="en-US" w:eastAsia="de-DE"/>
        </w:rPr>
        <w:instrText>"dropping-particle":"","family":"Roberts","given":"Christina","non-dropping-particle":"","parse-names":false,"suffix":""},{"dropping-particle":"","family":"Kang","given":"Joon Ho","non-dropping-particle":"","parse-names":false,"suffix":""},{"dropping-parti</w:instrText>
      </w:r>
      <w:r>
        <w:rPr>
          <w:rFonts w:ascii="Arial" w:eastAsia="Times New Roman" w:hAnsi="Arial" w:cs="Arial"/>
          <w:color w:val="000000"/>
          <w:lang w:val="en-US" w:eastAsia="de-DE"/>
        </w:rPr>
        <w:instrText>cle":"","family":"Steiner","given":"Joachim D.","non-dropping-particle":"","parse-names":false,"suffix":""},{"dropping-particle":"","family":"Miettinen","given":"Teemu P.","non-dropping-particle":"","parse-names":false,"suffix":""},{"dropping-particle":"",</w:instrText>
      </w:r>
      <w:r>
        <w:rPr>
          <w:rFonts w:ascii="Arial" w:eastAsia="Times New Roman" w:hAnsi="Arial" w:cs="Arial"/>
          <w:color w:val="000000"/>
          <w:lang w:val="en-US" w:eastAsia="de-DE"/>
        </w:rPr>
        <w:instrText>"family":"Manalis","given":"Scott R.","non-dropping-particle":"","parse-names":false,"suffix":""},{"dropping-particle":"","family":"Antebi","given":"Adam","non-dropping-particle":"","parse-names":false,"suffix":""},{"dropping-particle":"","family":"Morriso</w:instrText>
      </w:r>
      <w:r>
        <w:rPr>
          <w:rFonts w:ascii="Arial" w:eastAsia="Times New Roman" w:hAnsi="Arial" w:cs="Arial"/>
          <w:color w:val="000000"/>
          <w:lang w:val="en-US" w:eastAsia="de-DE"/>
        </w:rPr>
        <w:instrText>n","given":"Sean J.","non-dropping-particle":"","parse-names":false,"suffix":""},{"dropping-particle":"","family":"Lees","given":"Jacqueline A.","non-dropping-particle":"","parse-names":false,"suffix":""},{"dropping-particle":"","family":"Boyer","given":"L</w:instrText>
      </w:r>
      <w:r>
        <w:rPr>
          <w:rFonts w:ascii="Arial" w:eastAsia="Times New Roman" w:hAnsi="Arial" w:cs="Arial"/>
          <w:color w:val="000000"/>
          <w:lang w:val="en-US" w:eastAsia="de-DE"/>
        </w:rPr>
        <w:instrText>aurie A.","non-dropping-particle":"","parse-names":false,"suffix":""},{"dropping-particle":"","family":"Yilmaz","given":"Ömer H.","non-dropping-particle":"","parse-names":false,"suffix":""},{"dropping-particle":"","family":"Amon","given":"Angelika","non-dr</w:instrText>
      </w:r>
      <w:r>
        <w:rPr>
          <w:rFonts w:ascii="Arial" w:eastAsia="Times New Roman" w:hAnsi="Arial" w:cs="Arial"/>
          <w:color w:val="000000"/>
          <w:lang w:val="en-US" w:eastAsia="de-DE"/>
        </w:rPr>
        <w:instrText>opping-particle":"","parse-names":false,"suffix":""}],"container-title":"Science Advances","id":"ITEM-1","issue":"46","issued":{"date-parts":[["2021","11","1"]]},"page":"271","publisher":"American Association for the Advancement of Science","title":"Cell s</w:instrText>
      </w:r>
      <w:r>
        <w:rPr>
          <w:rFonts w:ascii="Arial" w:eastAsia="Times New Roman" w:hAnsi="Arial" w:cs="Arial"/>
          <w:color w:val="000000"/>
          <w:lang w:val="en-US" w:eastAsia="de-DE"/>
        </w:rPr>
        <w:instrText>ize is a determinant of stem cell potential during aging","type":"article-journal","volume":"7"},"uris":["http://www.mendeley.com/documents/?uuid=c34cdf40-a099-3fc7-a713-f26e7defa245"]}],"mendeley":{"formattedCitation":"&lt;sup&gt;11&lt;/sup&gt;","plainTextFormattedCi</w:instrText>
      </w:r>
      <w:r>
        <w:rPr>
          <w:rFonts w:ascii="Arial" w:eastAsia="Times New Roman" w:hAnsi="Arial" w:cs="Arial"/>
          <w:color w:val="000000"/>
          <w:lang w:val="en-US" w:eastAsia="de-DE"/>
        </w:rPr>
        <w:instrText>tation":"11","previouslyFormattedCitation":"&lt;sup&gt;11&lt;/sup&gt;"},"properties":{"noteIndex":0},"schema":"https://github.com/citation-style-language/schema/raw/master/csl-citation.json"}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11</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showed that increased cell size also contributes to aging in mammals. S</w:t>
      </w:r>
      <w:r>
        <w:rPr>
          <w:rFonts w:ascii="Arial" w:eastAsia="Times New Roman" w:hAnsi="Arial" w:cs="Arial"/>
          <w:color w:val="000000"/>
          <w:lang w:val="en-US" w:eastAsia="de-DE"/>
        </w:rPr>
        <w:t>pecifically, they found that the size of hematopoietic stem cells increases with age of mice and humans, which causes decreased proliferation and thus stem cell potential. The recent mechanistic work linking cell size to cellular senescence described above</w:t>
      </w:r>
      <w:r>
        <w:rPr>
          <w:rFonts w:ascii="Arial" w:eastAsia="Times New Roman" w:hAnsi="Arial" w:cs="Arial"/>
          <w:color w:val="000000"/>
          <w:lang w:val="en-US" w:eastAsia="de-DE"/>
        </w:rPr>
        <w:t xml:space="preserve"> also sheds light on why increased stem cell size can contribute to aging. However, this leaves the question of why older stem cells would be bigger to begin with? One intriguing explanation is that stress conditions, in particular DNA damage, typically le</w:t>
      </w:r>
      <w:r>
        <w:rPr>
          <w:rFonts w:ascii="Arial" w:eastAsia="Times New Roman" w:hAnsi="Arial" w:cs="Arial"/>
          <w:color w:val="000000"/>
          <w:lang w:val="en-US" w:eastAsia="de-DE"/>
        </w:rPr>
        <w:t xml:space="preserve">ad to cell cycle delays. Because cells </w:t>
      </w:r>
      <w:proofErr w:type="gramStart"/>
      <w:r>
        <w:rPr>
          <w:rFonts w:ascii="Arial" w:eastAsia="Times New Roman" w:hAnsi="Arial" w:cs="Arial"/>
          <w:color w:val="000000"/>
          <w:lang w:val="en-US" w:eastAsia="de-DE"/>
        </w:rPr>
        <w:t>still keep</w:t>
      </w:r>
      <w:proofErr w:type="gramEnd"/>
      <w:r>
        <w:rPr>
          <w:rFonts w:ascii="Arial" w:eastAsia="Times New Roman" w:hAnsi="Arial" w:cs="Arial"/>
          <w:color w:val="000000"/>
          <w:lang w:val="en-US" w:eastAsia="de-DE"/>
        </w:rPr>
        <w:t xml:space="preserve"> growing despite the cell cycle arrest, this leads to increased sizes. Above a certain threshold, the impaired function of larger cells then causes problems in the next cell cycle, leading to a vicious cycle</w:t>
      </w:r>
      <w:r>
        <w:rPr>
          <w:rFonts w:ascii="Arial" w:eastAsia="Times New Roman" w:hAnsi="Arial" w:cs="Arial"/>
          <w:color w:val="000000"/>
          <w:lang w:val="en-US" w:eastAsia="de-DE"/>
        </w:rPr>
        <w:t xml:space="preserve"> that eventually leads to excessively large cells and permanent cell cycle exit (see Davies et al.</w:t>
      </w:r>
      <w:r>
        <w:rPr>
          <w:rFonts w:ascii="Arial" w:eastAsia="Times New Roman" w:hAnsi="Arial" w:cs="Arial"/>
          <w:color w:val="000000"/>
          <w:lang w:val="en-US" w:eastAsia="de-DE"/>
        </w:rPr>
        <w:fldChar w:fldCharType="begin" w:fldLock="1"/>
      </w:r>
      <w:r>
        <w:rPr>
          <w:rFonts w:ascii="Arial" w:eastAsia="Times New Roman" w:hAnsi="Arial" w:cs="Arial"/>
          <w:color w:val="000000"/>
          <w:lang w:val="en-US" w:eastAsia="de-DE"/>
        </w:rPr>
        <w:instrText>ADDIN CSL_CITATION {"citationItems":[{"id":"ITEM-1","itemData":{"DOI":"10.3389/FCELL.2022.1036602/BIBTEX","ISSN":"2296634X","abstract":"Years of important res</w:instrText>
      </w:r>
      <w:r>
        <w:rPr>
          <w:rFonts w:ascii="Arial" w:eastAsia="Times New Roman" w:hAnsi="Arial" w:cs="Arial"/>
          <w:color w:val="000000"/>
          <w:lang w:val="en-US" w:eastAsia="de-DE"/>
        </w:rPr>
        <w:instrText>earch has revealed that cells heavily invest in regulating their size. Nevertheless, it has remained unclear why accurate size control is so important. Our recent study using hematopoietic stem cells (HSCs) in vivo indicates that cellular enlargement is ca</w:instrText>
      </w:r>
      <w:r>
        <w:rPr>
          <w:rFonts w:ascii="Arial" w:eastAsia="Times New Roman" w:hAnsi="Arial" w:cs="Arial"/>
          <w:color w:val="000000"/>
          <w:lang w:val="en-US" w:eastAsia="de-DE"/>
        </w:rPr>
        <w:instrText>usally associated with aging. Here, we present an overview of these findings and their implications. Furthermore, we performed a broad literature analysis to evaluate the potential of cellular enlargement as a new aging hallmark and to examine its connecti</w:instrText>
      </w:r>
      <w:r>
        <w:rPr>
          <w:rFonts w:ascii="Arial" w:eastAsia="Times New Roman" w:hAnsi="Arial" w:cs="Arial"/>
          <w:color w:val="000000"/>
          <w:lang w:val="en-US" w:eastAsia="de-DE"/>
        </w:rPr>
        <w:instrText>on to previously described aging hallmarks. Finally, we highlight interesting work presenting a correlation between cell size and age-related diseases. Taken together, we found mounting evidence linking cellular enlargement to aging and age-related disease</w:instrText>
      </w:r>
      <w:r>
        <w:rPr>
          <w:rFonts w:ascii="Arial" w:eastAsia="Times New Roman" w:hAnsi="Arial" w:cs="Arial"/>
          <w:color w:val="000000"/>
          <w:lang w:val="en-US" w:eastAsia="de-DE"/>
        </w:rPr>
        <w:instrText>s. Therefore, we encourage researchers from seemingly unrelated areas to take a fresh look at their data from the perspective of cell size.","author":[{"dropping-particle":"","family":"Davies","given":"Daniel M.","non-dropping-particle":"","parse-names":fa</w:instrText>
      </w:r>
      <w:r>
        <w:rPr>
          <w:rFonts w:ascii="Arial" w:eastAsia="Times New Roman" w:hAnsi="Arial" w:cs="Arial"/>
          <w:color w:val="000000"/>
          <w:lang w:val="en-US" w:eastAsia="de-DE"/>
        </w:rPr>
        <w:instrText>lse,"suffix":""},{"dropping-particle":"","family":"Handel","given":"Kim","non-dropping-particle":"van den","parse-names":false,"suffix":""},{"dropping-particle":"","family":"Bharadwaj","given":"Soham","non-dropping-particle":"","parse-names":false,"suffix"</w:instrText>
      </w:r>
      <w:r>
        <w:rPr>
          <w:rFonts w:ascii="Arial" w:eastAsia="Times New Roman" w:hAnsi="Arial" w:cs="Arial"/>
          <w:color w:val="000000"/>
          <w:lang w:val="en-US" w:eastAsia="de-DE"/>
        </w:rPr>
        <w:instrText>:""},{"dropping-particle":"","family":"Lengefeld","given":"Jette","non-dropping-particle":"","parse-names":false,"suffix":""}],"container-title":"Frontiers in Cell and Developmental Biology","id":"ITEM-1","issued":{"date-parts":[["2022","11","10"]]},"page"</w:instrText>
      </w:r>
      <w:r>
        <w:rPr>
          <w:rFonts w:ascii="Arial" w:eastAsia="Times New Roman" w:hAnsi="Arial" w:cs="Arial"/>
          <w:color w:val="000000"/>
          <w:lang w:val="en-US" w:eastAsia="de-DE"/>
        </w:rPr>
        <w:instrText>:"1036602","publisher":"Frontiers Media S.A.","title":"Cellular enlargement - A new hallmark of aging?","type":"article-journal","volume":"10"},"uris":["http://www.mendeley.com/documents/?uuid=5edfc922-1c43-3828-bc12-ff5807dccf5c"]}],"mendeley":{"formatted</w:instrText>
      </w:r>
      <w:r>
        <w:rPr>
          <w:rFonts w:ascii="Arial" w:eastAsia="Times New Roman" w:hAnsi="Arial" w:cs="Arial"/>
          <w:color w:val="000000"/>
          <w:lang w:val="en-US" w:eastAsia="de-DE"/>
        </w:rPr>
        <w:instrText>Citation":"&lt;sup&gt;8&lt;/sup&gt;","plainTextFormattedCitation":"8","previouslyFormattedCitation":"&lt;sup&gt;8&lt;/sup&gt;"},"properties":{"noteIndex":0},"schema":"https://github.com/citation-style-language/schema/raw/master/csl-citation.json"}</w:instrText>
      </w:r>
      <w:r>
        <w:rPr>
          <w:rFonts w:ascii="Arial" w:eastAsia="Times New Roman" w:hAnsi="Arial" w:cs="Arial"/>
          <w:color w:val="000000"/>
          <w:lang w:val="en-US" w:eastAsia="de-DE"/>
        </w:rPr>
        <w:fldChar w:fldCharType="separate"/>
      </w:r>
      <w:r>
        <w:rPr>
          <w:rFonts w:ascii="Arial" w:eastAsia="Times New Roman" w:hAnsi="Arial" w:cs="Arial"/>
          <w:noProof/>
          <w:color w:val="000000"/>
          <w:vertAlign w:val="superscript"/>
          <w:lang w:val="en-US" w:eastAsia="de-DE"/>
        </w:rPr>
        <w:t>8</w:t>
      </w:r>
      <w:r>
        <w:rPr>
          <w:rFonts w:ascii="Arial" w:eastAsia="Times New Roman" w:hAnsi="Arial" w:cs="Arial"/>
          <w:color w:val="000000"/>
          <w:lang w:val="en-US" w:eastAsia="de-DE"/>
        </w:rPr>
        <w:fldChar w:fldCharType="end"/>
      </w:r>
      <w:r>
        <w:rPr>
          <w:rFonts w:ascii="Arial" w:eastAsia="Times New Roman" w:hAnsi="Arial" w:cs="Arial"/>
          <w:color w:val="000000"/>
          <w:lang w:val="en-US" w:eastAsia="de-DE"/>
        </w:rPr>
        <w:t xml:space="preserve"> for a dedicated review).</w:t>
      </w:r>
    </w:p>
    <w:p w14:paraId="5E63762E"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lang w:val="en-US" w:eastAsia="de-DE"/>
        </w:rPr>
        <w:t>Tel</w:t>
      </w:r>
      <w:r>
        <w:rPr>
          <w:rFonts w:ascii="Arial" w:eastAsia="Times New Roman" w:hAnsi="Arial" w:cs="Arial"/>
          <w:lang w:val="en-US" w:eastAsia="de-DE"/>
        </w:rPr>
        <w:t>omere shortening</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{"citationItems":[{"id":"ITEM-1","itemData":{"DOI":"10.1016/J.EBIOM.2017.03.027","ISSN":"2352-3964","PMID":"28347656","abstract":"Telomeres are protective structures present at the ends of linear chromosomes that are impo</w:instrText>
      </w:r>
      <w:r>
        <w:rPr>
          <w:rFonts w:ascii="Arial" w:eastAsia="Times New Roman" w:hAnsi="Arial" w:cs="Arial"/>
          <w:lang w:val="en-US" w:eastAsia="de-DE"/>
        </w:rPr>
        <w:instrText>rtant in preventing genome instability. Telomeres shorten as a result of cellular replication, leading to a permanent cell cycle arrest, also known as replicative senescence. Senescent cells have been shown to accumulate in mammalian tissue with age and in</w:instrText>
      </w:r>
      <w:r>
        <w:rPr>
          <w:rFonts w:ascii="Arial" w:eastAsia="Times New Roman" w:hAnsi="Arial" w:cs="Arial"/>
          <w:lang w:val="en-US" w:eastAsia="de-DE"/>
        </w:rPr>
        <w:instrText xml:space="preserve"> a number of age-related diseases, suggesting that they might contribute to the loss of tissue function observed with age. In this review, we will first describe evidence suggesting a key role for senescence in the ageing process and elaborate on some of t</w:instrText>
      </w:r>
      <w:r>
        <w:rPr>
          <w:rFonts w:ascii="Arial" w:eastAsia="Times New Roman" w:hAnsi="Arial" w:cs="Arial"/>
          <w:lang w:val="en-US" w:eastAsia="de-DE"/>
        </w:rPr>
        <w:instrText>he mechanisms by which telomeres can induce cellular senescence. Furthermore, we will present multiple lines of evidence suggesting that telomeres can act as sensors of both intrinsic and extrinsic stress as well as recent data indicating that telomere–ind</w:instrText>
      </w:r>
      <w:r>
        <w:rPr>
          <w:rFonts w:ascii="Arial" w:eastAsia="Times New Roman" w:hAnsi="Arial" w:cs="Arial"/>
          <w:lang w:val="en-US" w:eastAsia="de-DE"/>
        </w:rPr>
        <w:instrText>uced senescence may occur irrespectively of the length of telomeres.","author":[{"dropping-particle":"","family":"Victorelli","given":"Stella","non-dropping-particle":"","parse-names":false,"suffix":""},{"dropping-particle":"","family":"Passos","given":"Jo</w:instrText>
      </w:r>
      <w:r>
        <w:rPr>
          <w:rFonts w:ascii="Arial" w:eastAsia="Times New Roman" w:hAnsi="Arial" w:cs="Arial"/>
          <w:lang w:val="en-US" w:eastAsia="de-DE"/>
        </w:rPr>
        <w:instrText>ão F.","non-dropping-particle":"","parse-names":false,"suffix":""}],"container-title":"EBioMedicine","id":"ITEM-1","issued":{"date-parts":[["2017","7","1"]]},"page":"14-20","publisher":"Elsevier","title":"Telomeres and Cell Senescence - Size Matters Not","</w:instrText>
      </w:r>
      <w:r>
        <w:rPr>
          <w:rFonts w:ascii="Arial" w:eastAsia="Times New Roman" w:hAnsi="Arial" w:cs="Arial"/>
          <w:lang w:val="en-US" w:eastAsia="de-DE"/>
        </w:rPr>
        <w:instrText>type":"article-journal","volume":"21"},"uris":["http://www.mendeley.com/documents/?uuid=38272626-e118-3d44-a4ce-852b281c8fe8"]}],"mendeley":{"formattedCitation":"&lt;sup&gt;394&lt;/sup&gt;","plainTextFormattedCitation":"394","previouslyFormattedCitation":"&lt;sup&gt;394&lt;/su</w:instrText>
      </w:r>
      <w:r>
        <w:rPr>
          <w:rFonts w:ascii="Arial" w:eastAsia="Times New Roman" w:hAnsi="Arial" w:cs="Arial"/>
          <w:lang w:val="en-US" w:eastAsia="de-DE"/>
        </w:rPr>
        <w:instrText>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394</w:t>
      </w:r>
      <w:r>
        <w:rPr>
          <w:rFonts w:ascii="Arial" w:eastAsia="Times New Roman" w:hAnsi="Arial" w:cs="Arial"/>
          <w:lang w:val="en-US" w:eastAsia="de-DE"/>
        </w:rPr>
        <w:fldChar w:fldCharType="end"/>
      </w:r>
      <w:r>
        <w:rPr>
          <w:rFonts w:ascii="Arial" w:eastAsia="Times New Roman" w:hAnsi="Arial" w:cs="Arial"/>
          <w:lang w:val="en-US" w:eastAsia="de-DE"/>
        </w:rPr>
        <w:t xml:space="preserve"> and cell size have both individually been linked to senescence and aging. Moreover, across individuals, shorter telomeres are correlated with larger mean red blood cell size, even after accounting for age, suggesting that telomere length and cell size mig</w:t>
      </w:r>
      <w:r>
        <w:rPr>
          <w:rFonts w:ascii="Arial" w:eastAsia="Times New Roman" w:hAnsi="Arial" w:cs="Arial"/>
          <w:lang w:val="en-US" w:eastAsia="de-DE"/>
        </w:rPr>
        <w:t>ht be causally linked</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{"citationItems":[{"id":"ITEM-1","itemData":{"DOI":"10.1371/JOURNAL.PONE.0051046","ISSN":"1932-6203","PMID":"23226558","abstract":"Although mutations in the genes encoding either the protein or RNA component of telom</w:instrText>
      </w:r>
      <w:r>
        <w:rPr>
          <w:rFonts w:ascii="Arial" w:eastAsia="Times New Roman" w:hAnsi="Arial" w:cs="Arial"/>
          <w:lang w:val="en-US" w:eastAsia="de-DE"/>
        </w:rPr>
        <w:instrText>erase have been found in patients with various blood disorders, the impact of telomere length on hematopoiesis is less well understood for subjects from the general population. Here we have measured telomere lengths of genomic DNA isolated from circulating</w:instrText>
      </w:r>
      <w:r>
        <w:rPr>
          <w:rFonts w:ascii="Arial" w:eastAsia="Times New Roman" w:hAnsi="Arial" w:cs="Arial"/>
          <w:lang w:val="en-US" w:eastAsia="de-DE"/>
        </w:rPr>
        <w:instrText xml:space="preserve"> leukocytes of 3157 subjects, ranging from 18 to 85 years of age, enrolled in a large multiethnic population based study, the Dallas Heart Study 2. Shorter telomere lengths are marginally associated with lower red blood cell counts in this cohort, but are </w:instrText>
      </w:r>
      <w:r>
        <w:rPr>
          <w:rFonts w:ascii="Arial" w:eastAsia="Times New Roman" w:hAnsi="Arial" w:cs="Arial"/>
          <w:lang w:val="en-US" w:eastAsia="de-DE"/>
        </w:rPr>
        <w:instrText xml:space="preserve">significantly associated with larger mean red blood cell size (as measured by the MCV), increased red blood cell distribution width (RDW), higher hemoglobin levels and lower platelet counts, even after correction for age, gender and ethnicity (p-values of </w:instrText>
      </w:r>
      <w:r>
        <w:rPr>
          <w:rFonts w:ascii="Arial" w:eastAsia="Times New Roman" w:hAnsi="Arial" w:cs="Arial"/>
          <w:lang w:val="en-US" w:eastAsia="de-DE"/>
        </w:rPr>
        <w:instrText>&lt;0.0001, &lt;0.0001, 0.0009 and 0.0016, respectively). In a multiple regression model we find that telomere length is a significant covariate of MCV (p = 7.6×10−8), independent of age, ethnicity, BMI, current smoking, alcohol consumption, iron or homocysteine</w:instrText>
      </w:r>
      <w:r>
        <w:rPr>
          <w:rFonts w:ascii="Arial" w:eastAsia="Times New Roman" w:hAnsi="Arial" w:cs="Arial"/>
          <w:lang w:val="en-US" w:eastAsia="de-DE"/>
        </w:rPr>
        <w:instrText xml:space="preserve"> levels. The effect of telomere length on MCV variation is comparable to the effect of smoking or alcohol consumption and is more significant in older individuals (p = 9.2×10−7 for &gt;50 years vs. p = 0.0006 for &lt;50 years of age). To our knowledge, this is t</w:instrText>
      </w:r>
      <w:r>
        <w:rPr>
          <w:rFonts w:ascii="Arial" w:eastAsia="Times New Roman" w:hAnsi="Arial" w:cs="Arial"/>
          <w:lang w:val="en-US" w:eastAsia="de-DE"/>
        </w:rPr>
        <w:instrText>he first report of an association between telomere length and red cell size in a large urban US population and suggests a biologic mechanism for macrocytosis of aging.","author":[{"dropping-particle":"","family":"Kozlitina","given":"Julia","non-dropping-pa</w:instrText>
      </w:r>
      <w:r>
        <w:rPr>
          <w:rFonts w:ascii="Arial" w:eastAsia="Times New Roman" w:hAnsi="Arial" w:cs="Arial"/>
          <w:lang w:val="en-US" w:eastAsia="de-DE"/>
        </w:rPr>
        <w:instrText>rticle":"","parse-names":false,"suffix":""},{"dropping-particle":"","family":"Garcia","given":"Christine Kim","non-dropping-particle":"","parse-names":false,"suffix":""}],"container-title":"PLOS ONE","id":"ITEM-1","issue":"12","issued":{"date-parts":[["201</w:instrText>
      </w:r>
      <w:r>
        <w:rPr>
          <w:rFonts w:ascii="Arial" w:eastAsia="Times New Roman" w:hAnsi="Arial" w:cs="Arial"/>
          <w:lang w:val="en-US" w:eastAsia="de-DE"/>
        </w:rPr>
        <w:instrText>2","12","4"]]},"page":"e51046","publisher":"Public Library of Science","title":"Red Blood Cell Size Is Inversely Associated with Leukocyte Telomere Length in a Large Multi-Ethnic Population","type":"article-journal","volume":"7"},"uris":["http://www.mendel</w:instrText>
      </w:r>
      <w:r>
        <w:rPr>
          <w:rFonts w:ascii="Arial" w:eastAsia="Times New Roman" w:hAnsi="Arial" w:cs="Arial"/>
          <w:lang w:val="en-US" w:eastAsia="de-DE"/>
        </w:rPr>
        <w:instrText>ey.com/documents/?uuid=fe8d7985-1db1-3c0d-95ad-985a929cadd0"]}],"mendeley":{"formattedCitation":"&lt;sup&gt;395&lt;/sup&gt;","plainTextFormattedCitation":"395","previouslyFormattedCitation":"&lt;sup&gt;395&lt;/sup&gt;"},"properties":{"noteIndex":0},"schema":"https://github.com/ci</w:instrText>
      </w:r>
      <w:r>
        <w:rPr>
          <w:rFonts w:ascii="Arial" w:eastAsia="Times New Roman" w:hAnsi="Arial" w:cs="Arial"/>
          <w:lang w:val="en-US" w:eastAsia="de-DE"/>
        </w:rPr>
        <w:instrText>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395</w:t>
      </w:r>
      <w:r>
        <w:rPr>
          <w:rFonts w:ascii="Arial" w:eastAsia="Times New Roman" w:hAnsi="Arial" w:cs="Arial"/>
          <w:lang w:val="en-US" w:eastAsia="de-DE"/>
        </w:rPr>
        <w:fldChar w:fldCharType="end"/>
      </w:r>
      <w:r>
        <w:rPr>
          <w:rFonts w:ascii="Arial" w:eastAsia="Times New Roman" w:hAnsi="Arial" w:cs="Arial"/>
          <w:lang w:val="en-US" w:eastAsia="de-DE"/>
        </w:rPr>
        <w:t>. Indeed, inducing shortened telomeres through reduced telomerase activity leads to DNA damage and increased cell size</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w:instrText>
      </w:r>
      <w:r>
        <w:rPr>
          <w:rFonts w:ascii="Arial" w:eastAsia="Times New Roman" w:hAnsi="Arial" w:cs="Arial"/>
          <w:lang w:val="en-US" w:eastAsia="de-DE"/>
        </w:rPr>
        <w:instrText>.1007/S10522-023-10076-5/METRICS","ISSN":"15736768","abstract":"Telomere shortening is a well-established hallmark of cellular aging. Telomerase reverse transcriptase (TERT) plays a crucial role in maintaining the length of telomeres, which are specialised</w:instrText>
      </w:r>
      <w:r>
        <w:rPr>
          <w:rFonts w:ascii="Arial" w:eastAsia="Times New Roman" w:hAnsi="Arial" w:cs="Arial"/>
          <w:lang w:val="en-US" w:eastAsia="de-DE"/>
        </w:rPr>
        <w:instrText xml:space="preserve"> protective caps at the end of chromosomes. The lack of in vitro aging models, particularly for the central nervous system (CNS), has impeded progress in understanding aging and age-associated neurodegenerative diseases. In this study, we aimed to explore </w:instrText>
      </w:r>
      <w:r>
        <w:rPr>
          <w:rFonts w:ascii="Arial" w:eastAsia="Times New Roman" w:hAnsi="Arial" w:cs="Arial"/>
          <w:lang w:val="en-US" w:eastAsia="de-DE"/>
        </w:rPr>
        <w:instrText>the possibility of inducing aging-associated features in cell types of the CNS using hiPSC (human induced pluripotent stem cell) technology. To achieve this, we utilised CRISPR/Cas9 to generate hiPSCs with a loss of telomerase function and shortened telome</w:instrText>
      </w:r>
      <w:r>
        <w:rPr>
          <w:rFonts w:ascii="Arial" w:eastAsia="Times New Roman" w:hAnsi="Arial" w:cs="Arial"/>
          <w:lang w:val="en-US" w:eastAsia="de-DE"/>
        </w:rPr>
        <w:instrText>res. Through directed differentiation, we generated motor neurons and astrocytes to investigate whether telomere shortening could lead to age-associated phenotypes. Our findings revealed that shortened telomeres induced age-associated characteristics in bo</w:instrText>
      </w:r>
      <w:r>
        <w:rPr>
          <w:rFonts w:ascii="Arial" w:eastAsia="Times New Roman" w:hAnsi="Arial" w:cs="Arial"/>
          <w:lang w:val="en-US" w:eastAsia="de-DE"/>
        </w:rPr>
        <w:instrText xml:space="preserve">th motor neurons and astrocytes including increased cellular senescence, heightened inflammation, and elevated DNA damage. We also observed cell-type specific age-related morphology changes. Additionally, our study highlighted the fundamental role of TERT </w:instrText>
      </w:r>
      <w:r>
        <w:rPr>
          <w:rFonts w:ascii="Arial" w:eastAsia="Times New Roman" w:hAnsi="Arial" w:cs="Arial"/>
          <w:lang w:val="en-US" w:eastAsia="de-DE"/>
        </w:rPr>
        <w:instrText>and telomere shortening in neural progenitor cell (NPC) proliferation and neuronal differentiation. This study serves as a proof of concept that telomere shortening can effectively induce aging-associated phenotypes, thereby providing a valuable tool to in</w:instrText>
      </w:r>
      <w:r>
        <w:rPr>
          <w:rFonts w:ascii="Arial" w:eastAsia="Times New Roman" w:hAnsi="Arial" w:cs="Arial"/>
          <w:lang w:val="en-US" w:eastAsia="de-DE"/>
        </w:rPr>
        <w:instrText>vestigate age-related decline and neurodegenerative diseases. Graphical abstract: [Figure not available: see fulltext.].","author":[{"dropping-particle":"","family":"Harley","given":"Jasmine","non-dropping-particle":"","parse-names":false,"suffix":""},{"dr</w:instrText>
      </w:r>
      <w:r>
        <w:rPr>
          <w:rFonts w:ascii="Arial" w:eastAsia="Times New Roman" w:hAnsi="Arial" w:cs="Arial"/>
          <w:lang w:val="en-US" w:eastAsia="de-DE"/>
        </w:rPr>
        <w:instrText>opping-particle":"","family":"Santosa","given":"Munirah Mohamad","non-dropping-particle":"","parse-names":false,"suffix":""},{"dropping-particle":"","family":"Ng","given":"Chong Yi","non-dropping-particle":"","parse-names":false,"suffix":""},{"dropping-par</w:instrText>
      </w:r>
      <w:r>
        <w:rPr>
          <w:rFonts w:ascii="Arial" w:eastAsia="Times New Roman" w:hAnsi="Arial" w:cs="Arial"/>
          <w:lang w:val="en-US" w:eastAsia="de-DE"/>
        </w:rPr>
        <w:instrText>ticle":"V.","family":"Grinchuk","given":"Oleg","non-dropping-particle":"","parse-names":false,"suffix":""},{"dropping-particle":"","family":"Hor","given":"Jin Hui","non-dropping-particle":"","parse-names":false,"suffix":""},{"dropping-particle":"","family"</w:instrText>
      </w:r>
      <w:r>
        <w:rPr>
          <w:rFonts w:ascii="Arial" w:eastAsia="Times New Roman" w:hAnsi="Arial" w:cs="Arial"/>
          <w:lang w:val="en-US" w:eastAsia="de-DE"/>
        </w:rPr>
        <w:instrText>:"Liang","given":"Yajing","non-dropping-particle":"","parse-names":false,"suffix":""},{"dropping-particle":"","family":"Lim","given":"Valerie Jingwen","non-dropping-particle":"","parse-names":false,"suffix":""},{"dropping-particle":"","family":"Tee","given</w:instrText>
      </w:r>
      <w:r>
        <w:rPr>
          <w:rFonts w:ascii="Arial" w:eastAsia="Times New Roman" w:hAnsi="Arial" w:cs="Arial"/>
          <w:lang w:val="en-US" w:eastAsia="de-DE"/>
        </w:rPr>
        <w:instrText>":"Wee Wei","non-dropping-particle":"","parse-names":false,"suffix":""},{"dropping-particle":"","family":"Ong","given":"Derrick Sek Tong","non-dropping-particle":"","parse-names":false,"suffix":""},{"dropping-particle":"","family":"Ng","given":"Shi Yan","n</w:instrText>
      </w:r>
      <w:r>
        <w:rPr>
          <w:rFonts w:ascii="Arial" w:eastAsia="Times New Roman" w:hAnsi="Arial" w:cs="Arial"/>
          <w:lang w:val="en-US" w:eastAsia="de-DE"/>
        </w:rPr>
        <w:instrText>on-dropping-particle":"","parse-names":false,"suffix":""}],"container-title":"Biogerontology","id":"ITEM-1","issued":{"date-parts":[["2023","11","21"]]},"page":"1-20","publisher":"Springer Science and Business Media B.V.","title":"Telomere shortening induc</w:instrText>
      </w:r>
      <w:r>
        <w:rPr>
          <w:rFonts w:ascii="Arial" w:eastAsia="Times New Roman" w:hAnsi="Arial" w:cs="Arial"/>
          <w:lang w:val="en-US" w:eastAsia="de-DE"/>
        </w:rPr>
        <w:instrText>es aging-associated phenotypes in hiPSC-derived neurons and astrocytes","type":"article-journal"},"uris":["http://www.mendeley.com/documents/?uuid=a14e9b84-719a-3cbd-83ce-f7e22c98fb66"]}],"mendeley":{"formattedCitation":"&lt;sup&gt;396&lt;/sup&gt;","plainTextFormatted</w:instrText>
      </w:r>
      <w:r>
        <w:rPr>
          <w:rFonts w:ascii="Arial" w:eastAsia="Times New Roman" w:hAnsi="Arial" w:cs="Arial"/>
          <w:lang w:val="en-US" w:eastAsia="de-DE"/>
        </w:rPr>
        <w:instrText>Citation":"396","previouslyFormattedCitation":"&lt;sup&gt;396&lt;/sup&gt;"},"properties":{"noteIndex":0},"schema":"https://github.com/citation-style-language/schema/raw/master/csl-citation.json"}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396</w:t>
      </w:r>
      <w:r>
        <w:rPr>
          <w:rFonts w:ascii="Arial" w:eastAsia="Times New Roman" w:hAnsi="Arial" w:cs="Arial"/>
          <w:lang w:val="en-US" w:eastAsia="de-DE"/>
        </w:rPr>
        <w:fldChar w:fldCharType="end"/>
      </w:r>
      <w:r>
        <w:rPr>
          <w:rFonts w:ascii="Arial" w:eastAsia="Times New Roman" w:hAnsi="Arial" w:cs="Arial"/>
          <w:lang w:val="en-US" w:eastAsia="de-DE"/>
        </w:rPr>
        <w:t xml:space="preserve">. On the other hand, no dependence of telomere length on cell size </w:t>
      </w:r>
      <w:r>
        <w:rPr>
          <w:rFonts w:ascii="Arial" w:eastAsia="Times New Roman" w:hAnsi="Arial" w:cs="Arial"/>
          <w:lang w:val="en-US" w:eastAsia="de-DE"/>
        </w:rPr>
        <w:t>has been found in cell-size-sorted primary human lung fibroblast</w:t>
      </w:r>
      <w:r>
        <w:rPr>
          <w:rFonts w:ascii="Arial" w:eastAsia="Times New Roman" w:hAnsi="Arial" w:cs="Arial"/>
          <w:lang w:val="en-US" w:eastAsia="de-DE"/>
        </w:rPr>
        <w:fldChar w:fldCharType="begin" w:fldLock="1"/>
      </w:r>
      <w:r>
        <w:rPr>
          <w:rFonts w:ascii="Arial" w:eastAsia="Times New Roman" w:hAnsi="Arial" w:cs="Arial"/>
          <w:lang w:val="en-US" w:eastAsia="de-DE"/>
        </w:rPr>
        <w:instrText>ADDIN CSL_CITATION {"citationItems":[{"id":"ITEM-1","itemData":{"DOI":"10.1101/2021.07.29.454227","abstract":"Cell size is tightly controlled in healthy tissues, but it is poorly understood ho</w:instrText>
      </w:r>
      <w:r>
        <w:rPr>
          <w:rFonts w:ascii="Arial" w:eastAsia="Times New Roman" w:hAnsi="Arial" w:cs="Arial"/>
          <w:lang w:val="en-US" w:eastAsia="de-DE"/>
        </w:rPr>
        <w:instrText>w cell size affects cell physiology. To address this, we measured how the proteome changes with cell size. Protein concentration changes are widespread, depend on the DNA-to-cell size ratio, and are predicted by subcellular localization, size-dependent mRN</w:instrText>
      </w:r>
      <w:r>
        <w:rPr>
          <w:rFonts w:ascii="Arial" w:eastAsia="Times New Roman" w:hAnsi="Arial" w:cs="Arial"/>
          <w:lang w:val="en-US" w:eastAsia="de-DE"/>
        </w:rPr>
        <w:instrText xml:space="preserve">A concentrations, and protein turnover. As proliferating cells grow larger, concentration changes associated with cellular senescence are increasingly pronounced, suggesting that large size may be a cause rather than just a consequence of cell senescence. </w:instrText>
      </w:r>
      <w:r>
        <w:rPr>
          <w:rFonts w:ascii="Arial" w:eastAsia="Times New Roman" w:hAnsi="Arial" w:cs="Arial"/>
          <w:lang w:val="en-US" w:eastAsia="de-DE"/>
        </w:rPr>
        <w:instrText>Consistent with this hypothesis, larger cells are prone to replicative-, DNA damage-, and CDK4/6i-induced senescence. More broadly, our findings show how cell size could impact many aspects of cell physiology through remodeling the proteome, thereby provid</w:instrText>
      </w:r>
      <w:r>
        <w:rPr>
          <w:rFonts w:ascii="Arial" w:eastAsia="Times New Roman" w:hAnsi="Arial" w:cs="Arial"/>
          <w:lang w:val="en-US" w:eastAsia="de-DE"/>
        </w:rPr>
        <w:instrText>ing a rationale for cell size control to optimize cell function.\n\n### Competing Interest Statement\n\nThe authors have declared no competing interest.","author":[{"dropping-particle":"","family":"Lanz","given":"Michael C.","non-dropping-particle":"","par</w:instrText>
      </w:r>
      <w:r>
        <w:rPr>
          <w:rFonts w:ascii="Arial" w:eastAsia="Times New Roman" w:hAnsi="Arial" w:cs="Arial"/>
          <w:lang w:val="en-US" w:eastAsia="de-DE"/>
        </w:rPr>
        <w:instrText>se-names":false,"suffix":""},{"dropping-particle":"","family":"Zatulovskiy","given":"Evgeny","non-dropping-particle":"","parse-names":false,"suffix":""},{"dropping-particle":"","family":"Swaffer","given":"Matthew P.","non-dropping-particle":"","parse-names</w:instrText>
      </w:r>
      <w:r>
        <w:rPr>
          <w:rFonts w:ascii="Arial" w:eastAsia="Times New Roman" w:hAnsi="Arial" w:cs="Arial"/>
          <w:lang w:val="en-US" w:eastAsia="de-DE"/>
        </w:rPr>
        <w:instrText>":false,"suffix":""},{"dropping-particle":"","family":"Zhang","given":"Lichao","non-dropping-particle":"","parse-names":false,"suffix":""},{"dropping-particle":"","family":"Zhang","given":"Shuyuan","non-dropping-particle":"","parse-names":false,"suffix":""</w:instrText>
      </w:r>
      <w:r>
        <w:rPr>
          <w:rFonts w:ascii="Arial" w:eastAsia="Times New Roman" w:hAnsi="Arial" w:cs="Arial"/>
          <w:lang w:val="en-US" w:eastAsia="de-DE"/>
        </w:rPr>
        <w:instrText>},{"dropping-particle":"","family":"You","given":"Dong Shin","non-dropping-particle":"","parse-names":false,"suffix":""},{"dropping-particle":"","family":"Marinov","given":"Georgi","non-dropping-particle":"","parse-names":false,"suffix":""},{"dropping-part</w:instrText>
      </w:r>
      <w:r>
        <w:rPr>
          <w:rFonts w:ascii="Arial" w:eastAsia="Times New Roman" w:hAnsi="Arial" w:cs="Arial"/>
          <w:lang w:val="en-US" w:eastAsia="de-DE"/>
        </w:rPr>
        <w:instrText>icle":"","family":"McAlpine","given":"Patrick","non-dropping-particle":"","parse-names":false,"suffix":""},{"dropping-particle":"","family":"Elias","given":"Josh E.","non-dropping-particle":"","parse-names":false,"suffix":""},{"dropping-particle":"","famil</w:instrText>
      </w:r>
      <w:r>
        <w:rPr>
          <w:rFonts w:ascii="Arial" w:eastAsia="Times New Roman" w:hAnsi="Arial" w:cs="Arial"/>
          <w:lang w:val="en-US" w:eastAsia="de-DE"/>
        </w:rPr>
        <w:instrText>y":"Skotheim","given":"Jan M.","non-dropping-particle":"","parse-names":false,"suffix":""}],"container-title":"bioRxiv","id":"ITEM-1","issued":{"date-parts":[["2021","7"]]},"page":"2021.07.29.454227","publisher":"Cold Spring Harbor Laboratory","title":"Inc</w:instrText>
      </w:r>
      <w:r>
        <w:rPr>
          <w:rFonts w:ascii="Arial" w:eastAsia="Times New Roman" w:hAnsi="Arial" w:cs="Arial"/>
          <w:lang w:val="en-US" w:eastAsia="de-DE"/>
        </w:rPr>
        <w:instrText>reasing cell size remodels the proteome and promotes senescence","type":"article-journal"},"uris":["http://www.mendeley.com/documents/?uuid=ea90b1fd-c7a4-44f0-95a0-5d71b995b434"]}],"mendeley":{"formattedCitation":"&lt;sup&gt;397&lt;/sup&gt;","plainTextFormattedCitatio</w:instrText>
      </w:r>
      <w:r>
        <w:rPr>
          <w:rFonts w:ascii="Arial" w:eastAsia="Times New Roman" w:hAnsi="Arial" w:cs="Arial"/>
          <w:lang w:val="en-US" w:eastAsia="de-DE"/>
        </w:rPr>
        <w:instrText>n":"397","previouslyFormattedCitation":"&lt;sup&gt;397&lt;/sup&gt;"},"properties":{"noteIndex":0},"schema":"https://github.com/citation-style-language/schema/raw/master/csl-citation.json"}</w:instrText>
      </w:r>
      <w:r>
        <w:rPr>
          <w:rFonts w:ascii="Arial" w:eastAsia="Times New Roman" w:hAnsi="Arial" w:cs="Arial"/>
          <w:lang w:val="en-US" w:eastAsia="de-DE"/>
        </w:rPr>
        <w:fldChar w:fldCharType="separate"/>
      </w:r>
      <w:r>
        <w:rPr>
          <w:rFonts w:ascii="Arial" w:eastAsia="Times New Roman" w:hAnsi="Arial" w:cs="Arial"/>
          <w:noProof/>
          <w:vertAlign w:val="superscript"/>
          <w:lang w:val="en-US" w:eastAsia="de-DE"/>
        </w:rPr>
        <w:t>397</w:t>
      </w:r>
      <w:r>
        <w:rPr>
          <w:rFonts w:ascii="Arial" w:eastAsia="Times New Roman" w:hAnsi="Arial" w:cs="Arial"/>
          <w:lang w:val="en-US" w:eastAsia="de-DE"/>
        </w:rPr>
        <w:fldChar w:fldCharType="end"/>
      </w:r>
      <w:r>
        <w:rPr>
          <w:rFonts w:ascii="Arial" w:eastAsia="Times New Roman" w:hAnsi="Arial" w:cs="Arial"/>
          <w:lang w:val="en-US" w:eastAsia="de-DE"/>
        </w:rPr>
        <w:t>, suggesting that increased cell size itself does not cause telomere short</w:t>
      </w:r>
      <w:r>
        <w:rPr>
          <w:rFonts w:ascii="Arial" w:eastAsia="Times New Roman" w:hAnsi="Arial" w:cs="Arial"/>
          <w:lang w:val="en-US" w:eastAsia="de-DE"/>
        </w:rPr>
        <w:t>ening.</w:t>
      </w:r>
    </w:p>
    <w:p w14:paraId="28B998F5" w14:textId="77777777" w:rsidR="00066D11" w:rsidRDefault="00E55468">
      <w:pPr>
        <w:rPr>
          <w:rFonts w:ascii="Arial" w:eastAsia="Times New Roman" w:hAnsi="Arial" w:cs="Arial"/>
          <w:b/>
          <w:bCs/>
          <w:color w:val="000000"/>
          <w:lang w:val="en-US" w:eastAsia="de-DE"/>
        </w:rPr>
      </w:pPr>
      <w:r>
        <w:rPr>
          <w:rFonts w:ascii="Arial" w:eastAsia="Times New Roman" w:hAnsi="Arial" w:cs="Arial"/>
          <w:b/>
          <w:bCs/>
          <w:color w:val="000000"/>
          <w:lang w:val="en-US" w:eastAsia="de-DE"/>
        </w:rPr>
        <w:br w:type="page"/>
      </w:r>
    </w:p>
    <w:p w14:paraId="732DA519"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lang w:val="en-US" w:eastAsia="de-DE"/>
        </w:rPr>
        <w:lastRenderedPageBreak/>
        <w:t>8.4 Adipocyte size and type 2 diabetes</w:t>
      </w:r>
    </w:p>
    <w:p w14:paraId="3923B5D4"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color w:val="000000" w:themeColor="text1"/>
          <w:lang w:val="en-US" w:eastAsia="de-DE"/>
        </w:rPr>
        <w:t xml:space="preserve">Adipocytes are a major component of adipose tissue and essential for its function. The size of adipocytes is highly heterogeneous and adapts to external inputs. To store excess energy, adipose tissue expands </w:t>
      </w:r>
      <w:r>
        <w:rPr>
          <w:rFonts w:ascii="Arial" w:eastAsia="Times New Roman" w:hAnsi="Arial" w:cs="Arial"/>
          <w:color w:val="000000" w:themeColor="text1"/>
          <w:lang w:val="en-US" w:eastAsia="de-DE"/>
        </w:rPr>
        <w:t>by an increase of both cell number and cell size. The size of adipocytes is a crucial determinant of metabolic function and has been linked to Type 2 Diabetes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{"citationItems":[{"id":"ITEM-1","itemData":{"DOI":"10.1152/AJPREGU.00257.2017/</w:instrText>
      </w:r>
      <w:r>
        <w:rPr>
          <w:rFonts w:ascii="Arial" w:eastAsia="Times New Roman" w:hAnsi="Arial" w:cs="Arial"/>
          <w:color w:val="000000" w:themeColor="text1"/>
          <w:lang w:val="en-US" w:eastAsia="de-DE"/>
        </w:rPr>
        <w:instrText>ASSET/IMAGES/LARGE/ZH60061894830002.JPEG","ISSN":"15221490","PMID":"29641234","abstract":"Adipose tissue is necessary to harbor energy. To handle excess energy, adipose tissue expands by increasing adipocyte size (hypertrophy) and number (hyperplasia). Her</w:instrText>
      </w:r>
      <w:r>
        <w:rPr>
          <w:rFonts w:ascii="Arial" w:eastAsia="Times New Roman" w:hAnsi="Arial" w:cs="Arial"/>
          <w:color w:val="000000" w:themeColor="text1"/>
          <w:lang w:val="en-US" w:eastAsia="de-DE"/>
        </w:rPr>
        <w:instrText>e, we have summarized the different experimental techniques used to study adipocyte cell size and describe adipocyte size in relation to insulin resistance, type 2 diabetes, and diet interventions. Hypertrophic adipocytes have an impaired cellular function</w:instrText>
      </w:r>
      <w:r>
        <w:rPr>
          <w:rFonts w:ascii="Arial" w:eastAsia="Times New Roman" w:hAnsi="Arial" w:cs="Arial"/>
          <w:color w:val="000000" w:themeColor="text1"/>
          <w:lang w:val="en-US" w:eastAsia="de-DE"/>
        </w:rPr>
        <w:instrText>, and inherent mechanisms restrict their expansion to protect against cell breakage and subsequent inflammation. Reduction of large fat cells by diet restriction, physical activity, or bariatric surgery therefore is necessary to improve cellular function a</w:instrText>
      </w:r>
      <w:r>
        <w:rPr>
          <w:rFonts w:ascii="Arial" w:eastAsia="Times New Roman" w:hAnsi="Arial" w:cs="Arial"/>
          <w:color w:val="000000" w:themeColor="text1"/>
          <w:lang w:val="en-US" w:eastAsia="de-DE"/>
        </w:rPr>
        <w:instrText xml:space="preserve">nd health. Small fat cells may also be dysfunctional and unable to expand. The distribution and function of the entire cell size range of fat cells, from small to very large fat cells, are an important but understudied aspect of adipose tissue biology. To </w:instrText>
      </w:r>
      <w:r>
        <w:rPr>
          <w:rFonts w:ascii="Arial" w:eastAsia="Times New Roman" w:hAnsi="Arial" w:cs="Arial"/>
          <w:color w:val="000000" w:themeColor="text1"/>
          <w:lang w:val="en-US" w:eastAsia="de-DE"/>
        </w:rPr>
        <w:instrText>prevent dysmetabolism, therapeutic strategies to expand small fat cells, recruit new fat cells, and reduce large fat cells are needed.","author":[{"dropping-particle":"","family":"Stenkula","given":"Karin G.","non-dropping-particle":"","parse-names":false,</w:instrText>
      </w:r>
      <w:r>
        <w:rPr>
          <w:rFonts w:ascii="Arial" w:eastAsia="Times New Roman" w:hAnsi="Arial" w:cs="Arial"/>
          <w:color w:val="000000" w:themeColor="text1"/>
          <w:lang w:val="en-US" w:eastAsia="de-DE"/>
        </w:rPr>
        <w:instrText>"suffix":""},{"dropping-particle":"","family":"Erlanson-Albertsson","given":"Charlotte","non-dropping-particle":"","parse-names":false,"suffix":""}],"container-title":"American Journal of Physiology - Regulatory Integrative and Comparative Physiology","id"</w:instrText>
      </w:r>
      <w:r>
        <w:rPr>
          <w:rFonts w:ascii="Arial" w:eastAsia="Times New Roman" w:hAnsi="Arial" w:cs="Arial"/>
          <w:color w:val="000000" w:themeColor="text1"/>
          <w:lang w:val="en-US" w:eastAsia="de-DE"/>
        </w:rPr>
        <w:instrText>:"ITEM-1","issue":"2","issued":{"date-parts":[["2018","8","20"]]},"page":"R284-R295","publisher":"American Physiological Society","title":"Adipose cell size: Importance in health and disease","type":"article-journal","volume":"315"},"uris":["http://www.men</w:instrText>
      </w:r>
      <w:r>
        <w:rPr>
          <w:rFonts w:ascii="Arial" w:eastAsia="Times New Roman" w:hAnsi="Arial" w:cs="Arial"/>
          <w:color w:val="000000" w:themeColor="text1"/>
          <w:lang w:val="en-US" w:eastAsia="de-DE"/>
        </w:rPr>
        <w:instrText xml:space="preserve">deley.com/documents/?uuid=591b843b-5794-3e69-b1de-3d76343db1e1"]},{"id":"ITEM-2","itemData":{"DOI":"10.1038/s41598-019-49418-0","ISSN":"2045-2322","PMID":"31506540","abstract":"Adipose tissue plays a major role in regulating whole-body insulin sensitivity </w:instrText>
      </w:r>
      <w:r>
        <w:rPr>
          <w:rFonts w:ascii="Arial" w:eastAsia="Times New Roman" w:hAnsi="Arial" w:cs="Arial"/>
          <w:color w:val="000000" w:themeColor="text1"/>
          <w:lang w:val="en-US" w:eastAsia="de-DE"/>
        </w:rPr>
        <w:instrText>and energy metabolism. To accommodate surplus energy, the tissue rapidly expands by increasing adipose cell size (hypertrophy) and cell number (hyperplasia). Previous studies have shown that enlarged, hypertrophic adipocytes are less responsive to insulin,</w:instrText>
      </w:r>
      <w:r>
        <w:rPr>
          <w:rFonts w:ascii="Arial" w:eastAsia="Times New Roman" w:hAnsi="Arial" w:cs="Arial"/>
          <w:color w:val="000000" w:themeColor="text1"/>
          <w:lang w:val="en-US" w:eastAsia="de-DE"/>
        </w:rPr>
        <w:instrText xml:space="preserve"> and that adipocyte size could serve as a predictor for the development of type 2 diabetes. In the present study, we demonstrate that changes in adipocyte size correlate with a drastic remodeling of the actin cytoskeleton. Expansion of primary adipocytes f</w:instrText>
      </w:r>
      <w:r>
        <w:rPr>
          <w:rFonts w:ascii="Arial" w:eastAsia="Times New Roman" w:hAnsi="Arial" w:cs="Arial"/>
          <w:color w:val="000000" w:themeColor="text1"/>
          <w:lang w:val="en-US" w:eastAsia="de-DE"/>
        </w:rPr>
        <w:instrText>ollowing 2 weeks of high-fat diet (HFD)-feeding in C57BL6/J mice was associated with a drastic increase in filamentous (F)-actin as assessed by fluorescence microscopy, increased Rho-kinase activity, and changed expression of actin-regulating proteins, fav</w:instrText>
      </w:r>
      <w:r>
        <w:rPr>
          <w:rFonts w:ascii="Arial" w:eastAsia="Times New Roman" w:hAnsi="Arial" w:cs="Arial"/>
          <w:color w:val="000000" w:themeColor="text1"/>
          <w:lang w:val="en-US" w:eastAsia="de-DE"/>
        </w:rPr>
        <w:instrText>oring actin polymerization. At the same time, increased cell size was associated with impaired insulin response, while the interaction between the cytoskeletal scaffolding protein IQGAP1 and insulin receptor substrate (IRS)-1 remained intact. Reversed feed</w:instrText>
      </w:r>
      <w:r>
        <w:rPr>
          <w:rFonts w:ascii="Arial" w:eastAsia="Times New Roman" w:hAnsi="Arial" w:cs="Arial"/>
          <w:color w:val="000000" w:themeColor="text1"/>
          <w:lang w:val="en-US" w:eastAsia="de-DE"/>
        </w:rPr>
        <w:instrText>ing from HFD to chow restored cell size, insulin response, expression of actin-regulatory proteins and decreased the amount of F-actin filaments. Together, we report a drastic cytoskeletal remodeling during adipocyte expansion, a process which could contri</w:instrText>
      </w:r>
      <w:r>
        <w:rPr>
          <w:rFonts w:ascii="Arial" w:eastAsia="Times New Roman" w:hAnsi="Arial" w:cs="Arial"/>
          <w:color w:val="000000" w:themeColor="text1"/>
          <w:lang w:val="en-US" w:eastAsia="de-DE"/>
        </w:rPr>
        <w:instrText>bute to deteriorating adipocyte function.","author":[{"dropping-particle":"","family":"Hansson","given":"Björn","non-dropping-particle":"","parse-names":false,"suffix":""},{"dropping-particle":"","family":"Morén","given":"Björn","non-dropping-particle":"",</w:instrText>
      </w:r>
      <w:r>
        <w:rPr>
          <w:rFonts w:ascii="Arial" w:eastAsia="Times New Roman" w:hAnsi="Arial" w:cs="Arial"/>
          <w:color w:val="000000" w:themeColor="text1"/>
          <w:lang w:val="en-US" w:eastAsia="de-DE"/>
        </w:rPr>
        <w:instrText>"parse-names":false,"suffix":""},{"dropping-particle":"","family":"Fryklund","given":"Claes","non-dropping-particle":"","parse-names":false,"suffix":""},{"dropping-particle":"","family":"Vliex","given":"Lars","non-dropping-particle":"","parse-names":false,</w:instrText>
      </w:r>
      <w:r>
        <w:rPr>
          <w:rFonts w:ascii="Arial" w:eastAsia="Times New Roman" w:hAnsi="Arial" w:cs="Arial"/>
          <w:color w:val="000000" w:themeColor="text1"/>
          <w:lang w:val="en-US" w:eastAsia="de-DE"/>
        </w:rPr>
        <w:instrText>"suffix":""},{"dropping-particle":"","family":"Wasserstrom","given":"Sebastian","non-dropping-particle":"","parse-names":false,"suffix":""},{"dropping-particle":"","family":"Albinsson","given":"Sebastian","non-dropping-particle":"","parse-names":false,"suf</w:instrText>
      </w:r>
      <w:r>
        <w:rPr>
          <w:rFonts w:ascii="Arial" w:eastAsia="Times New Roman" w:hAnsi="Arial" w:cs="Arial"/>
          <w:color w:val="000000" w:themeColor="text1"/>
          <w:lang w:val="en-US" w:eastAsia="de-DE"/>
        </w:rPr>
        <w:instrText>fix":""},{"dropping-particle":"","family":"Berger","given":"Karin","non-dropping-particle":"","parse-names":false,"suffix":""},{"dropping-particle":"","family":"Stenkula","given":"Karin G.","non-dropping-particle":"","parse-names":false,"suffix":""}],"cont</w:instrText>
      </w:r>
      <w:r>
        <w:rPr>
          <w:rFonts w:ascii="Arial" w:eastAsia="Times New Roman" w:hAnsi="Arial" w:cs="Arial"/>
          <w:color w:val="000000" w:themeColor="text1"/>
          <w:lang w:val="en-US" w:eastAsia="de-DE"/>
        </w:rPr>
        <w:instrText>ainer-title":"Scientific Reports 2019 9:1","id":"ITEM-2","issue":"1","issued":{"date-parts":[["2019","9","10"]]},"page":"1-14","publisher":"Nature Publishing Group","title":"Adipose cell size changes are associated with a drastic actin remodeling","type":"</w:instrText>
      </w:r>
      <w:r>
        <w:rPr>
          <w:rFonts w:ascii="Arial" w:eastAsia="Times New Roman" w:hAnsi="Arial" w:cs="Arial"/>
          <w:color w:val="000000" w:themeColor="text1"/>
          <w:lang w:val="en-US" w:eastAsia="de-DE"/>
        </w:rPr>
        <w:instrText>article-journal","volume":"9"},"uris":["http://www.mendeley.com/documents/?uuid=8f148990-1e19-3bd1-baa2-c434532df8c3"]}],"mendeley":{"formattedCitation":"&lt;sup&gt;226,398&lt;/sup&gt;","plainTextFormattedCitation":"226,398","previouslyFormattedCitation":"&lt;sup&gt;226,398</w:instrText>
      </w:r>
      <w:r>
        <w:rPr>
          <w:rFonts w:ascii="Arial" w:eastAsia="Times New Roman" w:hAnsi="Arial" w:cs="Arial"/>
          <w:color w:val="000000" w:themeColor="text1"/>
          <w:lang w:val="en-US" w:eastAsia="de-DE"/>
        </w:rPr>
        <w:instrText>&lt;/sup&gt;"},"properties":{"noteIndex":0},"schema":"https://github.com/citation-style-language/schema/raw/master/csl-citation.json"}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226,398</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In particular, in the context of severe obesity, increased adipocyte size predicts insulin resistance, even after ac</w:t>
      </w:r>
      <w:r>
        <w:rPr>
          <w:rFonts w:ascii="Arial" w:eastAsia="Times New Roman" w:hAnsi="Arial" w:cs="Arial"/>
          <w:color w:val="000000" w:themeColor="text1"/>
          <w:lang w:val="en-US" w:eastAsia="de-DE"/>
        </w:rPr>
        <w:t>counting for total fat mass</w:t>
      </w:r>
      <w:r>
        <w:rPr>
          <w:rFonts w:ascii="Arial" w:eastAsia="Times New Roman" w:hAnsi="Arial" w:cs="Arial"/>
          <w:color w:val="000000" w:themeColor="text1"/>
          <w:lang w:val="en-US" w:eastAsia="de-DE"/>
        </w:rPr>
        <w:fldChar w:fldCharType="begin" w:fldLock="1"/>
      </w:r>
      <w:r>
        <w:rPr>
          <w:rFonts w:ascii="Arial" w:eastAsia="Times New Roman" w:hAnsi="Arial" w:cs="Arial"/>
          <w:color w:val="000000" w:themeColor="text1"/>
          <w:lang w:val="en-US" w:eastAsia="de-DE"/>
        </w:rPr>
        <w:instrText>ADDIN CSL_CITATION {"citationItems":[{"id":"ITEM-1","itemData":{"DOI":"10.1210/jc.2014-1074","ISSN":"0021-972X","author":[{"dropping-particle":"","family":"Cotillard","given":"Aurelie","non-dropping-particle":"","parse-names":fal</w:instrText>
      </w:r>
      <w:r>
        <w:rPr>
          <w:rFonts w:ascii="Arial" w:eastAsia="Times New Roman" w:hAnsi="Arial" w:cs="Arial"/>
          <w:color w:val="000000" w:themeColor="text1"/>
          <w:lang w:val="en-US" w:eastAsia="de-DE"/>
        </w:rPr>
        <w:instrText>se,"suffix":""},{"dropping-particle":"","family":"Poitou","given":"Christine","non-dropping-particle":"","parse-names":false,"suffix":""},{"dropping-particle":"","family":"Torcivia","given":"Adriana","non-dropping-particle":"","parse-names":false,"suffix":</w:instrText>
      </w:r>
      <w:r>
        <w:rPr>
          <w:rFonts w:ascii="Arial" w:eastAsia="Times New Roman" w:hAnsi="Arial" w:cs="Arial"/>
          <w:color w:val="000000" w:themeColor="text1"/>
          <w:lang w:val="en-US" w:eastAsia="de-DE"/>
        </w:rPr>
        <w:instrText>""},{"dropping-particle":"","family":"Bouillot","given":"Jean-Luc","non-dropping-particle":"","parse-names":false,"suffix":""},{"dropping-particle":"","family":"Dietrich","given":"Arne","non-dropping-particle":"","parse-names":false,"suffix":""},{"dropping</w:instrText>
      </w:r>
      <w:r>
        <w:rPr>
          <w:rFonts w:ascii="Arial" w:eastAsia="Times New Roman" w:hAnsi="Arial" w:cs="Arial"/>
          <w:color w:val="000000" w:themeColor="text1"/>
          <w:lang w:val="en-US" w:eastAsia="de-DE"/>
        </w:rPr>
        <w:instrText>-particle":"","family":"Klöting","given":"Nora","non-dropping-particle":"","parse-names":false,"suffix":""},{"dropping-particle":"","family":"Grégoire","given":"Cécile","non-dropping-particle":"","parse-names":false,"suffix":""},{"dropping-particle":"","fa</w:instrText>
      </w:r>
      <w:r>
        <w:rPr>
          <w:rFonts w:ascii="Arial" w:eastAsia="Times New Roman" w:hAnsi="Arial" w:cs="Arial"/>
          <w:color w:val="000000" w:themeColor="text1"/>
          <w:lang w:val="en-US" w:eastAsia="de-DE"/>
        </w:rPr>
        <w:instrText>mily":"Lolmede","given":"Karine","non-dropping-particle":"","parse-names":false,"suffix":""},{"dropping-particle":"","family":"Blüher","given":"Matthias","non-dropping-particle":"","parse-names":false,"suffix":""},{"dropping-particle":"","family":"Clément"</w:instrText>
      </w:r>
      <w:r>
        <w:rPr>
          <w:rFonts w:ascii="Arial" w:eastAsia="Times New Roman" w:hAnsi="Arial" w:cs="Arial"/>
          <w:color w:val="000000" w:themeColor="text1"/>
          <w:lang w:val="en-US" w:eastAsia="de-DE"/>
        </w:rPr>
        <w:instrText>,"given":"Karine","non-dropping-particle":"","parse-names":false,"suffix":""}],"container-title":"The Journal of Clinical Endocrinology &amp; Metabolism","id":"ITEM-1","issue":"8","issued":{"date-parts":[["2014","8","1"]]},"page":"E1466-E1470","publisher":"Oxf</w:instrText>
      </w:r>
      <w:r>
        <w:rPr>
          <w:rFonts w:ascii="Arial" w:eastAsia="Times New Roman" w:hAnsi="Arial" w:cs="Arial"/>
          <w:color w:val="000000" w:themeColor="text1"/>
          <w:lang w:val="en-US" w:eastAsia="de-DE"/>
        </w:rPr>
        <w:instrText>ord Academic","title":"Adipocyte Size Threshold Matters: Link with Risk of Type 2 Diabetes and Improved Insulin Resistance After Gastric Bypass","type":"article-journal","volume":"99"},"uris":["http://www.mendeley.com/documents/?uuid=822fd3e2-1320-3e3b-922</w:instrText>
      </w:r>
      <w:r>
        <w:rPr>
          <w:rFonts w:ascii="Arial" w:eastAsia="Times New Roman" w:hAnsi="Arial" w:cs="Arial"/>
          <w:color w:val="000000" w:themeColor="text1"/>
          <w:lang w:val="en-US" w:eastAsia="de-DE"/>
        </w:rPr>
        <w:instrText>1-8e1e652cc1ec"]},{"id":"ITEM-2","itemData":{"DOI":"10.1038/ijo.2015.18","ISSN":"0307-0565","abstract":"Cross-sectional studies show that white adipose tissue hypertrophy (few, large adipocytes), in contrast to hyperplasia (many, small adipocytes), associa</w:instrText>
      </w:r>
      <w:r>
        <w:rPr>
          <w:rFonts w:ascii="Arial" w:eastAsia="Times New Roman" w:hAnsi="Arial" w:cs="Arial"/>
          <w:color w:val="000000" w:themeColor="text1"/>
          <w:lang w:val="en-US" w:eastAsia="de-DE"/>
        </w:rPr>
        <w:instrText>tes with insulin resistance and increased risk of developing type 2 diabetes. We investigated if baseline adipose cellularity could predict improvements in insulin sensitivity following weight loss. Plasma samples and subcutaneous abdominal adipose biopsie</w:instrText>
      </w:r>
      <w:r>
        <w:rPr>
          <w:rFonts w:ascii="Arial" w:eastAsia="Times New Roman" w:hAnsi="Arial" w:cs="Arial"/>
          <w:color w:val="000000" w:themeColor="text1"/>
          <w:lang w:val="en-US" w:eastAsia="de-DE"/>
        </w:rPr>
        <w:instrText>s were examined in 100 overweight or obese individuals before and 10 weeks after a hypocaloric diet (7±3% weight loss) and in 61 obese subjects before and 2 years after gastric by-pass surgery (33±9% weight loss). The degree of adipose tissue hypertrophy o</w:instrText>
      </w:r>
      <w:r>
        <w:rPr>
          <w:rFonts w:ascii="Arial" w:eastAsia="Times New Roman" w:hAnsi="Arial" w:cs="Arial"/>
          <w:color w:val="000000" w:themeColor="text1"/>
          <w:lang w:val="en-US" w:eastAsia="de-DE"/>
        </w:rPr>
        <w:instrText>r hyperplasia (termed the morphology value) in each individual was calculated on the basis of the relationship between fat cell volume and total fat mass. Insulin sensitivity was determined by homeostasis model assessment-estimated insulin resistance (HOMA</w:instrText>
      </w:r>
      <w:r>
        <w:rPr>
          <w:rFonts w:ascii="Arial" w:eastAsia="Times New Roman" w:hAnsi="Arial" w:cs="Arial"/>
          <w:color w:val="000000" w:themeColor="text1"/>
          <w:lang w:val="en-US" w:eastAsia="de-DE"/>
        </w:rPr>
        <w:instrText>IR). In both cohorts at baseline, subjects with hypertrophy displayed significantly higher fasting plasma insulin and HOMAIR values than subjects with hyperplasia (P&lt;0.0001), despite similar total fat mass. Plasma insulin and HOMAIR were normalized in both</w:instrText>
      </w:r>
      <w:r>
        <w:rPr>
          <w:rFonts w:ascii="Arial" w:eastAsia="Times New Roman" w:hAnsi="Arial" w:cs="Arial"/>
          <w:color w:val="000000" w:themeColor="text1"/>
          <w:lang w:val="en-US" w:eastAsia="de-DE"/>
        </w:rPr>
        <w:instrText xml:space="preserve"> cohorts following weight loss. The improvement (delta insulin or delta HOMAIR) was more pronounced in individuals with hypertrophy, irrespective of whether adipose morphology was used as a continuous (P=0.0002–0.027) or nominal variable (P=0.002–0.047). A</w:instrText>
      </w:r>
      <w:r>
        <w:rPr>
          <w:rFonts w:ascii="Arial" w:eastAsia="Times New Roman" w:hAnsi="Arial" w:cs="Arial"/>
          <w:color w:val="000000" w:themeColor="text1"/>
          <w:lang w:val="en-US" w:eastAsia="de-DE"/>
        </w:rPr>
        <w:instrText>bsolute adipocyte size associated (although weaker than morphology) with HOMAIR improvement only in the surgery cohort. Anthropometric measures at baseline (fat mass, body mass index, waist-to-hip ratio or waist circumference) showed no significant associa</w:instrText>
      </w:r>
      <w:r>
        <w:rPr>
          <w:rFonts w:ascii="Arial" w:eastAsia="Times New Roman" w:hAnsi="Arial" w:cs="Arial"/>
          <w:color w:val="000000" w:themeColor="text1"/>
          <w:lang w:val="en-US" w:eastAsia="de-DE"/>
        </w:rPr>
        <w:instrText>tion with delta insulin or delta HOMAIR. In contrast to anthropometric variables or fat cell size, subcutaneous adipose morphology predicts improvement in insulin sensitivity following both moderate and pronounced weight loss in overweight/obese subjects."</w:instrText>
      </w:r>
      <w:r>
        <w:rPr>
          <w:rFonts w:ascii="Arial" w:eastAsia="Times New Roman" w:hAnsi="Arial" w:cs="Arial"/>
          <w:color w:val="000000" w:themeColor="text1"/>
          <w:lang w:val="en-US" w:eastAsia="de-DE"/>
        </w:rPr>
        <w:instrText>,"author":[{"dropping-particle":"","family":"Eriksson-Hogling","given":"D","non-dropping-particle":"","parse-names":false,"suffix":""},{"dropping-particle":"","family":"Andersson","given":"D P","non-dropping-particle":"","parse-names":false,"suffix":""},{"</w:instrText>
      </w:r>
      <w:r>
        <w:rPr>
          <w:rFonts w:ascii="Arial" w:eastAsia="Times New Roman" w:hAnsi="Arial" w:cs="Arial"/>
          <w:color w:val="000000" w:themeColor="text1"/>
          <w:lang w:val="en-US" w:eastAsia="de-DE"/>
        </w:rPr>
        <w:instrText>dropping-particle":"","family":"Bäckdahl","given":"J","non-dropping-particle":"","parse-names":false,"suffix":""},{"dropping-particle":"","family":"Hoffstedt","given":"J","non-dropping-particle":"","parse-names":false,"suffix":""},{"dropping-particle":"","</w:instrText>
      </w:r>
      <w:r>
        <w:rPr>
          <w:rFonts w:ascii="Arial" w:eastAsia="Times New Roman" w:hAnsi="Arial" w:cs="Arial"/>
          <w:color w:val="000000" w:themeColor="text1"/>
          <w:lang w:val="en-US" w:eastAsia="de-DE"/>
        </w:rPr>
        <w:instrText>family":"Rössner","given":"S","non-dropping-particle":"","parse-names":false,"suffix":""},{"dropping-particle":"","family":"Thorell","given":"A","non-dropping-particle":"","parse-names":false,"suffix":""},{"dropping-particle":"","family":"Arner","given":"E</w:instrText>
      </w:r>
      <w:r>
        <w:rPr>
          <w:rFonts w:ascii="Arial" w:eastAsia="Times New Roman" w:hAnsi="Arial" w:cs="Arial"/>
          <w:color w:val="000000" w:themeColor="text1"/>
          <w:lang w:val="en-US" w:eastAsia="de-DE"/>
        </w:rPr>
        <w:instrText>","non-dropping-particle":"","parse-names":false,"suffix":""},{"dropping-particle":"","family":"Arner","given":"P","non-dropping-particle":"","parse-names":false,"suffix":""},{"dropping-particle":"","family":"Rydén","given":"M","non-dropping-particle":"","</w:instrText>
      </w:r>
      <w:r>
        <w:rPr>
          <w:rFonts w:ascii="Arial" w:eastAsia="Times New Roman" w:hAnsi="Arial" w:cs="Arial"/>
          <w:color w:val="000000" w:themeColor="text1"/>
          <w:lang w:val="en-US" w:eastAsia="de-DE"/>
        </w:rPr>
        <w:instrText>parse-names":false,"suffix":""}],"container-title":"International Journal of Obesity","id":"ITEM-2","issue":"6","issued":{"date-parts":[["2015","6","10"]]},"page":"893-898","publisher":"Nature Publishing Group","title":"Adipose tissue morphology predicts i</w:instrText>
      </w:r>
      <w:r>
        <w:rPr>
          <w:rFonts w:ascii="Arial" w:eastAsia="Times New Roman" w:hAnsi="Arial" w:cs="Arial"/>
          <w:color w:val="000000" w:themeColor="text1"/>
          <w:lang w:val="en-US" w:eastAsia="de-DE"/>
        </w:rPr>
        <w:instrText>mproved insulin sensitivity following moderate or pronounced weight loss","type":"article-journal","volume":"39"},"uris":["http://www.mendeley.com/documents/?uuid=c960ffef-ac14-3017-8dfd-36236c6d4fbb"]}],"mendeley":{"formattedCitation":"&lt;sup&gt;399,400&lt;/sup&gt;"</w:instrText>
      </w:r>
      <w:r>
        <w:rPr>
          <w:rFonts w:ascii="Arial" w:eastAsia="Times New Roman" w:hAnsi="Arial" w:cs="Arial"/>
          <w:color w:val="000000" w:themeColor="text1"/>
          <w:lang w:val="en-US" w:eastAsia="de-DE"/>
        </w:rPr>
        <w:instrText>,"plainTextFormattedCitation":"399,400","previouslyFormattedCitation":"&lt;sup&gt;399,400&lt;/sup&gt;"},"properties":{"noteIndex":0},"schema":"https://github.com/citation-style-language/schema/raw/master/csl-citation.json"}</w:instrText>
      </w:r>
      <w:r>
        <w:rPr>
          <w:rFonts w:ascii="Arial" w:eastAsia="Times New Roman" w:hAnsi="Arial" w:cs="Arial"/>
          <w:color w:val="000000" w:themeColor="text1"/>
          <w:lang w:val="en-US" w:eastAsia="de-DE"/>
        </w:rPr>
        <w:fldChar w:fldCharType="separate"/>
      </w:r>
      <w:r>
        <w:rPr>
          <w:rFonts w:ascii="Arial" w:eastAsia="Times New Roman" w:hAnsi="Arial" w:cs="Arial"/>
          <w:noProof/>
          <w:color w:val="000000" w:themeColor="text1"/>
          <w:vertAlign w:val="superscript"/>
          <w:lang w:val="en-US" w:eastAsia="de-DE"/>
        </w:rPr>
        <w:t>399,400</w:t>
      </w:r>
      <w:r>
        <w:rPr>
          <w:rFonts w:ascii="Arial" w:eastAsia="Times New Roman" w:hAnsi="Arial" w:cs="Arial"/>
          <w:color w:val="000000" w:themeColor="text1"/>
          <w:lang w:val="en-US" w:eastAsia="de-DE"/>
        </w:rPr>
        <w:fldChar w:fldCharType="end"/>
      </w:r>
      <w:r>
        <w:rPr>
          <w:rFonts w:ascii="Arial" w:eastAsia="Times New Roman" w:hAnsi="Arial" w:cs="Arial"/>
          <w:color w:val="000000" w:themeColor="text1"/>
          <w:lang w:val="en-US" w:eastAsia="de-DE"/>
        </w:rPr>
        <w:t>. However, the underlying mechanism</w:t>
      </w:r>
      <w:r>
        <w:rPr>
          <w:rFonts w:ascii="Arial" w:eastAsia="Times New Roman" w:hAnsi="Arial" w:cs="Arial"/>
          <w:color w:val="000000" w:themeColor="text1"/>
          <w:lang w:val="en-US" w:eastAsia="de-DE"/>
        </w:rPr>
        <w:t xml:space="preserve">s remain largely unclear. </w:t>
      </w:r>
    </w:p>
    <w:p w14:paraId="2A0368B3"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b/>
          <w:bCs/>
          <w:color w:val="000000"/>
          <w:u w:val="single"/>
          <w:lang w:val="en-US" w:eastAsia="de-DE"/>
        </w:rPr>
        <w:t xml:space="preserve">9 Concluding </w:t>
      </w:r>
      <w:proofErr w:type="gramStart"/>
      <w:r>
        <w:rPr>
          <w:rFonts w:ascii="Arial" w:eastAsia="Times New Roman" w:hAnsi="Arial" w:cs="Arial"/>
          <w:b/>
          <w:bCs/>
          <w:color w:val="000000"/>
          <w:u w:val="single"/>
          <w:lang w:val="en-US" w:eastAsia="de-DE"/>
        </w:rPr>
        <w:t>remarks</w:t>
      </w:r>
      <w:proofErr w:type="gramEnd"/>
    </w:p>
    <w:p w14:paraId="5FD456F8" w14:textId="77777777" w:rsidR="00066D11" w:rsidRDefault="00E55468">
      <w:pPr>
        <w:spacing w:before="240" w:after="240" w:line="240" w:lineRule="auto"/>
        <w:jc w:val="both"/>
        <w:rPr>
          <w:rFonts w:ascii="Arial" w:eastAsia="Times New Roman" w:hAnsi="Arial" w:cs="Arial"/>
          <w:color w:val="000000" w:themeColor="text1"/>
          <w:lang w:val="en-US" w:eastAsia="de-DE"/>
        </w:rPr>
      </w:pPr>
      <w:r>
        <w:rPr>
          <w:rFonts w:ascii="Arial" w:eastAsia="Times New Roman" w:hAnsi="Arial" w:cs="Arial"/>
          <w:color w:val="000000" w:themeColor="text1"/>
          <w:lang w:val="en-US" w:eastAsia="de-DE"/>
        </w:rPr>
        <w:t xml:space="preserve">For a long time, cell size, and in particular the question of how cells control their own size, has been studied as a mostly isolated problem in the cell cycle community. Driven by the finding that </w:t>
      </w:r>
      <w:r>
        <w:rPr>
          <w:rFonts w:ascii="Arial" w:eastAsia="Times New Roman" w:hAnsi="Arial" w:cs="Arial"/>
          <w:color w:val="000000" w:themeColor="text1"/>
          <w:lang w:val="en-US" w:eastAsia="de-DE"/>
        </w:rPr>
        <w:t>changes in cell size cause a global change of absolute and relative protein concentrations, this situation started to rapidly change in the last few years. In essence, the broad changes across the proteome suggest that cell size has the potential to affect</w:t>
      </w:r>
      <w:r>
        <w:rPr>
          <w:rFonts w:ascii="Arial" w:eastAsia="Times New Roman" w:hAnsi="Arial" w:cs="Arial"/>
          <w:color w:val="000000" w:themeColor="text1"/>
          <w:lang w:val="en-US" w:eastAsia="de-DE"/>
        </w:rPr>
        <w:t xml:space="preserve"> almost any biological process. The causal contribution of cell size to aging and cellular senescence are two prominent examples, but it seems likely that the coming years will bring to light many more cell-size-driven phenomena. In any scenario where cell</w:t>
      </w:r>
      <w:r>
        <w:rPr>
          <w:rFonts w:ascii="Arial" w:eastAsia="Times New Roman" w:hAnsi="Arial" w:cs="Arial"/>
          <w:color w:val="000000" w:themeColor="text1"/>
          <w:lang w:val="en-US" w:eastAsia="de-DE"/>
        </w:rPr>
        <w:t xml:space="preserve"> size changes in response to drug treatment, biological processes, or genetic or environmental perturbations, it will be critical to reassess the changes of transcriptome, proteome, or metabolome, attributed to the specific process by ‘normalizing’ on the </w:t>
      </w:r>
      <w:r>
        <w:rPr>
          <w:rFonts w:ascii="Arial" w:eastAsia="Times New Roman" w:hAnsi="Arial" w:cs="Arial"/>
          <w:color w:val="000000" w:themeColor="text1"/>
          <w:lang w:val="en-US" w:eastAsia="de-DE"/>
        </w:rPr>
        <w:t>purely cell size dependent signature. An important prerequisite for this will be the careful quantification of these cell size dependent changes. Using orthogonal strategies of cell size dependent sorting or cell size manipulation, first studies have alrea</w:t>
      </w:r>
      <w:r>
        <w:rPr>
          <w:rFonts w:ascii="Arial" w:eastAsia="Times New Roman" w:hAnsi="Arial" w:cs="Arial"/>
          <w:color w:val="000000" w:themeColor="text1"/>
          <w:lang w:val="en-US" w:eastAsia="de-DE"/>
        </w:rPr>
        <w:t xml:space="preserve">dy succeeded in distilling the genome-wide changes caused by changes in cell size. However, at this point it is not yet entirely clear to what extent these depend on biological context, such as cell type or environmental conditions. Understanding how cell </w:t>
      </w:r>
      <w:r>
        <w:rPr>
          <w:rFonts w:ascii="Arial" w:eastAsia="Times New Roman" w:hAnsi="Arial" w:cs="Arial"/>
          <w:color w:val="000000" w:themeColor="text1"/>
          <w:lang w:val="en-US" w:eastAsia="de-DE"/>
        </w:rPr>
        <w:t>size affects specific cell types will also be of major importance to reveal potential causal links to cell size and the underlying mechanisms for the many diseases where correlations with altered cell size have been observed (Fig. 10).</w:t>
      </w:r>
    </w:p>
    <w:p w14:paraId="70194DEB" w14:textId="77777777" w:rsidR="00066D11" w:rsidRDefault="00E55468">
      <w:pPr>
        <w:spacing w:before="240" w:after="240" w:line="240" w:lineRule="auto"/>
        <w:jc w:val="center"/>
        <w:rPr>
          <w:rFonts w:ascii="Arial" w:eastAsia="Times New Roman" w:hAnsi="Arial" w:cs="Arial"/>
          <w:color w:val="000000" w:themeColor="text1"/>
          <w:lang w:val="en-US" w:eastAsia="de-DE"/>
        </w:rPr>
      </w:pPr>
      <w:r>
        <w:rPr>
          <w:rFonts w:ascii="Arial" w:eastAsia="Times New Roman" w:hAnsi="Arial" w:cs="Arial"/>
          <w:noProof/>
          <w:color w:val="000000" w:themeColor="text1"/>
          <w:lang w:eastAsia="de-DE"/>
        </w:rPr>
        <w:lastRenderedPageBreak/>
        <w:drawing>
          <wp:inline distT="0" distB="0" distL="0" distR="0" wp14:anchorId="07DF7346" wp14:editId="2255FDFA">
            <wp:extent cx="5731510" cy="4052570"/>
            <wp:effectExtent l="0" t="0" r="2540" b="5080"/>
            <wp:docPr id="473857754" name="Picture 1" descr="A question mark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57754" name="Picture 1" descr="A question mark with text&#10;&#10;Description automatically generated"/>
                    <pic:cNvPicPr/>
                  </pic:nvPicPr>
                  <pic:blipFill>
                    <a:blip r:embed="rId18"/>
                    <a:stretch>
                      <a:fillRect/>
                    </a:stretch>
                  </pic:blipFill>
                  <pic:spPr>
                    <a:xfrm>
                      <a:off x="0" y="0"/>
                      <a:ext cx="5731510" cy="4052570"/>
                    </a:xfrm>
                    <a:prstGeom prst="rect">
                      <a:avLst/>
                    </a:prstGeom>
                  </pic:spPr>
                </pic:pic>
              </a:graphicData>
            </a:graphic>
          </wp:inline>
        </w:drawing>
      </w:r>
    </w:p>
    <w:p w14:paraId="15CF2ACF" w14:textId="77777777" w:rsidR="00066D11" w:rsidRDefault="00E55468">
      <w:pPr>
        <w:spacing w:before="240" w:after="240" w:line="240" w:lineRule="auto"/>
        <w:rPr>
          <w:rFonts w:ascii="Arial" w:eastAsia="Times New Roman" w:hAnsi="Arial" w:cs="Arial"/>
          <w:b/>
          <w:bCs/>
          <w:color w:val="000000"/>
          <w:u w:val="single"/>
          <w:lang w:val="en-US" w:eastAsia="de-DE"/>
        </w:rPr>
      </w:pPr>
      <w:r>
        <w:rPr>
          <w:rFonts w:ascii="Arial" w:eastAsia="Times New Roman" w:hAnsi="Arial" w:cs="Arial"/>
          <w:b/>
          <w:bCs/>
          <w:i/>
          <w:iCs/>
          <w:color w:val="000000" w:themeColor="text1"/>
          <w:lang w:val="en-US" w:eastAsia="de-DE"/>
        </w:rPr>
        <w:t xml:space="preserve">Fig. 10: </w:t>
      </w:r>
      <w:r>
        <w:rPr>
          <w:rFonts w:ascii="Arial" w:eastAsia="Times New Roman" w:hAnsi="Arial" w:cs="Arial"/>
          <w:i/>
          <w:iCs/>
          <w:color w:val="000000" w:themeColor="text1"/>
          <w:lang w:val="en-US" w:eastAsia="de-DE"/>
        </w:rPr>
        <w:t>Open ques</w:t>
      </w:r>
      <w:r>
        <w:rPr>
          <w:rFonts w:ascii="Arial" w:eastAsia="Times New Roman" w:hAnsi="Arial" w:cs="Arial"/>
          <w:i/>
          <w:iCs/>
          <w:color w:val="000000" w:themeColor="text1"/>
          <w:lang w:val="en-US" w:eastAsia="de-DE"/>
        </w:rPr>
        <w:t>tions in the field of cell size control.</w:t>
      </w:r>
      <w:r>
        <w:rPr>
          <w:rFonts w:ascii="Arial" w:eastAsia="Times New Roman" w:hAnsi="Arial" w:cs="Arial"/>
          <w:b/>
          <w:bCs/>
          <w:color w:val="000000"/>
          <w:u w:val="single"/>
          <w:lang w:val="en-US" w:eastAsia="de-DE"/>
        </w:rPr>
        <w:br w:type="page"/>
      </w:r>
    </w:p>
    <w:p w14:paraId="47A9F32F" w14:textId="77777777" w:rsidR="00066D11" w:rsidRDefault="00E55468">
      <w:pPr>
        <w:spacing w:before="240" w:after="240" w:line="240" w:lineRule="auto"/>
        <w:jc w:val="both"/>
        <w:rPr>
          <w:rFonts w:ascii="Arial" w:eastAsia="Times New Roman" w:hAnsi="Arial" w:cs="Arial"/>
          <w:b/>
          <w:bCs/>
          <w:color w:val="000000"/>
          <w:u w:val="single"/>
          <w:lang w:val="en-US" w:eastAsia="de-DE"/>
        </w:rPr>
      </w:pPr>
      <w:r>
        <w:rPr>
          <w:rFonts w:ascii="Arial" w:eastAsia="Times New Roman" w:hAnsi="Arial" w:cs="Arial"/>
          <w:b/>
          <w:bCs/>
          <w:color w:val="000000"/>
          <w:u w:val="single"/>
          <w:lang w:val="en-US" w:eastAsia="de-DE"/>
        </w:rPr>
        <w:lastRenderedPageBreak/>
        <w:t>Acknowledgments</w:t>
      </w:r>
    </w:p>
    <w:p w14:paraId="5DE31D73" w14:textId="77777777" w:rsidR="00066D11" w:rsidRDefault="00E55468">
      <w:pPr>
        <w:spacing w:before="240" w:after="240" w:line="240" w:lineRule="auto"/>
        <w:jc w:val="both"/>
        <w:rPr>
          <w:rFonts w:ascii="Arial" w:eastAsia="Times New Roman" w:hAnsi="Arial" w:cs="Arial"/>
          <w:color w:val="000000"/>
          <w:lang w:val="en-US" w:eastAsia="de-DE"/>
        </w:rPr>
      </w:pPr>
      <w:r>
        <w:rPr>
          <w:rFonts w:ascii="Arial" w:eastAsia="Times New Roman" w:hAnsi="Arial" w:cs="Arial"/>
          <w:color w:val="000000"/>
          <w:lang w:val="en-US" w:eastAsia="de-DE"/>
        </w:rPr>
        <w:t xml:space="preserve">This work was funded by the Deutsche </w:t>
      </w:r>
      <w:proofErr w:type="spellStart"/>
      <w:r>
        <w:rPr>
          <w:rFonts w:ascii="Arial" w:eastAsia="Times New Roman" w:hAnsi="Arial" w:cs="Arial"/>
          <w:color w:val="000000"/>
          <w:lang w:val="en-US" w:eastAsia="de-DE"/>
        </w:rPr>
        <w:t>Forschungsgemeinschaft</w:t>
      </w:r>
      <w:proofErr w:type="spellEnd"/>
      <w:r>
        <w:rPr>
          <w:rFonts w:ascii="Arial" w:eastAsia="Times New Roman" w:hAnsi="Arial" w:cs="Arial"/>
          <w:color w:val="000000"/>
          <w:lang w:val="en-US" w:eastAsia="de-DE"/>
        </w:rPr>
        <w:t xml:space="preserve"> (DFG, German Research Foundation) – 431480687, by the Human Frontier Science Program (career development award to K.M.S.), and the Helmhol</w:t>
      </w:r>
      <w:r>
        <w:rPr>
          <w:rFonts w:ascii="Arial" w:eastAsia="Times New Roman" w:hAnsi="Arial" w:cs="Arial"/>
          <w:color w:val="000000"/>
          <w:lang w:val="en-US" w:eastAsia="de-DE"/>
        </w:rPr>
        <w:t>tz Gesellschaft.</w:t>
      </w:r>
    </w:p>
    <w:p w14:paraId="6CEDBAA3" w14:textId="77777777" w:rsidR="00066D11" w:rsidRDefault="00E55468">
      <w:pPr>
        <w:spacing w:before="240" w:after="240" w:line="240" w:lineRule="auto"/>
        <w:jc w:val="both"/>
        <w:rPr>
          <w:rFonts w:ascii="Arial" w:eastAsia="Times New Roman" w:hAnsi="Arial" w:cs="Arial"/>
          <w:b/>
          <w:color w:val="000000"/>
          <w:lang w:val="en-US" w:eastAsia="de-DE"/>
        </w:rPr>
      </w:pPr>
      <w:r>
        <w:rPr>
          <w:rFonts w:ascii="Arial" w:eastAsia="Times New Roman" w:hAnsi="Arial" w:cs="Arial"/>
          <w:b/>
          <w:color w:val="000000"/>
          <w:lang w:val="en-US" w:eastAsia="de-DE"/>
        </w:rPr>
        <w:t>References</w:t>
      </w:r>
    </w:p>
    <w:p w14:paraId="771DF4B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eastAsia="Times New Roman" w:hAnsi="Arial" w:cs="Arial"/>
          <w:lang w:val="en-US" w:eastAsia="de-DE"/>
        </w:rPr>
        <w:fldChar w:fldCharType="begin" w:fldLock="1"/>
      </w:r>
      <w:r>
        <w:rPr>
          <w:rFonts w:ascii="Arial" w:eastAsia="Times New Roman" w:hAnsi="Arial" w:cs="Arial"/>
          <w:lang w:val="en-US" w:eastAsia="de-DE"/>
        </w:rPr>
        <w:instrText xml:space="preserve">ADDIN Mendeley Bibliography CSL_BIBLIOGRAPHY </w:instrText>
      </w:r>
      <w:r>
        <w:rPr>
          <w:rFonts w:ascii="Arial" w:eastAsia="Times New Roman" w:hAnsi="Arial" w:cs="Arial"/>
          <w:lang w:val="en-US" w:eastAsia="de-DE"/>
        </w:rPr>
        <w:fldChar w:fldCharType="separate"/>
      </w:r>
      <w:r>
        <w:rPr>
          <w:rFonts w:ascii="Arial" w:hAnsi="Arial" w:cs="Arial"/>
          <w:noProof/>
          <w:szCs w:val="24"/>
          <w:lang w:val="en-US"/>
        </w:rPr>
        <w:t xml:space="preserve">(1) </w:t>
      </w:r>
      <w:r>
        <w:rPr>
          <w:rFonts w:ascii="Arial" w:hAnsi="Arial" w:cs="Arial"/>
          <w:noProof/>
          <w:szCs w:val="24"/>
          <w:lang w:val="en-US"/>
        </w:rPr>
        <w:tab/>
        <w:t xml:space="preserve">Marguerat, S.; Bahler, J. Coordinating Genome Expression with Cell Size. </w:t>
      </w:r>
      <w:r>
        <w:rPr>
          <w:rFonts w:ascii="Arial" w:hAnsi="Arial" w:cs="Arial"/>
          <w:i/>
          <w:iCs/>
          <w:noProof/>
          <w:szCs w:val="24"/>
          <w:lang w:val="en-US"/>
        </w:rPr>
        <w:t>Trends Genet</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28</w:t>
      </w:r>
      <w:r>
        <w:rPr>
          <w:rFonts w:ascii="Arial" w:hAnsi="Arial" w:cs="Arial"/>
          <w:noProof/>
          <w:szCs w:val="24"/>
          <w:lang w:val="en-US"/>
        </w:rPr>
        <w:t xml:space="preserve"> (11), 560–565.</w:t>
      </w:r>
    </w:p>
    <w:p w14:paraId="5341700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 </w:t>
      </w:r>
      <w:r>
        <w:rPr>
          <w:rFonts w:ascii="Arial" w:hAnsi="Arial" w:cs="Arial"/>
          <w:noProof/>
          <w:szCs w:val="24"/>
          <w:lang w:val="en-US"/>
        </w:rPr>
        <w:tab/>
      </w:r>
      <w:r>
        <w:rPr>
          <w:rFonts w:ascii="Arial" w:hAnsi="Arial" w:cs="Arial"/>
          <w:noProof/>
          <w:szCs w:val="24"/>
          <w:lang w:val="en-US"/>
        </w:rPr>
        <w:t xml:space="preserve">Marshall, W. F. Scaling of Subcellular Structures. </w:t>
      </w:r>
      <w:r>
        <w:rPr>
          <w:rFonts w:ascii="Arial" w:hAnsi="Arial" w:cs="Arial"/>
          <w:i/>
          <w:iCs/>
          <w:noProof/>
          <w:szCs w:val="24"/>
          <w:lang w:val="en-US"/>
        </w:rPr>
        <w:t>Annu. Rev. Cell Dev.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36</w:t>
      </w:r>
      <w:r>
        <w:rPr>
          <w:rFonts w:ascii="Arial" w:hAnsi="Arial" w:cs="Arial"/>
          <w:noProof/>
          <w:szCs w:val="24"/>
          <w:lang w:val="en-US"/>
        </w:rPr>
        <w:t xml:space="preserve"> (1), 219–236.</w:t>
      </w:r>
    </w:p>
    <w:p w14:paraId="1073F09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 </w:t>
      </w:r>
      <w:r>
        <w:rPr>
          <w:rFonts w:ascii="Arial" w:hAnsi="Arial" w:cs="Arial"/>
          <w:noProof/>
          <w:szCs w:val="24"/>
          <w:lang w:val="en-US"/>
        </w:rPr>
        <w:tab/>
        <w:t>Neurohr, G. E.; Terry, R. L.; Lengefeld, J.; Bonney, M.; Brittingham, G. P.; Moretto, F.; Miettinen, T. P.; Vaites, L. P.; Soares, L. M.; Paulo, J. A.</w:t>
      </w:r>
      <w:r>
        <w:rPr>
          <w:rFonts w:ascii="Arial" w:hAnsi="Arial" w:cs="Arial"/>
          <w:noProof/>
          <w:szCs w:val="24"/>
          <w:lang w:val="en-US"/>
        </w:rPr>
        <w:t xml:space="preserve">; et al. Excessive Cell Growth Causes Cytoplasm Dilution And Contributes to Senescence.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176</w:t>
      </w:r>
      <w:r>
        <w:rPr>
          <w:rFonts w:ascii="Arial" w:hAnsi="Arial" w:cs="Arial"/>
          <w:noProof/>
          <w:szCs w:val="24"/>
          <w:lang w:val="en-US"/>
        </w:rPr>
        <w:t xml:space="preserve"> (5), 1083-1097.e18.</w:t>
      </w:r>
    </w:p>
    <w:p w14:paraId="4AE1E39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 </w:t>
      </w:r>
      <w:r>
        <w:rPr>
          <w:rFonts w:ascii="Arial" w:hAnsi="Arial" w:cs="Arial"/>
          <w:noProof/>
          <w:szCs w:val="24"/>
          <w:lang w:val="en-US"/>
        </w:rPr>
        <w:tab/>
        <w:t>Swaffer, M. P.; Kim, J.; Chandler-Brown, D.; Langhinrichs, M.; Marinov, G.; Greenleaf, W. J.; Kundaje, A.; Schmoller, K. M.; Sko</w:t>
      </w:r>
      <w:r>
        <w:rPr>
          <w:rFonts w:ascii="Arial" w:hAnsi="Arial" w:cs="Arial"/>
          <w:noProof/>
          <w:szCs w:val="24"/>
          <w:lang w:val="en-US"/>
        </w:rPr>
        <w:t xml:space="preserve">theim, J. M. Transcriptional and Chromatin-Based Partitioning Mechanisms Uncouple Protein Scaling from Cell Size.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81</w:t>
      </w:r>
      <w:r>
        <w:rPr>
          <w:rFonts w:ascii="Arial" w:hAnsi="Arial" w:cs="Arial"/>
          <w:noProof/>
          <w:szCs w:val="24"/>
          <w:lang w:val="en-US"/>
        </w:rPr>
        <w:t>, 4861–4875.</w:t>
      </w:r>
    </w:p>
    <w:p w14:paraId="56E3FE2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 </w:t>
      </w:r>
      <w:r>
        <w:rPr>
          <w:rFonts w:ascii="Arial" w:hAnsi="Arial" w:cs="Arial"/>
          <w:noProof/>
          <w:szCs w:val="24"/>
          <w:lang w:val="en-US"/>
        </w:rPr>
        <w:tab/>
        <w:t xml:space="preserve">Lanz, M. C.; Zatulovskiy, E.; Swaffer, M. P.; Zhang, L.; Ilerten, I.; Zhang, S.; You, D. S.; Marinov, G.; </w:t>
      </w:r>
      <w:r>
        <w:rPr>
          <w:rFonts w:ascii="Arial" w:hAnsi="Arial" w:cs="Arial"/>
          <w:noProof/>
          <w:szCs w:val="24"/>
          <w:lang w:val="en-US"/>
        </w:rPr>
        <w:t xml:space="preserve">McAlpine, P.; Elias, J. E.; et al. Increasing Cell Size Remodels the Proteome and Promotes Senescence.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82</w:t>
      </w:r>
      <w:r>
        <w:rPr>
          <w:rFonts w:ascii="Arial" w:hAnsi="Arial" w:cs="Arial"/>
          <w:noProof/>
          <w:szCs w:val="24"/>
          <w:lang w:val="en-US"/>
        </w:rPr>
        <w:t xml:space="preserve"> (17), 3255-3269.e8.</w:t>
      </w:r>
    </w:p>
    <w:p w14:paraId="039AEFA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 </w:t>
      </w:r>
      <w:r>
        <w:rPr>
          <w:rFonts w:ascii="Arial" w:hAnsi="Arial" w:cs="Arial"/>
          <w:noProof/>
          <w:szCs w:val="24"/>
          <w:lang w:val="en-US"/>
        </w:rPr>
        <w:tab/>
        <w:t xml:space="preserve">Schmoller, K. M. The Phenomenology of Cell Size Control. </w:t>
      </w:r>
      <w:r>
        <w:rPr>
          <w:rFonts w:ascii="Arial" w:hAnsi="Arial" w:cs="Arial"/>
          <w:i/>
          <w:iCs/>
          <w:noProof/>
          <w:szCs w:val="24"/>
          <w:lang w:val="en-US"/>
        </w:rPr>
        <w:t>Current Opinion in Cell Biology</w:t>
      </w:r>
      <w:r>
        <w:rPr>
          <w:rFonts w:ascii="Arial" w:hAnsi="Arial" w:cs="Arial"/>
          <w:noProof/>
          <w:szCs w:val="24"/>
          <w:lang w:val="en-US"/>
        </w:rPr>
        <w:t>. Elsevier Current Tr</w:t>
      </w:r>
      <w:r>
        <w:rPr>
          <w:rFonts w:ascii="Arial" w:hAnsi="Arial" w:cs="Arial"/>
          <w:noProof/>
          <w:szCs w:val="24"/>
          <w:lang w:val="en-US"/>
        </w:rPr>
        <w:t>ends December 1, 2017, pp 53–58.</w:t>
      </w:r>
    </w:p>
    <w:p w14:paraId="69E86AF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 </w:t>
      </w:r>
      <w:r>
        <w:rPr>
          <w:rFonts w:ascii="Arial" w:hAnsi="Arial" w:cs="Arial"/>
          <w:noProof/>
          <w:szCs w:val="24"/>
          <w:lang w:val="en-US"/>
        </w:rPr>
        <w:tab/>
        <w:t xml:space="preserve">Ginzberg, M. B.; Kafri, R.; Kirschner, M. On Being the Right (Cell) Size.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348</w:t>
      </w:r>
      <w:r>
        <w:rPr>
          <w:rFonts w:ascii="Arial" w:hAnsi="Arial" w:cs="Arial"/>
          <w:noProof/>
          <w:szCs w:val="24"/>
          <w:lang w:val="en-US"/>
        </w:rPr>
        <w:t xml:space="preserve"> (6236), 1245075–1245075.</w:t>
      </w:r>
    </w:p>
    <w:p w14:paraId="145CD11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 </w:t>
      </w:r>
      <w:r>
        <w:rPr>
          <w:rFonts w:ascii="Arial" w:hAnsi="Arial" w:cs="Arial"/>
          <w:noProof/>
          <w:szCs w:val="24"/>
          <w:lang w:val="en-US"/>
        </w:rPr>
        <w:tab/>
      </w:r>
      <w:r>
        <w:rPr>
          <w:rFonts w:ascii="Arial" w:hAnsi="Arial" w:cs="Arial"/>
          <w:noProof/>
          <w:szCs w:val="24"/>
          <w:lang w:val="en-US"/>
        </w:rPr>
        <w:t xml:space="preserve">Davies, D. M.; van den Handel, K.; Bharadwaj, S.; Lengefeld, J. Cellular Enlargement - A New Hallmark of Aging? </w:t>
      </w:r>
      <w:r>
        <w:rPr>
          <w:rFonts w:ascii="Arial" w:hAnsi="Arial" w:cs="Arial"/>
          <w:i/>
          <w:iCs/>
          <w:noProof/>
          <w:szCs w:val="24"/>
          <w:lang w:val="en-US"/>
        </w:rPr>
        <w:t>Front. Cell Dev.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 1036602.</w:t>
      </w:r>
    </w:p>
    <w:p w14:paraId="47CE11C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 </w:t>
      </w:r>
      <w:r>
        <w:rPr>
          <w:rFonts w:ascii="Arial" w:hAnsi="Arial" w:cs="Arial"/>
          <w:noProof/>
          <w:szCs w:val="24"/>
          <w:lang w:val="en-US"/>
        </w:rPr>
        <w:tab/>
        <w:t xml:space="preserve">Manohar, S.; Neurohr, G. E. Too Big Not to Fail: Emerging Evidence for Size-Induced Senescence. </w:t>
      </w:r>
      <w:r>
        <w:rPr>
          <w:rFonts w:ascii="Arial" w:hAnsi="Arial" w:cs="Arial"/>
          <w:i/>
          <w:iCs/>
          <w:noProof/>
          <w:szCs w:val="24"/>
          <w:lang w:val="en-US"/>
        </w:rPr>
        <w:t>F</w:t>
      </w:r>
      <w:r>
        <w:rPr>
          <w:rFonts w:ascii="Arial" w:hAnsi="Arial" w:cs="Arial"/>
          <w:i/>
          <w:iCs/>
          <w:noProof/>
          <w:szCs w:val="24"/>
          <w:lang w:val="en-US"/>
        </w:rPr>
        <w:t>EBS J.</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w:t>
      </w:r>
    </w:p>
    <w:p w14:paraId="478D08D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 </w:t>
      </w:r>
      <w:r>
        <w:rPr>
          <w:rFonts w:ascii="Arial" w:hAnsi="Arial" w:cs="Arial"/>
          <w:noProof/>
          <w:szCs w:val="24"/>
          <w:lang w:val="en-US"/>
        </w:rPr>
        <w:tab/>
        <w:t xml:space="preserve">Xie, S.; Swaffer, M.; Skotheim, J. M. Eukaryotic Cell Size Control and Its Relation to Biosynthesis and Senescence. </w:t>
      </w:r>
      <w:r>
        <w:rPr>
          <w:rFonts w:ascii="Arial" w:hAnsi="Arial" w:cs="Arial"/>
          <w:i/>
          <w:iCs/>
          <w:noProof/>
          <w:szCs w:val="24"/>
          <w:lang w:val="en-US"/>
        </w:rPr>
        <w:t>Annual Review of Cell and Developmental Biology</w:t>
      </w:r>
      <w:r>
        <w:rPr>
          <w:rFonts w:ascii="Arial" w:hAnsi="Arial" w:cs="Arial"/>
          <w:noProof/>
          <w:szCs w:val="24"/>
          <w:lang w:val="en-US"/>
        </w:rPr>
        <w:t>. Annual Reviews October 6, 2022, pp 291–319.</w:t>
      </w:r>
    </w:p>
    <w:p w14:paraId="0899CCA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 </w:t>
      </w:r>
      <w:r>
        <w:rPr>
          <w:rFonts w:ascii="Arial" w:hAnsi="Arial" w:cs="Arial"/>
          <w:noProof/>
          <w:szCs w:val="24"/>
          <w:lang w:val="en-US"/>
        </w:rPr>
        <w:tab/>
        <w:t xml:space="preserve">Lengefeld, J.; Cheng, </w:t>
      </w:r>
      <w:r>
        <w:rPr>
          <w:rFonts w:ascii="Arial" w:hAnsi="Arial" w:cs="Arial"/>
          <w:noProof/>
          <w:szCs w:val="24"/>
          <w:lang w:val="en-US"/>
        </w:rPr>
        <w:t xml:space="preserve">C. W.; Maretich, P.; Blair, M.; Hagen, H.; McReynolds, M. R.; Sullivan, E.; Majors, K.; Roberts, C.; Kang, J. H.; et al. Cell Size Is a Determinant of Stem Cell Potential during Aging. </w:t>
      </w:r>
      <w:r>
        <w:rPr>
          <w:rFonts w:ascii="Arial" w:hAnsi="Arial" w:cs="Arial"/>
          <w:i/>
          <w:iCs/>
          <w:noProof/>
          <w:szCs w:val="24"/>
          <w:lang w:val="en-US"/>
        </w:rPr>
        <w:t>Sci. Adv.</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 xml:space="preserve"> (46), 271.</w:t>
      </w:r>
    </w:p>
    <w:p w14:paraId="0F4C9EE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 </w:t>
      </w:r>
      <w:r>
        <w:rPr>
          <w:rFonts w:ascii="Arial" w:hAnsi="Arial" w:cs="Arial"/>
          <w:noProof/>
          <w:szCs w:val="24"/>
          <w:lang w:val="en-US"/>
        </w:rPr>
        <w:tab/>
        <w:t>Schmidt, E. E.; Schibler, U. Cell Si</w:t>
      </w:r>
      <w:r>
        <w:rPr>
          <w:rFonts w:ascii="Arial" w:hAnsi="Arial" w:cs="Arial"/>
          <w:noProof/>
          <w:szCs w:val="24"/>
          <w:lang w:val="en-US"/>
        </w:rPr>
        <w:t xml:space="preserve">ze Regulation, a Mechanism That Controls Cellular RNA Accumulation: Consequences on Regulation of the Ubiquitous Transcription Factors Oct1 and NF-Y and the Liver-Enriched Transcription Factor DBP.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1995</w:t>
      </w:r>
      <w:r>
        <w:rPr>
          <w:rFonts w:ascii="Arial" w:hAnsi="Arial" w:cs="Arial"/>
          <w:noProof/>
          <w:szCs w:val="24"/>
          <w:lang w:val="en-US"/>
        </w:rPr>
        <w:t xml:space="preserve">, </w:t>
      </w:r>
      <w:r>
        <w:rPr>
          <w:rFonts w:ascii="Arial" w:hAnsi="Arial" w:cs="Arial"/>
          <w:i/>
          <w:iCs/>
          <w:noProof/>
          <w:szCs w:val="24"/>
          <w:lang w:val="en-US"/>
        </w:rPr>
        <w:t>128</w:t>
      </w:r>
      <w:r>
        <w:rPr>
          <w:rFonts w:ascii="Arial" w:hAnsi="Arial" w:cs="Arial"/>
          <w:noProof/>
          <w:szCs w:val="24"/>
          <w:lang w:val="en-US"/>
        </w:rPr>
        <w:t xml:space="preserve"> (4), 467–483.</w:t>
      </w:r>
    </w:p>
    <w:p w14:paraId="09799A6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 </w:t>
      </w:r>
      <w:r>
        <w:rPr>
          <w:rFonts w:ascii="Arial" w:hAnsi="Arial" w:cs="Arial"/>
          <w:noProof/>
          <w:szCs w:val="24"/>
          <w:lang w:val="en-US"/>
        </w:rPr>
        <w:tab/>
        <w:t xml:space="preserve">Watanabe, N.; </w:t>
      </w:r>
      <w:r>
        <w:rPr>
          <w:rFonts w:ascii="Arial" w:hAnsi="Arial" w:cs="Arial"/>
          <w:noProof/>
          <w:szCs w:val="24"/>
          <w:lang w:val="en-US"/>
        </w:rPr>
        <w:t xml:space="preserve">Ishihara, T.; Ohshima, Y. Mutants Carrying Two Sma Mutations Are Super Small in the Nematode C. Elegans. </w:t>
      </w:r>
      <w:r>
        <w:rPr>
          <w:rFonts w:ascii="Arial" w:hAnsi="Arial" w:cs="Arial"/>
          <w:i/>
          <w:iCs/>
          <w:noProof/>
          <w:szCs w:val="24"/>
          <w:lang w:val="en-US"/>
        </w:rPr>
        <w:t>Genes to Cells</w:t>
      </w:r>
      <w:r>
        <w:rPr>
          <w:rFonts w:ascii="Arial" w:hAnsi="Arial" w:cs="Arial"/>
          <w:noProof/>
          <w:szCs w:val="24"/>
          <w:lang w:val="en-US"/>
        </w:rPr>
        <w:t xml:space="preserve"> </w:t>
      </w:r>
      <w:r>
        <w:rPr>
          <w:rFonts w:ascii="Arial" w:hAnsi="Arial" w:cs="Arial"/>
          <w:b/>
          <w:bCs/>
          <w:noProof/>
          <w:szCs w:val="24"/>
          <w:lang w:val="en-US"/>
        </w:rPr>
        <w:t>2007</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(5), 603–609.</w:t>
      </w:r>
    </w:p>
    <w:p w14:paraId="1926278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(14) </w:t>
      </w:r>
      <w:r>
        <w:rPr>
          <w:rFonts w:ascii="Arial" w:hAnsi="Arial" w:cs="Arial"/>
          <w:noProof/>
          <w:szCs w:val="24"/>
          <w:lang w:val="en-US"/>
        </w:rPr>
        <w:tab/>
        <w:t>Zhurinsky, J.; Leonhard, K.; Watt, S.; Marguerat, S.; Bähler, J.; Nurse, P. A Coordinated Global Control ov</w:t>
      </w:r>
      <w:r>
        <w:rPr>
          <w:rFonts w:ascii="Arial" w:hAnsi="Arial" w:cs="Arial"/>
          <w:noProof/>
          <w:szCs w:val="24"/>
          <w:lang w:val="en-US"/>
        </w:rPr>
        <w:t xml:space="preserve">er Cellular Transcription.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20</w:t>
      </w:r>
      <w:r>
        <w:rPr>
          <w:rFonts w:ascii="Arial" w:hAnsi="Arial" w:cs="Arial"/>
          <w:noProof/>
          <w:szCs w:val="24"/>
          <w:lang w:val="en-US"/>
        </w:rPr>
        <w:t xml:space="preserve"> (22), 2010–2015.</w:t>
      </w:r>
    </w:p>
    <w:p w14:paraId="67C66CE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 </w:t>
      </w:r>
      <w:r>
        <w:rPr>
          <w:rFonts w:ascii="Arial" w:hAnsi="Arial" w:cs="Arial"/>
          <w:noProof/>
          <w:szCs w:val="24"/>
          <w:lang w:val="en-US"/>
        </w:rPr>
        <w:tab/>
        <w:t xml:space="preserve">Marguerat, S.; Schmidt, A.; Codlin, S.; Chen, W.; Aebersold, R.; Bähler, J. Quantitative Analysis of Fission Yeast Transcriptomes and Proteomes in Proliferating and Quiescent Cells. </w:t>
      </w:r>
      <w:r>
        <w:rPr>
          <w:rFonts w:ascii="Arial" w:hAnsi="Arial" w:cs="Arial"/>
          <w:i/>
          <w:iCs/>
          <w:noProof/>
          <w:szCs w:val="24"/>
          <w:lang w:val="en-US"/>
        </w:rPr>
        <w:t>Cel</w:t>
      </w:r>
      <w:r>
        <w:rPr>
          <w:rFonts w:ascii="Arial" w:hAnsi="Arial" w:cs="Arial"/>
          <w:i/>
          <w:iCs/>
          <w:noProof/>
          <w:szCs w:val="24"/>
          <w:lang w:val="en-US"/>
        </w:rPr>
        <w:t>l</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151</w:t>
      </w:r>
      <w:r>
        <w:rPr>
          <w:rFonts w:ascii="Arial" w:hAnsi="Arial" w:cs="Arial"/>
          <w:noProof/>
          <w:szCs w:val="24"/>
          <w:lang w:val="en-US"/>
        </w:rPr>
        <w:t xml:space="preserve"> (3), 671–683.</w:t>
      </w:r>
    </w:p>
    <w:p w14:paraId="424BFEF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 </w:t>
      </w:r>
      <w:r>
        <w:rPr>
          <w:rFonts w:ascii="Arial" w:hAnsi="Arial" w:cs="Arial"/>
          <w:noProof/>
          <w:szCs w:val="24"/>
          <w:lang w:val="en-US"/>
        </w:rPr>
        <w:tab/>
        <w:t>Padovan-Merhar, O.; Nair, G. P.; Biaesch, A. G.; Mayer, A.; Scarfone, S.; Foley, S. W.; Wu, A. R.; Churchman, L. S.; Singh, A.; Raj, A. Single Mammalian Cells Compensate for Differences in Cellular Volume and DNA Copy Number</w:t>
      </w:r>
      <w:r>
        <w:rPr>
          <w:rFonts w:ascii="Arial" w:hAnsi="Arial" w:cs="Arial"/>
          <w:noProof/>
          <w:szCs w:val="24"/>
          <w:lang w:val="en-US"/>
        </w:rPr>
        <w:t xml:space="preserve"> through Independent Global Transcriptional Mechanisms.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58</w:t>
      </w:r>
      <w:r>
        <w:rPr>
          <w:rFonts w:ascii="Arial" w:hAnsi="Arial" w:cs="Arial"/>
          <w:noProof/>
          <w:szCs w:val="24"/>
          <w:lang w:val="en-US"/>
        </w:rPr>
        <w:t xml:space="preserve"> (2), 339–352.</w:t>
      </w:r>
    </w:p>
    <w:p w14:paraId="7880C33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 </w:t>
      </w:r>
      <w:r>
        <w:rPr>
          <w:rFonts w:ascii="Arial" w:hAnsi="Arial" w:cs="Arial"/>
          <w:noProof/>
          <w:szCs w:val="24"/>
          <w:lang w:val="en-US"/>
        </w:rPr>
        <w:tab/>
      </w:r>
      <w:r>
        <w:rPr>
          <w:rFonts w:ascii="Arial" w:hAnsi="Arial" w:cs="Arial"/>
          <w:noProof/>
          <w:szCs w:val="24"/>
          <w:lang w:val="en-US"/>
        </w:rPr>
        <w:t xml:space="preserve">Kempe, H.; Schwabe, A.; Crémazy, F.; Verschure, P. J.; Bruggeman, F. J. The Volumes and Transcript Counts of Single Cells Reveal Concentration Homeostasis and Capture Biological Noise.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26</w:t>
      </w:r>
      <w:r>
        <w:rPr>
          <w:rFonts w:ascii="Arial" w:hAnsi="Arial" w:cs="Arial"/>
          <w:noProof/>
          <w:szCs w:val="24"/>
          <w:lang w:val="en-US"/>
        </w:rPr>
        <w:t xml:space="preserve"> (4), 797–804.</w:t>
      </w:r>
    </w:p>
    <w:p w14:paraId="7ECDD00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 </w:t>
      </w:r>
      <w:r>
        <w:rPr>
          <w:rFonts w:ascii="Arial" w:hAnsi="Arial" w:cs="Arial"/>
          <w:noProof/>
          <w:szCs w:val="24"/>
          <w:lang w:val="en-US"/>
        </w:rPr>
        <w:tab/>
        <w:t xml:space="preserve">Battich, N.; Stoeger, T.; </w:t>
      </w:r>
      <w:r>
        <w:rPr>
          <w:rFonts w:ascii="Arial" w:hAnsi="Arial" w:cs="Arial"/>
          <w:noProof/>
          <w:szCs w:val="24"/>
          <w:lang w:val="en-US"/>
        </w:rPr>
        <w:t xml:space="preserve">Pelkmans, L. Control of Transcript Variability in Single Mammalian Cells.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163</w:t>
      </w:r>
      <w:r>
        <w:rPr>
          <w:rFonts w:ascii="Arial" w:hAnsi="Arial" w:cs="Arial"/>
          <w:noProof/>
          <w:szCs w:val="24"/>
          <w:lang w:val="en-US"/>
        </w:rPr>
        <w:t xml:space="preserve"> (7), 1596–1610.</w:t>
      </w:r>
    </w:p>
    <w:p w14:paraId="38B2551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 </w:t>
      </w:r>
      <w:r>
        <w:rPr>
          <w:rFonts w:ascii="Arial" w:hAnsi="Arial" w:cs="Arial"/>
          <w:noProof/>
          <w:szCs w:val="24"/>
          <w:lang w:val="en-US"/>
        </w:rPr>
        <w:tab/>
      </w:r>
      <w:r>
        <w:rPr>
          <w:rFonts w:ascii="Arial" w:hAnsi="Arial" w:cs="Arial"/>
          <w:noProof/>
          <w:szCs w:val="24"/>
          <w:lang w:val="en-US"/>
        </w:rPr>
        <w:t xml:space="preserve">Berry, S.; Müller, M.; Rai, A.; Pelkmans, L. Feedback from Nuclear RNA on Transcription Promotes Robust RNA Concentration Homeostasis in Human Cells. </w:t>
      </w:r>
      <w:r>
        <w:rPr>
          <w:rFonts w:ascii="Arial" w:hAnsi="Arial" w:cs="Arial"/>
          <w:i/>
          <w:iCs/>
          <w:noProof/>
          <w:szCs w:val="24"/>
          <w:lang w:val="en-US"/>
        </w:rPr>
        <w:t>Cell Syst.</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13</w:t>
      </w:r>
      <w:r>
        <w:rPr>
          <w:rFonts w:ascii="Arial" w:hAnsi="Arial" w:cs="Arial"/>
          <w:noProof/>
          <w:szCs w:val="24"/>
          <w:lang w:val="en-US"/>
        </w:rPr>
        <w:t xml:space="preserve"> (6), 454-470.e15.</w:t>
      </w:r>
    </w:p>
    <w:p w14:paraId="2C7818C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 </w:t>
      </w:r>
      <w:r>
        <w:rPr>
          <w:rFonts w:ascii="Arial" w:hAnsi="Arial" w:cs="Arial"/>
          <w:noProof/>
          <w:szCs w:val="24"/>
          <w:lang w:val="en-US"/>
        </w:rPr>
        <w:tab/>
        <w:t>Elliott, S. G.; McLaughlin, C. S. Rate of Macromolecular Synth</w:t>
      </w:r>
      <w:r>
        <w:rPr>
          <w:rFonts w:ascii="Arial" w:hAnsi="Arial" w:cs="Arial"/>
          <w:noProof/>
          <w:szCs w:val="24"/>
          <w:lang w:val="en-US"/>
        </w:rPr>
        <w:t xml:space="preserve">esis through the Cell Cycle of the Yeast Saccharomyces Cerevisiae. </w:t>
      </w:r>
      <w:r>
        <w:rPr>
          <w:rFonts w:ascii="Arial" w:hAnsi="Arial" w:cs="Arial"/>
          <w:i/>
          <w:iCs/>
          <w:noProof/>
          <w:szCs w:val="24"/>
          <w:lang w:val="en-US"/>
        </w:rPr>
        <w:t>Proc. Natl. Acad. Sci.</w:t>
      </w:r>
      <w:r>
        <w:rPr>
          <w:rFonts w:ascii="Arial" w:hAnsi="Arial" w:cs="Arial"/>
          <w:noProof/>
          <w:szCs w:val="24"/>
          <w:lang w:val="en-US"/>
        </w:rPr>
        <w:t xml:space="preserve"> </w:t>
      </w:r>
      <w:r>
        <w:rPr>
          <w:rFonts w:ascii="Arial" w:hAnsi="Arial" w:cs="Arial"/>
          <w:b/>
          <w:bCs/>
          <w:noProof/>
          <w:szCs w:val="24"/>
          <w:lang w:val="en-US"/>
        </w:rPr>
        <w:t>1978</w:t>
      </w:r>
      <w:r>
        <w:rPr>
          <w:rFonts w:ascii="Arial" w:hAnsi="Arial" w:cs="Arial"/>
          <w:noProof/>
          <w:szCs w:val="24"/>
          <w:lang w:val="en-US"/>
        </w:rPr>
        <w:t xml:space="preserve">, </w:t>
      </w:r>
      <w:r>
        <w:rPr>
          <w:rFonts w:ascii="Arial" w:hAnsi="Arial" w:cs="Arial"/>
          <w:i/>
          <w:iCs/>
          <w:noProof/>
          <w:szCs w:val="24"/>
          <w:lang w:val="en-US"/>
        </w:rPr>
        <w:t>75</w:t>
      </w:r>
      <w:r>
        <w:rPr>
          <w:rFonts w:ascii="Arial" w:hAnsi="Arial" w:cs="Arial"/>
          <w:noProof/>
          <w:szCs w:val="24"/>
          <w:lang w:val="en-US"/>
        </w:rPr>
        <w:t xml:space="preserve"> (9), 4384–4388.</w:t>
      </w:r>
    </w:p>
    <w:p w14:paraId="165B123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 </w:t>
      </w:r>
      <w:r>
        <w:rPr>
          <w:rFonts w:ascii="Arial" w:hAnsi="Arial" w:cs="Arial"/>
          <w:noProof/>
          <w:szCs w:val="24"/>
          <w:lang w:val="en-US"/>
        </w:rPr>
        <w:tab/>
        <w:t xml:space="preserve">Fraser, R. S. S.; Nurse, P. Novel Cell Cycle Control of RNA Synthesis in Yeast. </w:t>
      </w:r>
      <w:r>
        <w:rPr>
          <w:rFonts w:ascii="Arial" w:hAnsi="Arial" w:cs="Arial"/>
          <w:i/>
          <w:iCs/>
          <w:noProof/>
          <w:szCs w:val="24"/>
          <w:lang w:val="en-US"/>
        </w:rPr>
        <w:t>Nat. 1978 2715647</w:t>
      </w:r>
      <w:r>
        <w:rPr>
          <w:rFonts w:ascii="Arial" w:hAnsi="Arial" w:cs="Arial"/>
          <w:noProof/>
          <w:szCs w:val="24"/>
          <w:lang w:val="en-US"/>
        </w:rPr>
        <w:t xml:space="preserve"> </w:t>
      </w:r>
      <w:r>
        <w:rPr>
          <w:rFonts w:ascii="Arial" w:hAnsi="Arial" w:cs="Arial"/>
          <w:b/>
          <w:bCs/>
          <w:noProof/>
          <w:szCs w:val="24"/>
          <w:lang w:val="en-US"/>
        </w:rPr>
        <w:t>1978</w:t>
      </w:r>
      <w:r>
        <w:rPr>
          <w:rFonts w:ascii="Arial" w:hAnsi="Arial" w:cs="Arial"/>
          <w:noProof/>
          <w:szCs w:val="24"/>
          <w:lang w:val="en-US"/>
        </w:rPr>
        <w:t xml:space="preserve">, </w:t>
      </w:r>
      <w:r>
        <w:rPr>
          <w:rFonts w:ascii="Arial" w:hAnsi="Arial" w:cs="Arial"/>
          <w:i/>
          <w:iCs/>
          <w:noProof/>
          <w:szCs w:val="24"/>
          <w:lang w:val="en-US"/>
        </w:rPr>
        <w:t>271</w:t>
      </w:r>
      <w:r>
        <w:rPr>
          <w:rFonts w:ascii="Arial" w:hAnsi="Arial" w:cs="Arial"/>
          <w:noProof/>
          <w:szCs w:val="24"/>
          <w:lang w:val="en-US"/>
        </w:rPr>
        <w:t xml:space="preserve"> (5647), 726–730.</w:t>
      </w:r>
    </w:p>
    <w:p w14:paraId="3ED76B6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 </w:t>
      </w:r>
      <w:r>
        <w:rPr>
          <w:rFonts w:ascii="Arial" w:hAnsi="Arial" w:cs="Arial"/>
          <w:noProof/>
          <w:szCs w:val="24"/>
          <w:lang w:val="en-US"/>
        </w:rPr>
        <w:tab/>
        <w:t>Fras</w:t>
      </w:r>
      <w:r>
        <w:rPr>
          <w:rFonts w:ascii="Arial" w:hAnsi="Arial" w:cs="Arial"/>
          <w:noProof/>
          <w:szCs w:val="24"/>
          <w:lang w:val="en-US"/>
        </w:rPr>
        <w:t xml:space="preserve">er, R. S. S.; Nurse, P. Altered Patterns of Ribonucleic Acid Synthesis during the Cell Cycle: A Mechanism Compensating for Variation in Gene Concentration.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1979</w:t>
      </w:r>
      <w:r>
        <w:rPr>
          <w:rFonts w:ascii="Arial" w:hAnsi="Arial" w:cs="Arial"/>
          <w:noProof/>
          <w:szCs w:val="24"/>
          <w:lang w:val="en-US"/>
        </w:rPr>
        <w:t xml:space="preserve">, </w:t>
      </w:r>
      <w:r>
        <w:rPr>
          <w:rFonts w:ascii="Arial" w:hAnsi="Arial" w:cs="Arial"/>
          <w:i/>
          <w:iCs/>
          <w:noProof/>
          <w:szCs w:val="24"/>
          <w:lang w:val="en-US"/>
        </w:rPr>
        <w:t>35</w:t>
      </w:r>
      <w:r>
        <w:rPr>
          <w:rFonts w:ascii="Arial" w:hAnsi="Arial" w:cs="Arial"/>
          <w:noProof/>
          <w:szCs w:val="24"/>
          <w:lang w:val="en-US"/>
        </w:rPr>
        <w:t xml:space="preserve"> (1), 25–40.</w:t>
      </w:r>
    </w:p>
    <w:p w14:paraId="693F2B1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 </w:t>
      </w:r>
      <w:r>
        <w:rPr>
          <w:rFonts w:ascii="Arial" w:hAnsi="Arial" w:cs="Arial"/>
          <w:noProof/>
          <w:szCs w:val="24"/>
          <w:lang w:val="en-US"/>
        </w:rPr>
        <w:tab/>
        <w:t>Elliott, S. G.; McLaughlin, C. S. Regulation of RNA Synthesi</w:t>
      </w:r>
      <w:r>
        <w:rPr>
          <w:rFonts w:ascii="Arial" w:hAnsi="Arial" w:cs="Arial"/>
          <w:noProof/>
          <w:szCs w:val="24"/>
          <w:lang w:val="en-US"/>
        </w:rPr>
        <w:t xml:space="preserve">s in Yeast III. </w:t>
      </w:r>
      <w:r>
        <w:rPr>
          <w:rFonts w:ascii="Arial" w:hAnsi="Arial" w:cs="Arial"/>
          <w:i/>
          <w:iCs/>
          <w:noProof/>
          <w:szCs w:val="24"/>
          <w:lang w:val="en-US"/>
        </w:rPr>
        <w:t>MGG Mol. Gen. Genet.</w:t>
      </w:r>
      <w:r>
        <w:rPr>
          <w:rFonts w:ascii="Arial" w:hAnsi="Arial" w:cs="Arial"/>
          <w:noProof/>
          <w:szCs w:val="24"/>
          <w:lang w:val="en-US"/>
        </w:rPr>
        <w:t xml:space="preserve"> </w:t>
      </w:r>
      <w:r>
        <w:rPr>
          <w:rFonts w:ascii="Arial" w:hAnsi="Arial" w:cs="Arial"/>
          <w:b/>
          <w:bCs/>
          <w:noProof/>
          <w:szCs w:val="24"/>
          <w:lang w:val="en-US"/>
        </w:rPr>
        <w:t>1979</w:t>
      </w:r>
      <w:r>
        <w:rPr>
          <w:rFonts w:ascii="Arial" w:hAnsi="Arial" w:cs="Arial"/>
          <w:noProof/>
          <w:szCs w:val="24"/>
          <w:lang w:val="en-US"/>
        </w:rPr>
        <w:t xml:space="preserve">, </w:t>
      </w:r>
      <w:r>
        <w:rPr>
          <w:rFonts w:ascii="Arial" w:hAnsi="Arial" w:cs="Arial"/>
          <w:i/>
          <w:iCs/>
          <w:noProof/>
          <w:szCs w:val="24"/>
          <w:lang w:val="en-US"/>
        </w:rPr>
        <w:t>169</w:t>
      </w:r>
      <w:r>
        <w:rPr>
          <w:rFonts w:ascii="Arial" w:hAnsi="Arial" w:cs="Arial"/>
          <w:noProof/>
          <w:szCs w:val="24"/>
          <w:lang w:val="en-US"/>
        </w:rPr>
        <w:t xml:space="preserve"> (3), 237–243.</w:t>
      </w:r>
    </w:p>
    <w:p w14:paraId="376452A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 </w:t>
      </w:r>
      <w:r>
        <w:rPr>
          <w:rFonts w:ascii="Arial" w:hAnsi="Arial" w:cs="Arial"/>
          <w:noProof/>
          <w:szCs w:val="24"/>
          <w:lang w:val="en-US"/>
        </w:rPr>
        <w:tab/>
        <w:t xml:space="preserve">Elliott, S. G. Coordination of Growth with Cell Division: Regulation of Synthesis of RNA during the Cell Cycle of the Fission Yeast Schizosaccharomyces Pombe. </w:t>
      </w:r>
      <w:r>
        <w:rPr>
          <w:rFonts w:ascii="Arial" w:hAnsi="Arial" w:cs="Arial"/>
          <w:i/>
          <w:iCs/>
          <w:noProof/>
          <w:szCs w:val="24"/>
          <w:lang w:val="en-US"/>
        </w:rPr>
        <w:t>MGG Mol. Gen. Genet.</w:t>
      </w:r>
      <w:r>
        <w:rPr>
          <w:rFonts w:ascii="Arial" w:hAnsi="Arial" w:cs="Arial"/>
          <w:noProof/>
          <w:szCs w:val="24"/>
          <w:lang w:val="en-US"/>
        </w:rPr>
        <w:t xml:space="preserve"> </w:t>
      </w:r>
      <w:r>
        <w:rPr>
          <w:rFonts w:ascii="Arial" w:hAnsi="Arial" w:cs="Arial"/>
          <w:b/>
          <w:bCs/>
          <w:noProof/>
          <w:szCs w:val="24"/>
          <w:lang w:val="en-US"/>
        </w:rPr>
        <w:t>1983</w:t>
      </w:r>
      <w:r>
        <w:rPr>
          <w:rFonts w:ascii="Arial" w:hAnsi="Arial" w:cs="Arial"/>
          <w:noProof/>
          <w:szCs w:val="24"/>
          <w:lang w:val="en-US"/>
        </w:rPr>
        <w:t xml:space="preserve">, </w:t>
      </w:r>
      <w:r>
        <w:rPr>
          <w:rFonts w:ascii="Arial" w:hAnsi="Arial" w:cs="Arial"/>
          <w:i/>
          <w:iCs/>
          <w:noProof/>
          <w:szCs w:val="24"/>
          <w:lang w:val="en-US"/>
        </w:rPr>
        <w:t>192</w:t>
      </w:r>
      <w:r>
        <w:rPr>
          <w:rFonts w:ascii="Arial" w:hAnsi="Arial" w:cs="Arial"/>
          <w:noProof/>
          <w:szCs w:val="24"/>
          <w:lang w:val="en-US"/>
        </w:rPr>
        <w:t xml:space="preserve"> (1–2), 204–211.</w:t>
      </w:r>
    </w:p>
    <w:p w14:paraId="1EC3362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 </w:t>
      </w:r>
      <w:r>
        <w:rPr>
          <w:rFonts w:ascii="Arial" w:hAnsi="Arial" w:cs="Arial"/>
          <w:noProof/>
          <w:szCs w:val="24"/>
          <w:lang w:val="en-US"/>
        </w:rPr>
        <w:tab/>
        <w:t xml:space="preserve">Basier, C.; Nurse, P. The Cell Cycle and Cell Size Influence the Rates of Global Cellular Translation and Transcription in Fission Yeast.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42</w:t>
      </w:r>
      <w:r>
        <w:rPr>
          <w:rFonts w:ascii="Arial" w:hAnsi="Arial" w:cs="Arial"/>
          <w:noProof/>
          <w:szCs w:val="24"/>
          <w:lang w:val="en-US"/>
        </w:rPr>
        <w:t xml:space="preserve"> (9), e113333.</w:t>
      </w:r>
    </w:p>
    <w:p w14:paraId="4200F7B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 </w:t>
      </w:r>
      <w:r>
        <w:rPr>
          <w:rFonts w:ascii="Arial" w:hAnsi="Arial" w:cs="Arial"/>
          <w:noProof/>
          <w:szCs w:val="24"/>
          <w:lang w:val="en-US"/>
        </w:rPr>
        <w:tab/>
        <w:t>Elliott, S. G.; Warner, J. R.; McLaughlin, C. S. Synthesis</w:t>
      </w:r>
      <w:r>
        <w:rPr>
          <w:rFonts w:ascii="Arial" w:hAnsi="Arial" w:cs="Arial"/>
          <w:noProof/>
          <w:szCs w:val="24"/>
          <w:lang w:val="en-US"/>
        </w:rPr>
        <w:t xml:space="preserve"> of Ribosomal Proteins during the Cell Cycle of the Yeast Saccharomyces Cerevisiae. </w:t>
      </w:r>
      <w:r>
        <w:rPr>
          <w:rFonts w:ascii="Arial" w:hAnsi="Arial" w:cs="Arial"/>
          <w:i/>
          <w:iCs/>
          <w:noProof/>
          <w:szCs w:val="24"/>
          <w:lang w:val="en-US"/>
        </w:rPr>
        <w:t>J. Bacteriol.</w:t>
      </w:r>
      <w:r>
        <w:rPr>
          <w:rFonts w:ascii="Arial" w:hAnsi="Arial" w:cs="Arial"/>
          <w:noProof/>
          <w:szCs w:val="24"/>
          <w:lang w:val="en-US"/>
        </w:rPr>
        <w:t xml:space="preserve"> </w:t>
      </w:r>
      <w:r>
        <w:rPr>
          <w:rFonts w:ascii="Arial" w:hAnsi="Arial" w:cs="Arial"/>
          <w:b/>
          <w:bCs/>
          <w:noProof/>
          <w:szCs w:val="24"/>
          <w:lang w:val="en-US"/>
        </w:rPr>
        <w:t>1979</w:t>
      </w:r>
      <w:r>
        <w:rPr>
          <w:rFonts w:ascii="Arial" w:hAnsi="Arial" w:cs="Arial"/>
          <w:noProof/>
          <w:szCs w:val="24"/>
          <w:lang w:val="en-US"/>
        </w:rPr>
        <w:t xml:space="preserve">, </w:t>
      </w:r>
      <w:r>
        <w:rPr>
          <w:rFonts w:ascii="Arial" w:hAnsi="Arial" w:cs="Arial"/>
          <w:i/>
          <w:iCs/>
          <w:noProof/>
          <w:szCs w:val="24"/>
          <w:lang w:val="en-US"/>
        </w:rPr>
        <w:t>137</w:t>
      </w:r>
      <w:r>
        <w:rPr>
          <w:rFonts w:ascii="Arial" w:hAnsi="Arial" w:cs="Arial"/>
          <w:noProof/>
          <w:szCs w:val="24"/>
          <w:lang w:val="en-US"/>
        </w:rPr>
        <w:t xml:space="preserve"> (2), 1048–1050.</w:t>
      </w:r>
    </w:p>
    <w:p w14:paraId="3A2D06B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 </w:t>
      </w:r>
      <w:r>
        <w:rPr>
          <w:rFonts w:ascii="Arial" w:hAnsi="Arial" w:cs="Arial"/>
          <w:noProof/>
          <w:szCs w:val="24"/>
          <w:lang w:val="en-US"/>
        </w:rPr>
        <w:tab/>
        <w:t>Creanor, J.; Mitchison, J. M. Patterns of Protein Synthesis during the Cell Cycle of the Fission Yeast Schizosaccharomyces Pom</w:t>
      </w:r>
      <w:r>
        <w:rPr>
          <w:rFonts w:ascii="Arial" w:hAnsi="Arial" w:cs="Arial"/>
          <w:noProof/>
          <w:szCs w:val="24"/>
          <w:lang w:val="en-US"/>
        </w:rPr>
        <w:t xml:space="preserve">be.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1982</w:t>
      </w:r>
      <w:r>
        <w:rPr>
          <w:rFonts w:ascii="Arial" w:hAnsi="Arial" w:cs="Arial"/>
          <w:noProof/>
          <w:szCs w:val="24"/>
          <w:lang w:val="en-US"/>
        </w:rPr>
        <w:t xml:space="preserve">, </w:t>
      </w:r>
      <w:r>
        <w:rPr>
          <w:rFonts w:ascii="Arial" w:hAnsi="Arial" w:cs="Arial"/>
          <w:i/>
          <w:iCs/>
          <w:noProof/>
          <w:szCs w:val="24"/>
          <w:lang w:val="en-US"/>
        </w:rPr>
        <w:t>58</w:t>
      </w:r>
      <w:r>
        <w:rPr>
          <w:rFonts w:ascii="Arial" w:hAnsi="Arial" w:cs="Arial"/>
          <w:noProof/>
          <w:szCs w:val="24"/>
          <w:lang w:val="en-US"/>
        </w:rPr>
        <w:t xml:space="preserve"> (1), 263–285.</w:t>
      </w:r>
    </w:p>
    <w:p w14:paraId="6C68953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 </w:t>
      </w:r>
      <w:r>
        <w:rPr>
          <w:rFonts w:ascii="Arial" w:hAnsi="Arial" w:cs="Arial"/>
          <w:noProof/>
          <w:szCs w:val="24"/>
          <w:lang w:val="en-US"/>
        </w:rPr>
        <w:tab/>
      </w:r>
      <w:r>
        <w:rPr>
          <w:rFonts w:ascii="Arial" w:hAnsi="Arial" w:cs="Arial"/>
          <w:noProof/>
          <w:szCs w:val="24"/>
          <w:lang w:val="en-US"/>
        </w:rPr>
        <w:t xml:space="preserve">Ietswaart, R.; Rosa, S.; Wu, Z.; Dean, C.; Howard, M. Cell-Size-Dependent Transcription of FLC and Its Antisense Long Non-Coding RNA COOLAIR Explain </w:t>
      </w:r>
      <w:r>
        <w:rPr>
          <w:rFonts w:ascii="Arial" w:hAnsi="Arial" w:cs="Arial"/>
          <w:noProof/>
          <w:szCs w:val="24"/>
          <w:lang w:val="en-US"/>
        </w:rPr>
        <w:lastRenderedPageBreak/>
        <w:t xml:space="preserve">Cell-to-Cell Expression Variation. </w:t>
      </w:r>
      <w:r>
        <w:rPr>
          <w:rFonts w:ascii="Arial" w:hAnsi="Arial" w:cs="Arial"/>
          <w:i/>
          <w:iCs/>
          <w:noProof/>
          <w:szCs w:val="24"/>
          <w:lang w:val="en-US"/>
        </w:rPr>
        <w:t>Cell Syst.</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4</w:t>
      </w:r>
      <w:r>
        <w:rPr>
          <w:rFonts w:ascii="Arial" w:hAnsi="Arial" w:cs="Arial"/>
          <w:noProof/>
          <w:szCs w:val="24"/>
          <w:lang w:val="en-US"/>
        </w:rPr>
        <w:t xml:space="preserve"> (6), 622.</w:t>
      </w:r>
    </w:p>
    <w:p w14:paraId="03324CC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 </w:t>
      </w:r>
      <w:r>
        <w:rPr>
          <w:rFonts w:ascii="Arial" w:hAnsi="Arial" w:cs="Arial"/>
          <w:noProof/>
          <w:szCs w:val="24"/>
          <w:lang w:val="en-US"/>
        </w:rPr>
        <w:tab/>
        <w:t>Swaffer, M. P.; Marinov, G. K.; Zheng</w:t>
      </w:r>
      <w:r>
        <w:rPr>
          <w:rFonts w:ascii="Arial" w:hAnsi="Arial" w:cs="Arial"/>
          <w:noProof/>
          <w:szCs w:val="24"/>
          <w:lang w:val="en-US"/>
        </w:rPr>
        <w:t xml:space="preserve">, H.; Fuentes Valenzuela, L.; Yee Tsui, C.; Jones, A. W.; Greenwood, J.; Kundaje, A.; Greenleaf, W. J.; Reyes-Lamothe, R.; et al. RNA Polymerase II Dynamics and MRNA Stability Feedback Scale MRNA Amounts with Cell Size.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w:t>
      </w:r>
    </w:p>
    <w:p w14:paraId="3BB865C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 </w:t>
      </w:r>
      <w:r>
        <w:rPr>
          <w:rFonts w:ascii="Arial" w:hAnsi="Arial" w:cs="Arial"/>
          <w:noProof/>
          <w:szCs w:val="24"/>
          <w:lang w:val="en-US"/>
        </w:rPr>
        <w:tab/>
        <w:t>Schmoller, K. M.; S</w:t>
      </w:r>
      <w:r>
        <w:rPr>
          <w:rFonts w:ascii="Arial" w:hAnsi="Arial" w:cs="Arial"/>
          <w:noProof/>
          <w:szCs w:val="24"/>
          <w:lang w:val="en-US"/>
        </w:rPr>
        <w:t xml:space="preserve">kotheim, J. M. The Biosynthetic Basis of Cell Size Control. </w:t>
      </w:r>
      <w:r>
        <w:rPr>
          <w:rFonts w:ascii="Arial" w:hAnsi="Arial" w:cs="Arial"/>
          <w:i/>
          <w:iCs/>
          <w:noProof/>
          <w:szCs w:val="24"/>
          <w:lang w:val="en-US"/>
        </w:rPr>
        <w:t>Trends Cell Biol.</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25</w:t>
      </w:r>
      <w:r>
        <w:rPr>
          <w:rFonts w:ascii="Arial" w:hAnsi="Arial" w:cs="Arial"/>
          <w:noProof/>
          <w:szCs w:val="24"/>
          <w:lang w:val="en-US"/>
        </w:rPr>
        <w:t xml:space="preserve"> (12), 793–802.</w:t>
      </w:r>
    </w:p>
    <w:p w14:paraId="2C265ED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 </w:t>
      </w:r>
      <w:r>
        <w:rPr>
          <w:rFonts w:ascii="Arial" w:hAnsi="Arial" w:cs="Arial"/>
          <w:noProof/>
          <w:szCs w:val="24"/>
          <w:lang w:val="en-US"/>
        </w:rPr>
        <w:tab/>
        <w:t xml:space="preserve">Lin, J.; Amir, A. Homeostasis of Protein and MRNA Concentrations in Growing Cells. </w:t>
      </w:r>
      <w:r>
        <w:rPr>
          <w:rFonts w:ascii="Arial" w:hAnsi="Arial" w:cs="Arial"/>
          <w:i/>
          <w:iCs/>
          <w:noProof/>
          <w:szCs w:val="24"/>
          <w:lang w:val="en-US"/>
        </w:rPr>
        <w:t>Nat. Commun. 2018 91</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(1), 1–11.</w:t>
      </w:r>
    </w:p>
    <w:p w14:paraId="57102D4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 </w:t>
      </w:r>
      <w:r>
        <w:rPr>
          <w:rFonts w:ascii="Arial" w:hAnsi="Arial" w:cs="Arial"/>
          <w:noProof/>
          <w:szCs w:val="24"/>
          <w:lang w:val="en-US"/>
        </w:rPr>
        <w:tab/>
        <w:t>Sun, X. M.; Bowman,</w:t>
      </w:r>
      <w:r>
        <w:rPr>
          <w:rFonts w:ascii="Arial" w:hAnsi="Arial" w:cs="Arial"/>
          <w:noProof/>
          <w:szCs w:val="24"/>
          <w:lang w:val="en-US"/>
        </w:rPr>
        <w:t xml:space="preserve"> A.; Priestman, M.; Bertaux, F.; Martinez-Segura, A.; Tang, W.; Whilding, C.; Dormann, D.; Shahrezaei, V.; Marguerat, S. Size-Dependent Increase in RNA Polymerase II Initiation Rates Mediates Gene Expression Scaling with Cell Size.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30</w:t>
      </w:r>
      <w:r>
        <w:rPr>
          <w:rFonts w:ascii="Arial" w:hAnsi="Arial" w:cs="Arial"/>
          <w:noProof/>
          <w:szCs w:val="24"/>
          <w:lang w:val="en-US"/>
        </w:rPr>
        <w:t xml:space="preserve"> (7)</w:t>
      </w:r>
      <w:r>
        <w:rPr>
          <w:rFonts w:ascii="Arial" w:hAnsi="Arial" w:cs="Arial"/>
          <w:noProof/>
          <w:szCs w:val="24"/>
          <w:lang w:val="en-US"/>
        </w:rPr>
        <w:t>, 1217-1230.e7.</w:t>
      </w:r>
    </w:p>
    <w:p w14:paraId="22A5BCD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 </w:t>
      </w:r>
      <w:r>
        <w:rPr>
          <w:rFonts w:ascii="Arial" w:hAnsi="Arial" w:cs="Arial"/>
          <w:noProof/>
          <w:szCs w:val="24"/>
          <w:lang w:val="en-US"/>
        </w:rPr>
        <w:tab/>
        <w:t xml:space="preserve">Kim, D. U.; Hayles, J.; Kim, D.; Wood, V.; Park, H. O.; Won, M.; Yoo, H. S.; Duhig, T.; Nam, M.; Palmer, G.; et al. Analysis of a Genome-Wide Set of Gene Deletions in the Fission Yeast Schizosaccharomyces Pombe. </w:t>
      </w:r>
      <w:r>
        <w:rPr>
          <w:rFonts w:ascii="Arial" w:hAnsi="Arial" w:cs="Arial"/>
          <w:i/>
          <w:iCs/>
          <w:noProof/>
          <w:szCs w:val="24"/>
          <w:lang w:val="en-US"/>
        </w:rPr>
        <w:t xml:space="preserve">Nat. Biotechnol. 2010 </w:t>
      </w:r>
      <w:r>
        <w:rPr>
          <w:rFonts w:ascii="Arial" w:hAnsi="Arial" w:cs="Arial"/>
          <w:i/>
          <w:iCs/>
          <w:noProof/>
          <w:szCs w:val="24"/>
          <w:lang w:val="en-US"/>
        </w:rPr>
        <w:t>286</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28</w:t>
      </w:r>
      <w:r>
        <w:rPr>
          <w:rFonts w:ascii="Arial" w:hAnsi="Arial" w:cs="Arial"/>
          <w:noProof/>
          <w:szCs w:val="24"/>
          <w:lang w:val="en-US"/>
        </w:rPr>
        <w:t xml:space="preserve"> (6), 617–623.</w:t>
      </w:r>
    </w:p>
    <w:p w14:paraId="4B4B030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 </w:t>
      </w:r>
      <w:r>
        <w:rPr>
          <w:rFonts w:ascii="Arial" w:hAnsi="Arial" w:cs="Arial"/>
          <w:noProof/>
          <w:szCs w:val="24"/>
          <w:lang w:val="en-US"/>
        </w:rPr>
        <w:tab/>
        <w:t xml:space="preserve">Berry, S.; Pelkmans, L. Mechanisms of Cellular MRNA Transcript Homeostasis. </w:t>
      </w:r>
      <w:r>
        <w:rPr>
          <w:rFonts w:ascii="Arial" w:hAnsi="Arial" w:cs="Arial"/>
          <w:i/>
          <w:iCs/>
          <w:noProof/>
          <w:szCs w:val="24"/>
          <w:lang w:val="en-US"/>
        </w:rPr>
        <w:t>Trends Cell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32</w:t>
      </w:r>
      <w:r>
        <w:rPr>
          <w:rFonts w:ascii="Arial" w:hAnsi="Arial" w:cs="Arial"/>
          <w:noProof/>
          <w:szCs w:val="24"/>
          <w:lang w:val="en-US"/>
        </w:rPr>
        <w:t xml:space="preserve"> (8), 655–668.</w:t>
      </w:r>
    </w:p>
    <w:p w14:paraId="17BF61A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 </w:t>
      </w:r>
      <w:r>
        <w:rPr>
          <w:rFonts w:ascii="Arial" w:hAnsi="Arial" w:cs="Arial"/>
          <w:noProof/>
          <w:szCs w:val="24"/>
          <w:lang w:val="en-US"/>
        </w:rPr>
        <w:tab/>
        <w:t>Sun, M.; Schwalb, B.; Schulz, D.; Pirkl, N.; Etzold, S.; Larivière, L.; Maier, K. C.; Seizl, M.; Tre</w:t>
      </w:r>
      <w:r>
        <w:rPr>
          <w:rFonts w:ascii="Arial" w:hAnsi="Arial" w:cs="Arial"/>
          <w:noProof/>
          <w:szCs w:val="24"/>
          <w:lang w:val="en-US"/>
        </w:rPr>
        <w:t xml:space="preserve">sch, A.; Cramer, P. Comparative Dynamic Transcriptome Analysis (CDTA) Reveals Mutual Feedback between MRNA Synthesis and Degradation. </w:t>
      </w:r>
      <w:r>
        <w:rPr>
          <w:rFonts w:ascii="Arial" w:hAnsi="Arial" w:cs="Arial"/>
          <w:i/>
          <w:iCs/>
          <w:noProof/>
          <w:szCs w:val="24"/>
          <w:lang w:val="en-US"/>
        </w:rPr>
        <w:t>Genome Res.</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22</w:t>
      </w:r>
      <w:r>
        <w:rPr>
          <w:rFonts w:ascii="Arial" w:hAnsi="Arial" w:cs="Arial"/>
          <w:noProof/>
          <w:szCs w:val="24"/>
          <w:lang w:val="en-US"/>
        </w:rPr>
        <w:t xml:space="preserve"> (7), 1350–1359.</w:t>
      </w:r>
    </w:p>
    <w:p w14:paraId="2413370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 </w:t>
      </w:r>
      <w:r>
        <w:rPr>
          <w:rFonts w:ascii="Arial" w:hAnsi="Arial" w:cs="Arial"/>
          <w:noProof/>
          <w:szCs w:val="24"/>
          <w:lang w:val="en-US"/>
        </w:rPr>
        <w:tab/>
        <w:t>Sun, M.; Schwalb, B.; Pirkl, N.; Maier, K. C.; Schenk, A.; Failmezger, H.; Tres</w:t>
      </w:r>
      <w:r>
        <w:rPr>
          <w:rFonts w:ascii="Arial" w:hAnsi="Arial" w:cs="Arial"/>
          <w:noProof/>
          <w:szCs w:val="24"/>
          <w:lang w:val="en-US"/>
        </w:rPr>
        <w:t xml:space="preserve">ch, A.; Cramer, P. Global Analysis of Eukaryotic MRNA Degradation Reveals Xrn1-Dependent Buffering of Transcript Levels.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52</w:t>
      </w:r>
      <w:r>
        <w:rPr>
          <w:rFonts w:ascii="Arial" w:hAnsi="Arial" w:cs="Arial"/>
          <w:noProof/>
          <w:szCs w:val="24"/>
          <w:lang w:val="en-US"/>
        </w:rPr>
        <w:t xml:space="preserve"> (1), 52–62.</w:t>
      </w:r>
    </w:p>
    <w:p w14:paraId="1032500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 </w:t>
      </w:r>
      <w:r>
        <w:rPr>
          <w:rFonts w:ascii="Arial" w:hAnsi="Arial" w:cs="Arial"/>
          <w:noProof/>
          <w:szCs w:val="24"/>
          <w:lang w:val="en-US"/>
        </w:rPr>
        <w:tab/>
        <w:t xml:space="preserve">Tauro, P.; Schweizer, E.; Epstein, R.; Halvorson, H. O. </w:t>
      </w:r>
      <w:r>
        <w:rPr>
          <w:rFonts w:ascii="Arial" w:hAnsi="Arial" w:cs="Arial"/>
          <w:i/>
          <w:iCs/>
          <w:noProof/>
          <w:szCs w:val="24"/>
          <w:lang w:val="en-US"/>
        </w:rPr>
        <w:t>The Cell Cycle: Gene-Enzyme Interactions</w:t>
      </w:r>
      <w:r>
        <w:rPr>
          <w:rFonts w:ascii="Arial" w:hAnsi="Arial" w:cs="Arial"/>
          <w:noProof/>
          <w:szCs w:val="24"/>
          <w:lang w:val="en-US"/>
        </w:rPr>
        <w:t xml:space="preserve">; </w:t>
      </w:r>
      <w:r>
        <w:rPr>
          <w:rFonts w:ascii="Arial" w:hAnsi="Arial" w:cs="Arial"/>
          <w:noProof/>
          <w:szCs w:val="24"/>
          <w:lang w:val="en-US"/>
        </w:rPr>
        <w:t>Academic Press, 1969.</w:t>
      </w:r>
    </w:p>
    <w:p w14:paraId="7534B92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 </w:t>
      </w:r>
      <w:r>
        <w:rPr>
          <w:rFonts w:ascii="Arial" w:hAnsi="Arial" w:cs="Arial"/>
          <w:noProof/>
          <w:szCs w:val="24"/>
          <w:lang w:val="en-US"/>
        </w:rPr>
        <w:tab/>
      </w:r>
      <w:r>
        <w:rPr>
          <w:rFonts w:ascii="Arial" w:hAnsi="Arial" w:cs="Arial"/>
          <w:noProof/>
          <w:szCs w:val="24"/>
          <w:lang w:val="en-US"/>
        </w:rPr>
        <w:t xml:space="preserve">Sogin, S. J.; Carter, B. L. A.; Halvorson, H. O. Changes in the Rate of Ribosomal RNA Synthesis during the Cell Cycle in Saccharomyces Cerevisiae. </w:t>
      </w:r>
      <w:r>
        <w:rPr>
          <w:rFonts w:ascii="Arial" w:hAnsi="Arial" w:cs="Arial"/>
          <w:i/>
          <w:iCs/>
          <w:noProof/>
          <w:szCs w:val="24"/>
          <w:lang w:val="en-US"/>
        </w:rPr>
        <w:t>Exp. Cell Res.</w:t>
      </w:r>
      <w:r>
        <w:rPr>
          <w:rFonts w:ascii="Arial" w:hAnsi="Arial" w:cs="Arial"/>
          <w:noProof/>
          <w:szCs w:val="24"/>
          <w:lang w:val="en-US"/>
        </w:rPr>
        <w:t xml:space="preserve"> </w:t>
      </w:r>
      <w:r>
        <w:rPr>
          <w:rFonts w:ascii="Arial" w:hAnsi="Arial" w:cs="Arial"/>
          <w:b/>
          <w:bCs/>
          <w:noProof/>
          <w:szCs w:val="24"/>
          <w:lang w:val="en-US"/>
        </w:rPr>
        <w:t>1974</w:t>
      </w:r>
      <w:r>
        <w:rPr>
          <w:rFonts w:ascii="Arial" w:hAnsi="Arial" w:cs="Arial"/>
          <w:noProof/>
          <w:szCs w:val="24"/>
          <w:lang w:val="en-US"/>
        </w:rPr>
        <w:t xml:space="preserve">, </w:t>
      </w:r>
      <w:r>
        <w:rPr>
          <w:rFonts w:ascii="Arial" w:hAnsi="Arial" w:cs="Arial"/>
          <w:i/>
          <w:iCs/>
          <w:noProof/>
          <w:szCs w:val="24"/>
          <w:lang w:val="en-US"/>
        </w:rPr>
        <w:t>89</w:t>
      </w:r>
      <w:r>
        <w:rPr>
          <w:rFonts w:ascii="Arial" w:hAnsi="Arial" w:cs="Arial"/>
          <w:noProof/>
          <w:szCs w:val="24"/>
          <w:lang w:val="en-US"/>
        </w:rPr>
        <w:t xml:space="preserve"> (1), 127–138.</w:t>
      </w:r>
    </w:p>
    <w:p w14:paraId="02B068F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 </w:t>
      </w:r>
      <w:r>
        <w:rPr>
          <w:rFonts w:ascii="Arial" w:hAnsi="Arial" w:cs="Arial"/>
          <w:noProof/>
          <w:szCs w:val="24"/>
          <w:lang w:val="en-US"/>
        </w:rPr>
        <w:tab/>
        <w:t xml:space="preserve">Elliott, S. G.; McLaughlin, C. S. Regulation of RNA Synthesis in </w:t>
      </w:r>
      <w:r>
        <w:rPr>
          <w:rFonts w:ascii="Arial" w:hAnsi="Arial" w:cs="Arial"/>
          <w:noProof/>
          <w:szCs w:val="24"/>
          <w:lang w:val="en-US"/>
        </w:rPr>
        <w:t xml:space="preserve">Yeast III - Synthesis during the Cell Cycle. </w:t>
      </w:r>
      <w:r>
        <w:rPr>
          <w:rFonts w:ascii="Arial" w:hAnsi="Arial" w:cs="Arial"/>
          <w:i/>
          <w:iCs/>
          <w:noProof/>
          <w:szCs w:val="24"/>
          <w:lang w:val="en-US"/>
        </w:rPr>
        <w:t>MGG Mol. Gen. Genet.</w:t>
      </w:r>
      <w:r>
        <w:rPr>
          <w:rFonts w:ascii="Arial" w:hAnsi="Arial" w:cs="Arial"/>
          <w:noProof/>
          <w:szCs w:val="24"/>
          <w:lang w:val="en-US"/>
        </w:rPr>
        <w:t xml:space="preserve"> </w:t>
      </w:r>
      <w:r>
        <w:rPr>
          <w:rFonts w:ascii="Arial" w:hAnsi="Arial" w:cs="Arial"/>
          <w:b/>
          <w:bCs/>
          <w:noProof/>
          <w:szCs w:val="24"/>
          <w:lang w:val="en-US"/>
        </w:rPr>
        <w:t>1979</w:t>
      </w:r>
      <w:r>
        <w:rPr>
          <w:rFonts w:ascii="Arial" w:hAnsi="Arial" w:cs="Arial"/>
          <w:noProof/>
          <w:szCs w:val="24"/>
          <w:lang w:val="en-US"/>
        </w:rPr>
        <w:t xml:space="preserve">, </w:t>
      </w:r>
      <w:r>
        <w:rPr>
          <w:rFonts w:ascii="Arial" w:hAnsi="Arial" w:cs="Arial"/>
          <w:i/>
          <w:iCs/>
          <w:noProof/>
          <w:szCs w:val="24"/>
          <w:lang w:val="en-US"/>
        </w:rPr>
        <w:t>169</w:t>
      </w:r>
      <w:r>
        <w:rPr>
          <w:rFonts w:ascii="Arial" w:hAnsi="Arial" w:cs="Arial"/>
          <w:noProof/>
          <w:szCs w:val="24"/>
          <w:lang w:val="en-US"/>
        </w:rPr>
        <w:t xml:space="preserve"> (3), 237–243.</w:t>
      </w:r>
    </w:p>
    <w:p w14:paraId="44B6693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(40) </w:t>
      </w:r>
      <w:r>
        <w:rPr>
          <w:rFonts w:ascii="Arial" w:hAnsi="Arial" w:cs="Arial"/>
          <w:noProof/>
          <w:szCs w:val="24"/>
          <w:lang w:val="en-US"/>
        </w:rPr>
        <w:tab/>
        <w:t>Goodfellow, S. J.; Innes, F.; Derblay, L. E.; MacLellan, W. R.; Scott, P. H.; White, R. J. Regulation of RNA Polymerase III Transcription during Hypertrophic Gr</w:t>
      </w:r>
      <w:r>
        <w:rPr>
          <w:rFonts w:ascii="Arial" w:hAnsi="Arial" w:cs="Arial"/>
          <w:noProof/>
          <w:szCs w:val="24"/>
          <w:lang w:val="en-US"/>
        </w:rPr>
        <w:t xml:space="preserve">owth.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2006</w:t>
      </w:r>
      <w:r>
        <w:rPr>
          <w:rFonts w:ascii="Arial" w:hAnsi="Arial" w:cs="Arial"/>
          <w:noProof/>
          <w:szCs w:val="24"/>
          <w:lang w:val="en-US"/>
        </w:rPr>
        <w:t xml:space="preserve">, </w:t>
      </w:r>
      <w:r>
        <w:rPr>
          <w:rFonts w:ascii="Arial" w:hAnsi="Arial" w:cs="Arial"/>
          <w:i/>
          <w:iCs/>
          <w:noProof/>
          <w:szCs w:val="24"/>
          <w:lang w:val="en-US"/>
        </w:rPr>
        <w:t>25</w:t>
      </w:r>
      <w:r>
        <w:rPr>
          <w:rFonts w:ascii="Arial" w:hAnsi="Arial" w:cs="Arial"/>
          <w:noProof/>
          <w:szCs w:val="24"/>
          <w:lang w:val="en-US"/>
        </w:rPr>
        <w:t xml:space="preserve"> (7), 1522–1533.</w:t>
      </w:r>
    </w:p>
    <w:p w14:paraId="24EF85B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(41) </w:t>
      </w:r>
      <w:r>
        <w:rPr>
          <w:rFonts w:ascii="Arial" w:hAnsi="Arial" w:cs="Arial"/>
          <w:noProof/>
          <w:szCs w:val="24"/>
          <w:lang w:val="en-US"/>
        </w:rPr>
        <w:tab/>
        <w:t xml:space="preserve">Klumpp, S.; Scott, M.; Pedersen, S.; Hwa, T. Molecular Crowding Limits Translation and Cell Growth.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110</w:t>
      </w:r>
      <w:r>
        <w:rPr>
          <w:rFonts w:ascii="Arial" w:hAnsi="Arial" w:cs="Arial"/>
          <w:noProof/>
          <w:szCs w:val="24"/>
          <w:lang w:val="en-US"/>
        </w:rPr>
        <w:t xml:space="preserve"> (42), 16754–16759.</w:t>
      </w:r>
    </w:p>
    <w:p w14:paraId="13EA0F2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(42) </w:t>
      </w:r>
      <w:r>
        <w:rPr>
          <w:rFonts w:ascii="Arial" w:hAnsi="Arial" w:cs="Arial"/>
          <w:noProof/>
          <w:szCs w:val="24"/>
          <w:lang w:val="en-US"/>
        </w:rPr>
        <w:tab/>
        <w:t>Lanz, M. C.; Zhang, S.; Swaffer, M. P.; Ziv-</w:t>
      </w:r>
      <w:r>
        <w:rPr>
          <w:rFonts w:ascii="Arial" w:hAnsi="Arial" w:cs="Arial"/>
          <w:noProof/>
          <w:szCs w:val="24"/>
          <w:lang w:val="en-US"/>
        </w:rPr>
        <w:t xml:space="preserve">Uziel, I.; Hernendez-Gotz, L.; Jaroz, D. F.; Elias, J. E.; Skotheim, J. M.; Zuckerberg Biohub San Francisco, C. Genome Dilution by Cell Growth Drives Starvation-like Proteome Remodeling in Mammalian and Yeast </w:t>
      </w:r>
      <w:r>
        <w:rPr>
          <w:rFonts w:ascii="Arial" w:hAnsi="Arial" w:cs="Arial"/>
          <w:noProof/>
          <w:szCs w:val="24"/>
          <w:lang w:val="en-US"/>
        </w:rPr>
        <w:lastRenderedPageBreak/>
        <w:t xml:space="preserve">Cells.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2023.10.16.562558.</w:t>
      </w:r>
    </w:p>
    <w:p w14:paraId="155347A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(43) </w:t>
      </w:r>
      <w:r>
        <w:rPr>
          <w:rFonts w:ascii="Arial" w:hAnsi="Arial" w:cs="Arial"/>
          <w:noProof/>
          <w:szCs w:val="24"/>
          <w:lang w:val="en-US"/>
        </w:rPr>
        <w:tab/>
        <w:t>Z</w:t>
      </w:r>
      <w:r>
        <w:rPr>
          <w:rFonts w:ascii="Arial" w:hAnsi="Arial" w:cs="Arial"/>
          <w:noProof/>
          <w:szCs w:val="24"/>
          <w:lang w:val="en-US"/>
        </w:rPr>
        <w:t xml:space="preserve">atulovskiy, E.; Lanz, M. C.; Zhang, S.; McCarthy, F.; Elias, J. E.; Skotheim, J. M. Delineation of Proteome Changes Driven by Cell Size and Growth Rate. </w:t>
      </w:r>
      <w:r>
        <w:rPr>
          <w:rFonts w:ascii="Arial" w:hAnsi="Arial" w:cs="Arial"/>
          <w:i/>
          <w:iCs/>
          <w:noProof/>
          <w:szCs w:val="24"/>
          <w:lang w:val="en-US"/>
        </w:rPr>
        <w:t>Front. Cell Dev.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 980721.</w:t>
      </w:r>
    </w:p>
    <w:p w14:paraId="36F14D6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(44) </w:t>
      </w:r>
      <w:r>
        <w:rPr>
          <w:rFonts w:ascii="Arial" w:hAnsi="Arial" w:cs="Arial"/>
          <w:noProof/>
          <w:szCs w:val="24"/>
          <w:lang w:val="en-US"/>
        </w:rPr>
        <w:tab/>
      </w:r>
      <w:r>
        <w:rPr>
          <w:rFonts w:ascii="Arial" w:hAnsi="Arial" w:cs="Arial"/>
          <w:noProof/>
          <w:szCs w:val="24"/>
          <w:lang w:val="en-US"/>
        </w:rPr>
        <w:t xml:space="preserve">Scott, M.; Gunderson, C. W.; Mateescu, E. M.; Zhang, Z.; Hwa, T. Interdependence of Cell Growth and Gene Expression: Origins and Consequences.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330</w:t>
      </w:r>
      <w:r>
        <w:rPr>
          <w:rFonts w:ascii="Arial" w:hAnsi="Arial" w:cs="Arial"/>
          <w:noProof/>
          <w:szCs w:val="24"/>
          <w:lang w:val="en-US"/>
        </w:rPr>
        <w:t xml:space="preserve"> (6007), 1099–1102.</w:t>
      </w:r>
    </w:p>
    <w:p w14:paraId="6234346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lang w:val="en-US"/>
        </w:rPr>
        <w:t xml:space="preserve">(45) </w:t>
      </w:r>
      <w:r>
        <w:rPr>
          <w:rFonts w:ascii="Arial" w:hAnsi="Arial" w:cs="Arial"/>
          <w:noProof/>
          <w:szCs w:val="24"/>
          <w:lang w:val="en-US"/>
        </w:rPr>
        <w:tab/>
        <w:t>Metzl-Raz, E.; Kafri, M.; Yaakov, G.; Soifer, I.; Gurvich, Y.; Barkai,</w:t>
      </w:r>
      <w:r>
        <w:rPr>
          <w:rFonts w:ascii="Arial" w:hAnsi="Arial" w:cs="Arial"/>
          <w:noProof/>
          <w:szCs w:val="24"/>
          <w:lang w:val="en-US"/>
        </w:rPr>
        <w:t xml:space="preserve"> N. Principles of Cellular Resource Allocation Revealed by Condition-Dependent Proteome Profiling. </w:t>
      </w:r>
      <w:r>
        <w:rPr>
          <w:rFonts w:ascii="Arial" w:hAnsi="Arial" w:cs="Arial"/>
          <w:i/>
          <w:iCs/>
          <w:noProof/>
          <w:szCs w:val="24"/>
        </w:rPr>
        <w:t>Elife</w:t>
      </w:r>
      <w:r>
        <w:rPr>
          <w:rFonts w:ascii="Arial" w:hAnsi="Arial" w:cs="Arial"/>
          <w:noProof/>
          <w:szCs w:val="24"/>
        </w:rPr>
        <w:t xml:space="preserve"> </w:t>
      </w:r>
      <w:r>
        <w:rPr>
          <w:rFonts w:ascii="Arial" w:hAnsi="Arial" w:cs="Arial"/>
          <w:b/>
          <w:bCs/>
          <w:noProof/>
          <w:szCs w:val="24"/>
        </w:rPr>
        <w:t>2017</w:t>
      </w:r>
      <w:r>
        <w:rPr>
          <w:rFonts w:ascii="Arial" w:hAnsi="Arial" w:cs="Arial"/>
          <w:noProof/>
          <w:szCs w:val="24"/>
        </w:rPr>
        <w:t xml:space="preserve">, </w:t>
      </w:r>
      <w:r>
        <w:rPr>
          <w:rFonts w:ascii="Arial" w:hAnsi="Arial" w:cs="Arial"/>
          <w:i/>
          <w:iCs/>
          <w:noProof/>
          <w:szCs w:val="24"/>
        </w:rPr>
        <w:t>6</w:t>
      </w:r>
      <w:r>
        <w:rPr>
          <w:rFonts w:ascii="Arial" w:hAnsi="Arial" w:cs="Arial"/>
          <w:noProof/>
          <w:szCs w:val="24"/>
        </w:rPr>
        <w:t>.</w:t>
      </w:r>
    </w:p>
    <w:p w14:paraId="07CC0DA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rPr>
        <w:t xml:space="preserve">(46) </w:t>
      </w:r>
      <w:r>
        <w:rPr>
          <w:rFonts w:ascii="Arial" w:hAnsi="Arial" w:cs="Arial"/>
          <w:noProof/>
          <w:szCs w:val="24"/>
        </w:rPr>
        <w:tab/>
      </w:r>
      <w:r>
        <w:rPr>
          <w:rFonts w:ascii="Arial" w:hAnsi="Arial" w:cs="Arial"/>
          <w:noProof/>
          <w:szCs w:val="24"/>
        </w:rPr>
        <w:t xml:space="preserve">Yahya, G.; Menges, P.; Amponsah, P. S.; Ngandiri, D. A.; Schulz, D.; Wallek, A.; Kulak, N.; Mann, M.; Cramer, P.; Savage, V.; et al. </w:t>
      </w:r>
      <w:r>
        <w:rPr>
          <w:rFonts w:ascii="Arial" w:hAnsi="Arial" w:cs="Arial"/>
          <w:noProof/>
          <w:szCs w:val="24"/>
          <w:lang w:val="en-US"/>
        </w:rPr>
        <w:t xml:space="preserve">Sublinear Scaling of the Cellular Proteome with Ploidy. </w:t>
      </w:r>
      <w:r>
        <w:rPr>
          <w:rFonts w:ascii="Arial" w:hAnsi="Arial" w:cs="Arial"/>
          <w:i/>
          <w:iCs/>
          <w:noProof/>
          <w:szCs w:val="24"/>
          <w:lang w:val="en-US"/>
        </w:rPr>
        <w:t>Nat. Commun. 2022 131</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13</w:t>
      </w:r>
      <w:r>
        <w:rPr>
          <w:rFonts w:ascii="Arial" w:hAnsi="Arial" w:cs="Arial"/>
          <w:noProof/>
          <w:szCs w:val="24"/>
          <w:lang w:val="en-US"/>
        </w:rPr>
        <w:t xml:space="preserve"> (1), 1–13.</w:t>
      </w:r>
    </w:p>
    <w:p w14:paraId="3A352B5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(47) </w:t>
      </w:r>
      <w:r>
        <w:rPr>
          <w:rFonts w:ascii="Arial" w:hAnsi="Arial" w:cs="Arial"/>
          <w:noProof/>
          <w:szCs w:val="24"/>
          <w:lang w:val="en-US"/>
        </w:rPr>
        <w:tab/>
        <w:t>Cheng, L.; Chen, J.</w:t>
      </w:r>
      <w:r>
        <w:rPr>
          <w:rFonts w:ascii="Arial" w:hAnsi="Arial" w:cs="Arial"/>
          <w:noProof/>
          <w:szCs w:val="24"/>
          <w:lang w:val="en-US"/>
        </w:rPr>
        <w:t xml:space="preserve">; Kong, Y.; Tan, C.; Kafri, R.; Björklund, M. Size-Scaling Promotes Senescence-like Changes in Proteome and Organelle Content.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2021.08.05.455193.</w:t>
      </w:r>
    </w:p>
    <w:p w14:paraId="24CBA63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(48) </w:t>
      </w:r>
      <w:r>
        <w:rPr>
          <w:rFonts w:ascii="Arial" w:hAnsi="Arial" w:cs="Arial"/>
          <w:noProof/>
          <w:szCs w:val="24"/>
          <w:lang w:val="en-US"/>
        </w:rPr>
        <w:tab/>
        <w:t xml:space="preserve">Li, Y.; Liu, D.; Lopez-Paz, C.; Olson, B. J.; Umen, J. G. A New Class of Cyclin Dependent </w:t>
      </w:r>
      <w:r>
        <w:rPr>
          <w:rFonts w:ascii="Arial" w:hAnsi="Arial" w:cs="Arial"/>
          <w:noProof/>
          <w:szCs w:val="24"/>
          <w:lang w:val="en-US"/>
        </w:rPr>
        <w:t xml:space="preserve">Kinase in Chlamydomonas Is Required for Coupling  Cell Size to Cell Division.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5</w:t>
      </w:r>
      <w:r>
        <w:rPr>
          <w:rFonts w:ascii="Arial" w:hAnsi="Arial" w:cs="Arial"/>
          <w:noProof/>
          <w:szCs w:val="24"/>
          <w:lang w:val="en-US"/>
        </w:rPr>
        <w:t>, e10767.</w:t>
      </w:r>
    </w:p>
    <w:p w14:paraId="33B4FD2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(49) </w:t>
      </w:r>
      <w:r>
        <w:rPr>
          <w:rFonts w:ascii="Arial" w:hAnsi="Arial" w:cs="Arial"/>
          <w:noProof/>
          <w:szCs w:val="24"/>
          <w:lang w:val="en-US"/>
        </w:rPr>
        <w:tab/>
        <w:t>Claude, K.-L.; Bureik, D.; Chatzitheodoridou, D.; Adarska, P.; Singh, A.; Schmoller, K. M. Transcription Coordinates Histone Amounts and Genome Conte</w:t>
      </w:r>
      <w:r>
        <w:rPr>
          <w:rFonts w:ascii="Arial" w:hAnsi="Arial" w:cs="Arial"/>
          <w:noProof/>
          <w:szCs w:val="24"/>
          <w:lang w:val="en-US"/>
        </w:rPr>
        <w:t xml:space="preserve">nt. </w:t>
      </w:r>
      <w:r>
        <w:rPr>
          <w:rFonts w:ascii="Arial" w:hAnsi="Arial" w:cs="Arial"/>
          <w:i/>
          <w:iCs/>
          <w:noProof/>
          <w:szCs w:val="24"/>
          <w:lang w:val="en-US"/>
        </w:rPr>
        <w:t>Nat. Commun.</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(1), 4202.</w:t>
      </w:r>
    </w:p>
    <w:p w14:paraId="416175B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(50) </w:t>
      </w:r>
      <w:r>
        <w:rPr>
          <w:rFonts w:ascii="Arial" w:hAnsi="Arial" w:cs="Arial"/>
          <w:noProof/>
          <w:szCs w:val="24"/>
          <w:lang w:val="en-US"/>
        </w:rPr>
        <w:tab/>
        <w:t xml:space="preserve">Chatzitheodoridou, D.; Bureik, D.; Padovani, F.; Nadimpalli, K. V.; Schmoller, K. M. Decoupling of Transcript and Protein Concentrations Ensures Budding Yeast Histone Homeostasis in Different Nutrient Conditions.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2023.01.26.525696.</w:t>
      </w:r>
    </w:p>
    <w:p w14:paraId="52EE13E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(51) </w:t>
      </w:r>
      <w:r>
        <w:rPr>
          <w:rFonts w:ascii="Arial" w:hAnsi="Arial" w:cs="Arial"/>
          <w:noProof/>
          <w:szCs w:val="24"/>
          <w:lang w:val="en-US"/>
        </w:rPr>
        <w:tab/>
        <w:t xml:space="preserve">Schmoller, K. M.; Turner, J. J.; Kõivomägi, M.; Skotheim, J. M. Dilution of the Cell Cycle Inhibitor Whi5 Controls Budding Yeast Cell Size. </w:t>
      </w:r>
      <w:r>
        <w:rPr>
          <w:rFonts w:ascii="Arial" w:hAnsi="Arial" w:cs="Arial"/>
          <w:i/>
          <w:iCs/>
          <w:noProof/>
          <w:szCs w:val="24"/>
          <w:lang w:val="en-US"/>
        </w:rPr>
        <w:t>Nature</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526</w:t>
      </w:r>
      <w:r>
        <w:rPr>
          <w:rFonts w:ascii="Arial" w:hAnsi="Arial" w:cs="Arial"/>
          <w:noProof/>
          <w:szCs w:val="24"/>
          <w:lang w:val="en-US"/>
        </w:rPr>
        <w:t>, 268–272.</w:t>
      </w:r>
    </w:p>
    <w:p w14:paraId="127E224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(52) </w:t>
      </w:r>
      <w:r>
        <w:rPr>
          <w:rFonts w:ascii="Arial" w:hAnsi="Arial" w:cs="Arial"/>
          <w:noProof/>
          <w:szCs w:val="24"/>
          <w:lang w:val="en-US"/>
        </w:rPr>
        <w:tab/>
        <w:t>Qu, Y.; Jiang, J.; Liu, X.; Wei, P.; Yang, X</w:t>
      </w:r>
      <w:r>
        <w:rPr>
          <w:rFonts w:ascii="Arial" w:hAnsi="Arial" w:cs="Arial"/>
          <w:noProof/>
          <w:szCs w:val="24"/>
          <w:lang w:val="en-US"/>
        </w:rPr>
        <w:t xml:space="preserve">.; Tang, C. Cell Cycle Inhibitor Whi5 Records Environmental Information to Coordinate Growth and Division in Yeast. </w:t>
      </w:r>
      <w:r>
        <w:rPr>
          <w:rFonts w:ascii="Arial" w:hAnsi="Arial" w:cs="Arial"/>
          <w:i/>
          <w:iCs/>
          <w:noProof/>
          <w:szCs w:val="24"/>
          <w:lang w:val="en-US"/>
        </w:rPr>
        <w:t>Cell Rep.</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29</w:t>
      </w:r>
      <w:r>
        <w:rPr>
          <w:rFonts w:ascii="Arial" w:hAnsi="Arial" w:cs="Arial"/>
          <w:noProof/>
          <w:szCs w:val="24"/>
          <w:lang w:val="en-US"/>
        </w:rPr>
        <w:t xml:space="preserve"> (4), 987-994.e5.</w:t>
      </w:r>
    </w:p>
    <w:p w14:paraId="0BF6528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(53) </w:t>
      </w:r>
      <w:r>
        <w:rPr>
          <w:rFonts w:ascii="Arial" w:hAnsi="Arial" w:cs="Arial"/>
          <w:noProof/>
          <w:szCs w:val="24"/>
          <w:lang w:val="en-US"/>
        </w:rPr>
        <w:tab/>
        <w:t xml:space="preserve">Barber, F.; Amir, A.; Murray, A. W.; Murray, A. W. Cell-Size Regulation in Budding Yeast Does Not </w:t>
      </w:r>
      <w:r>
        <w:rPr>
          <w:rFonts w:ascii="Arial" w:hAnsi="Arial" w:cs="Arial"/>
          <w:noProof/>
          <w:szCs w:val="24"/>
          <w:lang w:val="en-US"/>
        </w:rPr>
        <w:t xml:space="preserve">Depend on Linear Accumulation of Whi5.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117</w:t>
      </w:r>
      <w:r>
        <w:rPr>
          <w:rFonts w:ascii="Arial" w:hAnsi="Arial" w:cs="Arial"/>
          <w:noProof/>
          <w:szCs w:val="24"/>
          <w:lang w:val="en-US"/>
        </w:rPr>
        <w:t xml:space="preserve"> (25), 14243–14250.</w:t>
      </w:r>
    </w:p>
    <w:p w14:paraId="03C85F6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(54) </w:t>
      </w:r>
      <w:r>
        <w:rPr>
          <w:rFonts w:ascii="Arial" w:hAnsi="Arial" w:cs="Arial"/>
          <w:noProof/>
          <w:szCs w:val="24"/>
          <w:lang w:val="en-US"/>
        </w:rPr>
        <w:tab/>
      </w:r>
      <w:r>
        <w:rPr>
          <w:rFonts w:ascii="Arial" w:hAnsi="Arial" w:cs="Arial"/>
          <w:noProof/>
          <w:szCs w:val="24"/>
          <w:lang w:val="en-US"/>
        </w:rPr>
        <w:t xml:space="preserve">Schmoller, K. M.; Lanz, M. C.; Kim, J.; Koivomagi, M.; Qu, Y.; Tang, C.; Kukhtevich, I. V.; Schneider, R.; Rudolf, F.; Moreno, D. F.; et al. Whi5 Is Diluted and Protein Synthesis Does Not Dramatically Increase in Pre-Start G1.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33</w:t>
      </w:r>
      <w:r>
        <w:rPr>
          <w:rFonts w:ascii="Arial" w:hAnsi="Arial" w:cs="Arial"/>
          <w:noProof/>
          <w:szCs w:val="24"/>
          <w:lang w:val="en-US"/>
        </w:rPr>
        <w:t xml:space="preserve"> (5),</w:t>
      </w:r>
      <w:r>
        <w:rPr>
          <w:rFonts w:ascii="Arial" w:hAnsi="Arial" w:cs="Arial"/>
          <w:noProof/>
          <w:szCs w:val="24"/>
          <w:lang w:val="en-US"/>
        </w:rPr>
        <w:t xml:space="preserve"> 1–1.</w:t>
      </w:r>
    </w:p>
    <w:p w14:paraId="3901D1C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(55) </w:t>
      </w:r>
      <w:r>
        <w:rPr>
          <w:rFonts w:ascii="Arial" w:hAnsi="Arial" w:cs="Arial"/>
          <w:noProof/>
          <w:szCs w:val="24"/>
          <w:lang w:val="en-US"/>
        </w:rPr>
        <w:tab/>
        <w:t xml:space="preserve">Zatulovskiy, E.; Zhang, S.; Berenson, D. F.; Topacio, B. R.; Skotheim, J. M. Cell Growth Dilutes the Cell Cycle Inhibitor Rb to Trigger Cell Division.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369</w:t>
      </w:r>
      <w:r>
        <w:rPr>
          <w:rFonts w:ascii="Arial" w:hAnsi="Arial" w:cs="Arial"/>
          <w:noProof/>
          <w:szCs w:val="24"/>
          <w:lang w:val="en-US"/>
        </w:rPr>
        <w:t xml:space="preserve"> (July), 466–471.</w:t>
      </w:r>
    </w:p>
    <w:p w14:paraId="15D8CE4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(56) </w:t>
      </w:r>
      <w:r>
        <w:rPr>
          <w:rFonts w:ascii="Arial" w:hAnsi="Arial" w:cs="Arial"/>
          <w:noProof/>
          <w:szCs w:val="24"/>
          <w:lang w:val="en-US"/>
        </w:rPr>
        <w:tab/>
        <w:t>Zhang, S.; Zatulovskiy, E.; Arand, J.; Sage, J.; Sko</w:t>
      </w:r>
      <w:r>
        <w:rPr>
          <w:rFonts w:ascii="Arial" w:hAnsi="Arial" w:cs="Arial"/>
          <w:noProof/>
          <w:szCs w:val="24"/>
          <w:lang w:val="en-US"/>
        </w:rPr>
        <w:t xml:space="preserve">theim, J. M. The Cell Cycle </w:t>
      </w:r>
      <w:r>
        <w:rPr>
          <w:rFonts w:ascii="Arial" w:hAnsi="Arial" w:cs="Arial"/>
          <w:noProof/>
          <w:szCs w:val="24"/>
          <w:lang w:val="en-US"/>
        </w:rPr>
        <w:lastRenderedPageBreak/>
        <w:t xml:space="preserve">Inhibitor RB Is Diluted in G1 and Contributes to Controlling Cell Size in the Mouse Liver. </w:t>
      </w:r>
      <w:r>
        <w:rPr>
          <w:rFonts w:ascii="Arial" w:hAnsi="Arial" w:cs="Arial"/>
          <w:i/>
          <w:iCs/>
          <w:noProof/>
          <w:szCs w:val="24"/>
          <w:lang w:val="en-US"/>
        </w:rPr>
        <w:t>Front. Cell Dev.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 2022.06.08.495371.</w:t>
      </w:r>
    </w:p>
    <w:p w14:paraId="396F3D1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(57) </w:t>
      </w:r>
      <w:r>
        <w:rPr>
          <w:rFonts w:ascii="Arial" w:hAnsi="Arial" w:cs="Arial"/>
          <w:noProof/>
          <w:szCs w:val="24"/>
          <w:lang w:val="en-US"/>
        </w:rPr>
        <w:tab/>
        <w:t>Zhang, S.; Valenzuela, L. F.; Zatulovskiy, E.; Skotheim, J. M. The G1/S Transit</w:t>
      </w:r>
      <w:r>
        <w:rPr>
          <w:rFonts w:ascii="Arial" w:hAnsi="Arial" w:cs="Arial"/>
          <w:noProof/>
          <w:szCs w:val="24"/>
          <w:lang w:val="en-US"/>
        </w:rPr>
        <w:t xml:space="preserve">ion Is Promoted by Rb Degradation via the E3 Ligase UBR5.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2023.10.03.560768.</w:t>
      </w:r>
    </w:p>
    <w:p w14:paraId="7B882C8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(58) </w:t>
      </w:r>
      <w:r>
        <w:rPr>
          <w:rFonts w:ascii="Arial" w:hAnsi="Arial" w:cs="Arial"/>
          <w:noProof/>
          <w:szCs w:val="24"/>
          <w:lang w:val="en-US"/>
        </w:rPr>
        <w:tab/>
        <w:t>D’Ario, M.; Tavares, R.; Schiessl, K.; Desvoyes, B.; Gutierrez, C.; Howard, M.; Sablowski, R. Cell Size Controlled in Plants Using DNA Content as an Internal S</w:t>
      </w:r>
      <w:r>
        <w:rPr>
          <w:rFonts w:ascii="Arial" w:hAnsi="Arial" w:cs="Arial"/>
          <w:noProof/>
          <w:szCs w:val="24"/>
          <w:lang w:val="en-US"/>
        </w:rPr>
        <w:t xml:space="preserve">cale.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372</w:t>
      </w:r>
      <w:r>
        <w:rPr>
          <w:rFonts w:ascii="Arial" w:hAnsi="Arial" w:cs="Arial"/>
          <w:noProof/>
          <w:szCs w:val="24"/>
          <w:lang w:val="en-US"/>
        </w:rPr>
        <w:t xml:space="preserve"> (6547), 1176–1181.</w:t>
      </w:r>
    </w:p>
    <w:p w14:paraId="3221B46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(59) </w:t>
      </w:r>
      <w:r>
        <w:rPr>
          <w:rFonts w:ascii="Arial" w:hAnsi="Arial" w:cs="Arial"/>
          <w:noProof/>
          <w:szCs w:val="24"/>
          <w:lang w:val="en-US"/>
        </w:rPr>
        <w:tab/>
        <w:t>Keifenheim, D.; Sun, X. M.; D’Souza, E.; Ohira, M. J.; Magner, M.; Mayhew, M. B.; Marguerat, S.; Rhind, N. Size-Dependent Expression of the Mitotic Activator Cdc25 Suggests a Mechanism of Size Control in Fis</w:t>
      </w:r>
      <w:r>
        <w:rPr>
          <w:rFonts w:ascii="Arial" w:hAnsi="Arial" w:cs="Arial"/>
          <w:noProof/>
          <w:szCs w:val="24"/>
          <w:lang w:val="en-US"/>
        </w:rPr>
        <w:t xml:space="preserve">sion Yeast.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27</w:t>
      </w:r>
      <w:r>
        <w:rPr>
          <w:rFonts w:ascii="Arial" w:hAnsi="Arial" w:cs="Arial"/>
          <w:noProof/>
          <w:szCs w:val="24"/>
          <w:lang w:val="en-US"/>
        </w:rPr>
        <w:t xml:space="preserve"> (10), 1491-1497.e4.</w:t>
      </w:r>
    </w:p>
    <w:p w14:paraId="5211A5A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(60) </w:t>
      </w:r>
      <w:r>
        <w:rPr>
          <w:rFonts w:ascii="Arial" w:hAnsi="Arial" w:cs="Arial"/>
          <w:noProof/>
          <w:szCs w:val="24"/>
          <w:lang w:val="en-US"/>
        </w:rPr>
        <w:tab/>
        <w:t xml:space="preserve">Curran, S.; Dey, G.; Rees, P.; Nurse, P. A Quantitative and Spatial Analysis of Cell Cycle Regulators during the Fission Yeast Cycle.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119</w:t>
      </w:r>
      <w:r>
        <w:rPr>
          <w:rFonts w:ascii="Arial" w:hAnsi="Arial" w:cs="Arial"/>
          <w:noProof/>
          <w:szCs w:val="24"/>
          <w:lang w:val="en-US"/>
        </w:rPr>
        <w:t xml:space="preserve"> (36), e2206172119.</w:t>
      </w:r>
    </w:p>
    <w:p w14:paraId="0A0D159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(6</w:t>
      </w:r>
      <w:r>
        <w:rPr>
          <w:rFonts w:ascii="Arial" w:hAnsi="Arial" w:cs="Arial"/>
          <w:noProof/>
          <w:szCs w:val="24"/>
          <w:lang w:val="en-US"/>
        </w:rPr>
        <w:t xml:space="preserve">1) </w:t>
      </w:r>
      <w:r>
        <w:rPr>
          <w:rFonts w:ascii="Arial" w:hAnsi="Arial" w:cs="Arial"/>
          <w:noProof/>
          <w:szCs w:val="24"/>
          <w:lang w:val="en-US"/>
        </w:rPr>
        <w:tab/>
        <w:t xml:space="preserve">Miller, K. E.; Vargas-Garcia, C.; Singh, A.; Moseley, J. B. The Fission Yeast Cell Size Control System Integrates Pathways Measuring Cell Surface Area, Volume, and Time.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33</w:t>
      </w:r>
      <w:r>
        <w:rPr>
          <w:rFonts w:ascii="Arial" w:hAnsi="Arial" w:cs="Arial"/>
          <w:noProof/>
          <w:szCs w:val="24"/>
          <w:lang w:val="en-US"/>
        </w:rPr>
        <w:t xml:space="preserve"> (16), 3312-3324.e7.</w:t>
      </w:r>
    </w:p>
    <w:p w14:paraId="3303245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(62) </w:t>
      </w:r>
      <w:r>
        <w:rPr>
          <w:rFonts w:ascii="Arial" w:hAnsi="Arial" w:cs="Arial"/>
          <w:noProof/>
          <w:szCs w:val="24"/>
          <w:lang w:val="en-US"/>
        </w:rPr>
        <w:tab/>
        <w:t>Bashir, S.; Sun, X.-M.; Zhao, Y.; M</w:t>
      </w:r>
      <w:r>
        <w:rPr>
          <w:rFonts w:ascii="Arial" w:hAnsi="Arial" w:cs="Arial"/>
          <w:noProof/>
          <w:szCs w:val="24"/>
          <w:lang w:val="en-US"/>
        </w:rPr>
        <w:t xml:space="preserve">artínez-Illescas, N. G.; Gallego-López, I.; Negrón, L. G.; Keifenheim, D.; Karadimitriou, T.; Tran, T.; Pickering, M.; et al. Size-Dependent Expression of the Fission Yeast Cdc13 Cyclin Is Conferred by Translational Regulation.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2023.01.16.524</w:t>
      </w:r>
      <w:r>
        <w:rPr>
          <w:rFonts w:ascii="Arial" w:hAnsi="Arial" w:cs="Arial"/>
          <w:noProof/>
          <w:szCs w:val="24"/>
          <w:lang w:val="en-US"/>
        </w:rPr>
        <w:t>304.</w:t>
      </w:r>
    </w:p>
    <w:p w14:paraId="1A96048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(63) </w:t>
      </w:r>
      <w:r>
        <w:rPr>
          <w:rFonts w:ascii="Arial" w:hAnsi="Arial" w:cs="Arial"/>
          <w:noProof/>
          <w:szCs w:val="24"/>
          <w:lang w:val="en-US"/>
        </w:rPr>
        <w:tab/>
        <w:t xml:space="preserve">Chen, Y.; Zhao, G.; Zahumensky, J.; Honey, S.; Futcher, B. Differential Scaling of Gene Expression with Cell Size May Explain Size Control in Budding Yeast.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1–12.</w:t>
      </w:r>
    </w:p>
    <w:p w14:paraId="0839AB7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(64) </w:t>
      </w:r>
      <w:r>
        <w:rPr>
          <w:rFonts w:ascii="Arial" w:hAnsi="Arial" w:cs="Arial"/>
          <w:noProof/>
          <w:szCs w:val="24"/>
          <w:lang w:val="en-US"/>
        </w:rPr>
        <w:tab/>
      </w:r>
      <w:r>
        <w:rPr>
          <w:rFonts w:ascii="Arial" w:hAnsi="Arial" w:cs="Arial"/>
          <w:noProof/>
          <w:szCs w:val="24"/>
          <w:lang w:val="en-US"/>
        </w:rPr>
        <w:t xml:space="preserve">Heldt, F. S.; Lunstone, R.; Tyson, J. J.; Novák, B. Dilution and Titration of Cell-Cycle Regulators May Control Cell Size in Budding Yeast. </w:t>
      </w:r>
      <w:r>
        <w:rPr>
          <w:rFonts w:ascii="Arial" w:hAnsi="Arial" w:cs="Arial"/>
          <w:i/>
          <w:iCs/>
          <w:noProof/>
          <w:szCs w:val="24"/>
          <w:lang w:val="en-US"/>
        </w:rPr>
        <w:t>PLoS Comput. Biol.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14</w:t>
      </w:r>
      <w:r>
        <w:rPr>
          <w:rFonts w:ascii="Arial" w:hAnsi="Arial" w:cs="Arial"/>
          <w:noProof/>
          <w:szCs w:val="24"/>
          <w:lang w:val="en-US"/>
        </w:rPr>
        <w:t xml:space="preserve"> (10), 300160.</w:t>
      </w:r>
    </w:p>
    <w:p w14:paraId="2773624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(65) </w:t>
      </w:r>
      <w:r>
        <w:rPr>
          <w:rFonts w:ascii="Arial" w:hAnsi="Arial" w:cs="Arial"/>
          <w:noProof/>
          <w:szCs w:val="24"/>
          <w:lang w:val="en-US"/>
        </w:rPr>
        <w:tab/>
        <w:t>Wang, Q.; Lin, J. Heterogeneous Recruitment Abilities to RNA Polymer</w:t>
      </w:r>
      <w:r>
        <w:rPr>
          <w:rFonts w:ascii="Arial" w:hAnsi="Arial" w:cs="Arial"/>
          <w:noProof/>
          <w:szCs w:val="24"/>
          <w:lang w:val="en-US"/>
        </w:rPr>
        <w:t xml:space="preserve">ases Generate Nonlinear Scaling of Gene Expression with Cell Volume. </w:t>
      </w:r>
      <w:r>
        <w:rPr>
          <w:rFonts w:ascii="Arial" w:hAnsi="Arial" w:cs="Arial"/>
          <w:i/>
          <w:iCs/>
          <w:noProof/>
          <w:szCs w:val="24"/>
          <w:lang w:val="en-US"/>
        </w:rPr>
        <w:t>Nat. Commun. 2021 121</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(1), 1–11.</w:t>
      </w:r>
    </w:p>
    <w:p w14:paraId="108CF45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(66) </w:t>
      </w:r>
      <w:r>
        <w:rPr>
          <w:rFonts w:ascii="Arial" w:hAnsi="Arial" w:cs="Arial"/>
          <w:noProof/>
          <w:szCs w:val="24"/>
          <w:lang w:val="en-US"/>
        </w:rPr>
        <w:tab/>
        <w:t xml:space="preserve">Smith, U. Effect of Cell Size on Lipid Synthesis by Human Adipose Tissue in Vitro. </w:t>
      </w:r>
      <w:r>
        <w:rPr>
          <w:rFonts w:ascii="Arial" w:hAnsi="Arial" w:cs="Arial"/>
          <w:i/>
          <w:iCs/>
          <w:noProof/>
          <w:szCs w:val="24"/>
          <w:lang w:val="en-US"/>
        </w:rPr>
        <w:t>J. Lipid Res.</w:t>
      </w:r>
      <w:r>
        <w:rPr>
          <w:rFonts w:ascii="Arial" w:hAnsi="Arial" w:cs="Arial"/>
          <w:noProof/>
          <w:szCs w:val="24"/>
          <w:lang w:val="en-US"/>
        </w:rPr>
        <w:t xml:space="preserve"> </w:t>
      </w:r>
      <w:r>
        <w:rPr>
          <w:rFonts w:ascii="Arial" w:hAnsi="Arial" w:cs="Arial"/>
          <w:b/>
          <w:bCs/>
          <w:noProof/>
          <w:szCs w:val="24"/>
          <w:lang w:val="en-US"/>
        </w:rPr>
        <w:t>1971</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(1), 65–70.</w:t>
      </w:r>
    </w:p>
    <w:p w14:paraId="0A856A5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(67) </w:t>
      </w:r>
      <w:r>
        <w:rPr>
          <w:rFonts w:ascii="Arial" w:hAnsi="Arial" w:cs="Arial"/>
          <w:noProof/>
          <w:szCs w:val="24"/>
          <w:lang w:val="en-US"/>
        </w:rPr>
        <w:tab/>
        <w:t>Hicks, D. L. Ad</w:t>
      </w:r>
      <w:r>
        <w:rPr>
          <w:rFonts w:ascii="Arial" w:hAnsi="Arial" w:cs="Arial"/>
          <w:noProof/>
          <w:szCs w:val="24"/>
          <w:lang w:val="en-US"/>
        </w:rPr>
        <w:t xml:space="preserve">ipose Tissue Composition and Cell Size In Fall Migratory Thrushes (Turdidae). </w:t>
      </w:r>
      <w:r>
        <w:rPr>
          <w:rFonts w:ascii="Arial" w:hAnsi="Arial" w:cs="Arial"/>
          <w:i/>
          <w:iCs/>
          <w:noProof/>
          <w:szCs w:val="24"/>
          <w:lang w:val="en-US"/>
        </w:rPr>
        <w:t>Condor</w:t>
      </w:r>
      <w:r>
        <w:rPr>
          <w:rFonts w:ascii="Arial" w:hAnsi="Arial" w:cs="Arial"/>
          <w:noProof/>
          <w:szCs w:val="24"/>
          <w:lang w:val="en-US"/>
        </w:rPr>
        <w:t xml:space="preserve"> </w:t>
      </w:r>
      <w:r>
        <w:rPr>
          <w:rFonts w:ascii="Arial" w:hAnsi="Arial" w:cs="Arial"/>
          <w:b/>
          <w:bCs/>
          <w:noProof/>
          <w:szCs w:val="24"/>
          <w:lang w:val="en-US"/>
        </w:rPr>
        <w:t>1967</w:t>
      </w:r>
      <w:r>
        <w:rPr>
          <w:rFonts w:ascii="Arial" w:hAnsi="Arial" w:cs="Arial"/>
          <w:noProof/>
          <w:szCs w:val="24"/>
          <w:lang w:val="en-US"/>
        </w:rPr>
        <w:t xml:space="preserve">, </w:t>
      </w:r>
      <w:r>
        <w:rPr>
          <w:rFonts w:ascii="Arial" w:hAnsi="Arial" w:cs="Arial"/>
          <w:i/>
          <w:iCs/>
          <w:noProof/>
          <w:szCs w:val="24"/>
          <w:lang w:val="en-US"/>
        </w:rPr>
        <w:t>69</w:t>
      </w:r>
      <w:r>
        <w:rPr>
          <w:rFonts w:ascii="Arial" w:hAnsi="Arial" w:cs="Arial"/>
          <w:noProof/>
          <w:szCs w:val="24"/>
          <w:lang w:val="en-US"/>
        </w:rPr>
        <w:t xml:space="preserve"> (4), 387–399.</w:t>
      </w:r>
    </w:p>
    <w:p w14:paraId="3B4D7E2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(68) </w:t>
      </w:r>
      <w:r>
        <w:rPr>
          <w:rFonts w:ascii="Arial" w:hAnsi="Arial" w:cs="Arial"/>
          <w:noProof/>
          <w:szCs w:val="24"/>
          <w:lang w:val="en-US"/>
        </w:rPr>
        <w:tab/>
        <w:t xml:space="preserve">Zingg, W.; Angel, A.; Steinberg, M. D. STUDIES ON THE NUMBER AND VOLUME OF FAT CELLS IN ADIPOSE TISSUE. </w:t>
      </w:r>
      <w:r>
        <w:rPr>
          <w:rFonts w:ascii="Arial" w:hAnsi="Arial" w:cs="Arial"/>
          <w:i/>
          <w:iCs/>
          <w:noProof/>
          <w:szCs w:val="24"/>
          <w:lang w:val="en-US"/>
        </w:rPr>
        <w:t>https://doi.org/10.1139/o62-050</w:t>
      </w:r>
      <w:r>
        <w:rPr>
          <w:rFonts w:ascii="Arial" w:hAnsi="Arial" w:cs="Arial"/>
          <w:noProof/>
          <w:szCs w:val="24"/>
          <w:lang w:val="en-US"/>
        </w:rPr>
        <w:t xml:space="preserve"> </w:t>
      </w:r>
      <w:r>
        <w:rPr>
          <w:rFonts w:ascii="Arial" w:hAnsi="Arial" w:cs="Arial"/>
          <w:b/>
          <w:bCs/>
          <w:noProof/>
          <w:szCs w:val="24"/>
          <w:lang w:val="en-US"/>
        </w:rPr>
        <w:t>1962</w:t>
      </w:r>
      <w:r>
        <w:rPr>
          <w:rFonts w:ascii="Arial" w:hAnsi="Arial" w:cs="Arial"/>
          <w:noProof/>
          <w:szCs w:val="24"/>
          <w:lang w:val="en-US"/>
        </w:rPr>
        <w:t xml:space="preserve">, </w:t>
      </w:r>
      <w:r>
        <w:rPr>
          <w:rFonts w:ascii="Arial" w:hAnsi="Arial" w:cs="Arial"/>
          <w:i/>
          <w:iCs/>
          <w:noProof/>
          <w:szCs w:val="24"/>
          <w:lang w:val="en-US"/>
        </w:rPr>
        <w:t>40</w:t>
      </w:r>
      <w:r>
        <w:rPr>
          <w:rFonts w:ascii="Arial" w:hAnsi="Arial" w:cs="Arial"/>
          <w:noProof/>
          <w:szCs w:val="24"/>
          <w:lang w:val="en-US"/>
        </w:rPr>
        <w:t xml:space="preserve"> (4), 437–442.</w:t>
      </w:r>
    </w:p>
    <w:p w14:paraId="26EE2D6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(69) </w:t>
      </w:r>
      <w:r>
        <w:rPr>
          <w:rFonts w:ascii="Arial" w:hAnsi="Arial" w:cs="Arial"/>
          <w:noProof/>
          <w:szCs w:val="24"/>
          <w:lang w:val="en-US"/>
        </w:rPr>
        <w:tab/>
        <w:t xml:space="preserve">Singh, P.; Saxena, R.; Srinivas, G.; Pande, G.; Chattopadhyay, A. Cholesterol Biosynthesis and Homeostasis in Regulation of the Cell Cycle. </w:t>
      </w:r>
      <w:r>
        <w:rPr>
          <w:rFonts w:ascii="Arial" w:hAnsi="Arial" w:cs="Arial"/>
          <w:i/>
          <w:iCs/>
          <w:noProof/>
          <w:szCs w:val="24"/>
          <w:lang w:val="en-US"/>
        </w:rPr>
        <w:t>PLoS One</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(3), e58833.</w:t>
      </w:r>
    </w:p>
    <w:p w14:paraId="1A50DD4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(70) </w:t>
      </w:r>
      <w:r>
        <w:rPr>
          <w:rFonts w:ascii="Arial" w:hAnsi="Arial" w:cs="Arial"/>
          <w:noProof/>
          <w:szCs w:val="24"/>
          <w:lang w:val="en-US"/>
        </w:rPr>
        <w:tab/>
        <w:t>Blank, H. M.; Papoulas, O.; Maitra, N.; Garge, R.; Kenned</w:t>
      </w:r>
      <w:r>
        <w:rPr>
          <w:rFonts w:ascii="Arial" w:hAnsi="Arial" w:cs="Arial"/>
          <w:noProof/>
          <w:szCs w:val="24"/>
          <w:lang w:val="en-US"/>
        </w:rPr>
        <w:t xml:space="preserve">y, B. K.; Schilling, B.; Marcotte, E. M.; Polymenis, M. Abundances of Transcripts, Proteins, and Metabolites in the Cell Cycle of Budding Yeast Reveal Coordinate Control of Lipid Metabolism.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31</w:t>
      </w:r>
      <w:r>
        <w:rPr>
          <w:rFonts w:ascii="Arial" w:hAnsi="Arial" w:cs="Arial"/>
          <w:noProof/>
          <w:szCs w:val="24"/>
          <w:lang w:val="en-US"/>
        </w:rPr>
        <w:t xml:space="preserve"> (10), 1069–1084.</w:t>
      </w:r>
    </w:p>
    <w:p w14:paraId="2B46A9B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(71) </w:t>
      </w:r>
      <w:r>
        <w:rPr>
          <w:rFonts w:ascii="Arial" w:hAnsi="Arial" w:cs="Arial"/>
          <w:noProof/>
          <w:szCs w:val="24"/>
          <w:lang w:val="en-US"/>
        </w:rPr>
        <w:tab/>
      </w:r>
      <w:r>
        <w:rPr>
          <w:rFonts w:ascii="Arial" w:hAnsi="Arial" w:cs="Arial"/>
          <w:noProof/>
          <w:szCs w:val="24"/>
          <w:lang w:val="en-US"/>
        </w:rPr>
        <w:t xml:space="preserve">Cadart, C.; Heald, R. Scaling of Biosynthesis and Metabolism with Cell Size.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33</w:t>
      </w:r>
      <w:r>
        <w:rPr>
          <w:rFonts w:ascii="Arial" w:hAnsi="Arial" w:cs="Arial"/>
          <w:noProof/>
          <w:szCs w:val="24"/>
          <w:lang w:val="en-US"/>
        </w:rPr>
        <w:t xml:space="preserve"> (9).</w:t>
      </w:r>
    </w:p>
    <w:p w14:paraId="50EA9E8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(72) </w:t>
      </w:r>
      <w:r>
        <w:rPr>
          <w:rFonts w:ascii="Arial" w:hAnsi="Arial" w:cs="Arial"/>
          <w:noProof/>
          <w:szCs w:val="24"/>
          <w:lang w:val="en-US"/>
        </w:rPr>
        <w:tab/>
        <w:t xml:space="preserve">Glazier, D. S. How Metabolic Rate Relates to Cell Size. </w:t>
      </w:r>
      <w:r>
        <w:rPr>
          <w:rFonts w:ascii="Arial" w:hAnsi="Arial" w:cs="Arial"/>
          <w:i/>
          <w:iCs/>
          <w:noProof/>
          <w:szCs w:val="24"/>
          <w:lang w:val="en-US"/>
        </w:rPr>
        <w:t>Biology</w:t>
      </w:r>
      <w:r>
        <w:rPr>
          <w:rFonts w:ascii="Arial" w:hAnsi="Arial" w:cs="Arial"/>
          <w:noProof/>
          <w:szCs w:val="24"/>
          <w:lang w:val="en-US"/>
        </w:rPr>
        <w:t>. Biology (Basel) August 1, 2022.</w:t>
      </w:r>
    </w:p>
    <w:p w14:paraId="53D0D6A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(73) </w:t>
      </w:r>
      <w:r>
        <w:rPr>
          <w:rFonts w:ascii="Arial" w:hAnsi="Arial" w:cs="Arial"/>
          <w:noProof/>
          <w:szCs w:val="24"/>
          <w:lang w:val="en-US"/>
        </w:rPr>
        <w:tab/>
        <w:t>Cadart, C.; Bartz, J.; Oaks, G.; Liu, M.</w:t>
      </w:r>
      <w:r>
        <w:rPr>
          <w:rFonts w:ascii="Arial" w:hAnsi="Arial" w:cs="Arial"/>
          <w:noProof/>
          <w:szCs w:val="24"/>
          <w:lang w:val="en-US"/>
        </w:rPr>
        <w:t xml:space="preserve"> Z.; Correspondence, R. H.; Heald, R. Polyploidy in Xenopus Lowers Metabolic Rate by Decreasing Total Cell Surface Area.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33</w:t>
      </w:r>
      <w:r>
        <w:rPr>
          <w:rFonts w:ascii="Arial" w:hAnsi="Arial" w:cs="Arial"/>
          <w:noProof/>
          <w:szCs w:val="24"/>
          <w:lang w:val="en-US"/>
        </w:rPr>
        <w:t>, 1744-1752.e7.</w:t>
      </w:r>
    </w:p>
    <w:p w14:paraId="0DC8435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(74) </w:t>
      </w:r>
      <w:r>
        <w:rPr>
          <w:rFonts w:ascii="Arial" w:hAnsi="Arial" w:cs="Arial"/>
          <w:noProof/>
          <w:szCs w:val="24"/>
          <w:lang w:val="en-US"/>
        </w:rPr>
        <w:tab/>
      </w:r>
      <w:r>
        <w:rPr>
          <w:rFonts w:ascii="Arial" w:hAnsi="Arial" w:cs="Arial"/>
          <w:noProof/>
          <w:szCs w:val="24"/>
          <w:lang w:val="en-US"/>
        </w:rPr>
        <w:t xml:space="preserve">Demian, W. L.; Persaud, A.; Jiang, C.; Kafri, R.; Raught, B.; Rotin, D.; Tienne Coyaud, E. ´; Liu, S.; Kapus, A. The Ion Transporter NKCC1 Links Cell Volume to Cell Mass Regulation by Suppressing MTORC1. </w:t>
      </w:r>
      <w:r>
        <w:rPr>
          <w:rFonts w:ascii="Arial" w:hAnsi="Arial" w:cs="Arial"/>
          <w:i/>
          <w:iCs/>
          <w:noProof/>
          <w:szCs w:val="24"/>
          <w:lang w:val="en-US"/>
        </w:rPr>
        <w:t>Cell Rep.</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27</w:t>
      </w:r>
      <w:r>
        <w:rPr>
          <w:rFonts w:ascii="Arial" w:hAnsi="Arial" w:cs="Arial"/>
          <w:noProof/>
          <w:szCs w:val="24"/>
          <w:lang w:val="en-US"/>
        </w:rPr>
        <w:t>.</w:t>
      </w:r>
    </w:p>
    <w:p w14:paraId="56CC966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(75) </w:t>
      </w:r>
      <w:r>
        <w:rPr>
          <w:rFonts w:ascii="Arial" w:hAnsi="Arial" w:cs="Arial"/>
          <w:noProof/>
          <w:szCs w:val="24"/>
          <w:lang w:val="en-US"/>
        </w:rPr>
        <w:tab/>
        <w:t>Knapp, B. D.; Odermatt, P.</w:t>
      </w:r>
      <w:r>
        <w:rPr>
          <w:rFonts w:ascii="Arial" w:hAnsi="Arial" w:cs="Arial"/>
          <w:noProof/>
          <w:szCs w:val="24"/>
          <w:lang w:val="en-US"/>
        </w:rPr>
        <w:t>; Rojas, E. R.; Cheng, W.; He, X.; Huang, K. C.; Correspondence, F. C.; Edu, K.; Chang, F. Decoupling of Rates of Protein Synthesis from Cell Expansion Leads to Supergrowth Article Decoupling of Rates of Protein Synthesis from Cell Expansion Leads to Super</w:t>
      </w:r>
      <w:r>
        <w:rPr>
          <w:rFonts w:ascii="Arial" w:hAnsi="Arial" w:cs="Arial"/>
          <w:noProof/>
          <w:szCs w:val="24"/>
          <w:lang w:val="en-US"/>
        </w:rPr>
        <w:t xml:space="preserve">growth. </w:t>
      </w:r>
      <w:r>
        <w:rPr>
          <w:rFonts w:ascii="Arial" w:hAnsi="Arial" w:cs="Arial"/>
          <w:i/>
          <w:iCs/>
          <w:noProof/>
          <w:szCs w:val="24"/>
          <w:lang w:val="en-US"/>
        </w:rPr>
        <w:t>Cell Syst.</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434–445.</w:t>
      </w:r>
    </w:p>
    <w:p w14:paraId="01B1FA6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(76) </w:t>
      </w:r>
      <w:r>
        <w:rPr>
          <w:rFonts w:ascii="Arial" w:hAnsi="Arial" w:cs="Arial"/>
          <w:noProof/>
          <w:szCs w:val="24"/>
          <w:lang w:val="en-US"/>
        </w:rPr>
        <w:tab/>
        <w:t xml:space="preserve">Grover, W. H.; Bryan, A. K.; Diez-Silva, M.; Suresh, S.; Higgins, J. M.; Manalis, S. R. Measuring Single-Cell Density.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2011</w:t>
      </w:r>
      <w:r>
        <w:rPr>
          <w:rFonts w:ascii="Arial" w:hAnsi="Arial" w:cs="Arial"/>
          <w:noProof/>
          <w:szCs w:val="24"/>
          <w:lang w:val="en-US"/>
        </w:rPr>
        <w:t xml:space="preserve">, </w:t>
      </w:r>
      <w:r>
        <w:rPr>
          <w:rFonts w:ascii="Arial" w:hAnsi="Arial" w:cs="Arial"/>
          <w:i/>
          <w:iCs/>
          <w:noProof/>
          <w:szCs w:val="24"/>
          <w:lang w:val="en-US"/>
        </w:rPr>
        <w:t>108</w:t>
      </w:r>
      <w:r>
        <w:rPr>
          <w:rFonts w:ascii="Arial" w:hAnsi="Arial" w:cs="Arial"/>
          <w:noProof/>
          <w:szCs w:val="24"/>
          <w:lang w:val="en-US"/>
        </w:rPr>
        <w:t xml:space="preserve"> (27), 10992–10996.</w:t>
      </w:r>
    </w:p>
    <w:p w14:paraId="23E0223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(77) </w:t>
      </w:r>
      <w:r>
        <w:rPr>
          <w:rFonts w:ascii="Arial" w:hAnsi="Arial" w:cs="Arial"/>
          <w:noProof/>
          <w:szCs w:val="24"/>
          <w:lang w:val="en-US"/>
        </w:rPr>
        <w:tab/>
        <w:t>Liu, X.; Oh, S.; Kirschner,</w:t>
      </w:r>
      <w:r>
        <w:rPr>
          <w:rFonts w:ascii="Arial" w:hAnsi="Arial" w:cs="Arial"/>
          <w:noProof/>
          <w:szCs w:val="24"/>
          <w:lang w:val="en-US"/>
        </w:rPr>
        <w:t xml:space="preserve"> M. W. The Uniformity and Stability of Cellular Mass Density in Mammalian Cell Culture. </w:t>
      </w:r>
      <w:r>
        <w:rPr>
          <w:rFonts w:ascii="Arial" w:hAnsi="Arial" w:cs="Arial"/>
          <w:i/>
          <w:iCs/>
          <w:noProof/>
          <w:szCs w:val="24"/>
          <w:lang w:val="en-US"/>
        </w:rPr>
        <w:t>Front. Cell Dev.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 1017499.</w:t>
      </w:r>
    </w:p>
    <w:p w14:paraId="688DD89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(78) </w:t>
      </w:r>
      <w:r>
        <w:rPr>
          <w:rFonts w:ascii="Arial" w:hAnsi="Arial" w:cs="Arial"/>
          <w:noProof/>
          <w:szCs w:val="24"/>
          <w:lang w:val="en-US"/>
        </w:rPr>
        <w:tab/>
        <w:t>Miettinen, T. P.; Ly, K. S.; Lam, A.; Manalis, S. R. Single-Cell Monitoring of Dry Mass and Dry Mass Density Reveals Exo</w:t>
      </w:r>
      <w:r>
        <w:rPr>
          <w:rFonts w:ascii="Arial" w:hAnsi="Arial" w:cs="Arial"/>
          <w:noProof/>
          <w:szCs w:val="24"/>
          <w:lang w:val="en-US"/>
        </w:rPr>
        <w:t xml:space="preserve">cytosis of Cellular Dry Contents in Mitosis.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w:t>
      </w:r>
    </w:p>
    <w:p w14:paraId="24BC3C8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(79) </w:t>
      </w:r>
      <w:r>
        <w:rPr>
          <w:rFonts w:ascii="Arial" w:hAnsi="Arial" w:cs="Arial"/>
          <w:noProof/>
          <w:szCs w:val="24"/>
          <w:lang w:val="en-US"/>
        </w:rPr>
        <w:tab/>
        <w:t xml:space="preserve">Rollin, R.; Joanny, J. F.; Sens, P. Physical Basis of the Cell Size Scaling Laws.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w:t>
      </w:r>
    </w:p>
    <w:p w14:paraId="646AEF0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(80) </w:t>
      </w:r>
      <w:r>
        <w:rPr>
          <w:rFonts w:ascii="Arial" w:hAnsi="Arial" w:cs="Arial"/>
          <w:noProof/>
          <w:szCs w:val="24"/>
          <w:lang w:val="en-US"/>
        </w:rPr>
        <w:tab/>
        <w:t xml:space="preserve">Ye, Y.; Lin, J. Putting Scaling Laws on a Physical Foundation.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w:t>
      </w:r>
    </w:p>
    <w:p w14:paraId="7561575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(81) </w:t>
      </w:r>
      <w:r>
        <w:rPr>
          <w:rFonts w:ascii="Arial" w:hAnsi="Arial" w:cs="Arial"/>
          <w:noProof/>
          <w:szCs w:val="24"/>
          <w:lang w:val="en-US"/>
        </w:rPr>
        <w:tab/>
      </w:r>
      <w:r>
        <w:rPr>
          <w:rFonts w:ascii="Arial" w:hAnsi="Arial" w:cs="Arial"/>
          <w:noProof/>
          <w:szCs w:val="24"/>
          <w:lang w:val="en-US"/>
        </w:rPr>
        <w:t xml:space="preserve">Bryan, A. K.; Hecht, V. C.; Shen, W.; Payer, K.; Grover, W. H.; Manalis, S. R. Measuring Single Cell Mass, Volume, and Density with Dual Suspended Microchannel Resonators. </w:t>
      </w:r>
      <w:r>
        <w:rPr>
          <w:rFonts w:ascii="Arial" w:hAnsi="Arial" w:cs="Arial"/>
          <w:i/>
          <w:iCs/>
          <w:noProof/>
          <w:szCs w:val="24"/>
          <w:lang w:val="en-US"/>
        </w:rPr>
        <w:t>Lab Chip</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14</w:t>
      </w:r>
      <w:r>
        <w:rPr>
          <w:rFonts w:ascii="Arial" w:hAnsi="Arial" w:cs="Arial"/>
          <w:noProof/>
          <w:szCs w:val="24"/>
          <w:lang w:val="en-US"/>
        </w:rPr>
        <w:t xml:space="preserve"> (3), 569–576.</w:t>
      </w:r>
    </w:p>
    <w:p w14:paraId="326025A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(82) </w:t>
      </w:r>
      <w:r>
        <w:rPr>
          <w:rFonts w:ascii="Arial" w:hAnsi="Arial" w:cs="Arial"/>
          <w:noProof/>
          <w:szCs w:val="24"/>
          <w:lang w:val="en-US"/>
        </w:rPr>
        <w:tab/>
        <w:t>Neurohr, G. E.; Amon, A. Relevance and Regulat</w:t>
      </w:r>
      <w:r>
        <w:rPr>
          <w:rFonts w:ascii="Arial" w:hAnsi="Arial" w:cs="Arial"/>
          <w:noProof/>
          <w:szCs w:val="24"/>
          <w:lang w:val="en-US"/>
        </w:rPr>
        <w:t xml:space="preserve">ion of Cell Density. </w:t>
      </w:r>
      <w:r>
        <w:rPr>
          <w:rFonts w:ascii="Arial" w:hAnsi="Arial" w:cs="Arial"/>
          <w:i/>
          <w:iCs/>
          <w:noProof/>
          <w:szCs w:val="24"/>
          <w:lang w:val="en-US"/>
        </w:rPr>
        <w:t>Trends Cell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30</w:t>
      </w:r>
      <w:r>
        <w:rPr>
          <w:rFonts w:ascii="Arial" w:hAnsi="Arial" w:cs="Arial"/>
          <w:noProof/>
          <w:szCs w:val="24"/>
          <w:lang w:val="en-US"/>
        </w:rPr>
        <w:t xml:space="preserve"> (3), 213–225.</w:t>
      </w:r>
    </w:p>
    <w:p w14:paraId="2D91667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(83) </w:t>
      </w:r>
      <w:r>
        <w:rPr>
          <w:rFonts w:ascii="Arial" w:hAnsi="Arial" w:cs="Arial"/>
          <w:noProof/>
          <w:szCs w:val="24"/>
          <w:lang w:val="en-US"/>
        </w:rPr>
        <w:tab/>
        <w:t>Odermatt, P. D.; Miettinen, T. P.; Lemière, J.; Kang, J. H.; Bostan, E.; Manalis, S. R.; Huang, K. C.; Chang, F. Variations of Intracellular Density during the Cell Cycle Arise from Tip-Gr</w:t>
      </w:r>
      <w:r>
        <w:rPr>
          <w:rFonts w:ascii="Arial" w:hAnsi="Arial" w:cs="Arial"/>
          <w:noProof/>
          <w:szCs w:val="24"/>
          <w:lang w:val="en-US"/>
        </w:rPr>
        <w:t xml:space="preserve">owth Regulation in Fission Yeast.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w:t>
      </w:r>
    </w:p>
    <w:p w14:paraId="3E1595B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(84) </w:t>
      </w:r>
      <w:r>
        <w:rPr>
          <w:rFonts w:ascii="Arial" w:hAnsi="Arial" w:cs="Arial"/>
          <w:noProof/>
          <w:szCs w:val="24"/>
          <w:lang w:val="en-US"/>
        </w:rPr>
        <w:tab/>
      </w:r>
      <w:r>
        <w:rPr>
          <w:rFonts w:ascii="Arial" w:hAnsi="Arial" w:cs="Arial"/>
          <w:noProof/>
          <w:szCs w:val="24"/>
          <w:lang w:val="en-US"/>
        </w:rPr>
        <w:t xml:space="preserve">Oh, S.; Lee, C. H.; Yang, W.; Li, A.; Mukherjee, A.; Basan, M.; Ran, C.; Yin, W.; Tabin, C. J.; Fu, D.; et al. Protein and Lipid Mass Concentration Measurement in Tissues by Stimulated Raman Scattering Microscopy.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119</w:t>
      </w:r>
      <w:r>
        <w:rPr>
          <w:rFonts w:ascii="Arial" w:hAnsi="Arial" w:cs="Arial"/>
          <w:noProof/>
          <w:szCs w:val="24"/>
          <w:lang w:val="en-US"/>
        </w:rPr>
        <w:t xml:space="preserve"> </w:t>
      </w:r>
      <w:r>
        <w:rPr>
          <w:rFonts w:ascii="Arial" w:hAnsi="Arial" w:cs="Arial"/>
          <w:noProof/>
          <w:szCs w:val="24"/>
          <w:lang w:val="en-US"/>
        </w:rPr>
        <w:t>(17), e2117938119.</w:t>
      </w:r>
    </w:p>
    <w:p w14:paraId="5D1C575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(85) </w:t>
      </w:r>
      <w:r>
        <w:rPr>
          <w:rFonts w:ascii="Arial" w:hAnsi="Arial" w:cs="Arial"/>
          <w:noProof/>
          <w:szCs w:val="24"/>
          <w:lang w:val="en-US"/>
        </w:rPr>
        <w:tab/>
        <w:t xml:space="preserve">Godin, M.; Bryan, A. K.; Burg, T. P.; Babcock, K.; Manalis, S. R. Measuring the Mass, Density, and Size of Particles and Cells Using a Suspended Microchannel Resonator. </w:t>
      </w:r>
      <w:r>
        <w:rPr>
          <w:rFonts w:ascii="Arial" w:hAnsi="Arial" w:cs="Arial"/>
          <w:i/>
          <w:iCs/>
          <w:noProof/>
          <w:szCs w:val="24"/>
          <w:lang w:val="en-US"/>
        </w:rPr>
        <w:t>Appl. Phys. Lett.</w:t>
      </w:r>
      <w:r>
        <w:rPr>
          <w:rFonts w:ascii="Arial" w:hAnsi="Arial" w:cs="Arial"/>
          <w:noProof/>
          <w:szCs w:val="24"/>
          <w:lang w:val="en-US"/>
        </w:rPr>
        <w:t xml:space="preserve"> </w:t>
      </w:r>
      <w:r>
        <w:rPr>
          <w:rFonts w:ascii="Arial" w:hAnsi="Arial" w:cs="Arial"/>
          <w:b/>
          <w:bCs/>
          <w:noProof/>
          <w:szCs w:val="24"/>
          <w:lang w:val="en-US"/>
        </w:rPr>
        <w:t>2007</w:t>
      </w:r>
      <w:r>
        <w:rPr>
          <w:rFonts w:ascii="Arial" w:hAnsi="Arial" w:cs="Arial"/>
          <w:noProof/>
          <w:szCs w:val="24"/>
          <w:lang w:val="en-US"/>
        </w:rPr>
        <w:t xml:space="preserve">, </w:t>
      </w:r>
      <w:r>
        <w:rPr>
          <w:rFonts w:ascii="Arial" w:hAnsi="Arial" w:cs="Arial"/>
          <w:i/>
          <w:iCs/>
          <w:noProof/>
          <w:szCs w:val="24"/>
          <w:lang w:val="en-US"/>
        </w:rPr>
        <w:t>91</w:t>
      </w:r>
      <w:r>
        <w:rPr>
          <w:rFonts w:ascii="Arial" w:hAnsi="Arial" w:cs="Arial"/>
          <w:noProof/>
          <w:szCs w:val="24"/>
          <w:lang w:val="en-US"/>
        </w:rPr>
        <w:t xml:space="preserve"> (12), 123121.</w:t>
      </w:r>
    </w:p>
    <w:p w14:paraId="234F1BE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(86) </w:t>
      </w:r>
      <w:r>
        <w:rPr>
          <w:rFonts w:ascii="Arial" w:hAnsi="Arial" w:cs="Arial"/>
          <w:noProof/>
          <w:szCs w:val="24"/>
          <w:lang w:val="en-US"/>
        </w:rPr>
        <w:tab/>
        <w:t>Godin, M.; Delg</w:t>
      </w:r>
      <w:r>
        <w:rPr>
          <w:rFonts w:ascii="Arial" w:hAnsi="Arial" w:cs="Arial"/>
          <w:noProof/>
          <w:szCs w:val="24"/>
          <w:lang w:val="en-US"/>
        </w:rPr>
        <w:t xml:space="preserve">ado, F. F.; Son, S.; Grover, W. H.; Bryan, A. K.; Tzur, A.; Jorgensen, P.; Payer, K.; Grossman, A. D.; Kirschner, M. W.; et al. Using Buoyant Mass to Measure the Growth of Single Cells. </w:t>
      </w:r>
      <w:r>
        <w:rPr>
          <w:rFonts w:ascii="Arial" w:hAnsi="Arial" w:cs="Arial"/>
          <w:i/>
          <w:iCs/>
          <w:noProof/>
          <w:szCs w:val="24"/>
          <w:lang w:val="en-US"/>
        </w:rPr>
        <w:t>Nat. Methods</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 xml:space="preserve"> (5), 387–390.</w:t>
      </w:r>
    </w:p>
    <w:p w14:paraId="2CEEB72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(87) </w:t>
      </w:r>
      <w:r>
        <w:rPr>
          <w:rFonts w:ascii="Arial" w:hAnsi="Arial" w:cs="Arial"/>
          <w:noProof/>
          <w:szCs w:val="24"/>
          <w:lang w:val="en-US"/>
        </w:rPr>
        <w:tab/>
        <w:t>Choi, W.; Fang-Yen, C.; Badiz</w:t>
      </w:r>
      <w:r>
        <w:rPr>
          <w:rFonts w:ascii="Arial" w:hAnsi="Arial" w:cs="Arial"/>
          <w:noProof/>
          <w:szCs w:val="24"/>
          <w:lang w:val="en-US"/>
        </w:rPr>
        <w:t xml:space="preserve">adegan, K.; Oh, S.; Lue, N.; Dasari, R. R.; Feld, M. S. Tomographic Phase Microscopy. </w:t>
      </w:r>
      <w:r>
        <w:rPr>
          <w:rFonts w:ascii="Arial" w:hAnsi="Arial" w:cs="Arial"/>
          <w:i/>
          <w:iCs/>
          <w:noProof/>
          <w:szCs w:val="24"/>
          <w:lang w:val="en-US"/>
        </w:rPr>
        <w:t>Nat. Methods 2007 49</w:t>
      </w:r>
      <w:r>
        <w:rPr>
          <w:rFonts w:ascii="Arial" w:hAnsi="Arial" w:cs="Arial"/>
          <w:noProof/>
          <w:szCs w:val="24"/>
          <w:lang w:val="en-US"/>
        </w:rPr>
        <w:t xml:space="preserve"> </w:t>
      </w:r>
      <w:r>
        <w:rPr>
          <w:rFonts w:ascii="Arial" w:hAnsi="Arial" w:cs="Arial"/>
          <w:b/>
          <w:bCs/>
          <w:noProof/>
          <w:szCs w:val="24"/>
          <w:lang w:val="en-US"/>
        </w:rPr>
        <w:t>2007</w:t>
      </w:r>
      <w:r>
        <w:rPr>
          <w:rFonts w:ascii="Arial" w:hAnsi="Arial" w:cs="Arial"/>
          <w:noProof/>
          <w:szCs w:val="24"/>
          <w:lang w:val="en-US"/>
        </w:rPr>
        <w:t xml:space="preserve">, </w:t>
      </w:r>
      <w:r>
        <w:rPr>
          <w:rFonts w:ascii="Arial" w:hAnsi="Arial" w:cs="Arial"/>
          <w:i/>
          <w:iCs/>
          <w:noProof/>
          <w:szCs w:val="24"/>
          <w:lang w:val="en-US"/>
        </w:rPr>
        <w:t>4</w:t>
      </w:r>
      <w:r>
        <w:rPr>
          <w:rFonts w:ascii="Arial" w:hAnsi="Arial" w:cs="Arial"/>
          <w:noProof/>
          <w:szCs w:val="24"/>
          <w:lang w:val="en-US"/>
        </w:rPr>
        <w:t xml:space="preserve"> (9), 717–719.</w:t>
      </w:r>
    </w:p>
    <w:p w14:paraId="5CF5102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(88) </w:t>
      </w:r>
      <w:r>
        <w:rPr>
          <w:rFonts w:ascii="Arial" w:hAnsi="Arial" w:cs="Arial"/>
          <w:noProof/>
          <w:szCs w:val="24"/>
          <w:lang w:val="en-US"/>
        </w:rPr>
        <w:tab/>
        <w:t>Asano, S.; Engel, B. D.; Baumeister, W. In Situ Cryo-Electron Tomography: A Post-Reductionist Approach to Structural Biol</w:t>
      </w:r>
      <w:r>
        <w:rPr>
          <w:rFonts w:ascii="Arial" w:hAnsi="Arial" w:cs="Arial"/>
          <w:noProof/>
          <w:szCs w:val="24"/>
          <w:lang w:val="en-US"/>
        </w:rPr>
        <w:t xml:space="preserve">ogy. </w:t>
      </w:r>
      <w:r>
        <w:rPr>
          <w:rFonts w:ascii="Arial" w:hAnsi="Arial" w:cs="Arial"/>
          <w:i/>
          <w:iCs/>
          <w:noProof/>
          <w:szCs w:val="24"/>
          <w:lang w:val="en-US"/>
        </w:rPr>
        <w:t>J. Mol. Biol.</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428</w:t>
      </w:r>
      <w:r>
        <w:rPr>
          <w:rFonts w:ascii="Arial" w:hAnsi="Arial" w:cs="Arial"/>
          <w:noProof/>
          <w:szCs w:val="24"/>
          <w:lang w:val="en-US"/>
        </w:rPr>
        <w:t xml:space="preserve"> (2), 332–343.</w:t>
      </w:r>
    </w:p>
    <w:p w14:paraId="4079C93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(89) </w:t>
      </w:r>
      <w:r>
        <w:rPr>
          <w:rFonts w:ascii="Arial" w:hAnsi="Arial" w:cs="Arial"/>
          <w:noProof/>
          <w:szCs w:val="24"/>
          <w:lang w:val="en-US"/>
        </w:rPr>
        <w:tab/>
        <w:t>Delarue, M.; Brittingham, G. P.; Pfeffer, S.; Surovtsev, I. V.; Pinglay, S.; Kennedy, K. J.; Schaffer, M.; Gutierrez, J. I.; Sang, D.; Poterewicz, G.; et al. MTORC1 Controls Phase Separation and the Biophysi</w:t>
      </w:r>
      <w:r>
        <w:rPr>
          <w:rFonts w:ascii="Arial" w:hAnsi="Arial" w:cs="Arial"/>
          <w:noProof/>
          <w:szCs w:val="24"/>
          <w:lang w:val="en-US"/>
        </w:rPr>
        <w:t xml:space="preserve">cal Properties of the Cytoplasm by Tuning Crowding.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174</w:t>
      </w:r>
      <w:r>
        <w:rPr>
          <w:rFonts w:ascii="Arial" w:hAnsi="Arial" w:cs="Arial"/>
          <w:noProof/>
          <w:szCs w:val="24"/>
          <w:lang w:val="en-US"/>
        </w:rPr>
        <w:t xml:space="preserve"> (2), 338-349.e20.</w:t>
      </w:r>
    </w:p>
    <w:p w14:paraId="1B281D8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(90) </w:t>
      </w:r>
      <w:r>
        <w:rPr>
          <w:rFonts w:ascii="Arial" w:hAnsi="Arial" w:cs="Arial"/>
          <w:noProof/>
          <w:szCs w:val="24"/>
          <w:lang w:val="en-US"/>
        </w:rPr>
        <w:tab/>
        <w:t>Kim, Y. S.; Lee, S.; Jung, J.; Shin, S.; Choi, H. G.; Cha, G. H.; Park, W.; Lee, S.; Park, Y. Combining Three-Dimensional Quantitative Phase Imaging and Fluorescence</w:t>
      </w:r>
      <w:r>
        <w:rPr>
          <w:rFonts w:ascii="Arial" w:hAnsi="Arial" w:cs="Arial"/>
          <w:noProof/>
          <w:szCs w:val="24"/>
          <w:lang w:val="en-US"/>
        </w:rPr>
        <w:t xml:space="preserve"> Microscopy for the Study of Cell Pathophysiology. </w:t>
      </w:r>
      <w:r>
        <w:rPr>
          <w:rFonts w:ascii="Arial" w:hAnsi="Arial" w:cs="Arial"/>
          <w:i/>
          <w:iCs/>
          <w:noProof/>
          <w:szCs w:val="24"/>
          <w:lang w:val="en-US"/>
        </w:rPr>
        <w:t>Yale J. Biol. Med.</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91</w:t>
      </w:r>
      <w:r>
        <w:rPr>
          <w:rFonts w:ascii="Arial" w:hAnsi="Arial" w:cs="Arial"/>
          <w:noProof/>
          <w:szCs w:val="24"/>
          <w:lang w:val="en-US"/>
        </w:rPr>
        <w:t xml:space="preserve"> (3), 267.</w:t>
      </w:r>
    </w:p>
    <w:p w14:paraId="6D020E9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(91) </w:t>
      </w:r>
      <w:r>
        <w:rPr>
          <w:rFonts w:ascii="Arial" w:hAnsi="Arial" w:cs="Arial"/>
          <w:noProof/>
          <w:szCs w:val="24"/>
          <w:lang w:val="en-US"/>
        </w:rPr>
        <w:tab/>
        <w:t>Freudiger, C. W.; Min, W.; Saar, B. G.; Lu, S.; Holtom, G. R.; He, C.; Tsai, J. C.; Kang, J. X.; Xie, X. S. Label-Free Biomedical Imaging with High Sensitivity b</w:t>
      </w:r>
      <w:r>
        <w:rPr>
          <w:rFonts w:ascii="Arial" w:hAnsi="Arial" w:cs="Arial"/>
          <w:noProof/>
          <w:szCs w:val="24"/>
          <w:lang w:val="en-US"/>
        </w:rPr>
        <w:t xml:space="preserve">y Stimulated Raman Scattering Microscopy.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2008</w:t>
      </w:r>
      <w:r>
        <w:rPr>
          <w:rFonts w:ascii="Arial" w:hAnsi="Arial" w:cs="Arial"/>
          <w:noProof/>
          <w:szCs w:val="24"/>
          <w:lang w:val="en-US"/>
        </w:rPr>
        <w:t xml:space="preserve">, </w:t>
      </w:r>
      <w:r>
        <w:rPr>
          <w:rFonts w:ascii="Arial" w:hAnsi="Arial" w:cs="Arial"/>
          <w:i/>
          <w:iCs/>
          <w:noProof/>
          <w:szCs w:val="24"/>
          <w:lang w:val="en-US"/>
        </w:rPr>
        <w:t>322</w:t>
      </w:r>
      <w:r>
        <w:rPr>
          <w:rFonts w:ascii="Arial" w:hAnsi="Arial" w:cs="Arial"/>
          <w:noProof/>
          <w:szCs w:val="24"/>
          <w:lang w:val="en-US"/>
        </w:rPr>
        <w:t xml:space="preserve"> (5909), 1857–1861.</w:t>
      </w:r>
    </w:p>
    <w:p w14:paraId="02F5F64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(92) </w:t>
      </w:r>
      <w:r>
        <w:rPr>
          <w:rFonts w:ascii="Arial" w:hAnsi="Arial" w:cs="Arial"/>
          <w:noProof/>
          <w:szCs w:val="24"/>
          <w:lang w:val="en-US"/>
        </w:rPr>
        <w:tab/>
        <w:t>Liao, C. S.; Slipchenko, M. N.; Wang, P.; Li, J.; Lee, S. Y.; Oglesbee, R. A.; Cheng, J. X. Microsecond Scale Vibrational Spectroscopic Imaging by Multiplex Stimulated Ram</w:t>
      </w:r>
      <w:r>
        <w:rPr>
          <w:rFonts w:ascii="Arial" w:hAnsi="Arial" w:cs="Arial"/>
          <w:noProof/>
          <w:szCs w:val="24"/>
          <w:lang w:val="en-US"/>
        </w:rPr>
        <w:t xml:space="preserve">an Scattering Microscopy. </w:t>
      </w:r>
      <w:r>
        <w:rPr>
          <w:rFonts w:ascii="Arial" w:hAnsi="Arial" w:cs="Arial"/>
          <w:i/>
          <w:iCs/>
          <w:noProof/>
          <w:szCs w:val="24"/>
          <w:lang w:val="en-US"/>
        </w:rPr>
        <w:t>Light Sci. Appl. 2015 43</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4</w:t>
      </w:r>
      <w:r>
        <w:rPr>
          <w:rFonts w:ascii="Arial" w:hAnsi="Arial" w:cs="Arial"/>
          <w:noProof/>
          <w:szCs w:val="24"/>
          <w:lang w:val="en-US"/>
        </w:rPr>
        <w:t xml:space="preserve"> (3), e265–e265.</w:t>
      </w:r>
    </w:p>
    <w:p w14:paraId="30F5790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(93) </w:t>
      </w:r>
      <w:r>
        <w:rPr>
          <w:rFonts w:ascii="Arial" w:hAnsi="Arial" w:cs="Arial"/>
          <w:noProof/>
          <w:szCs w:val="24"/>
          <w:lang w:val="en-US"/>
        </w:rPr>
        <w:tab/>
      </w:r>
      <w:r>
        <w:rPr>
          <w:rFonts w:ascii="Arial" w:hAnsi="Arial" w:cs="Arial"/>
          <w:noProof/>
          <w:szCs w:val="24"/>
          <w:lang w:val="en-US"/>
        </w:rPr>
        <w:t xml:space="preserve">Cavalier-Smith, T. Nuclear Volume Control by Nucleoskeletal DNA, Selection for Cell Volume and Cell Growth Rate, and the Solution of the DNA C-Value Paradox.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1978</w:t>
      </w:r>
      <w:r>
        <w:rPr>
          <w:rFonts w:ascii="Arial" w:hAnsi="Arial" w:cs="Arial"/>
          <w:noProof/>
          <w:szCs w:val="24"/>
          <w:lang w:val="en-US"/>
        </w:rPr>
        <w:t xml:space="preserve">, </w:t>
      </w:r>
      <w:r>
        <w:rPr>
          <w:rFonts w:ascii="Arial" w:hAnsi="Arial" w:cs="Arial"/>
          <w:i/>
          <w:iCs/>
          <w:noProof/>
          <w:szCs w:val="24"/>
          <w:lang w:val="en-US"/>
        </w:rPr>
        <w:t>34</w:t>
      </w:r>
      <w:r>
        <w:rPr>
          <w:rFonts w:ascii="Arial" w:hAnsi="Arial" w:cs="Arial"/>
          <w:noProof/>
          <w:szCs w:val="24"/>
          <w:lang w:val="en-US"/>
        </w:rPr>
        <w:t xml:space="preserve"> (1), 247–278.</w:t>
      </w:r>
    </w:p>
    <w:p w14:paraId="5430D1B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(94) </w:t>
      </w:r>
      <w:r>
        <w:rPr>
          <w:rFonts w:ascii="Arial" w:hAnsi="Arial" w:cs="Arial"/>
          <w:noProof/>
          <w:szCs w:val="24"/>
          <w:lang w:val="en-US"/>
        </w:rPr>
        <w:tab/>
        <w:t>Cavalier-Smith, T. Economy, Speed and Size Matter: Evolu</w:t>
      </w:r>
      <w:r>
        <w:rPr>
          <w:rFonts w:ascii="Arial" w:hAnsi="Arial" w:cs="Arial"/>
          <w:noProof/>
          <w:szCs w:val="24"/>
          <w:lang w:val="en-US"/>
        </w:rPr>
        <w:t xml:space="preserve">tionary Forces Driving Nuclear Genome Miniaturization and Expansion. </w:t>
      </w:r>
      <w:r>
        <w:rPr>
          <w:rFonts w:ascii="Arial" w:hAnsi="Arial" w:cs="Arial"/>
          <w:i/>
          <w:iCs/>
          <w:noProof/>
          <w:szCs w:val="24"/>
          <w:lang w:val="en-US"/>
        </w:rPr>
        <w:t>Ann. Bot.</w:t>
      </w:r>
      <w:r>
        <w:rPr>
          <w:rFonts w:ascii="Arial" w:hAnsi="Arial" w:cs="Arial"/>
          <w:noProof/>
          <w:szCs w:val="24"/>
          <w:lang w:val="en-US"/>
        </w:rPr>
        <w:t xml:space="preserve"> </w:t>
      </w:r>
      <w:r>
        <w:rPr>
          <w:rFonts w:ascii="Arial" w:hAnsi="Arial" w:cs="Arial"/>
          <w:b/>
          <w:bCs/>
          <w:noProof/>
          <w:szCs w:val="24"/>
          <w:lang w:val="en-US"/>
        </w:rPr>
        <w:t>2005</w:t>
      </w:r>
      <w:r>
        <w:rPr>
          <w:rFonts w:ascii="Arial" w:hAnsi="Arial" w:cs="Arial"/>
          <w:noProof/>
          <w:szCs w:val="24"/>
          <w:lang w:val="en-US"/>
        </w:rPr>
        <w:t xml:space="preserve">, </w:t>
      </w:r>
      <w:r>
        <w:rPr>
          <w:rFonts w:ascii="Arial" w:hAnsi="Arial" w:cs="Arial"/>
          <w:i/>
          <w:iCs/>
          <w:noProof/>
          <w:szCs w:val="24"/>
          <w:lang w:val="en-US"/>
        </w:rPr>
        <w:t>95</w:t>
      </w:r>
      <w:r>
        <w:rPr>
          <w:rFonts w:ascii="Arial" w:hAnsi="Arial" w:cs="Arial"/>
          <w:noProof/>
          <w:szCs w:val="24"/>
          <w:lang w:val="en-US"/>
        </w:rPr>
        <w:t xml:space="preserve"> (1), 147–175.</w:t>
      </w:r>
    </w:p>
    <w:p w14:paraId="6FEA57F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(95) </w:t>
      </w:r>
      <w:r>
        <w:rPr>
          <w:rFonts w:ascii="Arial" w:hAnsi="Arial" w:cs="Arial"/>
          <w:noProof/>
          <w:szCs w:val="24"/>
          <w:lang w:val="en-US"/>
        </w:rPr>
        <w:tab/>
        <w:t xml:space="preserve">Sugimoto-Shirasu, K.; Roberts, K. “Big It up”: Endoreduplication and Cell-Size Control in Plants. </w:t>
      </w:r>
      <w:r>
        <w:rPr>
          <w:rFonts w:ascii="Arial" w:hAnsi="Arial" w:cs="Arial"/>
          <w:i/>
          <w:iCs/>
          <w:noProof/>
          <w:szCs w:val="24"/>
          <w:lang w:val="en-US"/>
        </w:rPr>
        <w:t>Curr. Opin. Plant Biol.</w:t>
      </w:r>
      <w:r>
        <w:rPr>
          <w:rFonts w:ascii="Arial" w:hAnsi="Arial" w:cs="Arial"/>
          <w:noProof/>
          <w:szCs w:val="24"/>
          <w:lang w:val="en-US"/>
        </w:rPr>
        <w:t xml:space="preserve"> </w:t>
      </w:r>
      <w:r>
        <w:rPr>
          <w:rFonts w:ascii="Arial" w:hAnsi="Arial" w:cs="Arial"/>
          <w:b/>
          <w:bCs/>
          <w:noProof/>
          <w:szCs w:val="24"/>
          <w:lang w:val="en-US"/>
        </w:rPr>
        <w:t>2003</w:t>
      </w:r>
      <w:r>
        <w:rPr>
          <w:rFonts w:ascii="Arial" w:hAnsi="Arial" w:cs="Arial"/>
          <w:noProof/>
          <w:szCs w:val="24"/>
          <w:lang w:val="en-US"/>
        </w:rPr>
        <w:t xml:space="preserve">, </w:t>
      </w:r>
      <w:r>
        <w:rPr>
          <w:rFonts w:ascii="Arial" w:hAnsi="Arial" w:cs="Arial"/>
          <w:i/>
          <w:iCs/>
          <w:noProof/>
          <w:szCs w:val="24"/>
          <w:lang w:val="en-US"/>
        </w:rPr>
        <w:t>6</w:t>
      </w:r>
      <w:r>
        <w:rPr>
          <w:rFonts w:ascii="Arial" w:hAnsi="Arial" w:cs="Arial"/>
          <w:noProof/>
          <w:szCs w:val="24"/>
          <w:lang w:val="en-US"/>
        </w:rPr>
        <w:t xml:space="preserve"> (6), 544–553.</w:t>
      </w:r>
    </w:p>
    <w:p w14:paraId="0C3D433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(96)</w:t>
      </w:r>
      <w:r>
        <w:rPr>
          <w:rFonts w:ascii="Arial" w:hAnsi="Arial" w:cs="Arial"/>
          <w:noProof/>
          <w:szCs w:val="24"/>
          <w:lang w:val="en-US"/>
        </w:rPr>
        <w:t xml:space="preserve"> </w:t>
      </w:r>
      <w:r>
        <w:rPr>
          <w:rFonts w:ascii="Arial" w:hAnsi="Arial" w:cs="Arial"/>
          <w:noProof/>
          <w:szCs w:val="24"/>
          <w:lang w:val="en-US"/>
        </w:rPr>
        <w:tab/>
        <w:t xml:space="preserve">Mortimer, R. K. Radiobiological and Genetic Studies on a Polyploid Series (Haploid to Hexaploid) of Saccharomyces Cerevisiae1. </w:t>
      </w:r>
      <w:r>
        <w:rPr>
          <w:rFonts w:ascii="Arial" w:hAnsi="Arial" w:cs="Arial"/>
          <w:i/>
          <w:iCs/>
          <w:noProof/>
          <w:szCs w:val="24"/>
          <w:lang w:val="en-US"/>
        </w:rPr>
        <w:t>Radiat. Res.</w:t>
      </w:r>
      <w:r>
        <w:rPr>
          <w:rFonts w:ascii="Arial" w:hAnsi="Arial" w:cs="Arial"/>
          <w:noProof/>
          <w:szCs w:val="24"/>
          <w:lang w:val="en-US"/>
        </w:rPr>
        <w:t xml:space="preserve"> </w:t>
      </w:r>
      <w:r>
        <w:rPr>
          <w:rFonts w:ascii="Arial" w:hAnsi="Arial" w:cs="Arial"/>
          <w:b/>
          <w:bCs/>
          <w:noProof/>
          <w:szCs w:val="24"/>
          <w:lang w:val="en-US"/>
        </w:rPr>
        <w:t>1958</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312–326.</w:t>
      </w:r>
    </w:p>
    <w:p w14:paraId="2548A6D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(97) </w:t>
      </w:r>
      <w:r>
        <w:rPr>
          <w:rFonts w:ascii="Arial" w:hAnsi="Arial" w:cs="Arial"/>
          <w:noProof/>
          <w:szCs w:val="24"/>
          <w:lang w:val="en-US"/>
        </w:rPr>
        <w:tab/>
        <w:t>Miller, K. E.; Cadart, C.; Heald, R. Dodecaploid Xenopus Longipes Provides Insight into th</w:t>
      </w:r>
      <w:r>
        <w:rPr>
          <w:rFonts w:ascii="Arial" w:hAnsi="Arial" w:cs="Arial"/>
          <w:noProof/>
          <w:szCs w:val="24"/>
          <w:lang w:val="en-US"/>
        </w:rPr>
        <w:t xml:space="preserve">e Emergence of Size Scaling Relationships during Development.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33</w:t>
      </w:r>
      <w:r>
        <w:rPr>
          <w:rFonts w:ascii="Arial" w:hAnsi="Arial" w:cs="Arial"/>
          <w:noProof/>
          <w:szCs w:val="24"/>
          <w:lang w:val="en-US"/>
        </w:rPr>
        <w:t>, 1327-1336.e4.</w:t>
      </w:r>
    </w:p>
    <w:p w14:paraId="6F365F3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(98) </w:t>
      </w:r>
      <w:r>
        <w:rPr>
          <w:rFonts w:ascii="Arial" w:hAnsi="Arial" w:cs="Arial"/>
          <w:noProof/>
          <w:szCs w:val="24"/>
          <w:lang w:val="en-US"/>
        </w:rPr>
        <w:tab/>
      </w:r>
      <w:r>
        <w:rPr>
          <w:rFonts w:ascii="Arial" w:hAnsi="Arial" w:cs="Arial"/>
          <w:noProof/>
          <w:szCs w:val="24"/>
          <w:lang w:val="en-US"/>
        </w:rPr>
        <w:t xml:space="preserve">Sagi, I.; Chia, G.; Golan-Lev, T.; Peretz, M.; Weissbein, U.; Sui, L.; Sauer, M. V.; Yanuka, O.; Egli, D.; Benvenisty, N. Derivation and Differentiation of Haploid Human Embryonic Stem Cells. </w:t>
      </w:r>
      <w:r>
        <w:rPr>
          <w:rFonts w:ascii="Arial" w:hAnsi="Arial" w:cs="Arial"/>
          <w:i/>
          <w:iCs/>
          <w:noProof/>
          <w:szCs w:val="24"/>
          <w:lang w:val="en-US"/>
        </w:rPr>
        <w:t>Nat. 2016 5327597</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532</w:t>
      </w:r>
      <w:r>
        <w:rPr>
          <w:rFonts w:ascii="Arial" w:hAnsi="Arial" w:cs="Arial"/>
          <w:noProof/>
          <w:szCs w:val="24"/>
          <w:lang w:val="en-US"/>
        </w:rPr>
        <w:t xml:space="preserve"> (7597), 107–111.</w:t>
      </w:r>
    </w:p>
    <w:p w14:paraId="13EFFFF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(99) </w:t>
      </w:r>
      <w:r>
        <w:rPr>
          <w:rFonts w:ascii="Arial" w:hAnsi="Arial" w:cs="Arial"/>
          <w:noProof/>
          <w:szCs w:val="24"/>
          <w:lang w:val="en-US"/>
        </w:rPr>
        <w:tab/>
        <w:t>Ravid, K.; Lu</w:t>
      </w:r>
      <w:r>
        <w:rPr>
          <w:rFonts w:ascii="Arial" w:hAnsi="Arial" w:cs="Arial"/>
          <w:noProof/>
          <w:szCs w:val="24"/>
          <w:lang w:val="en-US"/>
        </w:rPr>
        <w:t xml:space="preserve">, J.; Zimmet, J. M.; Jones, M. R. Roads to Polyploidy: The Megakaryocyte Example. </w:t>
      </w:r>
      <w:r>
        <w:rPr>
          <w:rFonts w:ascii="Arial" w:hAnsi="Arial" w:cs="Arial"/>
          <w:i/>
          <w:iCs/>
          <w:noProof/>
          <w:szCs w:val="24"/>
          <w:lang w:val="en-US"/>
        </w:rPr>
        <w:t>J. Cell. Physiol.</w:t>
      </w:r>
      <w:r>
        <w:rPr>
          <w:rFonts w:ascii="Arial" w:hAnsi="Arial" w:cs="Arial"/>
          <w:noProof/>
          <w:szCs w:val="24"/>
          <w:lang w:val="en-US"/>
        </w:rPr>
        <w:t xml:space="preserve"> </w:t>
      </w:r>
      <w:r>
        <w:rPr>
          <w:rFonts w:ascii="Arial" w:hAnsi="Arial" w:cs="Arial"/>
          <w:b/>
          <w:bCs/>
          <w:noProof/>
          <w:szCs w:val="24"/>
          <w:lang w:val="en-US"/>
        </w:rPr>
        <w:t>2002</w:t>
      </w:r>
      <w:r>
        <w:rPr>
          <w:rFonts w:ascii="Arial" w:hAnsi="Arial" w:cs="Arial"/>
          <w:noProof/>
          <w:szCs w:val="24"/>
          <w:lang w:val="en-US"/>
        </w:rPr>
        <w:t xml:space="preserve">, </w:t>
      </w:r>
      <w:r>
        <w:rPr>
          <w:rFonts w:ascii="Arial" w:hAnsi="Arial" w:cs="Arial"/>
          <w:i/>
          <w:iCs/>
          <w:noProof/>
          <w:szCs w:val="24"/>
          <w:lang w:val="en-US"/>
        </w:rPr>
        <w:t>190</w:t>
      </w:r>
      <w:r>
        <w:rPr>
          <w:rFonts w:ascii="Arial" w:hAnsi="Arial" w:cs="Arial"/>
          <w:noProof/>
          <w:szCs w:val="24"/>
          <w:lang w:val="en-US"/>
        </w:rPr>
        <w:t xml:space="preserve"> (1), 7–20.</w:t>
      </w:r>
    </w:p>
    <w:p w14:paraId="793BCD7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(100) </w:t>
      </w:r>
      <w:r>
        <w:rPr>
          <w:rFonts w:ascii="Arial" w:hAnsi="Arial" w:cs="Arial"/>
          <w:noProof/>
          <w:szCs w:val="24"/>
          <w:lang w:val="en-US"/>
        </w:rPr>
        <w:tab/>
        <w:t>Mollova, M.; Bersell, K.; Walsh, S.; Savla, J.; Das, L. T.; Park, S. Y.; Silberstein, L. E.; Dos Remedios, C. G.; Graham, D.; Co</w:t>
      </w:r>
      <w:r>
        <w:rPr>
          <w:rFonts w:ascii="Arial" w:hAnsi="Arial" w:cs="Arial"/>
          <w:noProof/>
          <w:szCs w:val="24"/>
          <w:lang w:val="en-US"/>
        </w:rPr>
        <w:t xml:space="preserve">lan, S.; et al. Cardiomyocyte Proliferation Contributes to Heart Growth in Young Humans.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110</w:t>
      </w:r>
      <w:r>
        <w:rPr>
          <w:rFonts w:ascii="Arial" w:hAnsi="Arial" w:cs="Arial"/>
          <w:noProof/>
          <w:szCs w:val="24"/>
          <w:lang w:val="en-US"/>
        </w:rPr>
        <w:t xml:space="preserve"> (4), 1446–1451.</w:t>
      </w:r>
    </w:p>
    <w:p w14:paraId="06456E0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(101) </w:t>
      </w:r>
      <w:r>
        <w:rPr>
          <w:rFonts w:ascii="Arial" w:hAnsi="Arial" w:cs="Arial"/>
          <w:noProof/>
          <w:szCs w:val="24"/>
          <w:lang w:val="en-US"/>
        </w:rPr>
        <w:tab/>
        <w:t>Donne, R.; Saroul-Aïnama, M.; Cordier, P.; Celton-Morizur, S.; Desdouets, C. Polyploidy in Liver Devel</w:t>
      </w:r>
      <w:r>
        <w:rPr>
          <w:rFonts w:ascii="Arial" w:hAnsi="Arial" w:cs="Arial"/>
          <w:noProof/>
          <w:szCs w:val="24"/>
          <w:lang w:val="en-US"/>
        </w:rPr>
        <w:t xml:space="preserve">opment, Homeostasis and Disease. </w:t>
      </w:r>
      <w:r>
        <w:rPr>
          <w:rFonts w:ascii="Arial" w:hAnsi="Arial" w:cs="Arial"/>
          <w:i/>
          <w:iCs/>
          <w:noProof/>
          <w:szCs w:val="24"/>
          <w:lang w:val="en-US"/>
        </w:rPr>
        <w:t>Nat. Rev. Gastroenterol. Hepatol. 2020 177</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17</w:t>
      </w:r>
      <w:r>
        <w:rPr>
          <w:rFonts w:ascii="Arial" w:hAnsi="Arial" w:cs="Arial"/>
          <w:noProof/>
          <w:szCs w:val="24"/>
          <w:lang w:val="en-US"/>
        </w:rPr>
        <w:t xml:space="preserve"> (7), 391–405.</w:t>
      </w:r>
    </w:p>
    <w:p w14:paraId="309AAD5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(102) </w:t>
      </w:r>
      <w:r>
        <w:rPr>
          <w:rFonts w:ascii="Arial" w:hAnsi="Arial" w:cs="Arial"/>
          <w:noProof/>
          <w:szCs w:val="24"/>
          <w:lang w:val="en-US"/>
        </w:rPr>
        <w:tab/>
        <w:t xml:space="preserve">Allaire, M.; Gilgenkrantz, H. The Aged Liver: Beyond Cellular Senescence. </w:t>
      </w:r>
      <w:r>
        <w:rPr>
          <w:rFonts w:ascii="Arial" w:hAnsi="Arial" w:cs="Arial"/>
          <w:i/>
          <w:iCs/>
          <w:noProof/>
          <w:szCs w:val="24"/>
          <w:lang w:val="en-US"/>
        </w:rPr>
        <w:t>Clin. Res. Hepatol. Gastroenterol.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44</w:t>
      </w:r>
      <w:r>
        <w:rPr>
          <w:rFonts w:ascii="Arial" w:hAnsi="Arial" w:cs="Arial"/>
          <w:noProof/>
          <w:szCs w:val="24"/>
          <w:lang w:val="en-US"/>
        </w:rPr>
        <w:t xml:space="preserve"> (1), 6–11.</w:t>
      </w:r>
    </w:p>
    <w:p w14:paraId="38F83E7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(103) </w:t>
      </w:r>
      <w:r>
        <w:rPr>
          <w:rFonts w:ascii="Arial" w:hAnsi="Arial" w:cs="Arial"/>
          <w:noProof/>
          <w:szCs w:val="24"/>
          <w:lang w:val="en-US"/>
        </w:rPr>
        <w:tab/>
      </w:r>
      <w:r>
        <w:rPr>
          <w:rFonts w:ascii="Arial" w:hAnsi="Arial" w:cs="Arial"/>
          <w:noProof/>
          <w:szCs w:val="24"/>
          <w:lang w:val="en-US"/>
        </w:rPr>
        <w:t xml:space="preserve">Kondorosi, E.; Roudier, F.; Gendreau, E. Plant Cell-Size Control: Growing by Ploidy? </w:t>
      </w:r>
      <w:r>
        <w:rPr>
          <w:rFonts w:ascii="Arial" w:hAnsi="Arial" w:cs="Arial"/>
          <w:i/>
          <w:iCs/>
          <w:noProof/>
          <w:szCs w:val="24"/>
          <w:lang w:val="en-US"/>
        </w:rPr>
        <w:t>Curr. Opin. Plant Biol.</w:t>
      </w:r>
      <w:r>
        <w:rPr>
          <w:rFonts w:ascii="Arial" w:hAnsi="Arial" w:cs="Arial"/>
          <w:noProof/>
          <w:szCs w:val="24"/>
          <w:lang w:val="en-US"/>
        </w:rPr>
        <w:t xml:space="preserve"> </w:t>
      </w:r>
      <w:r>
        <w:rPr>
          <w:rFonts w:ascii="Arial" w:hAnsi="Arial" w:cs="Arial"/>
          <w:b/>
          <w:bCs/>
          <w:noProof/>
          <w:szCs w:val="24"/>
          <w:lang w:val="en-US"/>
        </w:rPr>
        <w:t>2000</w:t>
      </w:r>
      <w:r>
        <w:rPr>
          <w:rFonts w:ascii="Arial" w:hAnsi="Arial" w:cs="Arial"/>
          <w:noProof/>
          <w:szCs w:val="24"/>
          <w:lang w:val="en-US"/>
        </w:rPr>
        <w:t xml:space="preserve">, </w:t>
      </w:r>
      <w:r>
        <w:rPr>
          <w:rFonts w:ascii="Arial" w:hAnsi="Arial" w:cs="Arial"/>
          <w:i/>
          <w:iCs/>
          <w:noProof/>
          <w:szCs w:val="24"/>
          <w:lang w:val="en-US"/>
        </w:rPr>
        <w:t>3</w:t>
      </w:r>
      <w:r>
        <w:rPr>
          <w:rFonts w:ascii="Arial" w:hAnsi="Arial" w:cs="Arial"/>
          <w:noProof/>
          <w:szCs w:val="24"/>
          <w:lang w:val="en-US"/>
        </w:rPr>
        <w:t xml:space="preserve"> (6), 488–492.</w:t>
      </w:r>
    </w:p>
    <w:p w14:paraId="26822C7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(104) </w:t>
      </w:r>
      <w:r>
        <w:rPr>
          <w:rFonts w:ascii="Arial" w:hAnsi="Arial" w:cs="Arial"/>
          <w:noProof/>
          <w:szCs w:val="24"/>
          <w:lang w:val="en-US"/>
        </w:rPr>
        <w:tab/>
        <w:t>Fankhauser, G. Maintenance of Normal Structure in Heteroploid Salamander Larvae, through Compensation of Changes in Ce</w:t>
      </w:r>
      <w:r>
        <w:rPr>
          <w:rFonts w:ascii="Arial" w:hAnsi="Arial" w:cs="Arial"/>
          <w:noProof/>
          <w:szCs w:val="24"/>
          <w:lang w:val="en-US"/>
        </w:rPr>
        <w:t xml:space="preserve">ll Size by Adjustment of Cell Number and Cell Shape. </w:t>
      </w:r>
      <w:r>
        <w:rPr>
          <w:rFonts w:ascii="Arial" w:hAnsi="Arial" w:cs="Arial"/>
          <w:i/>
          <w:iCs/>
          <w:noProof/>
          <w:szCs w:val="24"/>
          <w:lang w:val="en-US"/>
        </w:rPr>
        <w:t>J. Exp. Zool.</w:t>
      </w:r>
      <w:r>
        <w:rPr>
          <w:rFonts w:ascii="Arial" w:hAnsi="Arial" w:cs="Arial"/>
          <w:noProof/>
          <w:szCs w:val="24"/>
          <w:lang w:val="en-US"/>
        </w:rPr>
        <w:t xml:space="preserve"> </w:t>
      </w:r>
      <w:r>
        <w:rPr>
          <w:rFonts w:ascii="Arial" w:hAnsi="Arial" w:cs="Arial"/>
          <w:b/>
          <w:bCs/>
          <w:noProof/>
          <w:szCs w:val="24"/>
          <w:lang w:val="en-US"/>
        </w:rPr>
        <w:t>1945</w:t>
      </w:r>
      <w:r>
        <w:rPr>
          <w:rFonts w:ascii="Arial" w:hAnsi="Arial" w:cs="Arial"/>
          <w:noProof/>
          <w:szCs w:val="24"/>
          <w:lang w:val="en-US"/>
        </w:rPr>
        <w:t xml:space="preserve">, </w:t>
      </w:r>
      <w:r>
        <w:rPr>
          <w:rFonts w:ascii="Arial" w:hAnsi="Arial" w:cs="Arial"/>
          <w:i/>
          <w:iCs/>
          <w:noProof/>
          <w:szCs w:val="24"/>
          <w:lang w:val="en-US"/>
        </w:rPr>
        <w:t>100</w:t>
      </w:r>
      <w:r>
        <w:rPr>
          <w:rFonts w:ascii="Arial" w:hAnsi="Arial" w:cs="Arial"/>
          <w:noProof/>
          <w:szCs w:val="24"/>
          <w:lang w:val="en-US"/>
        </w:rPr>
        <w:t xml:space="preserve"> (3), 445–455.</w:t>
      </w:r>
    </w:p>
    <w:p w14:paraId="6AF15A2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(105) </w:t>
      </w:r>
      <w:r>
        <w:rPr>
          <w:rFonts w:ascii="Arial" w:hAnsi="Arial" w:cs="Arial"/>
          <w:noProof/>
          <w:szCs w:val="24"/>
          <w:lang w:val="en-US"/>
        </w:rPr>
        <w:tab/>
        <w:t xml:space="preserve">Jorgensen, P.; Edgington, N. P.; Schneider, B. L.; Rupes, I.; Tyers, M.; Futcher, B. The Size of the Nucleus Increases as Yeast Cells Grow.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w:t>
      </w:r>
      <w:r>
        <w:rPr>
          <w:rFonts w:ascii="Arial" w:hAnsi="Arial" w:cs="Arial"/>
          <w:b/>
          <w:bCs/>
          <w:noProof/>
          <w:szCs w:val="24"/>
          <w:lang w:val="en-US"/>
        </w:rPr>
        <w:t>07</w:t>
      </w:r>
      <w:r>
        <w:rPr>
          <w:rFonts w:ascii="Arial" w:hAnsi="Arial" w:cs="Arial"/>
          <w:noProof/>
          <w:szCs w:val="24"/>
          <w:lang w:val="en-US"/>
        </w:rPr>
        <w:t xml:space="preserve">, </w:t>
      </w:r>
      <w:r>
        <w:rPr>
          <w:rFonts w:ascii="Arial" w:hAnsi="Arial" w:cs="Arial"/>
          <w:i/>
          <w:iCs/>
          <w:noProof/>
          <w:szCs w:val="24"/>
          <w:lang w:val="en-US"/>
        </w:rPr>
        <w:t>18</w:t>
      </w:r>
      <w:r>
        <w:rPr>
          <w:rFonts w:ascii="Arial" w:hAnsi="Arial" w:cs="Arial"/>
          <w:noProof/>
          <w:szCs w:val="24"/>
          <w:lang w:val="en-US"/>
        </w:rPr>
        <w:t xml:space="preserve"> (9), 3523–3532.</w:t>
      </w:r>
    </w:p>
    <w:p w14:paraId="481D54F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(106) </w:t>
      </w:r>
      <w:r>
        <w:rPr>
          <w:rFonts w:ascii="Arial" w:hAnsi="Arial" w:cs="Arial"/>
          <w:noProof/>
          <w:szCs w:val="24"/>
          <w:lang w:val="en-US"/>
        </w:rPr>
        <w:tab/>
        <w:t>Mu, L.; Kang, J. H.; Olcum, S.; Payer, K. R.; Calistri, N. L.; Kimmerling, R. J.; Manalis, S. R.; Miettinen, T. P. Mass Measurements during Lymphocytic Leukemia Cell Polyploidization Decouple Cell Cycle- And Cell Size-Dependen</w:t>
      </w:r>
      <w:r>
        <w:rPr>
          <w:rFonts w:ascii="Arial" w:hAnsi="Arial" w:cs="Arial"/>
          <w:noProof/>
          <w:szCs w:val="24"/>
          <w:lang w:val="en-US"/>
        </w:rPr>
        <w:t xml:space="preserve">t Growth.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117</w:t>
      </w:r>
      <w:r>
        <w:rPr>
          <w:rFonts w:ascii="Arial" w:hAnsi="Arial" w:cs="Arial"/>
          <w:noProof/>
          <w:szCs w:val="24"/>
          <w:lang w:val="en-US"/>
        </w:rPr>
        <w:t xml:space="preserve"> (27), 15659–15665.</w:t>
      </w:r>
    </w:p>
    <w:p w14:paraId="2851D29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(107) </w:t>
      </w:r>
      <w:r>
        <w:rPr>
          <w:rFonts w:ascii="Arial" w:hAnsi="Arial" w:cs="Arial"/>
          <w:noProof/>
          <w:szCs w:val="24"/>
          <w:lang w:val="en-US"/>
        </w:rPr>
        <w:tab/>
        <w:t xml:space="preserve">Elliott, T. A.; Gregory, T. R. What’s in a Genome? The C-Value Enigma and the Evolution of Eukaryotic Genome Content. </w:t>
      </w:r>
      <w:r>
        <w:rPr>
          <w:rFonts w:ascii="Arial" w:hAnsi="Arial" w:cs="Arial"/>
          <w:i/>
          <w:iCs/>
          <w:noProof/>
          <w:szCs w:val="24"/>
          <w:lang w:val="en-US"/>
        </w:rPr>
        <w:t>Philos. Trans. R. Soc. B Biol. Sci.</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370</w:t>
      </w:r>
      <w:r>
        <w:rPr>
          <w:rFonts w:ascii="Arial" w:hAnsi="Arial" w:cs="Arial"/>
          <w:noProof/>
          <w:szCs w:val="24"/>
          <w:lang w:val="en-US"/>
        </w:rPr>
        <w:t xml:space="preserve"> (1678).</w:t>
      </w:r>
    </w:p>
    <w:p w14:paraId="6607ACA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(108) </w:t>
      </w:r>
      <w:r>
        <w:rPr>
          <w:rFonts w:ascii="Arial" w:hAnsi="Arial" w:cs="Arial"/>
          <w:noProof/>
          <w:szCs w:val="24"/>
          <w:lang w:val="en-US"/>
        </w:rPr>
        <w:tab/>
        <w:t xml:space="preserve">Katagiri, Y.; Hasegawa, J.; Fujikura, U.; Hoshino, R.; Matsunaga, S.; Tsukaya, H. The Coordination of Ploidy and Cell Size Differs between Cell Layers in Leaves. </w:t>
      </w:r>
      <w:r>
        <w:rPr>
          <w:rFonts w:ascii="Arial" w:hAnsi="Arial" w:cs="Arial"/>
          <w:i/>
          <w:iCs/>
          <w:noProof/>
          <w:szCs w:val="24"/>
          <w:lang w:val="en-US"/>
        </w:rPr>
        <w:t>Dev.</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143</w:t>
      </w:r>
      <w:r>
        <w:rPr>
          <w:rFonts w:ascii="Arial" w:hAnsi="Arial" w:cs="Arial"/>
          <w:noProof/>
          <w:szCs w:val="24"/>
          <w:lang w:val="en-US"/>
        </w:rPr>
        <w:t xml:space="preserve"> (7), 1120–1125.</w:t>
      </w:r>
    </w:p>
    <w:p w14:paraId="4F78B5A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(109) </w:t>
      </w:r>
      <w:r>
        <w:rPr>
          <w:rFonts w:ascii="Arial" w:hAnsi="Arial" w:cs="Arial"/>
          <w:noProof/>
          <w:szCs w:val="24"/>
          <w:lang w:val="en-US"/>
        </w:rPr>
        <w:tab/>
        <w:t xml:space="preserve">Goehring, N. W.; Hyman, A. A. Organelle Growth Control </w:t>
      </w:r>
      <w:r>
        <w:rPr>
          <w:rFonts w:ascii="Arial" w:hAnsi="Arial" w:cs="Arial"/>
          <w:noProof/>
          <w:szCs w:val="24"/>
          <w:lang w:val="en-US"/>
        </w:rPr>
        <w:t xml:space="preserve">through Limiting Pools of Cytoplasmic Components.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22</w:t>
      </w:r>
      <w:r>
        <w:rPr>
          <w:rFonts w:ascii="Arial" w:hAnsi="Arial" w:cs="Arial"/>
          <w:noProof/>
          <w:szCs w:val="24"/>
          <w:lang w:val="en-US"/>
        </w:rPr>
        <w:t xml:space="preserve"> (9), R330-9.</w:t>
      </w:r>
    </w:p>
    <w:p w14:paraId="64DCA53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(110) </w:t>
      </w:r>
      <w:r>
        <w:rPr>
          <w:rFonts w:ascii="Arial" w:hAnsi="Arial" w:cs="Arial"/>
          <w:noProof/>
          <w:szCs w:val="24"/>
          <w:lang w:val="en-US"/>
        </w:rPr>
        <w:tab/>
        <w:t xml:space="preserve">Banerjee, D. S.; Banerjee, S. Size Regulation of Multiple Organelles Competing for a Limiting Subunit Pool. </w:t>
      </w:r>
      <w:r>
        <w:rPr>
          <w:rFonts w:ascii="Arial" w:hAnsi="Arial" w:cs="Arial"/>
          <w:i/>
          <w:iCs/>
          <w:noProof/>
          <w:szCs w:val="24"/>
          <w:lang w:val="en-US"/>
        </w:rPr>
        <w:t>PLOS Comput.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18</w:t>
      </w:r>
      <w:r>
        <w:rPr>
          <w:rFonts w:ascii="Arial" w:hAnsi="Arial" w:cs="Arial"/>
          <w:noProof/>
          <w:szCs w:val="24"/>
          <w:lang w:val="en-US"/>
        </w:rPr>
        <w:t xml:space="preserve"> (6), e1010253.</w:t>
      </w:r>
    </w:p>
    <w:p w14:paraId="7FBB5D5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(111) </w:t>
      </w:r>
      <w:r>
        <w:rPr>
          <w:rFonts w:ascii="Arial" w:hAnsi="Arial" w:cs="Arial"/>
          <w:noProof/>
          <w:szCs w:val="24"/>
          <w:lang w:val="en-US"/>
        </w:rPr>
        <w:tab/>
        <w:t>Seel, A</w:t>
      </w:r>
      <w:r>
        <w:rPr>
          <w:rFonts w:ascii="Arial" w:hAnsi="Arial" w:cs="Arial"/>
          <w:noProof/>
          <w:szCs w:val="24"/>
          <w:lang w:val="en-US"/>
        </w:rPr>
        <w:t xml:space="preserve">.; Padovani, F.; Mayer, M.; Finster, A.; Bureik, D.; Thoma, F.; Osman, C.; Klecker, T.; Schmoller, K. M. Regulation with Cell Size Ensures Mitochondrial DNA Homeostasis during Cell Growth. </w:t>
      </w:r>
      <w:r>
        <w:rPr>
          <w:rFonts w:ascii="Arial" w:hAnsi="Arial" w:cs="Arial"/>
          <w:i/>
          <w:iCs/>
          <w:noProof/>
          <w:szCs w:val="24"/>
          <w:lang w:val="en-US"/>
        </w:rPr>
        <w:t>Nat. Struct. Mol. Biol.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2021.12.03.471050.</w:t>
      </w:r>
    </w:p>
    <w:p w14:paraId="51F8A01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(112) </w:t>
      </w:r>
      <w:r>
        <w:rPr>
          <w:rFonts w:ascii="Arial" w:hAnsi="Arial" w:cs="Arial"/>
          <w:noProof/>
          <w:szCs w:val="24"/>
          <w:lang w:val="en-US"/>
        </w:rPr>
        <w:tab/>
        <w:t>Brangwynne,</w:t>
      </w:r>
      <w:r>
        <w:rPr>
          <w:rFonts w:ascii="Arial" w:hAnsi="Arial" w:cs="Arial"/>
          <w:noProof/>
          <w:szCs w:val="24"/>
          <w:lang w:val="en-US"/>
        </w:rPr>
        <w:t xml:space="preserve"> C. P. Phase Transitions and Size Scaling of Membrane-Less Organelles.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203</w:t>
      </w:r>
      <w:r>
        <w:rPr>
          <w:rFonts w:ascii="Arial" w:hAnsi="Arial" w:cs="Arial"/>
          <w:noProof/>
          <w:szCs w:val="24"/>
          <w:lang w:val="en-US"/>
        </w:rPr>
        <w:t xml:space="preserve"> (6), 875–881.</w:t>
      </w:r>
    </w:p>
    <w:p w14:paraId="4A22189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lang w:val="en-US"/>
        </w:rPr>
        <w:t xml:space="preserve">(113) </w:t>
      </w:r>
      <w:r>
        <w:rPr>
          <w:rFonts w:ascii="Arial" w:hAnsi="Arial" w:cs="Arial"/>
          <w:noProof/>
          <w:szCs w:val="24"/>
          <w:lang w:val="en-US"/>
        </w:rPr>
        <w:tab/>
      </w:r>
      <w:r>
        <w:rPr>
          <w:rFonts w:ascii="Arial" w:hAnsi="Arial" w:cs="Arial"/>
          <w:noProof/>
          <w:szCs w:val="24"/>
          <w:lang w:val="en-US"/>
        </w:rPr>
        <w:t xml:space="preserve">Chen, P.; Levy, D. L. Regulation of Organelle Size and Organization during Development. </w:t>
      </w:r>
      <w:r>
        <w:rPr>
          <w:rFonts w:ascii="Arial" w:hAnsi="Arial" w:cs="Arial"/>
          <w:i/>
          <w:iCs/>
          <w:noProof/>
          <w:szCs w:val="24"/>
        </w:rPr>
        <w:t>Semin. Cell Dev. Biol.</w:t>
      </w:r>
      <w:r>
        <w:rPr>
          <w:rFonts w:ascii="Arial" w:hAnsi="Arial" w:cs="Arial"/>
          <w:noProof/>
          <w:szCs w:val="24"/>
        </w:rPr>
        <w:t xml:space="preserve"> </w:t>
      </w:r>
      <w:r>
        <w:rPr>
          <w:rFonts w:ascii="Arial" w:hAnsi="Arial" w:cs="Arial"/>
          <w:b/>
          <w:bCs/>
          <w:noProof/>
          <w:szCs w:val="24"/>
        </w:rPr>
        <w:t>2023</w:t>
      </w:r>
      <w:r>
        <w:rPr>
          <w:rFonts w:ascii="Arial" w:hAnsi="Arial" w:cs="Arial"/>
          <w:noProof/>
          <w:szCs w:val="24"/>
        </w:rPr>
        <w:t xml:space="preserve">, </w:t>
      </w:r>
      <w:r>
        <w:rPr>
          <w:rFonts w:ascii="Arial" w:hAnsi="Arial" w:cs="Arial"/>
          <w:i/>
          <w:iCs/>
          <w:noProof/>
          <w:szCs w:val="24"/>
        </w:rPr>
        <w:t>133</w:t>
      </w:r>
      <w:r>
        <w:rPr>
          <w:rFonts w:ascii="Arial" w:hAnsi="Arial" w:cs="Arial"/>
          <w:noProof/>
          <w:szCs w:val="24"/>
        </w:rPr>
        <w:t>, 53–64.</w:t>
      </w:r>
    </w:p>
    <w:p w14:paraId="19159C2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rPr>
        <w:t xml:space="preserve">(114) </w:t>
      </w:r>
      <w:r>
        <w:rPr>
          <w:rFonts w:ascii="Arial" w:hAnsi="Arial" w:cs="Arial"/>
          <w:noProof/>
          <w:szCs w:val="24"/>
        </w:rPr>
        <w:tab/>
        <w:t xml:space="preserve">Boveri, T. </w:t>
      </w:r>
      <w:r>
        <w:rPr>
          <w:rFonts w:ascii="Arial" w:hAnsi="Arial" w:cs="Arial"/>
          <w:i/>
          <w:iCs/>
          <w:noProof/>
          <w:szCs w:val="24"/>
        </w:rPr>
        <w:t>Zellen-Studien, Heft 5. Ueber Die Abhängigkeit Der Kerngröße Und Zellenzahl Der Seeigel-Larven von Der Chromo</w:t>
      </w:r>
      <w:r>
        <w:rPr>
          <w:rFonts w:ascii="Arial" w:hAnsi="Arial" w:cs="Arial"/>
          <w:i/>
          <w:iCs/>
          <w:noProof/>
          <w:szCs w:val="24"/>
        </w:rPr>
        <w:t>somenzahl Der Ausgangszellen.</w:t>
      </w:r>
      <w:r>
        <w:rPr>
          <w:rFonts w:ascii="Arial" w:hAnsi="Arial" w:cs="Arial"/>
          <w:noProof/>
          <w:szCs w:val="24"/>
        </w:rPr>
        <w:t>; Gustav Fischer Verlag, 1905.</w:t>
      </w:r>
    </w:p>
    <w:p w14:paraId="6D14CC2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(115) </w:t>
      </w:r>
      <w:r>
        <w:rPr>
          <w:rFonts w:ascii="Arial" w:hAnsi="Arial" w:cs="Arial"/>
          <w:noProof/>
          <w:szCs w:val="24"/>
          <w:lang w:val="en-US"/>
        </w:rPr>
        <w:tab/>
        <w:t xml:space="preserve">Neumann, F. R.; Nurse, P. Nuclear Size Control in Fission Yeast.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2007</w:t>
      </w:r>
      <w:r>
        <w:rPr>
          <w:rFonts w:ascii="Arial" w:hAnsi="Arial" w:cs="Arial"/>
          <w:noProof/>
          <w:szCs w:val="24"/>
          <w:lang w:val="en-US"/>
        </w:rPr>
        <w:t xml:space="preserve">, </w:t>
      </w:r>
      <w:r>
        <w:rPr>
          <w:rFonts w:ascii="Arial" w:hAnsi="Arial" w:cs="Arial"/>
          <w:i/>
          <w:iCs/>
          <w:noProof/>
          <w:szCs w:val="24"/>
          <w:lang w:val="en-US"/>
        </w:rPr>
        <w:t>179</w:t>
      </w:r>
      <w:r>
        <w:rPr>
          <w:rFonts w:ascii="Arial" w:hAnsi="Arial" w:cs="Arial"/>
          <w:noProof/>
          <w:szCs w:val="24"/>
          <w:lang w:val="en-US"/>
        </w:rPr>
        <w:t xml:space="preserve"> (4), 593–600.</w:t>
      </w:r>
    </w:p>
    <w:p w14:paraId="51E8C64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(116) </w:t>
      </w:r>
      <w:r>
        <w:rPr>
          <w:rFonts w:ascii="Arial" w:hAnsi="Arial" w:cs="Arial"/>
          <w:noProof/>
          <w:szCs w:val="24"/>
          <w:lang w:val="en-US"/>
        </w:rPr>
        <w:tab/>
        <w:t>Mukherjee, R. N.; Sallé, J.; Dmitrieff, S.; Nelson, K. M.; Oakey, J.; Minc, N.;</w:t>
      </w:r>
      <w:r>
        <w:rPr>
          <w:rFonts w:ascii="Arial" w:hAnsi="Arial" w:cs="Arial"/>
          <w:noProof/>
          <w:szCs w:val="24"/>
          <w:lang w:val="en-US"/>
        </w:rPr>
        <w:t xml:space="preserve"> Levy, D. L. The Perinuclear ER Scales Nuclear Size Independently of Cell Size in Early Embryos. </w:t>
      </w:r>
      <w:r>
        <w:rPr>
          <w:rFonts w:ascii="Arial" w:hAnsi="Arial" w:cs="Arial"/>
          <w:i/>
          <w:iCs/>
          <w:noProof/>
          <w:szCs w:val="24"/>
          <w:lang w:val="en-US"/>
        </w:rPr>
        <w:t>Dev. Cell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54</w:t>
      </w:r>
      <w:r>
        <w:rPr>
          <w:rFonts w:ascii="Arial" w:hAnsi="Arial" w:cs="Arial"/>
          <w:noProof/>
          <w:szCs w:val="24"/>
          <w:lang w:val="en-US"/>
        </w:rPr>
        <w:t>, 395-409.e7.</w:t>
      </w:r>
    </w:p>
    <w:p w14:paraId="6A0BE1B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(117) </w:t>
      </w:r>
      <w:r>
        <w:rPr>
          <w:rFonts w:ascii="Arial" w:hAnsi="Arial" w:cs="Arial"/>
          <w:noProof/>
          <w:szCs w:val="24"/>
          <w:lang w:val="en-US"/>
        </w:rPr>
        <w:tab/>
        <w:t>Biswas, A.; Muñoz, O.; Kim, K.; Hoege, C.; Lorton, B. M.; Shechter, D.; Guck, J.; Zaburdaev, V.; Reber, S. Conserved Nuc</w:t>
      </w:r>
      <w:r>
        <w:rPr>
          <w:rFonts w:ascii="Arial" w:hAnsi="Arial" w:cs="Arial"/>
          <w:noProof/>
          <w:szCs w:val="24"/>
          <w:lang w:val="en-US"/>
        </w:rPr>
        <w:t>leocytoplasmic Density Homeostasis Drives Cellular Organization across Eukaryotes.</w:t>
      </w:r>
    </w:p>
    <w:p w14:paraId="64DF2BB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(118) </w:t>
      </w:r>
      <w:r>
        <w:rPr>
          <w:rFonts w:ascii="Arial" w:hAnsi="Arial" w:cs="Arial"/>
          <w:noProof/>
          <w:szCs w:val="24"/>
          <w:lang w:val="en-US"/>
        </w:rPr>
        <w:tab/>
        <w:t xml:space="preserve">Cantwell, H.; Nurse, P. A Homeostatic Mechanism Rapidly Corrects Aberrant Nucleocytoplasmic Ratios Maintaining Nuclear Size in Fission Yeast.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132</w:t>
      </w:r>
      <w:r>
        <w:rPr>
          <w:rFonts w:ascii="Arial" w:hAnsi="Arial" w:cs="Arial"/>
          <w:noProof/>
          <w:szCs w:val="24"/>
          <w:lang w:val="en-US"/>
        </w:rPr>
        <w:t xml:space="preserve"> (</w:t>
      </w:r>
      <w:r>
        <w:rPr>
          <w:rFonts w:ascii="Arial" w:hAnsi="Arial" w:cs="Arial"/>
          <w:noProof/>
          <w:szCs w:val="24"/>
          <w:lang w:val="en-US"/>
        </w:rPr>
        <w:t>22).</w:t>
      </w:r>
    </w:p>
    <w:p w14:paraId="609C8CC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(119) </w:t>
      </w:r>
      <w:r>
        <w:rPr>
          <w:rFonts w:ascii="Arial" w:hAnsi="Arial" w:cs="Arial"/>
          <w:noProof/>
          <w:szCs w:val="24"/>
          <w:lang w:val="en-US"/>
        </w:rPr>
        <w:tab/>
        <w:t xml:space="preserve">Deviri, D.; Safran, S. A. Balance of Osmotic Pressures Determines the Nuclear-to-Cytoplasmic Volume Ratio of the Cell.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119</w:t>
      </w:r>
      <w:r>
        <w:rPr>
          <w:rFonts w:ascii="Arial" w:hAnsi="Arial" w:cs="Arial"/>
          <w:noProof/>
          <w:szCs w:val="24"/>
          <w:lang w:val="en-US"/>
        </w:rPr>
        <w:t xml:space="preserve"> (21), e2118301119.</w:t>
      </w:r>
    </w:p>
    <w:p w14:paraId="70D0A55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(120) </w:t>
      </w:r>
      <w:r>
        <w:rPr>
          <w:rFonts w:ascii="Arial" w:hAnsi="Arial" w:cs="Arial"/>
          <w:noProof/>
          <w:szCs w:val="24"/>
          <w:lang w:val="en-US"/>
        </w:rPr>
        <w:tab/>
        <w:t xml:space="preserve">Lemière, J.; Real-Calderon, P.; Holt, L. J.; Fai, T. G.; </w:t>
      </w:r>
      <w:r>
        <w:rPr>
          <w:rFonts w:ascii="Arial" w:hAnsi="Arial" w:cs="Arial"/>
          <w:noProof/>
          <w:szCs w:val="24"/>
          <w:lang w:val="en-US"/>
        </w:rPr>
        <w:t xml:space="preserve">Chang, F. Control of Nuclear Size by Osmotic Forces in Schizosaccharomyces Pombe.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w:t>
      </w:r>
    </w:p>
    <w:p w14:paraId="0F63397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(121) </w:t>
      </w:r>
      <w:r>
        <w:rPr>
          <w:rFonts w:ascii="Arial" w:hAnsi="Arial" w:cs="Arial"/>
          <w:noProof/>
          <w:szCs w:val="24"/>
          <w:lang w:val="en-US"/>
        </w:rPr>
        <w:tab/>
      </w:r>
      <w:r>
        <w:rPr>
          <w:rFonts w:ascii="Arial" w:hAnsi="Arial" w:cs="Arial"/>
          <w:noProof/>
          <w:szCs w:val="24"/>
          <w:lang w:val="en-US"/>
        </w:rPr>
        <w:t xml:space="preserve">Devany, J.; Falk, M. J.; Holt, L. J.; Murugan, A.; Correspondence, M. L. G.; Gardel, M. L. Epithelial Tissue Confinement Inhibits Cell Growth and Leads to Volume-Reducing Divisions. </w:t>
      </w:r>
      <w:r>
        <w:rPr>
          <w:rFonts w:ascii="Arial" w:hAnsi="Arial" w:cs="Arial"/>
          <w:i/>
          <w:iCs/>
          <w:noProof/>
          <w:szCs w:val="24"/>
          <w:lang w:val="en-US"/>
        </w:rPr>
        <w:t>Dev. 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58</w:t>
      </w:r>
      <w:r>
        <w:rPr>
          <w:rFonts w:ascii="Arial" w:hAnsi="Arial" w:cs="Arial"/>
          <w:noProof/>
          <w:szCs w:val="24"/>
          <w:lang w:val="en-US"/>
        </w:rPr>
        <w:t>, 1462-1476.e8.</w:t>
      </w:r>
    </w:p>
    <w:p w14:paraId="6CA1769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(122) </w:t>
      </w:r>
      <w:r>
        <w:rPr>
          <w:rFonts w:ascii="Arial" w:hAnsi="Arial" w:cs="Arial"/>
          <w:noProof/>
          <w:szCs w:val="24"/>
          <w:lang w:val="en-US"/>
        </w:rPr>
        <w:tab/>
        <w:t>Pennacchio, F. A.; Poli, A.; Pram</w:t>
      </w:r>
      <w:r>
        <w:rPr>
          <w:rFonts w:ascii="Arial" w:hAnsi="Arial" w:cs="Arial"/>
          <w:noProof/>
          <w:szCs w:val="24"/>
          <w:lang w:val="en-US"/>
        </w:rPr>
        <w:t xml:space="preserve">otton, F. M.; Lavore, S.; Rancati, I.; Cinquanta, M.; Vorselen, D.; Prina, E.; Romano, O. M.; Ferrari, A.; et al. Force-Biased Nuclear Import Sets Nuclear-Cytoplasmic Volumetric Coupling by Osmosis.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2022.06.07.494975.</w:t>
      </w:r>
    </w:p>
    <w:p w14:paraId="094FFE5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(123) </w:t>
      </w:r>
      <w:r>
        <w:rPr>
          <w:rFonts w:ascii="Arial" w:hAnsi="Arial" w:cs="Arial"/>
          <w:noProof/>
          <w:szCs w:val="24"/>
          <w:lang w:val="en-US"/>
        </w:rPr>
        <w:tab/>
        <w:t>Weber, S. C.; Bra</w:t>
      </w:r>
      <w:r>
        <w:rPr>
          <w:rFonts w:ascii="Arial" w:hAnsi="Arial" w:cs="Arial"/>
          <w:noProof/>
          <w:szCs w:val="24"/>
          <w:lang w:val="en-US"/>
        </w:rPr>
        <w:t xml:space="preserve">ngwynne, C. P. Inverse Size Scaling of the Nucleolus by a Concentration-Dependent Phase Transition.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25</w:t>
      </w:r>
      <w:r>
        <w:rPr>
          <w:rFonts w:ascii="Arial" w:hAnsi="Arial" w:cs="Arial"/>
          <w:noProof/>
          <w:szCs w:val="24"/>
          <w:lang w:val="en-US"/>
        </w:rPr>
        <w:t xml:space="preserve"> (5), 641–646.</w:t>
      </w:r>
    </w:p>
    <w:p w14:paraId="5CDDF88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lang w:val="en-US"/>
        </w:rPr>
        <w:t xml:space="preserve">(124) </w:t>
      </w:r>
      <w:r>
        <w:rPr>
          <w:rFonts w:ascii="Arial" w:hAnsi="Arial" w:cs="Arial"/>
          <w:noProof/>
          <w:szCs w:val="24"/>
          <w:lang w:val="en-US"/>
        </w:rPr>
        <w:tab/>
        <w:t>Uppaluri, S.; Weber, S. C.; Correspondence, C. P. B.; Brangwynne, C. P. Hierarchical Size Scaling during Multicell</w:t>
      </w:r>
      <w:r>
        <w:rPr>
          <w:rFonts w:ascii="Arial" w:hAnsi="Arial" w:cs="Arial"/>
          <w:noProof/>
          <w:szCs w:val="24"/>
          <w:lang w:val="en-US"/>
        </w:rPr>
        <w:t xml:space="preserve">ular Growth and Development. </w:t>
      </w:r>
      <w:r>
        <w:rPr>
          <w:rFonts w:ascii="Arial" w:hAnsi="Arial" w:cs="Arial"/>
          <w:i/>
          <w:iCs/>
          <w:noProof/>
          <w:szCs w:val="24"/>
        </w:rPr>
        <w:t>Cell Rep.</w:t>
      </w:r>
      <w:r>
        <w:rPr>
          <w:rFonts w:ascii="Arial" w:hAnsi="Arial" w:cs="Arial"/>
          <w:noProof/>
          <w:szCs w:val="24"/>
        </w:rPr>
        <w:t xml:space="preserve"> </w:t>
      </w:r>
      <w:r>
        <w:rPr>
          <w:rFonts w:ascii="Arial" w:hAnsi="Arial" w:cs="Arial"/>
          <w:b/>
          <w:bCs/>
          <w:noProof/>
          <w:szCs w:val="24"/>
        </w:rPr>
        <w:t>2016</w:t>
      </w:r>
      <w:r>
        <w:rPr>
          <w:rFonts w:ascii="Arial" w:hAnsi="Arial" w:cs="Arial"/>
          <w:noProof/>
          <w:szCs w:val="24"/>
        </w:rPr>
        <w:t xml:space="preserve">, </w:t>
      </w:r>
      <w:r>
        <w:rPr>
          <w:rFonts w:ascii="Arial" w:hAnsi="Arial" w:cs="Arial"/>
          <w:i/>
          <w:iCs/>
          <w:noProof/>
          <w:szCs w:val="24"/>
        </w:rPr>
        <w:t>17</w:t>
      </w:r>
      <w:r>
        <w:rPr>
          <w:rFonts w:ascii="Arial" w:hAnsi="Arial" w:cs="Arial"/>
          <w:noProof/>
          <w:szCs w:val="24"/>
        </w:rPr>
        <w:t>, 345–352.</w:t>
      </w:r>
    </w:p>
    <w:p w14:paraId="4A94E6A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rPr>
        <w:t xml:space="preserve">(125) </w:t>
      </w:r>
      <w:r>
        <w:rPr>
          <w:rFonts w:ascii="Arial" w:hAnsi="Arial" w:cs="Arial"/>
          <w:noProof/>
          <w:szCs w:val="24"/>
        </w:rPr>
        <w:tab/>
      </w:r>
      <w:r>
        <w:rPr>
          <w:rFonts w:ascii="Arial" w:hAnsi="Arial" w:cs="Arial"/>
          <w:noProof/>
          <w:szCs w:val="24"/>
        </w:rPr>
        <w:t xml:space="preserve">Morales, J.; Ehret, G.; Poschmann, G.; Reinicke, T.; Maurya, A. K.; Kröninger, L.; Zanini, D.; Wolters, R.; Kalyanaraman, D.; Krakovka, M.; et al. </w:t>
      </w:r>
      <w:r>
        <w:rPr>
          <w:rFonts w:ascii="Arial" w:hAnsi="Arial" w:cs="Arial"/>
          <w:noProof/>
          <w:szCs w:val="24"/>
          <w:lang w:val="en-US"/>
        </w:rPr>
        <w:t>Host-Symbiont Interactions in Angomonas Deanei Include the Evolution of a Host-Derived Dynamin Ring around th</w:t>
      </w:r>
      <w:r>
        <w:rPr>
          <w:rFonts w:ascii="Arial" w:hAnsi="Arial" w:cs="Arial"/>
          <w:noProof/>
          <w:szCs w:val="24"/>
          <w:lang w:val="en-US"/>
        </w:rPr>
        <w:t xml:space="preserve">e Endosymbiont Division Site.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33</w:t>
      </w:r>
      <w:r>
        <w:rPr>
          <w:rFonts w:ascii="Arial" w:hAnsi="Arial" w:cs="Arial"/>
          <w:noProof/>
          <w:szCs w:val="24"/>
          <w:lang w:val="en-US"/>
        </w:rPr>
        <w:t xml:space="preserve"> (1), 28-40.e7.</w:t>
      </w:r>
    </w:p>
    <w:p w14:paraId="4D608B2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(126) </w:t>
      </w:r>
      <w:r>
        <w:rPr>
          <w:rFonts w:ascii="Arial" w:hAnsi="Arial" w:cs="Arial"/>
          <w:noProof/>
          <w:szCs w:val="24"/>
          <w:lang w:val="en-US"/>
        </w:rPr>
        <w:tab/>
        <w:t xml:space="preserve">Nowack, E. C. M.; Melkonian, M.; Glöckner, G. Chromatophore Genome Sequence of Paulinella Sheds Light on Acquisition of Photosynthesis by Eukaryotes.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2008</w:t>
      </w:r>
      <w:r>
        <w:rPr>
          <w:rFonts w:ascii="Arial" w:hAnsi="Arial" w:cs="Arial"/>
          <w:noProof/>
          <w:szCs w:val="24"/>
          <w:lang w:val="en-US"/>
        </w:rPr>
        <w:t xml:space="preserve">, </w:t>
      </w:r>
      <w:r>
        <w:rPr>
          <w:rFonts w:ascii="Arial" w:hAnsi="Arial" w:cs="Arial"/>
          <w:i/>
          <w:iCs/>
          <w:noProof/>
          <w:szCs w:val="24"/>
          <w:lang w:val="en-US"/>
        </w:rPr>
        <w:t>18</w:t>
      </w:r>
      <w:r>
        <w:rPr>
          <w:rFonts w:ascii="Arial" w:hAnsi="Arial" w:cs="Arial"/>
          <w:noProof/>
          <w:szCs w:val="24"/>
          <w:lang w:val="en-US"/>
        </w:rPr>
        <w:t xml:space="preserve"> (6), 410–418</w:t>
      </w:r>
      <w:r>
        <w:rPr>
          <w:rFonts w:ascii="Arial" w:hAnsi="Arial" w:cs="Arial"/>
          <w:noProof/>
          <w:szCs w:val="24"/>
          <w:lang w:val="en-US"/>
        </w:rPr>
        <w:t>.</w:t>
      </w:r>
    </w:p>
    <w:p w14:paraId="0BC80B4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(127) </w:t>
      </w:r>
      <w:r>
        <w:rPr>
          <w:rFonts w:ascii="Arial" w:hAnsi="Arial" w:cs="Arial"/>
          <w:noProof/>
          <w:szCs w:val="24"/>
          <w:lang w:val="en-US"/>
        </w:rPr>
        <w:tab/>
        <w:t xml:space="preserve">Woodward, R.; Gull, K. Timing of Nuclear and Kinetoplast DNA Replication and Early Morphological Events in the Cell Cycle of Trypanosoma Brucei.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1990</w:t>
      </w:r>
      <w:r>
        <w:rPr>
          <w:rFonts w:ascii="Arial" w:hAnsi="Arial" w:cs="Arial"/>
          <w:noProof/>
          <w:szCs w:val="24"/>
          <w:lang w:val="en-US"/>
        </w:rPr>
        <w:t xml:space="preserve">, </w:t>
      </w:r>
      <w:r>
        <w:rPr>
          <w:rFonts w:ascii="Arial" w:hAnsi="Arial" w:cs="Arial"/>
          <w:i/>
          <w:iCs/>
          <w:noProof/>
          <w:szCs w:val="24"/>
          <w:lang w:val="en-US"/>
        </w:rPr>
        <w:t>95</w:t>
      </w:r>
      <w:r>
        <w:rPr>
          <w:rFonts w:ascii="Arial" w:hAnsi="Arial" w:cs="Arial"/>
          <w:noProof/>
          <w:szCs w:val="24"/>
          <w:lang w:val="en-US"/>
        </w:rPr>
        <w:t xml:space="preserve"> (1), 49–57.</w:t>
      </w:r>
    </w:p>
    <w:p w14:paraId="146552A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(128) </w:t>
      </w:r>
      <w:r>
        <w:rPr>
          <w:rFonts w:ascii="Arial" w:hAnsi="Arial" w:cs="Arial"/>
          <w:noProof/>
          <w:szCs w:val="24"/>
          <w:lang w:val="en-US"/>
        </w:rPr>
        <w:tab/>
      </w:r>
      <w:r>
        <w:rPr>
          <w:rFonts w:ascii="Arial" w:hAnsi="Arial" w:cs="Arial"/>
          <w:noProof/>
          <w:szCs w:val="24"/>
          <w:lang w:val="en-US"/>
        </w:rPr>
        <w:t xml:space="preserve">Rafelski, S. M.; Viana, M. P.; Zhang, Y.; Chan, Y.-H. M.; Thorn, K. S.; Yam, P.; Fung, J. C.; Li, H.; Costa, L. da F.; Marshall, W. F. Mitochondrial Network Size Scaling in Budding Yeast.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338</w:t>
      </w:r>
      <w:r>
        <w:rPr>
          <w:rFonts w:ascii="Arial" w:hAnsi="Arial" w:cs="Arial"/>
          <w:noProof/>
          <w:szCs w:val="24"/>
          <w:lang w:val="en-US"/>
        </w:rPr>
        <w:t xml:space="preserve"> (6108), 822–824.</w:t>
      </w:r>
    </w:p>
    <w:p w14:paraId="0E216CF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(129) </w:t>
      </w:r>
      <w:r>
        <w:rPr>
          <w:rFonts w:ascii="Arial" w:hAnsi="Arial" w:cs="Arial"/>
          <w:noProof/>
          <w:szCs w:val="24"/>
          <w:lang w:val="en-US"/>
        </w:rPr>
        <w:tab/>
        <w:t>Miettinen, T. P.; Björklun</w:t>
      </w:r>
      <w:r>
        <w:rPr>
          <w:rFonts w:ascii="Arial" w:hAnsi="Arial" w:cs="Arial"/>
          <w:noProof/>
          <w:szCs w:val="24"/>
          <w:lang w:val="en-US"/>
        </w:rPr>
        <w:t xml:space="preserve">d, M. Cellular Allometry of Mitochondrial Functionality Establishes the Optimal Cell Size. </w:t>
      </w:r>
      <w:r>
        <w:rPr>
          <w:rFonts w:ascii="Arial" w:hAnsi="Arial" w:cs="Arial"/>
          <w:i/>
          <w:iCs/>
          <w:noProof/>
          <w:szCs w:val="24"/>
          <w:lang w:val="en-US"/>
        </w:rPr>
        <w:t>Dev. Cell</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39</w:t>
      </w:r>
      <w:r>
        <w:rPr>
          <w:rFonts w:ascii="Arial" w:hAnsi="Arial" w:cs="Arial"/>
          <w:noProof/>
          <w:szCs w:val="24"/>
          <w:lang w:val="en-US"/>
        </w:rPr>
        <w:t xml:space="preserve"> (3), 370–382.</w:t>
      </w:r>
    </w:p>
    <w:p w14:paraId="335D5F4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(130) </w:t>
      </w:r>
      <w:r>
        <w:rPr>
          <w:rFonts w:ascii="Arial" w:hAnsi="Arial" w:cs="Arial"/>
          <w:noProof/>
          <w:szCs w:val="24"/>
          <w:lang w:val="en-US"/>
        </w:rPr>
        <w:tab/>
        <w:t xml:space="preserve">Posakony, J.; England, J.; Attardi, G. Mitochondrial Growth and Division during the Cell Cycle in HeLa Cells.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1</w:t>
      </w:r>
      <w:r>
        <w:rPr>
          <w:rFonts w:ascii="Arial" w:hAnsi="Arial" w:cs="Arial"/>
          <w:b/>
          <w:bCs/>
          <w:noProof/>
          <w:szCs w:val="24"/>
          <w:lang w:val="en-US"/>
        </w:rPr>
        <w:t>977</w:t>
      </w:r>
      <w:r>
        <w:rPr>
          <w:rFonts w:ascii="Arial" w:hAnsi="Arial" w:cs="Arial"/>
          <w:noProof/>
          <w:szCs w:val="24"/>
          <w:lang w:val="en-US"/>
        </w:rPr>
        <w:t xml:space="preserve">, </w:t>
      </w:r>
      <w:r>
        <w:rPr>
          <w:rFonts w:ascii="Arial" w:hAnsi="Arial" w:cs="Arial"/>
          <w:i/>
          <w:iCs/>
          <w:noProof/>
          <w:szCs w:val="24"/>
          <w:lang w:val="en-US"/>
        </w:rPr>
        <w:t>74</w:t>
      </w:r>
      <w:r>
        <w:rPr>
          <w:rFonts w:ascii="Arial" w:hAnsi="Arial" w:cs="Arial"/>
          <w:noProof/>
          <w:szCs w:val="24"/>
          <w:lang w:val="en-US"/>
        </w:rPr>
        <w:t xml:space="preserve"> (2), 468–491.</w:t>
      </w:r>
    </w:p>
    <w:p w14:paraId="201DC93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(131) </w:t>
      </w:r>
      <w:r>
        <w:rPr>
          <w:rFonts w:ascii="Arial" w:hAnsi="Arial" w:cs="Arial"/>
          <w:noProof/>
          <w:szCs w:val="24"/>
          <w:lang w:val="en-US"/>
        </w:rPr>
        <w:tab/>
        <w:t xml:space="preserve">Miettinen, T. P.; Pessa, H. K. J.; Caldez, M. J.; Fuhrer, T.; Diril, M. K.; Sauer, U.; Kaldis, P.; Björklund, M. Identification of Transcriptional and Metabolic Programs Related to Mammalian Cell Size.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24</w:t>
      </w:r>
      <w:r>
        <w:rPr>
          <w:rFonts w:ascii="Arial" w:hAnsi="Arial" w:cs="Arial"/>
          <w:noProof/>
          <w:szCs w:val="24"/>
          <w:lang w:val="en-US"/>
        </w:rPr>
        <w:t xml:space="preserve"> (6),</w:t>
      </w:r>
      <w:r>
        <w:rPr>
          <w:rFonts w:ascii="Arial" w:hAnsi="Arial" w:cs="Arial"/>
          <w:noProof/>
          <w:szCs w:val="24"/>
          <w:lang w:val="en-US"/>
        </w:rPr>
        <w:t xml:space="preserve"> 598–608.</w:t>
      </w:r>
    </w:p>
    <w:p w14:paraId="31BD1E5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(132) </w:t>
      </w:r>
      <w:r>
        <w:rPr>
          <w:rFonts w:ascii="Arial" w:hAnsi="Arial" w:cs="Arial"/>
          <w:noProof/>
          <w:szCs w:val="24"/>
          <w:lang w:val="en-US"/>
        </w:rPr>
        <w:tab/>
        <w:t xml:space="preserve">Miettinen, T. P.; Björklund, M. Mitochondrial Function and Cell Size: An Allometric Relationship. </w:t>
      </w:r>
      <w:r>
        <w:rPr>
          <w:rFonts w:ascii="Arial" w:hAnsi="Arial" w:cs="Arial"/>
          <w:i/>
          <w:iCs/>
          <w:noProof/>
          <w:szCs w:val="24"/>
          <w:lang w:val="en-US"/>
        </w:rPr>
        <w:t>Trends Cell Biol.</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27</w:t>
      </w:r>
      <w:r>
        <w:rPr>
          <w:rFonts w:ascii="Arial" w:hAnsi="Arial" w:cs="Arial"/>
          <w:noProof/>
          <w:szCs w:val="24"/>
          <w:lang w:val="en-US"/>
        </w:rPr>
        <w:t xml:space="preserve"> (6), 393–402.</w:t>
      </w:r>
    </w:p>
    <w:p w14:paraId="3F40F36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(133) </w:t>
      </w:r>
      <w:r>
        <w:rPr>
          <w:rFonts w:ascii="Arial" w:hAnsi="Arial" w:cs="Arial"/>
          <w:noProof/>
          <w:szCs w:val="24"/>
          <w:lang w:val="en-US"/>
        </w:rPr>
        <w:tab/>
        <w:t xml:space="preserve">Pyke, K. A.; Leech, R. M. The Control of Chloroplast Number in Wheat Mesophyll Cells. </w:t>
      </w:r>
      <w:r>
        <w:rPr>
          <w:rFonts w:ascii="Arial" w:hAnsi="Arial" w:cs="Arial"/>
          <w:i/>
          <w:iCs/>
          <w:noProof/>
          <w:szCs w:val="24"/>
          <w:lang w:val="en-US"/>
        </w:rPr>
        <w:t>Planta</w:t>
      </w:r>
      <w:r>
        <w:rPr>
          <w:rFonts w:ascii="Arial" w:hAnsi="Arial" w:cs="Arial"/>
          <w:noProof/>
          <w:szCs w:val="24"/>
          <w:lang w:val="en-US"/>
        </w:rPr>
        <w:t xml:space="preserve"> </w:t>
      </w:r>
      <w:r>
        <w:rPr>
          <w:rFonts w:ascii="Arial" w:hAnsi="Arial" w:cs="Arial"/>
          <w:b/>
          <w:bCs/>
          <w:noProof/>
          <w:szCs w:val="24"/>
          <w:lang w:val="en-US"/>
        </w:rPr>
        <w:t>1987</w:t>
      </w:r>
      <w:r>
        <w:rPr>
          <w:rFonts w:ascii="Arial" w:hAnsi="Arial" w:cs="Arial"/>
          <w:noProof/>
          <w:szCs w:val="24"/>
          <w:lang w:val="en-US"/>
        </w:rPr>
        <w:t xml:space="preserve">, </w:t>
      </w:r>
      <w:r>
        <w:rPr>
          <w:rFonts w:ascii="Arial" w:hAnsi="Arial" w:cs="Arial"/>
          <w:i/>
          <w:iCs/>
          <w:noProof/>
          <w:szCs w:val="24"/>
          <w:lang w:val="en-US"/>
        </w:rPr>
        <w:t>170</w:t>
      </w:r>
      <w:r>
        <w:rPr>
          <w:rFonts w:ascii="Arial" w:hAnsi="Arial" w:cs="Arial"/>
          <w:noProof/>
          <w:szCs w:val="24"/>
          <w:lang w:val="en-US"/>
        </w:rPr>
        <w:t xml:space="preserve"> (3), 416–420.</w:t>
      </w:r>
    </w:p>
    <w:p w14:paraId="39C57D9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(134) </w:t>
      </w:r>
      <w:r>
        <w:rPr>
          <w:rFonts w:ascii="Arial" w:hAnsi="Arial" w:cs="Arial"/>
          <w:noProof/>
          <w:szCs w:val="24"/>
          <w:lang w:val="en-US"/>
        </w:rPr>
        <w:tab/>
        <w:t xml:space="preserve">He, H.; Xie, W.; Liang, Z.; Wu, H.; Bai, M. The Expansion of Mesophyll Cells Is Coordinated with the Division of Chloroplasts in Diploid and Tetraploid Arabidopsis Thaliana. </w:t>
      </w:r>
      <w:r>
        <w:rPr>
          <w:rFonts w:ascii="Arial" w:hAnsi="Arial" w:cs="Arial"/>
          <w:i/>
          <w:iCs/>
          <w:noProof/>
          <w:szCs w:val="24"/>
          <w:lang w:val="en-US"/>
        </w:rPr>
        <w:t>Planta</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253</w:t>
      </w:r>
      <w:r>
        <w:rPr>
          <w:rFonts w:ascii="Arial" w:hAnsi="Arial" w:cs="Arial"/>
          <w:noProof/>
          <w:szCs w:val="24"/>
          <w:lang w:val="en-US"/>
        </w:rPr>
        <w:t xml:space="preserve"> (3), 1–9.</w:t>
      </w:r>
    </w:p>
    <w:p w14:paraId="686F1FC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(135) </w:t>
      </w:r>
      <w:r>
        <w:rPr>
          <w:rFonts w:ascii="Arial" w:hAnsi="Arial" w:cs="Arial"/>
          <w:noProof/>
          <w:szCs w:val="24"/>
          <w:lang w:val="en-US"/>
        </w:rPr>
        <w:tab/>
        <w:t>Honda, S. I.; Hon</w:t>
      </w:r>
      <w:r>
        <w:rPr>
          <w:rFonts w:ascii="Arial" w:hAnsi="Arial" w:cs="Arial"/>
          <w:noProof/>
          <w:szCs w:val="24"/>
          <w:lang w:val="en-US"/>
        </w:rPr>
        <w:t xml:space="preserve">gladarom-Honda, T.; Kwanyuen, P.; Wildman, S. G. Interpretations on Chloroplast Reproduction Derived from Correlations between Cells and Chloroplasts. </w:t>
      </w:r>
      <w:r>
        <w:rPr>
          <w:rFonts w:ascii="Arial" w:hAnsi="Arial" w:cs="Arial"/>
          <w:i/>
          <w:iCs/>
          <w:noProof/>
          <w:szCs w:val="24"/>
          <w:lang w:val="en-US"/>
        </w:rPr>
        <w:t>Planta</w:t>
      </w:r>
      <w:r>
        <w:rPr>
          <w:rFonts w:ascii="Arial" w:hAnsi="Arial" w:cs="Arial"/>
          <w:noProof/>
          <w:szCs w:val="24"/>
          <w:lang w:val="en-US"/>
        </w:rPr>
        <w:t xml:space="preserve"> </w:t>
      </w:r>
      <w:r>
        <w:rPr>
          <w:rFonts w:ascii="Arial" w:hAnsi="Arial" w:cs="Arial"/>
          <w:b/>
          <w:bCs/>
          <w:noProof/>
          <w:szCs w:val="24"/>
          <w:lang w:val="en-US"/>
        </w:rPr>
        <w:t>1971</w:t>
      </w:r>
      <w:r>
        <w:rPr>
          <w:rFonts w:ascii="Arial" w:hAnsi="Arial" w:cs="Arial"/>
          <w:noProof/>
          <w:szCs w:val="24"/>
          <w:lang w:val="en-US"/>
        </w:rPr>
        <w:t xml:space="preserve">, </w:t>
      </w:r>
      <w:r>
        <w:rPr>
          <w:rFonts w:ascii="Arial" w:hAnsi="Arial" w:cs="Arial"/>
          <w:i/>
          <w:iCs/>
          <w:noProof/>
          <w:szCs w:val="24"/>
          <w:lang w:val="en-US"/>
        </w:rPr>
        <w:t>97</w:t>
      </w:r>
      <w:r>
        <w:rPr>
          <w:rFonts w:ascii="Arial" w:hAnsi="Arial" w:cs="Arial"/>
          <w:noProof/>
          <w:szCs w:val="24"/>
          <w:lang w:val="en-US"/>
        </w:rPr>
        <w:t xml:space="preserve"> (1), 1–15.</w:t>
      </w:r>
    </w:p>
    <w:p w14:paraId="0A22278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(136) </w:t>
      </w:r>
      <w:r>
        <w:rPr>
          <w:rFonts w:ascii="Arial" w:hAnsi="Arial" w:cs="Arial"/>
          <w:noProof/>
          <w:szCs w:val="24"/>
          <w:lang w:val="en-US"/>
        </w:rPr>
        <w:tab/>
        <w:t>Kabeya, Y.; Miyagishima, S. Y. Chloroplast DNA Replication Is Regulated</w:t>
      </w:r>
      <w:r>
        <w:rPr>
          <w:rFonts w:ascii="Arial" w:hAnsi="Arial" w:cs="Arial"/>
          <w:noProof/>
          <w:szCs w:val="24"/>
          <w:lang w:val="en-US"/>
        </w:rPr>
        <w:t xml:space="preserve"> by the Redox State Independently of Chloroplast Division in Chlamydomonas Reinhardtii. </w:t>
      </w:r>
      <w:r>
        <w:rPr>
          <w:rFonts w:ascii="Arial" w:hAnsi="Arial" w:cs="Arial"/>
          <w:i/>
          <w:iCs/>
          <w:noProof/>
          <w:szCs w:val="24"/>
          <w:lang w:val="en-US"/>
        </w:rPr>
        <w:t>Plant Physiol.</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161</w:t>
      </w:r>
      <w:r>
        <w:rPr>
          <w:rFonts w:ascii="Arial" w:hAnsi="Arial" w:cs="Arial"/>
          <w:noProof/>
          <w:szCs w:val="24"/>
          <w:lang w:val="en-US"/>
        </w:rPr>
        <w:t xml:space="preserve"> (4), 2102–2112.</w:t>
      </w:r>
    </w:p>
    <w:p w14:paraId="5B53158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(137) </w:t>
      </w:r>
      <w:r>
        <w:rPr>
          <w:rFonts w:ascii="Arial" w:hAnsi="Arial" w:cs="Arial"/>
          <w:noProof/>
          <w:szCs w:val="24"/>
          <w:lang w:val="en-US"/>
        </w:rPr>
        <w:tab/>
      </w:r>
      <w:r>
        <w:rPr>
          <w:rFonts w:ascii="Arial" w:hAnsi="Arial" w:cs="Arial"/>
          <w:noProof/>
          <w:szCs w:val="24"/>
          <w:lang w:val="en-US"/>
        </w:rPr>
        <w:t xml:space="preserve">Coale, T. H.; Loconte, V.; Turk-Kubo, K. A.; Vanslembrouck, B.; Kwan, W.; Mak, E.; Cheung, S.; Ekman, A.; Chen, J.-H.; Hagino, K.; et al. Nitrogen-Fixing Organelle in a Marine Alga.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2024</w:t>
      </w:r>
      <w:r>
        <w:rPr>
          <w:rFonts w:ascii="Arial" w:hAnsi="Arial" w:cs="Arial"/>
          <w:noProof/>
          <w:szCs w:val="24"/>
          <w:lang w:val="en-US"/>
        </w:rPr>
        <w:t xml:space="preserve">, </w:t>
      </w:r>
      <w:r>
        <w:rPr>
          <w:rFonts w:ascii="Arial" w:hAnsi="Arial" w:cs="Arial"/>
          <w:i/>
          <w:iCs/>
          <w:noProof/>
          <w:szCs w:val="24"/>
          <w:lang w:val="en-US"/>
        </w:rPr>
        <w:t>384</w:t>
      </w:r>
      <w:r>
        <w:rPr>
          <w:rFonts w:ascii="Arial" w:hAnsi="Arial" w:cs="Arial"/>
          <w:noProof/>
          <w:szCs w:val="24"/>
          <w:lang w:val="en-US"/>
        </w:rPr>
        <w:t xml:space="preserve"> (6692), 217–222.</w:t>
      </w:r>
    </w:p>
    <w:p w14:paraId="1D6E7BD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(138) </w:t>
      </w:r>
      <w:r>
        <w:rPr>
          <w:rFonts w:ascii="Arial" w:hAnsi="Arial" w:cs="Arial"/>
          <w:noProof/>
          <w:szCs w:val="24"/>
          <w:lang w:val="en-US"/>
        </w:rPr>
        <w:tab/>
        <w:t>Cornejo-Castillo, F. M.; Inomura</w:t>
      </w:r>
      <w:r>
        <w:rPr>
          <w:rFonts w:ascii="Arial" w:hAnsi="Arial" w:cs="Arial"/>
          <w:noProof/>
          <w:szCs w:val="24"/>
          <w:lang w:val="en-US"/>
        </w:rPr>
        <w:t xml:space="preserve">, K.; Zehr, J. P.; Follows, M. J. Metabolic Trade-Offs Constrain the Cell Size Ratio in a Nitrogen-Fixing Symbiosis.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2024</w:t>
      </w:r>
      <w:r>
        <w:rPr>
          <w:rFonts w:ascii="Arial" w:hAnsi="Arial" w:cs="Arial"/>
          <w:noProof/>
          <w:szCs w:val="24"/>
          <w:lang w:val="en-US"/>
        </w:rPr>
        <w:t xml:space="preserve">, </w:t>
      </w:r>
      <w:r>
        <w:rPr>
          <w:rFonts w:ascii="Arial" w:hAnsi="Arial" w:cs="Arial"/>
          <w:i/>
          <w:iCs/>
          <w:noProof/>
          <w:szCs w:val="24"/>
          <w:lang w:val="en-US"/>
        </w:rPr>
        <w:t>187</w:t>
      </w:r>
      <w:r>
        <w:rPr>
          <w:rFonts w:ascii="Arial" w:hAnsi="Arial" w:cs="Arial"/>
          <w:noProof/>
          <w:szCs w:val="24"/>
          <w:lang w:val="en-US"/>
        </w:rPr>
        <w:t xml:space="preserve"> (7), 1762-1768.e9.</w:t>
      </w:r>
    </w:p>
    <w:p w14:paraId="3291DB1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(139) </w:t>
      </w:r>
      <w:r>
        <w:rPr>
          <w:rFonts w:ascii="Arial" w:hAnsi="Arial" w:cs="Arial"/>
          <w:noProof/>
          <w:szCs w:val="24"/>
          <w:lang w:val="en-US"/>
        </w:rPr>
        <w:tab/>
        <w:t>Chan, Y.-H. M.; Marshall, W. F. Organelle Size Scaling of the Budding Yeast Vacuole Is Tuned by Me</w:t>
      </w:r>
      <w:r>
        <w:rPr>
          <w:rFonts w:ascii="Arial" w:hAnsi="Arial" w:cs="Arial"/>
          <w:noProof/>
          <w:szCs w:val="24"/>
          <w:lang w:val="en-US"/>
        </w:rPr>
        <w:t xml:space="preserve">mbrane Trafficking Rates. </w:t>
      </w:r>
      <w:r>
        <w:rPr>
          <w:rFonts w:ascii="Arial" w:hAnsi="Arial" w:cs="Arial"/>
          <w:i/>
          <w:iCs/>
          <w:noProof/>
          <w:szCs w:val="24"/>
          <w:lang w:val="en-US"/>
        </w:rPr>
        <w:t>Biophys. J.</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106</w:t>
      </w:r>
      <w:r>
        <w:rPr>
          <w:rFonts w:ascii="Arial" w:hAnsi="Arial" w:cs="Arial"/>
          <w:noProof/>
          <w:szCs w:val="24"/>
          <w:lang w:val="en-US"/>
        </w:rPr>
        <w:t xml:space="preserve"> (9), 1986–1996.</w:t>
      </w:r>
    </w:p>
    <w:p w14:paraId="208F087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(140) </w:t>
      </w:r>
      <w:r>
        <w:rPr>
          <w:rFonts w:ascii="Arial" w:hAnsi="Arial" w:cs="Arial"/>
          <w:noProof/>
          <w:szCs w:val="24"/>
          <w:lang w:val="en-US"/>
        </w:rPr>
        <w:tab/>
        <w:t xml:space="preserve">Chan, Y. H. M.; Reyes, L.; Sohail, S. M.; Tran, N. K.; Marshall, W. F. Organelle Size Scaling of the Budding Yeast Vacuole by Relative Growth and Inheritance.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26</w:t>
      </w:r>
      <w:r>
        <w:rPr>
          <w:rFonts w:ascii="Arial" w:hAnsi="Arial" w:cs="Arial"/>
          <w:noProof/>
          <w:szCs w:val="24"/>
          <w:lang w:val="en-US"/>
        </w:rPr>
        <w:t xml:space="preserve"> (9), </w:t>
      </w:r>
      <w:r>
        <w:rPr>
          <w:rFonts w:ascii="Arial" w:hAnsi="Arial" w:cs="Arial"/>
          <w:noProof/>
          <w:szCs w:val="24"/>
          <w:lang w:val="en-US"/>
        </w:rPr>
        <w:t>1221.</w:t>
      </w:r>
    </w:p>
    <w:p w14:paraId="2A4410B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(141) </w:t>
      </w:r>
      <w:r>
        <w:rPr>
          <w:rFonts w:ascii="Arial" w:hAnsi="Arial" w:cs="Arial"/>
          <w:noProof/>
          <w:szCs w:val="24"/>
          <w:lang w:val="en-US"/>
        </w:rPr>
        <w:tab/>
        <w:t xml:space="preserve">Decker, M.; Jaensch, S.; Pozniakovsky, A.; Zinke, A.; O’Connell, K. F.; Zachariae, W.; Myers, E.; Hyman, A. A. Limiting Amounts of Centrosome Material Set Centrosome Size in C. Elegans Embryos.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2011</w:t>
      </w:r>
      <w:r>
        <w:rPr>
          <w:rFonts w:ascii="Arial" w:hAnsi="Arial" w:cs="Arial"/>
          <w:noProof/>
          <w:szCs w:val="24"/>
          <w:lang w:val="en-US"/>
        </w:rPr>
        <w:t xml:space="preserve">, </w:t>
      </w:r>
      <w:r>
        <w:rPr>
          <w:rFonts w:ascii="Arial" w:hAnsi="Arial" w:cs="Arial"/>
          <w:i/>
          <w:iCs/>
          <w:noProof/>
          <w:szCs w:val="24"/>
          <w:lang w:val="en-US"/>
        </w:rPr>
        <w:t>21</w:t>
      </w:r>
      <w:r>
        <w:rPr>
          <w:rFonts w:ascii="Arial" w:hAnsi="Arial" w:cs="Arial"/>
          <w:noProof/>
          <w:szCs w:val="24"/>
          <w:lang w:val="en-US"/>
        </w:rPr>
        <w:t xml:space="preserve"> (15), 1259–1267.</w:t>
      </w:r>
    </w:p>
    <w:p w14:paraId="1042671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(142) </w:t>
      </w:r>
      <w:r>
        <w:rPr>
          <w:rFonts w:ascii="Arial" w:hAnsi="Arial" w:cs="Arial"/>
          <w:noProof/>
          <w:szCs w:val="24"/>
          <w:lang w:val="en-US"/>
        </w:rPr>
        <w:tab/>
        <w:t>Rath</w:t>
      </w:r>
      <w:r>
        <w:rPr>
          <w:rFonts w:ascii="Arial" w:hAnsi="Arial" w:cs="Arial"/>
          <w:noProof/>
          <w:szCs w:val="24"/>
          <w:lang w:val="en-US"/>
        </w:rPr>
        <w:t xml:space="preserve">bun, L. I.; Aljiboury, A. A.; Amack, J. D.; Bembenek, J. N.; Correspondence, H. H. PLK1- and PLK4-Mediated Asymmetric Mitotic Centrosome Size and Positioning in the Early Zebrafish Embryo. </w:t>
      </w:r>
      <w:r>
        <w:rPr>
          <w:rFonts w:ascii="Arial" w:hAnsi="Arial" w:cs="Arial"/>
          <w:b/>
          <w:bCs/>
          <w:noProof/>
          <w:szCs w:val="24"/>
          <w:lang w:val="en-US"/>
        </w:rPr>
        <w:t>2020</w:t>
      </w:r>
      <w:r>
        <w:rPr>
          <w:rFonts w:ascii="Arial" w:hAnsi="Arial" w:cs="Arial"/>
          <w:noProof/>
          <w:szCs w:val="24"/>
          <w:lang w:val="en-US"/>
        </w:rPr>
        <w:t>.</w:t>
      </w:r>
    </w:p>
    <w:p w14:paraId="5E79CE0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(143) </w:t>
      </w:r>
      <w:r>
        <w:rPr>
          <w:rFonts w:ascii="Arial" w:hAnsi="Arial" w:cs="Arial"/>
          <w:noProof/>
          <w:szCs w:val="24"/>
          <w:lang w:val="en-US"/>
        </w:rPr>
        <w:tab/>
        <w:t>Hazel, J.; Krutkramelis, K.; Mooney, P.; Tomschik, M.;</w:t>
      </w:r>
      <w:r>
        <w:rPr>
          <w:rFonts w:ascii="Arial" w:hAnsi="Arial" w:cs="Arial"/>
          <w:noProof/>
          <w:szCs w:val="24"/>
          <w:lang w:val="en-US"/>
        </w:rPr>
        <w:t xml:space="preserve"> Gerow, K.; Oakey, J.; Gatlin, J. C. Changes in Cytoplasmic Volume Are Sufficient to Drive Spindle Scaling.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342</w:t>
      </w:r>
      <w:r>
        <w:rPr>
          <w:rFonts w:ascii="Arial" w:hAnsi="Arial" w:cs="Arial"/>
          <w:noProof/>
          <w:szCs w:val="24"/>
          <w:lang w:val="en-US"/>
        </w:rPr>
        <w:t xml:space="preserve"> (6160), 853–856.</w:t>
      </w:r>
    </w:p>
    <w:p w14:paraId="01E2836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(144) </w:t>
      </w:r>
      <w:r>
        <w:rPr>
          <w:rFonts w:ascii="Arial" w:hAnsi="Arial" w:cs="Arial"/>
          <w:noProof/>
          <w:szCs w:val="24"/>
          <w:lang w:val="en-US"/>
        </w:rPr>
        <w:tab/>
        <w:t>Good, M. C.; Vahey, M. D.; Skandarajah, A.; Fletcher, D. A.; Heald, R. Cytoplasmic Volume Modulates Spindl</w:t>
      </w:r>
      <w:r>
        <w:rPr>
          <w:rFonts w:ascii="Arial" w:hAnsi="Arial" w:cs="Arial"/>
          <w:noProof/>
          <w:szCs w:val="24"/>
          <w:lang w:val="en-US"/>
        </w:rPr>
        <w:t xml:space="preserve">e Size during Embryogenesis.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342</w:t>
      </w:r>
      <w:r>
        <w:rPr>
          <w:rFonts w:ascii="Arial" w:hAnsi="Arial" w:cs="Arial"/>
          <w:noProof/>
          <w:szCs w:val="24"/>
          <w:lang w:val="en-US"/>
        </w:rPr>
        <w:t xml:space="preserve"> (6160), 856–860.</w:t>
      </w:r>
    </w:p>
    <w:p w14:paraId="69D775C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(145) </w:t>
      </w:r>
      <w:r>
        <w:rPr>
          <w:rFonts w:ascii="Arial" w:hAnsi="Arial" w:cs="Arial"/>
          <w:noProof/>
          <w:szCs w:val="24"/>
          <w:lang w:val="en-US"/>
        </w:rPr>
        <w:tab/>
        <w:t>Reber, S. B.; Baumgart, J.; Widlund, P. O.; Pozniakovsky, A.; Howard, J.; Hyman, A. A.; Jülicher, F. XMAP215 Activity Sets Spindle Length by Controlling the Total Mass of Spindle Microt</w:t>
      </w:r>
      <w:r>
        <w:rPr>
          <w:rFonts w:ascii="Arial" w:hAnsi="Arial" w:cs="Arial"/>
          <w:noProof/>
          <w:szCs w:val="24"/>
          <w:lang w:val="en-US"/>
        </w:rPr>
        <w:t xml:space="preserve">ubules. </w:t>
      </w:r>
      <w:r>
        <w:rPr>
          <w:rFonts w:ascii="Arial" w:hAnsi="Arial" w:cs="Arial"/>
          <w:i/>
          <w:iCs/>
          <w:noProof/>
          <w:szCs w:val="24"/>
          <w:lang w:val="en-US"/>
        </w:rPr>
        <w:t>Nat. Cell Biol.</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15</w:t>
      </w:r>
      <w:r>
        <w:rPr>
          <w:rFonts w:ascii="Arial" w:hAnsi="Arial" w:cs="Arial"/>
          <w:noProof/>
          <w:szCs w:val="24"/>
          <w:lang w:val="en-US"/>
        </w:rPr>
        <w:t xml:space="preserve"> (9), 1116–1122.</w:t>
      </w:r>
    </w:p>
    <w:p w14:paraId="09CE6D6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(146) </w:t>
      </w:r>
      <w:r>
        <w:rPr>
          <w:rFonts w:ascii="Arial" w:hAnsi="Arial" w:cs="Arial"/>
          <w:noProof/>
          <w:szCs w:val="24"/>
          <w:lang w:val="en-US"/>
        </w:rPr>
        <w:tab/>
        <w:t xml:space="preserve">Milunovic-Jevtic, A.; Jevtic, P.; Levy, D. L.; Gatlin, J. C. In Vivo Mitotic Spindle Scaling Can Be Modulated by Changing the Levels of a Single Protein: The Microtubule Polymerase XMAP215. </w:t>
      </w:r>
      <w:r>
        <w:rPr>
          <w:rFonts w:ascii="Arial" w:hAnsi="Arial" w:cs="Arial"/>
          <w:i/>
          <w:iCs/>
          <w:noProof/>
          <w:szCs w:val="24"/>
          <w:lang w:val="en-US"/>
        </w:rPr>
        <w:t>Mol. Biol.</w:t>
      </w:r>
      <w:r>
        <w:rPr>
          <w:rFonts w:ascii="Arial" w:hAnsi="Arial" w:cs="Arial"/>
          <w:i/>
          <w:iCs/>
          <w:noProof/>
          <w:szCs w:val="24"/>
          <w:lang w:val="en-US"/>
        </w:rPr>
        <w:t xml:space="preserve"> Cell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29</w:t>
      </w:r>
      <w:r>
        <w:rPr>
          <w:rFonts w:ascii="Arial" w:hAnsi="Arial" w:cs="Arial"/>
          <w:noProof/>
          <w:szCs w:val="24"/>
          <w:lang w:val="en-US"/>
        </w:rPr>
        <w:t xml:space="preserve"> (11), 1311–1317.</w:t>
      </w:r>
    </w:p>
    <w:p w14:paraId="4F48AB1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(147) </w:t>
      </w:r>
      <w:r>
        <w:rPr>
          <w:rFonts w:ascii="Arial" w:hAnsi="Arial" w:cs="Arial"/>
          <w:noProof/>
          <w:szCs w:val="24"/>
          <w:lang w:val="en-US"/>
        </w:rPr>
        <w:tab/>
      </w:r>
      <w:r>
        <w:rPr>
          <w:rFonts w:ascii="Arial" w:hAnsi="Arial" w:cs="Arial"/>
          <w:noProof/>
          <w:szCs w:val="24"/>
          <w:lang w:val="en-US"/>
        </w:rPr>
        <w:t xml:space="preserve">Lacroix, B.; Letort, G.; Pitayu, L.; Sallé, J.; Stefanutti, M.; Maton, G.; Ladouceur, A. M.; Canman, J. C.; Maddox, P. S.; Maddox, A. S.; et al. Microtubule Dynamics Scale with Cell Size to Set Spindle Length and Assembly Timing. </w:t>
      </w:r>
      <w:r>
        <w:rPr>
          <w:rFonts w:ascii="Arial" w:hAnsi="Arial" w:cs="Arial"/>
          <w:i/>
          <w:iCs/>
          <w:noProof/>
          <w:szCs w:val="24"/>
          <w:lang w:val="en-US"/>
        </w:rPr>
        <w:t>Dev. Cell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45</w:t>
      </w:r>
      <w:r>
        <w:rPr>
          <w:rFonts w:ascii="Arial" w:hAnsi="Arial" w:cs="Arial"/>
          <w:noProof/>
          <w:szCs w:val="24"/>
          <w:lang w:val="en-US"/>
        </w:rPr>
        <w:t xml:space="preserve"> (4), 49</w:t>
      </w:r>
      <w:r>
        <w:rPr>
          <w:rFonts w:ascii="Arial" w:hAnsi="Arial" w:cs="Arial"/>
          <w:noProof/>
          <w:szCs w:val="24"/>
          <w:lang w:val="en-US"/>
        </w:rPr>
        <w:t>6-511.e6.</w:t>
      </w:r>
    </w:p>
    <w:p w14:paraId="31D7750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(148) </w:t>
      </w:r>
      <w:r>
        <w:rPr>
          <w:rFonts w:ascii="Arial" w:hAnsi="Arial" w:cs="Arial"/>
          <w:noProof/>
          <w:szCs w:val="24"/>
          <w:lang w:val="en-US"/>
        </w:rPr>
        <w:tab/>
        <w:t xml:space="preserve">Rieckhoff, E. M.; Berndt, F.; Elsner, M.; Golfier, S.; Decker, F.; Ishihara, K.; Brugu Es Correspondence, J.; Brugu Es, J. Spindle Scaling Is Governed by Cell Boundary Regulation of Microtubule Nucleation.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30</w:t>
      </w:r>
      <w:r>
        <w:rPr>
          <w:rFonts w:ascii="Arial" w:hAnsi="Arial" w:cs="Arial"/>
          <w:noProof/>
          <w:szCs w:val="24"/>
          <w:lang w:val="en-US"/>
        </w:rPr>
        <w:t>, 4973-4983.e</w:t>
      </w:r>
      <w:r>
        <w:rPr>
          <w:rFonts w:ascii="Arial" w:hAnsi="Arial" w:cs="Arial"/>
          <w:noProof/>
          <w:szCs w:val="24"/>
          <w:lang w:val="en-US"/>
        </w:rPr>
        <w:t>10.</w:t>
      </w:r>
    </w:p>
    <w:p w14:paraId="31B277A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(149) </w:t>
      </w:r>
      <w:r>
        <w:rPr>
          <w:rFonts w:ascii="Arial" w:hAnsi="Arial" w:cs="Arial"/>
          <w:noProof/>
          <w:szCs w:val="24"/>
          <w:lang w:val="en-US"/>
        </w:rPr>
        <w:tab/>
        <w:t xml:space="preserve">Wilbur, J. D.; Heald, R. Mitotic Spindle Scaling during Xenopus Development by Kif2a and Importin </w:t>
      </w:r>
      <w:r>
        <w:rPr>
          <w:rFonts w:ascii="Arial" w:hAnsi="Arial" w:cs="Arial"/>
          <w:noProof/>
          <w:szCs w:val="24"/>
        </w:rPr>
        <w:t>α</w:t>
      </w:r>
      <w:r>
        <w:rPr>
          <w:rFonts w:ascii="Arial" w:hAnsi="Arial" w:cs="Arial"/>
          <w:noProof/>
          <w:szCs w:val="24"/>
          <w:lang w:val="en-US"/>
        </w:rPr>
        <w:t xml:space="preserve">.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2013</w:t>
      </w:r>
      <w:r>
        <w:rPr>
          <w:rFonts w:ascii="Arial" w:hAnsi="Arial" w:cs="Arial"/>
          <w:noProof/>
          <w:szCs w:val="24"/>
          <w:lang w:val="en-US"/>
        </w:rPr>
        <w:t xml:space="preserve"> (2).</w:t>
      </w:r>
    </w:p>
    <w:p w14:paraId="26A5D64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(150) </w:t>
      </w:r>
      <w:r>
        <w:rPr>
          <w:rFonts w:ascii="Arial" w:hAnsi="Arial" w:cs="Arial"/>
          <w:noProof/>
          <w:szCs w:val="24"/>
          <w:lang w:val="en-US"/>
        </w:rPr>
        <w:tab/>
        <w:t>Carvalho, A.; Desai, A.; Oegema, K. Structural Memory in the Contractile Ring Makes the Duration of Cytokinesis Ind</w:t>
      </w:r>
      <w:r>
        <w:rPr>
          <w:rFonts w:ascii="Arial" w:hAnsi="Arial" w:cs="Arial"/>
          <w:noProof/>
          <w:szCs w:val="24"/>
          <w:lang w:val="en-US"/>
        </w:rPr>
        <w:t xml:space="preserve">ependent of Cell Size.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137</w:t>
      </w:r>
      <w:r>
        <w:rPr>
          <w:rFonts w:ascii="Arial" w:hAnsi="Arial" w:cs="Arial"/>
          <w:noProof/>
          <w:szCs w:val="24"/>
          <w:lang w:val="en-US"/>
        </w:rPr>
        <w:t xml:space="preserve"> (5), 926–937.</w:t>
      </w:r>
    </w:p>
    <w:p w14:paraId="431B397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(151) </w:t>
      </w:r>
      <w:r>
        <w:rPr>
          <w:rFonts w:ascii="Arial" w:hAnsi="Arial" w:cs="Arial"/>
          <w:noProof/>
          <w:szCs w:val="24"/>
          <w:lang w:val="en-US"/>
        </w:rPr>
        <w:tab/>
        <w:t>Kubo, K.; Okada, H.; Shimamoto, T.; Kimori, Y.; Mizunuma, M.; Bi, E.; Ohnuki, S.; Ohya, Y. Implications of Maintenance of Mother–Bud Neck Size in Diverse Vital Processes of Saccharomyces Cerevisiae</w:t>
      </w:r>
      <w:r>
        <w:rPr>
          <w:rFonts w:ascii="Arial" w:hAnsi="Arial" w:cs="Arial"/>
          <w:noProof/>
          <w:szCs w:val="24"/>
          <w:lang w:val="en-US"/>
        </w:rPr>
        <w:t xml:space="preserve">. </w:t>
      </w:r>
      <w:r>
        <w:rPr>
          <w:rFonts w:ascii="Arial" w:hAnsi="Arial" w:cs="Arial"/>
          <w:i/>
          <w:iCs/>
          <w:noProof/>
          <w:szCs w:val="24"/>
          <w:lang w:val="en-US"/>
        </w:rPr>
        <w:t>Curr. Genet.</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65</w:t>
      </w:r>
      <w:r>
        <w:rPr>
          <w:rFonts w:ascii="Arial" w:hAnsi="Arial" w:cs="Arial"/>
          <w:noProof/>
          <w:szCs w:val="24"/>
          <w:lang w:val="en-US"/>
        </w:rPr>
        <w:t xml:space="preserve"> (1), 253–267.</w:t>
      </w:r>
    </w:p>
    <w:p w14:paraId="0679515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(152) </w:t>
      </w:r>
      <w:r>
        <w:rPr>
          <w:rFonts w:ascii="Arial" w:hAnsi="Arial" w:cs="Arial"/>
          <w:noProof/>
          <w:szCs w:val="24"/>
          <w:lang w:val="en-US"/>
        </w:rPr>
        <w:tab/>
      </w:r>
      <w:r>
        <w:rPr>
          <w:rFonts w:ascii="Arial" w:hAnsi="Arial" w:cs="Arial"/>
          <w:noProof/>
          <w:szCs w:val="24"/>
          <w:lang w:val="en-US"/>
        </w:rPr>
        <w:t xml:space="preserve">Kukhtevich, I. V.; Lohrberg, N.; Padovani, F.; Schneider, R.; Schmoller, K. M. Cell Size Sets the Diameter of the Budding Yeast Contractile Ring. </w:t>
      </w:r>
      <w:r>
        <w:rPr>
          <w:rFonts w:ascii="Arial" w:hAnsi="Arial" w:cs="Arial"/>
          <w:i/>
          <w:iCs/>
          <w:noProof/>
          <w:szCs w:val="24"/>
          <w:lang w:val="en-US"/>
        </w:rPr>
        <w:t>Nat. Commun.</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 xml:space="preserve"> (1), 1–15.</w:t>
      </w:r>
    </w:p>
    <w:p w14:paraId="77335EA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(153) </w:t>
      </w:r>
      <w:r>
        <w:rPr>
          <w:rFonts w:ascii="Arial" w:hAnsi="Arial" w:cs="Arial"/>
          <w:noProof/>
          <w:szCs w:val="24"/>
          <w:lang w:val="en-US"/>
        </w:rPr>
        <w:tab/>
        <w:t xml:space="preserve">Bonazzi, D.; Haupt, A.; Tanimoto, H.; Delacour, D.; Salort, D.; Minc, </w:t>
      </w:r>
      <w:r>
        <w:rPr>
          <w:rFonts w:ascii="Arial" w:hAnsi="Arial" w:cs="Arial"/>
          <w:noProof/>
          <w:szCs w:val="24"/>
          <w:lang w:val="en-US"/>
        </w:rPr>
        <w:t xml:space="preserve">N. Actin-Based Transport Adapts Polarity Domain Size to Local Cellular Curvature.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25</w:t>
      </w:r>
      <w:r>
        <w:rPr>
          <w:rFonts w:ascii="Arial" w:hAnsi="Arial" w:cs="Arial"/>
          <w:noProof/>
          <w:szCs w:val="24"/>
          <w:lang w:val="en-US"/>
        </w:rPr>
        <w:t xml:space="preserve"> (20), 2677–2683.</w:t>
      </w:r>
    </w:p>
    <w:p w14:paraId="08C264B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(154) </w:t>
      </w:r>
      <w:r>
        <w:rPr>
          <w:rFonts w:ascii="Arial" w:hAnsi="Arial" w:cs="Arial"/>
          <w:noProof/>
          <w:szCs w:val="24"/>
          <w:lang w:val="en-US"/>
        </w:rPr>
        <w:tab/>
        <w:t xml:space="preserve">Mohapatra, L.; Lagny, T. J.; Harbage, D.; Jelenkovic, P. R.; Correspondence, J. K.; Kondev, J. The Limiting-Pool Mechanism Fails </w:t>
      </w:r>
      <w:r>
        <w:rPr>
          <w:rFonts w:ascii="Arial" w:hAnsi="Arial" w:cs="Arial"/>
          <w:noProof/>
          <w:szCs w:val="24"/>
          <w:lang w:val="en-US"/>
        </w:rPr>
        <w:t xml:space="preserve">to Control the Size of Multiple Organelles. </w:t>
      </w:r>
      <w:r>
        <w:rPr>
          <w:rFonts w:ascii="Arial" w:hAnsi="Arial" w:cs="Arial"/>
          <w:i/>
          <w:iCs/>
          <w:noProof/>
          <w:szCs w:val="24"/>
          <w:lang w:val="en-US"/>
        </w:rPr>
        <w:t>Cell Syst.</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4</w:t>
      </w:r>
      <w:r>
        <w:rPr>
          <w:rFonts w:ascii="Arial" w:hAnsi="Arial" w:cs="Arial"/>
          <w:noProof/>
          <w:szCs w:val="24"/>
          <w:lang w:val="en-US"/>
        </w:rPr>
        <w:t>, 559-567.e14.</w:t>
      </w:r>
    </w:p>
    <w:p w14:paraId="249F721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(155) </w:t>
      </w:r>
      <w:r>
        <w:rPr>
          <w:rFonts w:ascii="Arial" w:hAnsi="Arial" w:cs="Arial"/>
          <w:noProof/>
          <w:szCs w:val="24"/>
          <w:lang w:val="en-US"/>
        </w:rPr>
        <w:tab/>
        <w:t xml:space="preserve">McInally, S. G.; Kondev, J.; Goode, B. L. Scaling of Subcellular Actin Structures with Cell Length through Decelerated Growth.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w:t>
      </w:r>
    </w:p>
    <w:p w14:paraId="13E9990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(156) </w:t>
      </w:r>
      <w:r>
        <w:rPr>
          <w:rFonts w:ascii="Arial" w:hAnsi="Arial" w:cs="Arial"/>
          <w:noProof/>
          <w:szCs w:val="24"/>
          <w:lang w:val="en-US"/>
        </w:rPr>
        <w:tab/>
      </w:r>
      <w:r>
        <w:rPr>
          <w:rFonts w:ascii="Arial" w:hAnsi="Arial" w:cs="Arial"/>
          <w:noProof/>
          <w:szCs w:val="24"/>
          <w:lang w:val="en-US"/>
        </w:rPr>
        <w:t xml:space="preserve">Marañón, E. Cell Size as a Key Determinant of Phytoplankton Metabolism and Community Structure. </w:t>
      </w:r>
      <w:r>
        <w:rPr>
          <w:rFonts w:ascii="Arial" w:hAnsi="Arial" w:cs="Arial"/>
          <w:i/>
          <w:iCs/>
          <w:noProof/>
          <w:szCs w:val="24"/>
          <w:lang w:val="en-US"/>
        </w:rPr>
        <w:t>Ann. Rev. Mar. Sci.</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 241–264.</w:t>
      </w:r>
    </w:p>
    <w:p w14:paraId="039F865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(157) </w:t>
      </w:r>
      <w:r>
        <w:rPr>
          <w:rFonts w:ascii="Arial" w:hAnsi="Arial" w:cs="Arial"/>
          <w:noProof/>
          <w:szCs w:val="24"/>
          <w:lang w:val="en-US"/>
        </w:rPr>
        <w:tab/>
        <w:t xml:space="preserve">Hillebrand, H.; Acevedo-Trejos, E.; Moorthi, S. D.; Ryabov, A.; Striebel, M.; Thomas, P. K.; Schneider, M. L. Cell </w:t>
      </w:r>
      <w:r>
        <w:rPr>
          <w:rFonts w:ascii="Arial" w:hAnsi="Arial" w:cs="Arial"/>
          <w:noProof/>
          <w:szCs w:val="24"/>
          <w:lang w:val="en-US"/>
        </w:rPr>
        <w:t xml:space="preserve">Size as Driver and Sentinel of Phytoplankton Community Structure and Functioning. </w:t>
      </w:r>
      <w:r>
        <w:rPr>
          <w:rFonts w:ascii="Arial" w:hAnsi="Arial" w:cs="Arial"/>
          <w:i/>
          <w:iCs/>
          <w:noProof/>
          <w:szCs w:val="24"/>
          <w:lang w:val="en-US"/>
        </w:rPr>
        <w:t>Funct. Ecol.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36</w:t>
      </w:r>
      <w:r>
        <w:rPr>
          <w:rFonts w:ascii="Arial" w:hAnsi="Arial" w:cs="Arial"/>
          <w:noProof/>
          <w:szCs w:val="24"/>
          <w:lang w:val="en-US"/>
        </w:rPr>
        <w:t xml:space="preserve"> (2), 276–293.</w:t>
      </w:r>
    </w:p>
    <w:p w14:paraId="19F2972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(158) </w:t>
      </w:r>
      <w:r>
        <w:rPr>
          <w:rFonts w:ascii="Arial" w:hAnsi="Arial" w:cs="Arial"/>
          <w:noProof/>
          <w:szCs w:val="24"/>
          <w:lang w:val="en-US"/>
        </w:rPr>
        <w:tab/>
        <w:t xml:space="preserve">Andersen, K. H.; Visser, A. W. From Cell Size and First Principles to Structure and Function of Unicellular Plankton Communities. </w:t>
      </w:r>
      <w:r>
        <w:rPr>
          <w:rFonts w:ascii="Arial" w:hAnsi="Arial" w:cs="Arial"/>
          <w:i/>
          <w:iCs/>
          <w:noProof/>
          <w:szCs w:val="24"/>
          <w:lang w:val="en-US"/>
        </w:rPr>
        <w:t>P</w:t>
      </w:r>
      <w:r>
        <w:rPr>
          <w:rFonts w:ascii="Arial" w:hAnsi="Arial" w:cs="Arial"/>
          <w:i/>
          <w:iCs/>
          <w:noProof/>
          <w:szCs w:val="24"/>
          <w:lang w:val="en-US"/>
        </w:rPr>
        <w:t>rog. Oceanogr.</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213</w:t>
      </w:r>
      <w:r>
        <w:rPr>
          <w:rFonts w:ascii="Arial" w:hAnsi="Arial" w:cs="Arial"/>
          <w:noProof/>
          <w:szCs w:val="24"/>
          <w:lang w:val="en-US"/>
        </w:rPr>
        <w:t>, 102995.</w:t>
      </w:r>
    </w:p>
    <w:p w14:paraId="0A9E305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(159) </w:t>
      </w:r>
      <w:r>
        <w:rPr>
          <w:rFonts w:ascii="Arial" w:hAnsi="Arial" w:cs="Arial"/>
          <w:noProof/>
          <w:szCs w:val="24"/>
          <w:lang w:val="en-US"/>
        </w:rPr>
        <w:tab/>
        <w:t xml:space="preserve">Leles, S. G.; Levine, N. M. Mechanistic Constraints on the Trade-off between Photosynthesis and Respiration in Response to Warming. </w:t>
      </w:r>
      <w:r>
        <w:rPr>
          <w:rFonts w:ascii="Arial" w:hAnsi="Arial" w:cs="Arial"/>
          <w:i/>
          <w:iCs/>
          <w:noProof/>
          <w:szCs w:val="24"/>
          <w:lang w:val="en-US"/>
        </w:rPr>
        <w:t>Sci. Adv.</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(35).</w:t>
      </w:r>
    </w:p>
    <w:p w14:paraId="71B1BD7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(160) </w:t>
      </w:r>
      <w:r>
        <w:rPr>
          <w:rFonts w:ascii="Arial" w:hAnsi="Arial" w:cs="Arial"/>
          <w:noProof/>
          <w:szCs w:val="24"/>
          <w:lang w:val="en-US"/>
        </w:rPr>
        <w:tab/>
        <w:t>Goranov, A. I.; Cook, M.; Ricicova, M.; Ben-Ari, G.;</w:t>
      </w:r>
      <w:r>
        <w:rPr>
          <w:rFonts w:ascii="Arial" w:hAnsi="Arial" w:cs="Arial"/>
          <w:noProof/>
          <w:szCs w:val="24"/>
          <w:lang w:val="en-US"/>
        </w:rPr>
        <w:t xml:space="preserve"> Gonzalez, C.; Hansen, C.; Tyers, M.; Amon, A. The Rate of Cell Growth Is Governed by Cell Cycle Stage. </w:t>
      </w:r>
      <w:r>
        <w:rPr>
          <w:rFonts w:ascii="Arial" w:hAnsi="Arial" w:cs="Arial"/>
          <w:i/>
          <w:iCs/>
          <w:noProof/>
          <w:szCs w:val="24"/>
          <w:lang w:val="en-US"/>
        </w:rPr>
        <w:t>Genes Dev.</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23</w:t>
      </w:r>
      <w:r>
        <w:rPr>
          <w:rFonts w:ascii="Arial" w:hAnsi="Arial" w:cs="Arial"/>
          <w:noProof/>
          <w:szCs w:val="24"/>
          <w:lang w:val="en-US"/>
        </w:rPr>
        <w:t xml:space="preserve"> (12), 1408–1422.</w:t>
      </w:r>
    </w:p>
    <w:p w14:paraId="4ABE771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(161) </w:t>
      </w:r>
      <w:r>
        <w:rPr>
          <w:rFonts w:ascii="Arial" w:hAnsi="Arial" w:cs="Arial"/>
          <w:noProof/>
          <w:szCs w:val="24"/>
          <w:lang w:val="en-US"/>
        </w:rPr>
        <w:tab/>
        <w:t xml:space="preserve">Son, S.; Tzur, A.; Weng, Y.; Jorgensen, P.; Kim, J.; Kirschner, M. W.; Manalis, S. R. Direct Observation of </w:t>
      </w:r>
      <w:r>
        <w:rPr>
          <w:rFonts w:ascii="Arial" w:hAnsi="Arial" w:cs="Arial"/>
          <w:noProof/>
          <w:szCs w:val="24"/>
          <w:lang w:val="en-US"/>
        </w:rPr>
        <w:t xml:space="preserve">Mammalian Cell Growth and Size Regulation. </w:t>
      </w:r>
      <w:r>
        <w:rPr>
          <w:rFonts w:ascii="Arial" w:hAnsi="Arial" w:cs="Arial"/>
          <w:i/>
          <w:iCs/>
          <w:noProof/>
          <w:szCs w:val="24"/>
          <w:lang w:val="en-US"/>
        </w:rPr>
        <w:t>Nat. Methods</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(9), 910–912.</w:t>
      </w:r>
    </w:p>
    <w:p w14:paraId="07EB86C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(162) </w:t>
      </w:r>
      <w:r>
        <w:rPr>
          <w:rFonts w:ascii="Arial" w:hAnsi="Arial" w:cs="Arial"/>
          <w:noProof/>
          <w:szCs w:val="24"/>
          <w:lang w:val="en-US"/>
        </w:rPr>
        <w:tab/>
        <w:t xml:space="preserve">Miettinen, T. P.; Caldez, M. J.; Kaldis, P.; Björklund, M. Cell Size Control – a Mechanism for Maintaining Fitness and Function. </w:t>
      </w:r>
      <w:r>
        <w:rPr>
          <w:rFonts w:ascii="Arial" w:hAnsi="Arial" w:cs="Arial"/>
          <w:i/>
          <w:iCs/>
          <w:noProof/>
          <w:szCs w:val="24"/>
          <w:lang w:val="en-US"/>
        </w:rPr>
        <w:t>BioEssays</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39</w:t>
      </w:r>
      <w:r>
        <w:rPr>
          <w:rFonts w:ascii="Arial" w:hAnsi="Arial" w:cs="Arial"/>
          <w:noProof/>
          <w:szCs w:val="24"/>
          <w:lang w:val="en-US"/>
        </w:rPr>
        <w:t xml:space="preserve"> (9), 1700058.</w:t>
      </w:r>
    </w:p>
    <w:p w14:paraId="719D1B9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(163) </w:t>
      </w:r>
      <w:r>
        <w:rPr>
          <w:rFonts w:ascii="Arial" w:hAnsi="Arial" w:cs="Arial"/>
          <w:noProof/>
          <w:szCs w:val="24"/>
          <w:lang w:val="en-US"/>
        </w:rPr>
        <w:tab/>
        <w:t>Ch</w:t>
      </w:r>
      <w:r>
        <w:rPr>
          <w:rFonts w:ascii="Arial" w:hAnsi="Arial" w:cs="Arial"/>
          <w:noProof/>
          <w:szCs w:val="24"/>
          <w:lang w:val="en-US"/>
        </w:rPr>
        <w:t xml:space="preserve">andler-Brown, D.; Schmoller, K. M.; Winetraub, Y.; Skotheim, J. M. The Adder Phenomenon Emerges from Independent Control of Pre- and Post-Start Phases of the Budding Yeast Cell Cycle.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27</w:t>
      </w:r>
      <w:r>
        <w:rPr>
          <w:rFonts w:ascii="Arial" w:hAnsi="Arial" w:cs="Arial"/>
          <w:noProof/>
          <w:szCs w:val="24"/>
          <w:lang w:val="en-US"/>
        </w:rPr>
        <w:t xml:space="preserve"> (18), 2774-2783.e3.</w:t>
      </w:r>
    </w:p>
    <w:p w14:paraId="333921C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(164) </w:t>
      </w:r>
      <w:r>
        <w:rPr>
          <w:rFonts w:ascii="Arial" w:hAnsi="Arial" w:cs="Arial"/>
          <w:noProof/>
          <w:szCs w:val="24"/>
          <w:lang w:val="en-US"/>
        </w:rPr>
        <w:tab/>
        <w:t>Cadart, C.; Venkova, L.;</w:t>
      </w:r>
      <w:r>
        <w:rPr>
          <w:rFonts w:ascii="Arial" w:hAnsi="Arial" w:cs="Arial"/>
          <w:noProof/>
          <w:szCs w:val="24"/>
          <w:lang w:val="en-US"/>
        </w:rPr>
        <w:t xml:space="preserve"> Piel, M.; Cosentino Lagomarsino, M. Volume Growth in Animal Cells Is Cell Cycle Dependent and Shows Additive Fluctuations.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w:t>
      </w:r>
    </w:p>
    <w:p w14:paraId="31D20E7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(165) </w:t>
      </w:r>
      <w:r>
        <w:rPr>
          <w:rFonts w:ascii="Arial" w:hAnsi="Arial" w:cs="Arial"/>
          <w:noProof/>
          <w:szCs w:val="24"/>
          <w:lang w:val="en-US"/>
        </w:rPr>
        <w:tab/>
      </w:r>
      <w:r>
        <w:rPr>
          <w:rFonts w:ascii="Arial" w:hAnsi="Arial" w:cs="Arial"/>
          <w:noProof/>
          <w:szCs w:val="24"/>
          <w:lang w:val="en-US"/>
        </w:rPr>
        <w:t xml:space="preserve">Vidal, P. J.; Pérez, A. P.; Aldea, M. Transcriptomic Balance and Optimal Growth Are Determined by Cell Size.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2022.11.08.515578.</w:t>
      </w:r>
    </w:p>
    <w:p w14:paraId="6280A02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(166) </w:t>
      </w:r>
      <w:r>
        <w:rPr>
          <w:rFonts w:ascii="Arial" w:hAnsi="Arial" w:cs="Arial"/>
          <w:noProof/>
          <w:szCs w:val="24"/>
          <w:lang w:val="en-US"/>
        </w:rPr>
        <w:tab/>
        <w:t>Basan, M.; Zhu, M.; Dai, X.; Warren, M.; Sévin, D.; Wang, Y.-P.; Hwa, T. Inflating Bacterial Cells by Incre</w:t>
      </w:r>
      <w:r>
        <w:rPr>
          <w:rFonts w:ascii="Arial" w:hAnsi="Arial" w:cs="Arial"/>
          <w:noProof/>
          <w:szCs w:val="24"/>
          <w:lang w:val="en-US"/>
        </w:rPr>
        <w:t xml:space="preserve">ased Protein Synthesis. </w:t>
      </w:r>
      <w:r>
        <w:rPr>
          <w:rFonts w:ascii="Arial" w:hAnsi="Arial" w:cs="Arial"/>
          <w:i/>
          <w:iCs/>
          <w:noProof/>
          <w:szCs w:val="24"/>
          <w:lang w:val="en-US"/>
        </w:rPr>
        <w:t>Mol. Syst. Biol.</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 xml:space="preserve"> (10), 836.</w:t>
      </w:r>
    </w:p>
    <w:p w14:paraId="7B8DAEB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(167) </w:t>
      </w:r>
      <w:r>
        <w:rPr>
          <w:rFonts w:ascii="Arial" w:hAnsi="Arial" w:cs="Arial"/>
          <w:noProof/>
          <w:szCs w:val="24"/>
          <w:lang w:val="en-US"/>
        </w:rPr>
        <w:tab/>
        <w:t xml:space="preserve">Bertaux, F.; von Kügelgen, J.; Marguerat, S.; Shahrezaei, V. A Bacterial Size Law Revealed by a Coarse-Grained Model of Cell Physiology. </w:t>
      </w:r>
      <w:r>
        <w:rPr>
          <w:rFonts w:ascii="Arial" w:hAnsi="Arial" w:cs="Arial"/>
          <w:i/>
          <w:iCs/>
          <w:noProof/>
          <w:szCs w:val="24"/>
          <w:lang w:val="en-US"/>
        </w:rPr>
        <w:t>PLoS Comput.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16</w:t>
      </w:r>
      <w:r>
        <w:rPr>
          <w:rFonts w:ascii="Arial" w:hAnsi="Arial" w:cs="Arial"/>
          <w:noProof/>
          <w:szCs w:val="24"/>
          <w:lang w:val="en-US"/>
        </w:rPr>
        <w:t xml:space="preserve"> (9), 1–21.</w:t>
      </w:r>
    </w:p>
    <w:p w14:paraId="0575AB6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(168) </w:t>
      </w:r>
      <w:r>
        <w:rPr>
          <w:rFonts w:ascii="Arial" w:hAnsi="Arial" w:cs="Arial"/>
          <w:noProof/>
          <w:szCs w:val="24"/>
          <w:lang w:val="en-US"/>
        </w:rPr>
        <w:tab/>
        <w:t>Kafri</w:t>
      </w:r>
      <w:r>
        <w:rPr>
          <w:rFonts w:ascii="Arial" w:hAnsi="Arial" w:cs="Arial"/>
          <w:noProof/>
          <w:szCs w:val="24"/>
          <w:lang w:val="en-US"/>
        </w:rPr>
        <w:t xml:space="preserve">, M.; Metzl-Raz, E.; Jona, G.; Barkai, N. The Cost of Protein Production. </w:t>
      </w:r>
      <w:r>
        <w:rPr>
          <w:rFonts w:ascii="Arial" w:hAnsi="Arial" w:cs="Arial"/>
          <w:i/>
          <w:iCs/>
          <w:noProof/>
          <w:szCs w:val="24"/>
          <w:lang w:val="en-US"/>
        </w:rPr>
        <w:t>Cell Rep.</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14</w:t>
      </w:r>
      <w:r>
        <w:rPr>
          <w:rFonts w:ascii="Arial" w:hAnsi="Arial" w:cs="Arial"/>
          <w:noProof/>
          <w:szCs w:val="24"/>
          <w:lang w:val="en-US"/>
        </w:rPr>
        <w:t xml:space="preserve"> (1), 22–31.</w:t>
      </w:r>
    </w:p>
    <w:p w14:paraId="0E3D7C5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(169) </w:t>
      </w:r>
      <w:r>
        <w:rPr>
          <w:rFonts w:ascii="Arial" w:hAnsi="Arial" w:cs="Arial"/>
          <w:noProof/>
          <w:szCs w:val="24"/>
          <w:lang w:val="en-US"/>
        </w:rPr>
        <w:tab/>
        <w:t>Serbanescu, D.; Ojkic, N.; Banerjee, S. Nutrient-Dependent Trade-Offs between Ribosomes and Division Protein Synthesis Control Bacterial Cell Si</w:t>
      </w:r>
      <w:r>
        <w:rPr>
          <w:rFonts w:ascii="Arial" w:hAnsi="Arial" w:cs="Arial"/>
          <w:noProof/>
          <w:szCs w:val="24"/>
          <w:lang w:val="en-US"/>
        </w:rPr>
        <w:t xml:space="preserve">ze and Growth. </w:t>
      </w:r>
      <w:r>
        <w:rPr>
          <w:rFonts w:ascii="Arial" w:hAnsi="Arial" w:cs="Arial"/>
          <w:i/>
          <w:iCs/>
          <w:noProof/>
          <w:szCs w:val="24"/>
          <w:lang w:val="en-US"/>
        </w:rPr>
        <w:t>Cell Rep.</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32</w:t>
      </w:r>
      <w:r>
        <w:rPr>
          <w:rFonts w:ascii="Arial" w:hAnsi="Arial" w:cs="Arial"/>
          <w:noProof/>
          <w:szCs w:val="24"/>
          <w:lang w:val="en-US"/>
        </w:rPr>
        <w:t xml:space="preserve"> (12), 108183.</w:t>
      </w:r>
    </w:p>
    <w:p w14:paraId="67D7DAF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(170) </w:t>
      </w:r>
      <w:r>
        <w:rPr>
          <w:rFonts w:ascii="Arial" w:hAnsi="Arial" w:cs="Arial"/>
          <w:noProof/>
          <w:szCs w:val="24"/>
          <w:lang w:val="en-US"/>
        </w:rPr>
        <w:tab/>
        <w:t xml:space="preserve">Rich, S. K.; Terman, J. R. Axon Formation, Extension, and Navigation: Only a Neuroscience Phenomenon? </w:t>
      </w:r>
      <w:r>
        <w:rPr>
          <w:rFonts w:ascii="Arial" w:hAnsi="Arial" w:cs="Arial"/>
          <w:i/>
          <w:iCs/>
          <w:noProof/>
          <w:szCs w:val="24"/>
          <w:lang w:val="en-US"/>
        </w:rPr>
        <w:t>Curr. Opin. Neurobiol.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53</w:t>
      </w:r>
      <w:r>
        <w:rPr>
          <w:rFonts w:ascii="Arial" w:hAnsi="Arial" w:cs="Arial"/>
          <w:noProof/>
          <w:szCs w:val="24"/>
          <w:lang w:val="en-US"/>
        </w:rPr>
        <w:t>, 174–182.</w:t>
      </w:r>
    </w:p>
    <w:p w14:paraId="5EF8FD6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(171) </w:t>
      </w:r>
      <w:r>
        <w:rPr>
          <w:rFonts w:ascii="Arial" w:hAnsi="Arial" w:cs="Arial"/>
          <w:noProof/>
          <w:szCs w:val="24"/>
          <w:lang w:val="en-US"/>
        </w:rPr>
        <w:tab/>
        <w:t>Bassil, R.; Casper, R. F.; Meriano, J.; Smith, R.;</w:t>
      </w:r>
      <w:r>
        <w:rPr>
          <w:rFonts w:ascii="Arial" w:hAnsi="Arial" w:cs="Arial"/>
          <w:noProof/>
          <w:szCs w:val="24"/>
          <w:lang w:val="en-US"/>
        </w:rPr>
        <w:t xml:space="preserve"> Haas, J.; Mehta, C.; Orvieto, R.; Zilberberg, E. Can Oocyte Diameter Predict Embryo Quality? </w:t>
      </w:r>
      <w:r>
        <w:rPr>
          <w:rFonts w:ascii="Arial" w:hAnsi="Arial" w:cs="Arial"/>
          <w:i/>
          <w:iCs/>
          <w:noProof/>
          <w:szCs w:val="24"/>
          <w:lang w:val="en-US"/>
        </w:rPr>
        <w:t>Reprod. Sci.</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28</w:t>
      </w:r>
      <w:r>
        <w:rPr>
          <w:rFonts w:ascii="Arial" w:hAnsi="Arial" w:cs="Arial"/>
          <w:noProof/>
          <w:szCs w:val="24"/>
          <w:lang w:val="en-US"/>
        </w:rPr>
        <w:t xml:space="preserve"> (3), 904–908.</w:t>
      </w:r>
    </w:p>
    <w:p w14:paraId="111DCB3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(172) </w:t>
      </w:r>
      <w:r>
        <w:rPr>
          <w:rFonts w:ascii="Arial" w:hAnsi="Arial" w:cs="Arial"/>
          <w:noProof/>
          <w:szCs w:val="24"/>
          <w:lang w:val="en-US"/>
        </w:rPr>
        <w:tab/>
        <w:t>Pors, S. E.; Nikiforov, D.; Cadenas, J.; Ghezelayagh, Z.; Wakimoto, Y.; Jara, L. A. Z.; Cheng, J.; Dueholm, M.; Macklon</w:t>
      </w:r>
      <w:r>
        <w:rPr>
          <w:rFonts w:ascii="Arial" w:hAnsi="Arial" w:cs="Arial"/>
          <w:noProof/>
          <w:szCs w:val="24"/>
          <w:lang w:val="en-US"/>
        </w:rPr>
        <w:t xml:space="preserve">, K. T.; Flachs, E. M.; et al. Oocyte Diameter Predicts the Maturation Rate of Human Immature Oocytes Collected Ex Vivo. </w:t>
      </w:r>
      <w:r>
        <w:rPr>
          <w:rFonts w:ascii="Arial" w:hAnsi="Arial" w:cs="Arial"/>
          <w:i/>
          <w:iCs/>
          <w:noProof/>
          <w:szCs w:val="24"/>
          <w:lang w:val="en-US"/>
        </w:rPr>
        <w:t>J. Assist. Reprod. Genet.</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39</w:t>
      </w:r>
      <w:r>
        <w:rPr>
          <w:rFonts w:ascii="Arial" w:hAnsi="Arial" w:cs="Arial"/>
          <w:noProof/>
          <w:szCs w:val="24"/>
          <w:lang w:val="en-US"/>
        </w:rPr>
        <w:t xml:space="preserve"> (10), 2209–2214.</w:t>
      </w:r>
    </w:p>
    <w:p w14:paraId="3F0A717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(173) </w:t>
      </w:r>
      <w:r>
        <w:rPr>
          <w:rFonts w:ascii="Arial" w:hAnsi="Arial" w:cs="Arial"/>
          <w:noProof/>
          <w:szCs w:val="24"/>
          <w:lang w:val="en-US"/>
        </w:rPr>
        <w:tab/>
        <w:t xml:space="preserve">Potter, C. J.; Xu, T. Mechanisms of Size Control. </w:t>
      </w:r>
      <w:r>
        <w:rPr>
          <w:rFonts w:ascii="Arial" w:hAnsi="Arial" w:cs="Arial"/>
          <w:i/>
          <w:iCs/>
          <w:noProof/>
          <w:szCs w:val="24"/>
          <w:lang w:val="en-US"/>
        </w:rPr>
        <w:t>Curr. Opin. Genet. Dev.</w:t>
      </w:r>
      <w:r>
        <w:rPr>
          <w:rFonts w:ascii="Arial" w:hAnsi="Arial" w:cs="Arial"/>
          <w:noProof/>
          <w:szCs w:val="24"/>
          <w:lang w:val="en-US"/>
        </w:rPr>
        <w:t xml:space="preserve"> </w:t>
      </w:r>
      <w:r>
        <w:rPr>
          <w:rFonts w:ascii="Arial" w:hAnsi="Arial" w:cs="Arial"/>
          <w:b/>
          <w:bCs/>
          <w:noProof/>
          <w:szCs w:val="24"/>
          <w:lang w:val="en-US"/>
        </w:rPr>
        <w:t>20</w:t>
      </w:r>
      <w:r>
        <w:rPr>
          <w:rFonts w:ascii="Arial" w:hAnsi="Arial" w:cs="Arial"/>
          <w:b/>
          <w:bCs/>
          <w:noProof/>
          <w:szCs w:val="24"/>
          <w:lang w:val="en-US"/>
        </w:rPr>
        <w:t>01</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 xml:space="preserve"> (3), 279–286.</w:t>
      </w:r>
    </w:p>
    <w:p w14:paraId="0EAFFD0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(174) </w:t>
      </w:r>
      <w:r>
        <w:rPr>
          <w:rFonts w:ascii="Arial" w:hAnsi="Arial" w:cs="Arial"/>
          <w:noProof/>
          <w:szCs w:val="24"/>
          <w:lang w:val="en-US"/>
        </w:rPr>
        <w:tab/>
        <w:t xml:space="preserve">Neufeld, T. P.; De La Cruz, A. F. A.; Johnston, L. A.; Edgar, B. A. Coordination of </w:t>
      </w:r>
      <w:r>
        <w:rPr>
          <w:rFonts w:ascii="Arial" w:hAnsi="Arial" w:cs="Arial"/>
          <w:noProof/>
          <w:szCs w:val="24"/>
          <w:lang w:val="en-US"/>
        </w:rPr>
        <w:lastRenderedPageBreak/>
        <w:t xml:space="preserve">Growth and Cell Division in the Drosophila Wing.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93</w:t>
      </w:r>
      <w:r>
        <w:rPr>
          <w:rFonts w:ascii="Arial" w:hAnsi="Arial" w:cs="Arial"/>
          <w:noProof/>
          <w:szCs w:val="24"/>
          <w:lang w:val="en-US"/>
        </w:rPr>
        <w:t xml:space="preserve"> (7), 1183–1193.</w:t>
      </w:r>
    </w:p>
    <w:p w14:paraId="108B001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(175) </w:t>
      </w:r>
      <w:r>
        <w:rPr>
          <w:rFonts w:ascii="Arial" w:hAnsi="Arial" w:cs="Arial"/>
          <w:noProof/>
          <w:szCs w:val="24"/>
          <w:lang w:val="en-US"/>
        </w:rPr>
        <w:tab/>
      </w:r>
      <w:r>
        <w:rPr>
          <w:rFonts w:ascii="Arial" w:hAnsi="Arial" w:cs="Arial"/>
          <w:noProof/>
          <w:szCs w:val="24"/>
          <w:lang w:val="en-US"/>
        </w:rPr>
        <w:t xml:space="preserve">Diril, M. K.; Ratnacaram, C. K.; Padmakumar, V. C.; Du, T.; Wasser, M.; Coppola, V.; Tessarollo, L.; Kaldis, P. Cyclin-Dependent Kinase 1 (Cdk1) Is Essential for Cell Division and Suppression of DNA Re-Replication but Not for Liver Regeneration. </w:t>
      </w:r>
      <w:r>
        <w:rPr>
          <w:rFonts w:ascii="Arial" w:hAnsi="Arial" w:cs="Arial"/>
          <w:i/>
          <w:iCs/>
          <w:noProof/>
          <w:szCs w:val="24"/>
          <w:lang w:val="en-US"/>
        </w:rPr>
        <w:t>Proc. Natl</w:t>
      </w:r>
      <w:r>
        <w:rPr>
          <w:rFonts w:ascii="Arial" w:hAnsi="Arial" w:cs="Arial"/>
          <w:i/>
          <w:iCs/>
          <w:noProof/>
          <w:szCs w:val="24"/>
          <w:lang w:val="en-US"/>
        </w:rPr>
        <w:t>. Acad. Sci. U. S. A.</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109</w:t>
      </w:r>
      <w:r>
        <w:rPr>
          <w:rFonts w:ascii="Arial" w:hAnsi="Arial" w:cs="Arial"/>
          <w:noProof/>
          <w:szCs w:val="24"/>
          <w:lang w:val="en-US"/>
        </w:rPr>
        <w:t xml:space="preserve"> (10), 3826–3831.</w:t>
      </w:r>
    </w:p>
    <w:p w14:paraId="3F8F203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(176) </w:t>
      </w:r>
      <w:r>
        <w:rPr>
          <w:rFonts w:ascii="Arial" w:hAnsi="Arial" w:cs="Arial"/>
          <w:noProof/>
          <w:szCs w:val="24"/>
          <w:lang w:val="en-US"/>
        </w:rPr>
        <w:tab/>
        <w:t xml:space="preserve">Hatton, I. A.; Galbraith, E. D.; Merleau, N. S. C.; Miettinen, T. P.; Smith, B. M. D.; Shander, J. A. The Human Cell Count and Size Distribution.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120</w:t>
      </w:r>
      <w:r>
        <w:rPr>
          <w:rFonts w:ascii="Arial" w:hAnsi="Arial" w:cs="Arial"/>
          <w:noProof/>
          <w:szCs w:val="24"/>
          <w:lang w:val="en-US"/>
        </w:rPr>
        <w:t xml:space="preserve"> (39), e23030</w:t>
      </w:r>
      <w:r>
        <w:rPr>
          <w:rFonts w:ascii="Arial" w:hAnsi="Arial" w:cs="Arial"/>
          <w:noProof/>
          <w:szCs w:val="24"/>
          <w:lang w:val="en-US"/>
        </w:rPr>
        <w:t>77120.</w:t>
      </w:r>
    </w:p>
    <w:p w14:paraId="70D397B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lang w:val="en-US"/>
        </w:rPr>
        <w:t xml:space="preserve">(177) </w:t>
      </w:r>
      <w:r>
        <w:rPr>
          <w:rFonts w:ascii="Arial" w:hAnsi="Arial" w:cs="Arial"/>
          <w:noProof/>
          <w:szCs w:val="24"/>
          <w:lang w:val="en-US"/>
        </w:rPr>
        <w:tab/>
        <w:t xml:space="preserve">Firman, R. C.; Simmons, L. W. Sperm Midpiece Length Predicts Sperm Swimming Velocity in House Mice. </w:t>
      </w:r>
      <w:r>
        <w:rPr>
          <w:rFonts w:ascii="Arial" w:hAnsi="Arial" w:cs="Arial"/>
          <w:i/>
          <w:iCs/>
          <w:noProof/>
          <w:szCs w:val="24"/>
        </w:rPr>
        <w:t>Biol. Lett.</w:t>
      </w:r>
      <w:r>
        <w:rPr>
          <w:rFonts w:ascii="Arial" w:hAnsi="Arial" w:cs="Arial"/>
          <w:noProof/>
          <w:szCs w:val="24"/>
        </w:rPr>
        <w:t xml:space="preserve"> </w:t>
      </w:r>
      <w:r>
        <w:rPr>
          <w:rFonts w:ascii="Arial" w:hAnsi="Arial" w:cs="Arial"/>
          <w:b/>
          <w:bCs/>
          <w:noProof/>
          <w:szCs w:val="24"/>
        </w:rPr>
        <w:t>2010</w:t>
      </w:r>
      <w:r>
        <w:rPr>
          <w:rFonts w:ascii="Arial" w:hAnsi="Arial" w:cs="Arial"/>
          <w:noProof/>
          <w:szCs w:val="24"/>
        </w:rPr>
        <w:t xml:space="preserve">, </w:t>
      </w:r>
      <w:r>
        <w:rPr>
          <w:rFonts w:ascii="Arial" w:hAnsi="Arial" w:cs="Arial"/>
          <w:i/>
          <w:iCs/>
          <w:noProof/>
          <w:szCs w:val="24"/>
        </w:rPr>
        <w:t>6</w:t>
      </w:r>
      <w:r>
        <w:rPr>
          <w:rFonts w:ascii="Arial" w:hAnsi="Arial" w:cs="Arial"/>
          <w:noProof/>
          <w:szCs w:val="24"/>
        </w:rPr>
        <w:t xml:space="preserve"> (4), 513–516.</w:t>
      </w:r>
    </w:p>
    <w:p w14:paraId="00717C5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rPr>
        <w:t xml:space="preserve">(178) </w:t>
      </w:r>
      <w:r>
        <w:rPr>
          <w:rFonts w:ascii="Arial" w:hAnsi="Arial" w:cs="Arial"/>
          <w:noProof/>
          <w:szCs w:val="24"/>
        </w:rPr>
        <w:tab/>
        <w:t>Boehlke, C.; Kotsis, F.; Patel, V.; Braeg, S.; Voelker, H.; Bredt, S.; Beyer, T.; Janusch, H.; Hamann</w:t>
      </w:r>
      <w:r>
        <w:rPr>
          <w:rFonts w:ascii="Arial" w:hAnsi="Arial" w:cs="Arial"/>
          <w:noProof/>
          <w:szCs w:val="24"/>
        </w:rPr>
        <w:t xml:space="preserve">, C.; Gödel, M.; et al. </w:t>
      </w:r>
      <w:r>
        <w:rPr>
          <w:rFonts w:ascii="Arial" w:hAnsi="Arial" w:cs="Arial"/>
          <w:noProof/>
          <w:szCs w:val="24"/>
          <w:lang w:val="en-US"/>
        </w:rPr>
        <w:t xml:space="preserve">Primary Cilia Regulate MTORC1 Activity and Cell Size through Lkb1. </w:t>
      </w:r>
      <w:r>
        <w:rPr>
          <w:rFonts w:ascii="Arial" w:hAnsi="Arial" w:cs="Arial"/>
          <w:i/>
          <w:iCs/>
          <w:noProof/>
          <w:szCs w:val="24"/>
          <w:lang w:val="en-US"/>
        </w:rPr>
        <w:t>Nat. Cell Biol. 2010 1211</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(11), 1115–1122.</w:t>
      </w:r>
    </w:p>
    <w:p w14:paraId="1CBAE1B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(179) </w:t>
      </w:r>
      <w:r>
        <w:rPr>
          <w:rFonts w:ascii="Arial" w:hAnsi="Arial" w:cs="Arial"/>
          <w:noProof/>
          <w:szCs w:val="24"/>
          <w:lang w:val="en-US"/>
        </w:rPr>
        <w:tab/>
        <w:t xml:space="preserve">Lloyd, A. C. The Regulation of Cell Size.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154</w:t>
      </w:r>
      <w:r>
        <w:rPr>
          <w:rFonts w:ascii="Arial" w:hAnsi="Arial" w:cs="Arial"/>
          <w:noProof/>
          <w:szCs w:val="24"/>
          <w:lang w:val="en-US"/>
        </w:rPr>
        <w:t xml:space="preserve"> (6), 1194–1205.</w:t>
      </w:r>
    </w:p>
    <w:p w14:paraId="48718BA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(180) </w:t>
      </w:r>
      <w:r>
        <w:rPr>
          <w:rFonts w:ascii="Arial" w:hAnsi="Arial" w:cs="Arial"/>
          <w:noProof/>
          <w:szCs w:val="24"/>
          <w:lang w:val="en-US"/>
        </w:rPr>
        <w:tab/>
      </w:r>
      <w:r>
        <w:rPr>
          <w:rFonts w:ascii="Arial" w:hAnsi="Arial" w:cs="Arial"/>
          <w:noProof/>
          <w:szCs w:val="24"/>
          <w:lang w:val="en-US"/>
        </w:rPr>
        <w:t xml:space="preserve">Wessely, O.; Cerqueira, D. M.; Tran, U.; Kumar, V.; Hassey, J. M.; Romaker, D. The Bigger the Better: Determining Nephron Size in Kidney. </w:t>
      </w:r>
      <w:r>
        <w:rPr>
          <w:rFonts w:ascii="Arial" w:hAnsi="Arial" w:cs="Arial"/>
          <w:i/>
          <w:iCs/>
          <w:noProof/>
          <w:szCs w:val="24"/>
          <w:lang w:val="en-US"/>
        </w:rPr>
        <w:t>Pediatr. Nephrol.</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29</w:t>
      </w:r>
      <w:r>
        <w:rPr>
          <w:rFonts w:ascii="Arial" w:hAnsi="Arial" w:cs="Arial"/>
          <w:noProof/>
          <w:szCs w:val="24"/>
          <w:lang w:val="en-US"/>
        </w:rPr>
        <w:t xml:space="preserve"> (4), 525–530.</w:t>
      </w:r>
    </w:p>
    <w:p w14:paraId="4707AC7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(181) </w:t>
      </w:r>
      <w:r>
        <w:rPr>
          <w:rFonts w:ascii="Arial" w:hAnsi="Arial" w:cs="Arial"/>
          <w:noProof/>
          <w:szCs w:val="24"/>
          <w:lang w:val="en-US"/>
        </w:rPr>
        <w:tab/>
        <w:t xml:space="preserve">Giordano, E.; Cirulli, V.; Bosco, D.; Rouiller, D.; Halban, P.; Meda, </w:t>
      </w:r>
      <w:r>
        <w:rPr>
          <w:rFonts w:ascii="Arial" w:hAnsi="Arial" w:cs="Arial"/>
          <w:noProof/>
          <w:szCs w:val="24"/>
          <w:lang w:val="en-US"/>
        </w:rPr>
        <w:t xml:space="preserve">P.; Giordano, V.; Cirulli, D.; Bosco, D.; Rouiller, P.; et al. B-Cell Size Influences Glucose-Stimulated Insulin Secretion. </w:t>
      </w:r>
      <w:r>
        <w:rPr>
          <w:rFonts w:ascii="Arial" w:hAnsi="Arial" w:cs="Arial"/>
          <w:i/>
          <w:iCs/>
          <w:noProof/>
          <w:szCs w:val="24"/>
          <w:lang w:val="en-US"/>
        </w:rPr>
        <w:t>https://doi.org/10.1152/ajpcell.1993.265.2.C358</w:t>
      </w:r>
      <w:r>
        <w:rPr>
          <w:rFonts w:ascii="Arial" w:hAnsi="Arial" w:cs="Arial"/>
          <w:noProof/>
          <w:szCs w:val="24"/>
          <w:lang w:val="en-US"/>
        </w:rPr>
        <w:t xml:space="preserve"> </w:t>
      </w:r>
      <w:r>
        <w:rPr>
          <w:rFonts w:ascii="Arial" w:hAnsi="Arial" w:cs="Arial"/>
          <w:b/>
          <w:bCs/>
          <w:noProof/>
          <w:szCs w:val="24"/>
          <w:lang w:val="en-US"/>
        </w:rPr>
        <w:t>1993</w:t>
      </w:r>
      <w:r>
        <w:rPr>
          <w:rFonts w:ascii="Arial" w:hAnsi="Arial" w:cs="Arial"/>
          <w:noProof/>
          <w:szCs w:val="24"/>
          <w:lang w:val="en-US"/>
        </w:rPr>
        <w:t xml:space="preserve">, </w:t>
      </w:r>
      <w:r>
        <w:rPr>
          <w:rFonts w:ascii="Arial" w:hAnsi="Arial" w:cs="Arial"/>
          <w:i/>
          <w:iCs/>
          <w:noProof/>
          <w:szCs w:val="24"/>
          <w:lang w:val="en-US"/>
        </w:rPr>
        <w:t>265</w:t>
      </w:r>
      <w:r>
        <w:rPr>
          <w:rFonts w:ascii="Arial" w:hAnsi="Arial" w:cs="Arial"/>
          <w:noProof/>
          <w:szCs w:val="24"/>
          <w:lang w:val="en-US"/>
        </w:rPr>
        <w:t xml:space="preserve"> (2 34-2).</w:t>
      </w:r>
    </w:p>
    <w:p w14:paraId="0C715B0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(182) </w:t>
      </w:r>
      <w:r>
        <w:rPr>
          <w:rFonts w:ascii="Arial" w:hAnsi="Arial" w:cs="Arial"/>
          <w:noProof/>
          <w:szCs w:val="24"/>
          <w:lang w:val="en-US"/>
        </w:rPr>
        <w:tab/>
      </w:r>
      <w:r>
        <w:rPr>
          <w:rFonts w:ascii="Arial" w:hAnsi="Arial" w:cs="Arial"/>
          <w:noProof/>
          <w:szCs w:val="24"/>
          <w:lang w:val="en-US"/>
        </w:rPr>
        <w:t xml:space="preserve">Zhang, S.; Readinger, J. A.; DuBois, W.; Janka-Junttila, M.; Robinson, R.; Pruitt, M.; Bliskovsky, V.; Wu, J. Z.; Sakakibara, K.; Patel, J.; et al. Constitutive Reductions in MTOR Alter Cell Size, Immune Cell Development, and Antibody Production. </w:t>
      </w:r>
      <w:r>
        <w:rPr>
          <w:rFonts w:ascii="Arial" w:hAnsi="Arial" w:cs="Arial"/>
          <w:i/>
          <w:iCs/>
          <w:noProof/>
          <w:szCs w:val="24"/>
          <w:lang w:val="en-US"/>
        </w:rPr>
        <w:t>Blood</w:t>
      </w:r>
      <w:r>
        <w:rPr>
          <w:rFonts w:ascii="Arial" w:hAnsi="Arial" w:cs="Arial"/>
          <w:noProof/>
          <w:szCs w:val="24"/>
          <w:lang w:val="en-US"/>
        </w:rPr>
        <w:t xml:space="preserve"> </w:t>
      </w:r>
      <w:r>
        <w:rPr>
          <w:rFonts w:ascii="Arial" w:hAnsi="Arial" w:cs="Arial"/>
          <w:b/>
          <w:bCs/>
          <w:noProof/>
          <w:szCs w:val="24"/>
          <w:lang w:val="en-US"/>
        </w:rPr>
        <w:t>201</w:t>
      </w:r>
      <w:r>
        <w:rPr>
          <w:rFonts w:ascii="Arial" w:hAnsi="Arial" w:cs="Arial"/>
          <w:b/>
          <w:bCs/>
          <w:noProof/>
          <w:szCs w:val="24"/>
          <w:lang w:val="en-US"/>
        </w:rPr>
        <w:t>1</w:t>
      </w:r>
      <w:r>
        <w:rPr>
          <w:rFonts w:ascii="Arial" w:hAnsi="Arial" w:cs="Arial"/>
          <w:noProof/>
          <w:szCs w:val="24"/>
          <w:lang w:val="en-US"/>
        </w:rPr>
        <w:t xml:space="preserve">, </w:t>
      </w:r>
      <w:r>
        <w:rPr>
          <w:rFonts w:ascii="Arial" w:hAnsi="Arial" w:cs="Arial"/>
          <w:i/>
          <w:iCs/>
          <w:noProof/>
          <w:szCs w:val="24"/>
          <w:lang w:val="en-US"/>
        </w:rPr>
        <w:t>117</w:t>
      </w:r>
      <w:r>
        <w:rPr>
          <w:rFonts w:ascii="Arial" w:hAnsi="Arial" w:cs="Arial"/>
          <w:noProof/>
          <w:szCs w:val="24"/>
          <w:lang w:val="en-US"/>
        </w:rPr>
        <w:t xml:space="preserve"> (4), 1228–1238.</w:t>
      </w:r>
    </w:p>
    <w:p w14:paraId="73BEF68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(183) </w:t>
      </w:r>
      <w:r>
        <w:rPr>
          <w:rFonts w:ascii="Arial" w:hAnsi="Arial" w:cs="Arial"/>
          <w:noProof/>
          <w:szCs w:val="24"/>
          <w:lang w:val="en-US"/>
        </w:rPr>
        <w:tab/>
        <w:t xml:space="preserve">Pan, X.; Dalm, C.; Wijffels, R. H.; Martens, D. E. Metabolic Characterization of a CHO Cell Size Increase Phase in Fed-Batch Cultures. </w:t>
      </w:r>
      <w:r>
        <w:rPr>
          <w:rFonts w:ascii="Arial" w:hAnsi="Arial" w:cs="Arial"/>
          <w:i/>
          <w:iCs/>
          <w:noProof/>
          <w:szCs w:val="24"/>
          <w:lang w:val="en-US"/>
        </w:rPr>
        <w:t>Appl. Microbiol. Biotechnol.</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101</w:t>
      </w:r>
      <w:r>
        <w:rPr>
          <w:rFonts w:ascii="Arial" w:hAnsi="Arial" w:cs="Arial"/>
          <w:noProof/>
          <w:szCs w:val="24"/>
          <w:lang w:val="en-US"/>
        </w:rPr>
        <w:t xml:space="preserve"> (22), 8101–8113.</w:t>
      </w:r>
    </w:p>
    <w:p w14:paraId="0004C66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(184) </w:t>
      </w:r>
      <w:r>
        <w:rPr>
          <w:rFonts w:ascii="Arial" w:hAnsi="Arial" w:cs="Arial"/>
          <w:noProof/>
          <w:szCs w:val="24"/>
          <w:lang w:val="en-US"/>
        </w:rPr>
        <w:tab/>
        <w:t>Hursh, J. B. CONDUCTION VELO</w:t>
      </w:r>
      <w:r>
        <w:rPr>
          <w:rFonts w:ascii="Arial" w:hAnsi="Arial" w:cs="Arial"/>
          <w:noProof/>
          <w:szCs w:val="24"/>
          <w:lang w:val="en-US"/>
        </w:rPr>
        <w:t xml:space="preserve">CITY AND DIAMETER OF NERVE FIBERS. </w:t>
      </w:r>
      <w:r>
        <w:rPr>
          <w:rFonts w:ascii="Arial" w:hAnsi="Arial" w:cs="Arial"/>
          <w:i/>
          <w:iCs/>
          <w:noProof/>
          <w:szCs w:val="24"/>
          <w:lang w:val="en-US"/>
        </w:rPr>
        <w:t>Am. J. Physiol.</w:t>
      </w:r>
      <w:r>
        <w:rPr>
          <w:rFonts w:ascii="Arial" w:hAnsi="Arial" w:cs="Arial"/>
          <w:noProof/>
          <w:szCs w:val="24"/>
          <w:lang w:val="en-US"/>
        </w:rPr>
        <w:t xml:space="preserve"> </w:t>
      </w:r>
      <w:r>
        <w:rPr>
          <w:rFonts w:ascii="Arial" w:hAnsi="Arial" w:cs="Arial"/>
          <w:b/>
          <w:bCs/>
          <w:noProof/>
          <w:szCs w:val="24"/>
          <w:lang w:val="en-US"/>
        </w:rPr>
        <w:t>1939</w:t>
      </w:r>
      <w:r>
        <w:rPr>
          <w:rFonts w:ascii="Arial" w:hAnsi="Arial" w:cs="Arial"/>
          <w:noProof/>
          <w:szCs w:val="24"/>
          <w:lang w:val="en-US"/>
        </w:rPr>
        <w:t xml:space="preserve">, </w:t>
      </w:r>
      <w:r>
        <w:rPr>
          <w:rFonts w:ascii="Arial" w:hAnsi="Arial" w:cs="Arial"/>
          <w:i/>
          <w:iCs/>
          <w:noProof/>
          <w:szCs w:val="24"/>
          <w:lang w:val="en-US"/>
        </w:rPr>
        <w:t>127</w:t>
      </w:r>
      <w:r>
        <w:rPr>
          <w:rFonts w:ascii="Arial" w:hAnsi="Arial" w:cs="Arial"/>
          <w:noProof/>
          <w:szCs w:val="24"/>
          <w:lang w:val="en-US"/>
        </w:rPr>
        <w:t xml:space="preserve"> (1), 131–139.</w:t>
      </w:r>
    </w:p>
    <w:p w14:paraId="523D29B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(185) </w:t>
      </w:r>
      <w:r>
        <w:rPr>
          <w:rFonts w:ascii="Arial" w:hAnsi="Arial" w:cs="Arial"/>
          <w:noProof/>
          <w:szCs w:val="24"/>
          <w:lang w:val="en-US"/>
        </w:rPr>
        <w:tab/>
        <w:t xml:space="preserve">Suminaite, D.; Lyons, D. A.; Livesey, M. R. Myelinated Axon Physiology and Regulation of Neural Circuit Function. </w:t>
      </w:r>
      <w:r>
        <w:rPr>
          <w:rFonts w:ascii="Arial" w:hAnsi="Arial" w:cs="Arial"/>
          <w:i/>
          <w:iCs/>
          <w:noProof/>
          <w:szCs w:val="24"/>
          <w:lang w:val="en-US"/>
        </w:rPr>
        <w:t>Glia</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67</w:t>
      </w:r>
      <w:r>
        <w:rPr>
          <w:rFonts w:ascii="Arial" w:hAnsi="Arial" w:cs="Arial"/>
          <w:noProof/>
          <w:szCs w:val="24"/>
          <w:lang w:val="en-US"/>
        </w:rPr>
        <w:t xml:space="preserve"> (11), 2050–2062.</w:t>
      </w:r>
    </w:p>
    <w:p w14:paraId="0F768E2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(186) </w:t>
      </w:r>
      <w:r>
        <w:rPr>
          <w:rFonts w:ascii="Arial" w:hAnsi="Arial" w:cs="Arial"/>
          <w:noProof/>
          <w:szCs w:val="24"/>
          <w:lang w:val="en-US"/>
        </w:rPr>
        <w:tab/>
        <w:t>Krivickas, L. S.; Dore</w:t>
      </w:r>
      <w:r>
        <w:rPr>
          <w:rFonts w:ascii="Arial" w:hAnsi="Arial" w:cs="Arial"/>
          <w:noProof/>
          <w:szCs w:val="24"/>
          <w:lang w:val="en-US"/>
        </w:rPr>
        <w:t xml:space="preserve">r, D. J.; Ochala, J.; Frontera, W. R. Relationship between Force and Size in Human Single Muscle Fibres. </w:t>
      </w:r>
      <w:r>
        <w:rPr>
          <w:rFonts w:ascii="Arial" w:hAnsi="Arial" w:cs="Arial"/>
          <w:i/>
          <w:iCs/>
          <w:noProof/>
          <w:szCs w:val="24"/>
          <w:lang w:val="en-US"/>
        </w:rPr>
        <w:t>Exp. Physiol.</w:t>
      </w:r>
      <w:r>
        <w:rPr>
          <w:rFonts w:ascii="Arial" w:hAnsi="Arial" w:cs="Arial"/>
          <w:noProof/>
          <w:szCs w:val="24"/>
          <w:lang w:val="en-US"/>
        </w:rPr>
        <w:t xml:space="preserve"> </w:t>
      </w:r>
      <w:r>
        <w:rPr>
          <w:rFonts w:ascii="Arial" w:hAnsi="Arial" w:cs="Arial"/>
          <w:b/>
          <w:bCs/>
          <w:noProof/>
          <w:szCs w:val="24"/>
          <w:lang w:val="en-US"/>
        </w:rPr>
        <w:t>2011</w:t>
      </w:r>
      <w:r>
        <w:rPr>
          <w:rFonts w:ascii="Arial" w:hAnsi="Arial" w:cs="Arial"/>
          <w:noProof/>
          <w:szCs w:val="24"/>
          <w:lang w:val="en-US"/>
        </w:rPr>
        <w:t xml:space="preserve">, </w:t>
      </w:r>
      <w:r>
        <w:rPr>
          <w:rFonts w:ascii="Arial" w:hAnsi="Arial" w:cs="Arial"/>
          <w:i/>
          <w:iCs/>
          <w:noProof/>
          <w:szCs w:val="24"/>
          <w:lang w:val="en-US"/>
        </w:rPr>
        <w:t>96</w:t>
      </w:r>
      <w:r>
        <w:rPr>
          <w:rFonts w:ascii="Arial" w:hAnsi="Arial" w:cs="Arial"/>
          <w:noProof/>
          <w:szCs w:val="24"/>
          <w:lang w:val="en-US"/>
        </w:rPr>
        <w:t xml:space="preserve"> (5), 539–547.</w:t>
      </w:r>
    </w:p>
    <w:p w14:paraId="52383DB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(187) </w:t>
      </w:r>
      <w:r>
        <w:rPr>
          <w:rFonts w:ascii="Arial" w:hAnsi="Arial" w:cs="Arial"/>
          <w:noProof/>
          <w:szCs w:val="24"/>
          <w:lang w:val="en-US"/>
        </w:rPr>
        <w:tab/>
        <w:t xml:space="preserve">Young, H. E.; Black, A. C. Adult Stem Cells. </w:t>
      </w:r>
      <w:r>
        <w:rPr>
          <w:rFonts w:ascii="Arial" w:hAnsi="Arial" w:cs="Arial"/>
          <w:i/>
          <w:iCs/>
          <w:noProof/>
          <w:szCs w:val="24"/>
          <w:lang w:val="en-US"/>
        </w:rPr>
        <w:t>Anat. Rec. Part A Discov. Mol. Cell. Evol. Biol.</w:t>
      </w:r>
      <w:r>
        <w:rPr>
          <w:rFonts w:ascii="Arial" w:hAnsi="Arial" w:cs="Arial"/>
          <w:noProof/>
          <w:szCs w:val="24"/>
          <w:lang w:val="en-US"/>
        </w:rPr>
        <w:t xml:space="preserve"> </w:t>
      </w:r>
      <w:r>
        <w:rPr>
          <w:rFonts w:ascii="Arial" w:hAnsi="Arial" w:cs="Arial"/>
          <w:b/>
          <w:bCs/>
          <w:noProof/>
          <w:szCs w:val="24"/>
          <w:lang w:val="en-US"/>
        </w:rPr>
        <w:t>2004</w:t>
      </w:r>
      <w:r>
        <w:rPr>
          <w:rFonts w:ascii="Arial" w:hAnsi="Arial" w:cs="Arial"/>
          <w:noProof/>
          <w:szCs w:val="24"/>
          <w:lang w:val="en-US"/>
        </w:rPr>
        <w:t xml:space="preserve">, </w:t>
      </w:r>
      <w:r>
        <w:rPr>
          <w:rFonts w:ascii="Arial" w:hAnsi="Arial" w:cs="Arial"/>
          <w:i/>
          <w:iCs/>
          <w:noProof/>
          <w:szCs w:val="24"/>
          <w:lang w:val="en-US"/>
        </w:rPr>
        <w:t>276A</w:t>
      </w:r>
      <w:r>
        <w:rPr>
          <w:rFonts w:ascii="Arial" w:hAnsi="Arial" w:cs="Arial"/>
          <w:noProof/>
          <w:szCs w:val="24"/>
          <w:lang w:val="en-US"/>
        </w:rPr>
        <w:t xml:space="preserve"> (1</w:t>
      </w:r>
      <w:r>
        <w:rPr>
          <w:rFonts w:ascii="Arial" w:hAnsi="Arial" w:cs="Arial"/>
          <w:noProof/>
          <w:szCs w:val="24"/>
          <w:lang w:val="en-US"/>
        </w:rPr>
        <w:t>), 75–102.</w:t>
      </w:r>
    </w:p>
    <w:p w14:paraId="52A5781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(188) </w:t>
      </w:r>
      <w:r>
        <w:rPr>
          <w:rFonts w:ascii="Arial" w:hAnsi="Arial" w:cs="Arial"/>
          <w:noProof/>
          <w:szCs w:val="24"/>
          <w:lang w:val="en-US"/>
        </w:rPr>
        <w:tab/>
        <w:t xml:space="preserve">Cosgrove, D. J. Loosening of Plant Cell Walls by Expansins. </w:t>
      </w:r>
      <w:r>
        <w:rPr>
          <w:rFonts w:ascii="Arial" w:hAnsi="Arial" w:cs="Arial"/>
          <w:i/>
          <w:iCs/>
          <w:noProof/>
          <w:szCs w:val="24"/>
          <w:lang w:val="en-US"/>
        </w:rPr>
        <w:t>Nat. 2000 4076802</w:t>
      </w:r>
      <w:r>
        <w:rPr>
          <w:rFonts w:ascii="Arial" w:hAnsi="Arial" w:cs="Arial"/>
          <w:noProof/>
          <w:szCs w:val="24"/>
          <w:lang w:val="en-US"/>
        </w:rPr>
        <w:t xml:space="preserve"> </w:t>
      </w:r>
      <w:r>
        <w:rPr>
          <w:rFonts w:ascii="Arial" w:hAnsi="Arial" w:cs="Arial"/>
          <w:b/>
          <w:bCs/>
          <w:noProof/>
          <w:szCs w:val="24"/>
          <w:lang w:val="en-US"/>
        </w:rPr>
        <w:t>2000</w:t>
      </w:r>
      <w:r>
        <w:rPr>
          <w:rFonts w:ascii="Arial" w:hAnsi="Arial" w:cs="Arial"/>
          <w:noProof/>
          <w:szCs w:val="24"/>
          <w:lang w:val="en-US"/>
        </w:rPr>
        <w:t xml:space="preserve">, </w:t>
      </w:r>
      <w:r>
        <w:rPr>
          <w:rFonts w:ascii="Arial" w:hAnsi="Arial" w:cs="Arial"/>
          <w:i/>
          <w:iCs/>
          <w:noProof/>
          <w:szCs w:val="24"/>
          <w:lang w:val="en-US"/>
        </w:rPr>
        <w:t>407</w:t>
      </w:r>
      <w:r>
        <w:rPr>
          <w:rFonts w:ascii="Arial" w:hAnsi="Arial" w:cs="Arial"/>
          <w:noProof/>
          <w:szCs w:val="24"/>
          <w:lang w:val="en-US"/>
        </w:rPr>
        <w:t xml:space="preserve"> (6802), 321–326.</w:t>
      </w:r>
    </w:p>
    <w:p w14:paraId="30FDE56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(189) </w:t>
      </w:r>
      <w:r>
        <w:rPr>
          <w:rFonts w:ascii="Arial" w:hAnsi="Arial" w:cs="Arial"/>
          <w:noProof/>
          <w:szCs w:val="24"/>
          <w:lang w:val="en-US"/>
        </w:rPr>
        <w:tab/>
        <w:t xml:space="preserve">Wakao, S.; Kitada, M.; Kuroda, Y.; Ogura, F.; Murakami, T.; Niwa, A.; Dezawa, M. Morphologic and Gene Expression Criteria for </w:t>
      </w:r>
      <w:r>
        <w:rPr>
          <w:rFonts w:ascii="Arial" w:hAnsi="Arial" w:cs="Arial"/>
          <w:noProof/>
          <w:szCs w:val="24"/>
          <w:lang w:val="en-US"/>
        </w:rPr>
        <w:t xml:space="preserve">Identifying Human Induced Pluripotent Stem Cells. </w:t>
      </w:r>
      <w:r>
        <w:rPr>
          <w:rFonts w:ascii="Arial" w:hAnsi="Arial" w:cs="Arial"/>
          <w:i/>
          <w:iCs/>
          <w:noProof/>
          <w:szCs w:val="24"/>
          <w:lang w:val="en-US"/>
        </w:rPr>
        <w:t>PLoS One</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 xml:space="preserve"> (12), e48677.</w:t>
      </w:r>
    </w:p>
    <w:p w14:paraId="175747D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(190) </w:t>
      </w:r>
      <w:r>
        <w:rPr>
          <w:rFonts w:ascii="Arial" w:hAnsi="Arial" w:cs="Arial"/>
          <w:noProof/>
          <w:szCs w:val="24"/>
          <w:lang w:val="en-US"/>
        </w:rPr>
        <w:tab/>
        <w:t xml:space="preserve">Edgar, B. A.; Kiehle, C. P.; Schubiger, G. Cell Cycle Control by the Nucleo-Cytoplasmic Ratio in Early Drosophila Development.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1986</w:t>
      </w:r>
      <w:r>
        <w:rPr>
          <w:rFonts w:ascii="Arial" w:hAnsi="Arial" w:cs="Arial"/>
          <w:noProof/>
          <w:szCs w:val="24"/>
          <w:lang w:val="en-US"/>
        </w:rPr>
        <w:t xml:space="preserve">, </w:t>
      </w:r>
      <w:r>
        <w:rPr>
          <w:rFonts w:ascii="Arial" w:hAnsi="Arial" w:cs="Arial"/>
          <w:i/>
          <w:iCs/>
          <w:noProof/>
          <w:szCs w:val="24"/>
          <w:lang w:val="en-US"/>
        </w:rPr>
        <w:t>44</w:t>
      </w:r>
      <w:r>
        <w:rPr>
          <w:rFonts w:ascii="Arial" w:hAnsi="Arial" w:cs="Arial"/>
          <w:noProof/>
          <w:szCs w:val="24"/>
          <w:lang w:val="en-US"/>
        </w:rPr>
        <w:t xml:space="preserve"> (2), 365–372.</w:t>
      </w:r>
    </w:p>
    <w:p w14:paraId="0A6CA4C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(191) </w:t>
      </w:r>
      <w:r>
        <w:rPr>
          <w:rFonts w:ascii="Arial" w:hAnsi="Arial" w:cs="Arial"/>
          <w:noProof/>
          <w:szCs w:val="24"/>
          <w:lang w:val="en-US"/>
        </w:rPr>
        <w:tab/>
      </w:r>
      <w:r>
        <w:rPr>
          <w:rFonts w:ascii="Arial" w:hAnsi="Arial" w:cs="Arial"/>
          <w:noProof/>
          <w:szCs w:val="24"/>
          <w:lang w:val="en-US"/>
        </w:rPr>
        <w:t xml:space="preserve">Lu, X.; Li, J. M.; Elemento, O.; Tavazoie, S.; Wieschaus, E. F. Coupling of Zygotic Transcription to Mitotic Control at the Drosophila Mid-Blastula Transition. </w:t>
      </w:r>
      <w:r>
        <w:rPr>
          <w:rFonts w:ascii="Arial" w:hAnsi="Arial" w:cs="Arial"/>
          <w:i/>
          <w:iCs/>
          <w:noProof/>
          <w:szCs w:val="24"/>
          <w:lang w:val="en-US"/>
        </w:rPr>
        <w:t>Development</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136</w:t>
      </w:r>
      <w:r>
        <w:rPr>
          <w:rFonts w:ascii="Arial" w:hAnsi="Arial" w:cs="Arial"/>
          <w:noProof/>
          <w:szCs w:val="24"/>
          <w:lang w:val="en-US"/>
        </w:rPr>
        <w:t xml:space="preserve"> (12), 2101–2110.</w:t>
      </w:r>
    </w:p>
    <w:p w14:paraId="04FA48A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(192) </w:t>
      </w:r>
      <w:r>
        <w:rPr>
          <w:rFonts w:ascii="Arial" w:hAnsi="Arial" w:cs="Arial"/>
          <w:noProof/>
          <w:szCs w:val="24"/>
          <w:lang w:val="en-US"/>
        </w:rPr>
        <w:tab/>
        <w:t>Di Talia, S.; She, R.; Blythe, S. A.; Lu, X.; Zhan</w:t>
      </w:r>
      <w:r>
        <w:rPr>
          <w:rFonts w:ascii="Arial" w:hAnsi="Arial" w:cs="Arial"/>
          <w:noProof/>
          <w:szCs w:val="24"/>
          <w:lang w:val="en-US"/>
        </w:rPr>
        <w:t xml:space="preserve">g, Q. F.; Wieschaus, E. F. Posttranslational Control of Cdc25 Degradation Terminates Drosophila’s Early Cell-Cycle Program.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23</w:t>
      </w:r>
      <w:r>
        <w:rPr>
          <w:rFonts w:ascii="Arial" w:hAnsi="Arial" w:cs="Arial"/>
          <w:noProof/>
          <w:szCs w:val="24"/>
          <w:lang w:val="en-US"/>
        </w:rPr>
        <w:t xml:space="preserve"> (2), 127–132.</w:t>
      </w:r>
    </w:p>
    <w:p w14:paraId="10C2DB4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(193) </w:t>
      </w:r>
      <w:r>
        <w:rPr>
          <w:rFonts w:ascii="Arial" w:hAnsi="Arial" w:cs="Arial"/>
          <w:noProof/>
          <w:szCs w:val="24"/>
          <w:lang w:val="en-US"/>
        </w:rPr>
        <w:tab/>
        <w:t>Newport, J.; Kirschner, M. A Major Developmental Transition in Early Xenopus Embryos: I. C</w:t>
      </w:r>
      <w:r>
        <w:rPr>
          <w:rFonts w:ascii="Arial" w:hAnsi="Arial" w:cs="Arial"/>
          <w:noProof/>
          <w:szCs w:val="24"/>
          <w:lang w:val="en-US"/>
        </w:rPr>
        <w:t xml:space="preserve">haracterization and Timing of Cellular Changes at the Midblastula Stage.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1982</w:t>
      </w:r>
      <w:r>
        <w:rPr>
          <w:rFonts w:ascii="Arial" w:hAnsi="Arial" w:cs="Arial"/>
          <w:noProof/>
          <w:szCs w:val="24"/>
          <w:lang w:val="en-US"/>
        </w:rPr>
        <w:t xml:space="preserve">, </w:t>
      </w:r>
      <w:r>
        <w:rPr>
          <w:rFonts w:ascii="Arial" w:hAnsi="Arial" w:cs="Arial"/>
          <w:i/>
          <w:iCs/>
          <w:noProof/>
          <w:szCs w:val="24"/>
          <w:lang w:val="en-US"/>
        </w:rPr>
        <w:t>30</w:t>
      </w:r>
      <w:r>
        <w:rPr>
          <w:rFonts w:ascii="Arial" w:hAnsi="Arial" w:cs="Arial"/>
          <w:noProof/>
          <w:szCs w:val="24"/>
          <w:lang w:val="en-US"/>
        </w:rPr>
        <w:t xml:space="preserve"> (3), 675–686.</w:t>
      </w:r>
    </w:p>
    <w:p w14:paraId="1E63291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(194) </w:t>
      </w:r>
      <w:r>
        <w:rPr>
          <w:rFonts w:ascii="Arial" w:hAnsi="Arial" w:cs="Arial"/>
          <w:noProof/>
          <w:szCs w:val="24"/>
          <w:lang w:val="en-US"/>
        </w:rPr>
        <w:tab/>
        <w:t xml:space="preserve">Newport, J.; Kirschner, M. A Major Developmental Transition in Early Xenopus Embryos: II. Control of the Onset of Transcription.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1982</w:t>
      </w:r>
      <w:r>
        <w:rPr>
          <w:rFonts w:ascii="Arial" w:hAnsi="Arial" w:cs="Arial"/>
          <w:noProof/>
          <w:szCs w:val="24"/>
          <w:lang w:val="en-US"/>
        </w:rPr>
        <w:t xml:space="preserve">, </w:t>
      </w:r>
      <w:r>
        <w:rPr>
          <w:rFonts w:ascii="Arial" w:hAnsi="Arial" w:cs="Arial"/>
          <w:i/>
          <w:iCs/>
          <w:noProof/>
          <w:szCs w:val="24"/>
          <w:lang w:val="en-US"/>
        </w:rPr>
        <w:t>30</w:t>
      </w:r>
      <w:r>
        <w:rPr>
          <w:rFonts w:ascii="Arial" w:hAnsi="Arial" w:cs="Arial"/>
          <w:noProof/>
          <w:szCs w:val="24"/>
          <w:lang w:val="en-US"/>
        </w:rPr>
        <w:t xml:space="preserve"> (3), </w:t>
      </w:r>
      <w:r>
        <w:rPr>
          <w:rFonts w:ascii="Arial" w:hAnsi="Arial" w:cs="Arial"/>
          <w:noProof/>
          <w:szCs w:val="24"/>
          <w:lang w:val="en-US"/>
        </w:rPr>
        <w:t>687–696.</w:t>
      </w:r>
    </w:p>
    <w:p w14:paraId="5D2CC36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(195) </w:t>
      </w:r>
      <w:r>
        <w:rPr>
          <w:rFonts w:ascii="Arial" w:hAnsi="Arial" w:cs="Arial"/>
          <w:noProof/>
          <w:szCs w:val="24"/>
          <w:lang w:val="en-US"/>
        </w:rPr>
        <w:tab/>
        <w:t xml:space="preserve">Prioleau, M. N.; Huet, J.; Sentenac, A.; Méchali, M. Competition between Chromatin and Transcription Complex Assembly Regulates Gene Expression during Early Development.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1994</w:t>
      </w:r>
      <w:r>
        <w:rPr>
          <w:rFonts w:ascii="Arial" w:hAnsi="Arial" w:cs="Arial"/>
          <w:noProof/>
          <w:szCs w:val="24"/>
          <w:lang w:val="en-US"/>
        </w:rPr>
        <w:t xml:space="preserve">, </w:t>
      </w:r>
      <w:r>
        <w:rPr>
          <w:rFonts w:ascii="Arial" w:hAnsi="Arial" w:cs="Arial"/>
          <w:i/>
          <w:iCs/>
          <w:noProof/>
          <w:szCs w:val="24"/>
          <w:lang w:val="en-US"/>
        </w:rPr>
        <w:t>77</w:t>
      </w:r>
      <w:r>
        <w:rPr>
          <w:rFonts w:ascii="Arial" w:hAnsi="Arial" w:cs="Arial"/>
          <w:noProof/>
          <w:szCs w:val="24"/>
          <w:lang w:val="en-US"/>
        </w:rPr>
        <w:t xml:space="preserve"> (3), 439–449.</w:t>
      </w:r>
    </w:p>
    <w:p w14:paraId="1950408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(196) </w:t>
      </w:r>
      <w:r>
        <w:rPr>
          <w:rFonts w:ascii="Arial" w:hAnsi="Arial" w:cs="Arial"/>
          <w:noProof/>
          <w:szCs w:val="24"/>
          <w:lang w:val="en-US"/>
        </w:rPr>
        <w:tab/>
        <w:t>Amodeo, A. A.; Jukam, D.; Straight,</w:t>
      </w:r>
      <w:r>
        <w:rPr>
          <w:rFonts w:ascii="Arial" w:hAnsi="Arial" w:cs="Arial"/>
          <w:noProof/>
          <w:szCs w:val="24"/>
          <w:lang w:val="en-US"/>
        </w:rPr>
        <w:t xml:space="preserve"> A. F.; Skotheim, J. M. Histone Titration against the Genome Sets the DNA-to-Cytoplasm Threshold for the Xenopus Midblastula Transition.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112</w:t>
      </w:r>
      <w:r>
        <w:rPr>
          <w:rFonts w:ascii="Arial" w:hAnsi="Arial" w:cs="Arial"/>
          <w:noProof/>
          <w:szCs w:val="24"/>
          <w:lang w:val="en-US"/>
        </w:rPr>
        <w:t xml:space="preserve"> (10), E1086-95.</w:t>
      </w:r>
    </w:p>
    <w:p w14:paraId="36C817D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(197) </w:t>
      </w:r>
      <w:r>
        <w:rPr>
          <w:rFonts w:ascii="Arial" w:hAnsi="Arial" w:cs="Arial"/>
          <w:noProof/>
          <w:szCs w:val="24"/>
          <w:lang w:val="en-US"/>
        </w:rPr>
        <w:tab/>
        <w:t>Kane, D. A.; Kimmel, C. B. The Zebrafish Midblastula T</w:t>
      </w:r>
      <w:r>
        <w:rPr>
          <w:rFonts w:ascii="Arial" w:hAnsi="Arial" w:cs="Arial"/>
          <w:noProof/>
          <w:szCs w:val="24"/>
          <w:lang w:val="en-US"/>
        </w:rPr>
        <w:t xml:space="preserve">ransition. </w:t>
      </w:r>
      <w:r>
        <w:rPr>
          <w:rFonts w:ascii="Arial" w:hAnsi="Arial" w:cs="Arial"/>
          <w:i/>
          <w:iCs/>
          <w:noProof/>
          <w:szCs w:val="24"/>
          <w:lang w:val="en-US"/>
        </w:rPr>
        <w:t>Development</w:t>
      </w:r>
      <w:r>
        <w:rPr>
          <w:rFonts w:ascii="Arial" w:hAnsi="Arial" w:cs="Arial"/>
          <w:noProof/>
          <w:szCs w:val="24"/>
          <w:lang w:val="en-US"/>
        </w:rPr>
        <w:t xml:space="preserve"> </w:t>
      </w:r>
      <w:r>
        <w:rPr>
          <w:rFonts w:ascii="Arial" w:hAnsi="Arial" w:cs="Arial"/>
          <w:b/>
          <w:bCs/>
          <w:noProof/>
          <w:szCs w:val="24"/>
          <w:lang w:val="en-US"/>
        </w:rPr>
        <w:t>1993</w:t>
      </w:r>
      <w:r>
        <w:rPr>
          <w:rFonts w:ascii="Arial" w:hAnsi="Arial" w:cs="Arial"/>
          <w:noProof/>
          <w:szCs w:val="24"/>
          <w:lang w:val="en-US"/>
        </w:rPr>
        <w:t xml:space="preserve">, </w:t>
      </w:r>
      <w:r>
        <w:rPr>
          <w:rFonts w:ascii="Arial" w:hAnsi="Arial" w:cs="Arial"/>
          <w:i/>
          <w:iCs/>
          <w:noProof/>
          <w:szCs w:val="24"/>
          <w:lang w:val="en-US"/>
        </w:rPr>
        <w:t>119</w:t>
      </w:r>
      <w:r>
        <w:rPr>
          <w:rFonts w:ascii="Arial" w:hAnsi="Arial" w:cs="Arial"/>
          <w:noProof/>
          <w:szCs w:val="24"/>
          <w:lang w:val="en-US"/>
        </w:rPr>
        <w:t xml:space="preserve"> (2), 447–456.</w:t>
      </w:r>
    </w:p>
    <w:p w14:paraId="35467D2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(198) </w:t>
      </w:r>
      <w:r>
        <w:rPr>
          <w:rFonts w:ascii="Arial" w:hAnsi="Arial" w:cs="Arial"/>
          <w:noProof/>
          <w:szCs w:val="24"/>
          <w:lang w:val="en-US"/>
        </w:rPr>
        <w:tab/>
        <w:t>Dekens, M. P. S.; Pelegri, F. J.; Maischein, H. M.; Nüsslein-Volhard, C. The Maternal-Effect Gene Futile Cycle Is Essential for Pronuclear Congression and Mitotic Spindle Assembly in the Zebrafish Zygot</w:t>
      </w:r>
      <w:r>
        <w:rPr>
          <w:rFonts w:ascii="Arial" w:hAnsi="Arial" w:cs="Arial"/>
          <w:noProof/>
          <w:szCs w:val="24"/>
          <w:lang w:val="en-US"/>
        </w:rPr>
        <w:t xml:space="preserve">e. </w:t>
      </w:r>
      <w:r>
        <w:rPr>
          <w:rFonts w:ascii="Arial" w:hAnsi="Arial" w:cs="Arial"/>
          <w:i/>
          <w:iCs/>
          <w:noProof/>
          <w:szCs w:val="24"/>
          <w:lang w:val="en-US"/>
        </w:rPr>
        <w:t>Development</w:t>
      </w:r>
      <w:r>
        <w:rPr>
          <w:rFonts w:ascii="Arial" w:hAnsi="Arial" w:cs="Arial"/>
          <w:noProof/>
          <w:szCs w:val="24"/>
          <w:lang w:val="en-US"/>
        </w:rPr>
        <w:t xml:space="preserve"> </w:t>
      </w:r>
      <w:r>
        <w:rPr>
          <w:rFonts w:ascii="Arial" w:hAnsi="Arial" w:cs="Arial"/>
          <w:b/>
          <w:bCs/>
          <w:noProof/>
          <w:szCs w:val="24"/>
          <w:lang w:val="en-US"/>
        </w:rPr>
        <w:t>2003</w:t>
      </w:r>
      <w:r>
        <w:rPr>
          <w:rFonts w:ascii="Arial" w:hAnsi="Arial" w:cs="Arial"/>
          <w:noProof/>
          <w:szCs w:val="24"/>
          <w:lang w:val="en-US"/>
        </w:rPr>
        <w:t xml:space="preserve">, </w:t>
      </w:r>
      <w:r>
        <w:rPr>
          <w:rFonts w:ascii="Arial" w:hAnsi="Arial" w:cs="Arial"/>
          <w:i/>
          <w:iCs/>
          <w:noProof/>
          <w:szCs w:val="24"/>
          <w:lang w:val="en-US"/>
        </w:rPr>
        <w:t>130</w:t>
      </w:r>
      <w:r>
        <w:rPr>
          <w:rFonts w:ascii="Arial" w:hAnsi="Arial" w:cs="Arial"/>
          <w:noProof/>
          <w:szCs w:val="24"/>
          <w:lang w:val="en-US"/>
        </w:rPr>
        <w:t xml:space="preserve"> (17), 3907–3916.</w:t>
      </w:r>
    </w:p>
    <w:p w14:paraId="6C3CEF6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(199) </w:t>
      </w:r>
      <w:r>
        <w:rPr>
          <w:rFonts w:ascii="Arial" w:hAnsi="Arial" w:cs="Arial"/>
          <w:noProof/>
          <w:szCs w:val="24"/>
          <w:lang w:val="en-US"/>
        </w:rPr>
        <w:tab/>
        <w:t>Joseph, S. R.; Pálfy, M.; Hilbert, L.; Kumar, M.; Karschau, J.; Zaburdaev, V.; Shevchenko, A.; Vastenhouw, N. L. Competition between Histone and Transcription Factor Binding Regulates the Onset of Transcript</w:t>
      </w:r>
      <w:r>
        <w:rPr>
          <w:rFonts w:ascii="Arial" w:hAnsi="Arial" w:cs="Arial"/>
          <w:noProof/>
          <w:szCs w:val="24"/>
          <w:lang w:val="en-US"/>
        </w:rPr>
        <w:t xml:space="preserve">ion in Zebrafish Embryos.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6</w:t>
      </w:r>
      <w:r>
        <w:rPr>
          <w:rFonts w:ascii="Arial" w:hAnsi="Arial" w:cs="Arial"/>
          <w:noProof/>
          <w:szCs w:val="24"/>
          <w:lang w:val="en-US"/>
        </w:rPr>
        <w:t>.</w:t>
      </w:r>
    </w:p>
    <w:p w14:paraId="78BA1EC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(200) </w:t>
      </w:r>
      <w:r>
        <w:rPr>
          <w:rFonts w:ascii="Arial" w:hAnsi="Arial" w:cs="Arial"/>
          <w:noProof/>
          <w:szCs w:val="24"/>
          <w:lang w:val="en-US"/>
        </w:rPr>
        <w:tab/>
        <w:t xml:space="preserve">Chari, S.; Wilky, H.; Govindan, J.; Amodeo, A. A. Histone Concentration Regulates the Cell Cycle and Transcription in Early Development. </w:t>
      </w:r>
      <w:r>
        <w:rPr>
          <w:rFonts w:ascii="Arial" w:hAnsi="Arial" w:cs="Arial"/>
          <w:i/>
          <w:iCs/>
          <w:noProof/>
          <w:szCs w:val="24"/>
          <w:lang w:val="en-US"/>
        </w:rPr>
        <w:t>Dev.</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146</w:t>
      </w:r>
      <w:r>
        <w:rPr>
          <w:rFonts w:ascii="Arial" w:hAnsi="Arial" w:cs="Arial"/>
          <w:noProof/>
          <w:szCs w:val="24"/>
          <w:lang w:val="en-US"/>
        </w:rPr>
        <w:t xml:space="preserve"> (19).</w:t>
      </w:r>
    </w:p>
    <w:p w14:paraId="173AE38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(201) </w:t>
      </w:r>
      <w:r>
        <w:rPr>
          <w:rFonts w:ascii="Arial" w:hAnsi="Arial" w:cs="Arial"/>
          <w:noProof/>
          <w:szCs w:val="24"/>
          <w:lang w:val="en-US"/>
        </w:rPr>
        <w:tab/>
      </w:r>
      <w:r>
        <w:rPr>
          <w:rFonts w:ascii="Arial" w:hAnsi="Arial" w:cs="Arial"/>
          <w:noProof/>
          <w:szCs w:val="24"/>
          <w:lang w:val="en-US"/>
        </w:rPr>
        <w:t xml:space="preserve">Jukam, D.; Kapoor, R. R.; Straight, A. F.; Skotheim, J. M. The DNA-to-Cytoplasm Ratio Broadly Activates Zygotic Gene Expression in Xenopus.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31</w:t>
      </w:r>
      <w:r>
        <w:rPr>
          <w:rFonts w:ascii="Arial" w:hAnsi="Arial" w:cs="Arial"/>
          <w:noProof/>
          <w:szCs w:val="24"/>
          <w:lang w:val="en-US"/>
        </w:rPr>
        <w:t xml:space="preserve"> (19), 4269-4281.e8.</w:t>
      </w:r>
    </w:p>
    <w:p w14:paraId="4938616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(202) </w:t>
      </w:r>
      <w:r>
        <w:rPr>
          <w:rFonts w:ascii="Arial" w:hAnsi="Arial" w:cs="Arial"/>
          <w:noProof/>
          <w:szCs w:val="24"/>
          <w:lang w:val="en-US"/>
        </w:rPr>
        <w:tab/>
        <w:t xml:space="preserve">Collart, C.; Allen, G. E.; Bradshaw, C. R.; Smith, J. C.; Zegerman, </w:t>
      </w:r>
      <w:r>
        <w:rPr>
          <w:rFonts w:ascii="Arial" w:hAnsi="Arial" w:cs="Arial"/>
          <w:noProof/>
          <w:szCs w:val="24"/>
          <w:lang w:val="en-US"/>
        </w:rPr>
        <w:t xml:space="preserve">P. Titration of Four Replication Factors Is Essential for the Xenopus Laevis Midblastula Transition.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341</w:t>
      </w:r>
      <w:r>
        <w:rPr>
          <w:rFonts w:ascii="Arial" w:hAnsi="Arial" w:cs="Arial"/>
          <w:noProof/>
          <w:szCs w:val="24"/>
          <w:lang w:val="en-US"/>
        </w:rPr>
        <w:t xml:space="preserve"> (6148), 893–896.</w:t>
      </w:r>
    </w:p>
    <w:p w14:paraId="12FE7E3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(203) </w:t>
      </w:r>
      <w:r>
        <w:rPr>
          <w:rFonts w:ascii="Arial" w:hAnsi="Arial" w:cs="Arial"/>
          <w:noProof/>
          <w:szCs w:val="24"/>
          <w:lang w:val="en-US"/>
        </w:rPr>
        <w:tab/>
        <w:t>Chen, H.; Einstein, L. C.; Little, S. C.; Good, M. C. Spatiotemporal Patterning of Zygotic Genome Activation in a</w:t>
      </w:r>
      <w:r>
        <w:rPr>
          <w:rFonts w:ascii="Arial" w:hAnsi="Arial" w:cs="Arial"/>
          <w:noProof/>
          <w:szCs w:val="24"/>
          <w:lang w:val="en-US"/>
        </w:rPr>
        <w:t xml:space="preserve"> Model Vertebrate Embryo. </w:t>
      </w:r>
      <w:r>
        <w:rPr>
          <w:rFonts w:ascii="Arial" w:hAnsi="Arial" w:cs="Arial"/>
          <w:i/>
          <w:iCs/>
          <w:noProof/>
          <w:szCs w:val="24"/>
          <w:lang w:val="en-US"/>
        </w:rPr>
        <w:t>Dev. Cell</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49</w:t>
      </w:r>
      <w:r>
        <w:rPr>
          <w:rFonts w:ascii="Arial" w:hAnsi="Arial" w:cs="Arial"/>
          <w:noProof/>
          <w:szCs w:val="24"/>
          <w:lang w:val="en-US"/>
        </w:rPr>
        <w:t xml:space="preserve"> (6), 852-866.e7.</w:t>
      </w:r>
    </w:p>
    <w:p w14:paraId="483C17B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(204) </w:t>
      </w:r>
      <w:r>
        <w:rPr>
          <w:rFonts w:ascii="Arial" w:hAnsi="Arial" w:cs="Arial"/>
          <w:noProof/>
          <w:szCs w:val="24"/>
          <w:lang w:val="en-US"/>
        </w:rPr>
        <w:tab/>
        <w:t xml:space="preserve">Pacifici, E.; Mambro, R. Di; Ioio, R. Dello; Costantino, P.; Sabatini, S. Acidic Cell Elongation Drives Cell Differentiation in the Arabidopsis Root.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37</w:t>
      </w:r>
      <w:r>
        <w:rPr>
          <w:rFonts w:ascii="Arial" w:hAnsi="Arial" w:cs="Arial"/>
          <w:noProof/>
          <w:szCs w:val="24"/>
          <w:lang w:val="en-US"/>
        </w:rPr>
        <w:t xml:space="preserve"> (16), </w:t>
      </w:r>
      <w:r>
        <w:rPr>
          <w:rFonts w:ascii="Arial" w:hAnsi="Arial" w:cs="Arial"/>
          <w:noProof/>
          <w:szCs w:val="24"/>
          <w:lang w:val="en-US"/>
        </w:rPr>
        <w:lastRenderedPageBreak/>
        <w:t>e99134.</w:t>
      </w:r>
    </w:p>
    <w:p w14:paraId="446668E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(205) </w:t>
      </w:r>
      <w:r>
        <w:rPr>
          <w:rFonts w:ascii="Arial" w:hAnsi="Arial" w:cs="Arial"/>
          <w:noProof/>
          <w:szCs w:val="24"/>
          <w:lang w:val="en-US"/>
        </w:rPr>
        <w:tab/>
        <w:t xml:space="preserve">Guo, M.; Pegoraro, A. F.; Mao, A.; Zhou, E. H.; Arany, P. R.; Han, Y.; Burnette, D. T.; Jensen, M. H.; Kasza, K. E.; Moore, J. R.; et al. Cell Volume Change through Water Efflux Impacts Cell Stiffness and Stem Cell Fate.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w:t>
      </w:r>
      <w:r>
        <w:rPr>
          <w:rFonts w:ascii="Arial" w:hAnsi="Arial" w:cs="Arial"/>
          <w:b/>
          <w:bCs/>
          <w:noProof/>
          <w:szCs w:val="24"/>
          <w:lang w:val="en-US"/>
        </w:rPr>
        <w:t>17</w:t>
      </w:r>
      <w:r>
        <w:rPr>
          <w:rFonts w:ascii="Arial" w:hAnsi="Arial" w:cs="Arial"/>
          <w:noProof/>
          <w:szCs w:val="24"/>
          <w:lang w:val="en-US"/>
        </w:rPr>
        <w:t xml:space="preserve">, </w:t>
      </w:r>
      <w:r>
        <w:rPr>
          <w:rFonts w:ascii="Arial" w:hAnsi="Arial" w:cs="Arial"/>
          <w:i/>
          <w:iCs/>
          <w:noProof/>
          <w:szCs w:val="24"/>
          <w:lang w:val="en-US"/>
        </w:rPr>
        <w:t>114</w:t>
      </w:r>
      <w:r>
        <w:rPr>
          <w:rFonts w:ascii="Arial" w:hAnsi="Arial" w:cs="Arial"/>
          <w:noProof/>
          <w:szCs w:val="24"/>
          <w:lang w:val="en-US"/>
        </w:rPr>
        <w:t xml:space="preserve"> (41), E8618–E8627.</w:t>
      </w:r>
    </w:p>
    <w:p w14:paraId="27D319D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(206) </w:t>
      </w:r>
      <w:r>
        <w:rPr>
          <w:rFonts w:ascii="Arial" w:hAnsi="Arial" w:cs="Arial"/>
          <w:noProof/>
          <w:szCs w:val="24"/>
          <w:lang w:val="en-US"/>
        </w:rPr>
        <w:tab/>
      </w:r>
      <w:r>
        <w:rPr>
          <w:rFonts w:ascii="Arial" w:hAnsi="Arial" w:cs="Arial"/>
          <w:noProof/>
          <w:szCs w:val="24"/>
          <w:lang w:val="en-US"/>
        </w:rPr>
        <w:t xml:space="preserve">Kirk, M. M.; Ransick, A.; McRae, S. E.; Kirk, D. L. The Relationship between Cell Size and Cell Fate in Volvox Carteri.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1993</w:t>
      </w:r>
      <w:r>
        <w:rPr>
          <w:rFonts w:ascii="Arial" w:hAnsi="Arial" w:cs="Arial"/>
          <w:noProof/>
          <w:szCs w:val="24"/>
          <w:lang w:val="en-US"/>
        </w:rPr>
        <w:t xml:space="preserve">, </w:t>
      </w:r>
      <w:r>
        <w:rPr>
          <w:rFonts w:ascii="Arial" w:hAnsi="Arial" w:cs="Arial"/>
          <w:i/>
          <w:iCs/>
          <w:noProof/>
          <w:szCs w:val="24"/>
          <w:lang w:val="en-US"/>
        </w:rPr>
        <w:t>123</w:t>
      </w:r>
      <w:r>
        <w:rPr>
          <w:rFonts w:ascii="Arial" w:hAnsi="Arial" w:cs="Arial"/>
          <w:noProof/>
          <w:szCs w:val="24"/>
          <w:lang w:val="en-US"/>
        </w:rPr>
        <w:t xml:space="preserve"> (1), 191–208.</w:t>
      </w:r>
    </w:p>
    <w:p w14:paraId="6893489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(207) </w:t>
      </w:r>
      <w:r>
        <w:rPr>
          <w:rFonts w:ascii="Arial" w:hAnsi="Arial" w:cs="Arial"/>
          <w:noProof/>
          <w:szCs w:val="24"/>
          <w:lang w:val="en-US"/>
        </w:rPr>
        <w:tab/>
        <w:t>Matt, G.; Umen, J. Volvox: A Simple Algal Model for Embryogenesis, Morphogenesis and Cellul</w:t>
      </w:r>
      <w:r>
        <w:rPr>
          <w:rFonts w:ascii="Arial" w:hAnsi="Arial" w:cs="Arial"/>
          <w:noProof/>
          <w:szCs w:val="24"/>
          <w:lang w:val="en-US"/>
        </w:rPr>
        <w:t xml:space="preserve">ar Differentiation. </w:t>
      </w:r>
      <w:r>
        <w:rPr>
          <w:rFonts w:ascii="Arial" w:hAnsi="Arial" w:cs="Arial"/>
          <w:i/>
          <w:iCs/>
          <w:noProof/>
          <w:szCs w:val="24"/>
          <w:lang w:val="en-US"/>
        </w:rPr>
        <w:t>Dev. Biol.</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419</w:t>
      </w:r>
      <w:r>
        <w:rPr>
          <w:rFonts w:ascii="Arial" w:hAnsi="Arial" w:cs="Arial"/>
          <w:noProof/>
          <w:szCs w:val="24"/>
          <w:lang w:val="en-US"/>
        </w:rPr>
        <w:t xml:space="preserve"> (1), 99–113.</w:t>
      </w:r>
    </w:p>
    <w:p w14:paraId="7554898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(208) </w:t>
      </w:r>
      <w:r>
        <w:rPr>
          <w:rFonts w:ascii="Arial" w:hAnsi="Arial" w:cs="Arial"/>
          <w:noProof/>
          <w:szCs w:val="24"/>
          <w:lang w:val="en-US"/>
        </w:rPr>
        <w:tab/>
        <w:t xml:space="preserve">Hubatsch, L.; Peglion, F.; Reich, J. D.; Rodrigues, N. T. L.; Hirani, N.; Illukkumbura, R.; Goehring, N. W. A Cell-Size Threshold Limits Cell Polarity and Asymmetric Division Potential. </w:t>
      </w:r>
      <w:r>
        <w:rPr>
          <w:rFonts w:ascii="Arial" w:hAnsi="Arial" w:cs="Arial"/>
          <w:i/>
          <w:iCs/>
          <w:noProof/>
          <w:szCs w:val="24"/>
          <w:lang w:val="en-US"/>
        </w:rPr>
        <w:t>Nat. Phys</w:t>
      </w:r>
      <w:r>
        <w:rPr>
          <w:rFonts w:ascii="Arial" w:hAnsi="Arial" w:cs="Arial"/>
          <w:i/>
          <w:iCs/>
          <w:noProof/>
          <w:szCs w:val="24"/>
          <w:lang w:val="en-US"/>
        </w:rPr>
        <w:t>. 2019 1510</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15</w:t>
      </w:r>
      <w:r>
        <w:rPr>
          <w:rFonts w:ascii="Arial" w:hAnsi="Arial" w:cs="Arial"/>
          <w:noProof/>
          <w:szCs w:val="24"/>
          <w:lang w:val="en-US"/>
        </w:rPr>
        <w:t xml:space="preserve"> (10), 1078–1085.</w:t>
      </w:r>
    </w:p>
    <w:p w14:paraId="472C83C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(209) </w:t>
      </w:r>
      <w:r>
        <w:rPr>
          <w:rFonts w:ascii="Arial" w:hAnsi="Arial" w:cs="Arial"/>
          <w:noProof/>
          <w:szCs w:val="24"/>
          <w:lang w:val="en-US"/>
        </w:rPr>
        <w:tab/>
        <w:t xml:space="preserve">Robinson, S.; De Reuille, P. B.; Chan, J.; Bergmann, D.; Prusinkiewicz, P.; Coen, E. Generation of Spatial Patterns through Cell Polarity Switching.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2011</w:t>
      </w:r>
      <w:r>
        <w:rPr>
          <w:rFonts w:ascii="Arial" w:hAnsi="Arial" w:cs="Arial"/>
          <w:noProof/>
          <w:szCs w:val="24"/>
          <w:lang w:val="en-US"/>
        </w:rPr>
        <w:t xml:space="preserve">, </w:t>
      </w:r>
      <w:r>
        <w:rPr>
          <w:rFonts w:ascii="Arial" w:hAnsi="Arial" w:cs="Arial"/>
          <w:i/>
          <w:iCs/>
          <w:noProof/>
          <w:szCs w:val="24"/>
          <w:lang w:val="en-US"/>
        </w:rPr>
        <w:t>333</w:t>
      </w:r>
      <w:r>
        <w:rPr>
          <w:rFonts w:ascii="Arial" w:hAnsi="Arial" w:cs="Arial"/>
          <w:noProof/>
          <w:szCs w:val="24"/>
          <w:lang w:val="en-US"/>
        </w:rPr>
        <w:t xml:space="preserve"> (6048), 1436.</w:t>
      </w:r>
    </w:p>
    <w:p w14:paraId="11C8B98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(210) </w:t>
      </w:r>
      <w:r>
        <w:rPr>
          <w:rFonts w:ascii="Arial" w:hAnsi="Arial" w:cs="Arial"/>
          <w:noProof/>
          <w:szCs w:val="24"/>
          <w:lang w:val="en-US"/>
        </w:rPr>
        <w:tab/>
      </w:r>
      <w:r>
        <w:rPr>
          <w:rFonts w:ascii="Arial" w:hAnsi="Arial" w:cs="Arial"/>
          <w:noProof/>
          <w:szCs w:val="24"/>
          <w:lang w:val="en-US"/>
        </w:rPr>
        <w:t xml:space="preserve">Gong, Y.; Dale, R.; Fung, H. F.; Amador, G. O.; Smit, M. E.; Bergmann, D. C. A Cell Size Threshold Triggers Commitment to Stomatal Fate in Arabidopsis. </w:t>
      </w:r>
      <w:r>
        <w:rPr>
          <w:rFonts w:ascii="Arial" w:hAnsi="Arial" w:cs="Arial"/>
          <w:i/>
          <w:iCs/>
          <w:noProof/>
          <w:szCs w:val="24"/>
          <w:lang w:val="en-US"/>
        </w:rPr>
        <w:t>Sci. Adv.</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(38).</w:t>
      </w:r>
    </w:p>
    <w:p w14:paraId="5C81F4B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(211) </w:t>
      </w:r>
      <w:r>
        <w:rPr>
          <w:rFonts w:ascii="Arial" w:hAnsi="Arial" w:cs="Arial"/>
          <w:noProof/>
          <w:szCs w:val="24"/>
          <w:lang w:val="en-US"/>
        </w:rPr>
        <w:tab/>
        <w:t xml:space="preserve">Cordes, S.; Frank, C. A.; Garriga, G. The C. Elegans MELK Ortholog PIG-1 </w:t>
      </w:r>
      <w:r>
        <w:rPr>
          <w:rFonts w:ascii="Arial" w:hAnsi="Arial" w:cs="Arial"/>
          <w:noProof/>
          <w:szCs w:val="24"/>
          <w:lang w:val="en-US"/>
        </w:rPr>
        <w:t xml:space="preserve">Regulates Cell Size Asymmetry and Daughter Cell Fate in Asymmetric Neuroblast Divisions. </w:t>
      </w:r>
      <w:r>
        <w:rPr>
          <w:rFonts w:ascii="Arial" w:hAnsi="Arial" w:cs="Arial"/>
          <w:i/>
          <w:iCs/>
          <w:noProof/>
          <w:szCs w:val="24"/>
          <w:lang w:val="en-US"/>
        </w:rPr>
        <w:t>Development</w:t>
      </w:r>
      <w:r>
        <w:rPr>
          <w:rFonts w:ascii="Arial" w:hAnsi="Arial" w:cs="Arial"/>
          <w:noProof/>
          <w:szCs w:val="24"/>
          <w:lang w:val="en-US"/>
        </w:rPr>
        <w:t xml:space="preserve"> </w:t>
      </w:r>
      <w:r>
        <w:rPr>
          <w:rFonts w:ascii="Arial" w:hAnsi="Arial" w:cs="Arial"/>
          <w:b/>
          <w:bCs/>
          <w:noProof/>
          <w:szCs w:val="24"/>
          <w:lang w:val="en-US"/>
        </w:rPr>
        <w:t>2006</w:t>
      </w:r>
      <w:r>
        <w:rPr>
          <w:rFonts w:ascii="Arial" w:hAnsi="Arial" w:cs="Arial"/>
          <w:noProof/>
          <w:szCs w:val="24"/>
          <w:lang w:val="en-US"/>
        </w:rPr>
        <w:t xml:space="preserve">, </w:t>
      </w:r>
      <w:r>
        <w:rPr>
          <w:rFonts w:ascii="Arial" w:hAnsi="Arial" w:cs="Arial"/>
          <w:i/>
          <w:iCs/>
          <w:noProof/>
          <w:szCs w:val="24"/>
          <w:lang w:val="en-US"/>
        </w:rPr>
        <w:t>133</w:t>
      </w:r>
      <w:r>
        <w:rPr>
          <w:rFonts w:ascii="Arial" w:hAnsi="Arial" w:cs="Arial"/>
          <w:noProof/>
          <w:szCs w:val="24"/>
          <w:lang w:val="en-US"/>
        </w:rPr>
        <w:t xml:space="preserve"> (14), 2747–2756.</w:t>
      </w:r>
    </w:p>
    <w:p w14:paraId="0094E7D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(212) </w:t>
      </w:r>
      <w:r>
        <w:rPr>
          <w:rFonts w:ascii="Arial" w:hAnsi="Arial" w:cs="Arial"/>
          <w:noProof/>
          <w:szCs w:val="24"/>
          <w:lang w:val="en-US"/>
        </w:rPr>
        <w:tab/>
        <w:t>Homem, C. C. F.; Steinmann, V.; Burkard, T. R.; Jais, A.; Esterbauer, H.; Knoblich, J. A. Ecdysone and Mediator Change En</w:t>
      </w:r>
      <w:r>
        <w:rPr>
          <w:rFonts w:ascii="Arial" w:hAnsi="Arial" w:cs="Arial"/>
          <w:noProof/>
          <w:szCs w:val="24"/>
          <w:lang w:val="en-US"/>
        </w:rPr>
        <w:t xml:space="preserve">ergy Metabolism to Terminate Proliferation in Drosophila Neural Stem Cells.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158</w:t>
      </w:r>
      <w:r>
        <w:rPr>
          <w:rFonts w:ascii="Arial" w:hAnsi="Arial" w:cs="Arial"/>
          <w:noProof/>
          <w:szCs w:val="24"/>
          <w:lang w:val="en-US"/>
        </w:rPr>
        <w:t xml:space="preserve"> (4), 874–888.</w:t>
      </w:r>
    </w:p>
    <w:p w14:paraId="6B8E1BA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(213) </w:t>
      </w:r>
      <w:r>
        <w:rPr>
          <w:rFonts w:ascii="Arial" w:hAnsi="Arial" w:cs="Arial"/>
          <w:noProof/>
          <w:szCs w:val="24"/>
          <w:lang w:val="en-US"/>
        </w:rPr>
        <w:tab/>
        <w:t xml:space="preserve">Wang, K.; Chen, H.; Miao, Y.; Bayer, M. Square One: Zygote Polarity and Early Embryogenesis in Flowering Plants. </w:t>
      </w:r>
      <w:r>
        <w:rPr>
          <w:rFonts w:ascii="Arial" w:hAnsi="Arial" w:cs="Arial"/>
          <w:i/>
          <w:iCs/>
          <w:noProof/>
          <w:szCs w:val="24"/>
          <w:lang w:val="en-US"/>
        </w:rPr>
        <w:t>Curr. Opin. Plant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5</w:t>
      </w:r>
      <w:r>
        <w:rPr>
          <w:rFonts w:ascii="Arial" w:hAnsi="Arial" w:cs="Arial"/>
          <w:i/>
          <w:iCs/>
          <w:noProof/>
          <w:szCs w:val="24"/>
          <w:lang w:val="en-US"/>
        </w:rPr>
        <w:t>3</w:t>
      </w:r>
      <w:r>
        <w:rPr>
          <w:rFonts w:ascii="Arial" w:hAnsi="Arial" w:cs="Arial"/>
          <w:noProof/>
          <w:szCs w:val="24"/>
          <w:lang w:val="en-US"/>
        </w:rPr>
        <w:t>, 128–133.</w:t>
      </w:r>
    </w:p>
    <w:p w14:paraId="45C7067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(214) </w:t>
      </w:r>
      <w:r>
        <w:rPr>
          <w:rFonts w:ascii="Arial" w:hAnsi="Arial" w:cs="Arial"/>
          <w:noProof/>
          <w:szCs w:val="24"/>
          <w:lang w:val="en-US"/>
        </w:rPr>
        <w:tab/>
        <w:t xml:space="preserve">Chen, H.; Qian, W.; Good, M. C. Integrating Cellular Dimensions with Cell Differentiation During Early Development. </w:t>
      </w:r>
      <w:r>
        <w:rPr>
          <w:rFonts w:ascii="Arial" w:hAnsi="Arial" w:cs="Arial"/>
          <w:i/>
          <w:iCs/>
          <w:noProof/>
          <w:szCs w:val="24"/>
          <w:lang w:val="en-US"/>
        </w:rPr>
        <w:t>Curr. Opin. Cell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67</w:t>
      </w:r>
      <w:r>
        <w:rPr>
          <w:rFonts w:ascii="Arial" w:hAnsi="Arial" w:cs="Arial"/>
          <w:noProof/>
          <w:szCs w:val="24"/>
          <w:lang w:val="en-US"/>
        </w:rPr>
        <w:t>, 109.</w:t>
      </w:r>
    </w:p>
    <w:p w14:paraId="7F500F4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(215) </w:t>
      </w:r>
      <w:r>
        <w:rPr>
          <w:rFonts w:ascii="Arial" w:hAnsi="Arial" w:cs="Arial"/>
          <w:noProof/>
          <w:szCs w:val="24"/>
          <w:lang w:val="en-US"/>
        </w:rPr>
        <w:tab/>
        <w:t>Fung, H. F.; Bergmann, D. C. Function Follows Form: How Cell Size Is Harness</w:t>
      </w:r>
      <w:r>
        <w:rPr>
          <w:rFonts w:ascii="Arial" w:hAnsi="Arial" w:cs="Arial"/>
          <w:noProof/>
          <w:szCs w:val="24"/>
          <w:lang w:val="en-US"/>
        </w:rPr>
        <w:t xml:space="preserve">ed for Developmental Decisions. </w:t>
      </w:r>
      <w:r>
        <w:rPr>
          <w:rFonts w:ascii="Arial" w:hAnsi="Arial" w:cs="Arial"/>
          <w:i/>
          <w:iCs/>
          <w:noProof/>
          <w:szCs w:val="24"/>
          <w:lang w:val="en-US"/>
        </w:rPr>
        <w:t>Eur. J. Cell Biol.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102</w:t>
      </w:r>
      <w:r>
        <w:rPr>
          <w:rFonts w:ascii="Arial" w:hAnsi="Arial" w:cs="Arial"/>
          <w:noProof/>
          <w:szCs w:val="24"/>
          <w:lang w:val="en-US"/>
        </w:rPr>
        <w:t xml:space="preserve"> (2).</w:t>
      </w:r>
    </w:p>
    <w:p w14:paraId="3D66B69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(216) </w:t>
      </w:r>
      <w:r>
        <w:rPr>
          <w:rFonts w:ascii="Arial" w:hAnsi="Arial" w:cs="Arial"/>
          <w:noProof/>
          <w:szCs w:val="24"/>
          <w:lang w:val="en-US"/>
        </w:rPr>
        <w:tab/>
        <w:t xml:space="preserve">Johnston, G. C.; Pringle, J. R.; Hartwell, L. H. Coordination of Growth with Cell Division in the Yeast Saccharomyces Cerevisiae. </w:t>
      </w:r>
      <w:r>
        <w:rPr>
          <w:rFonts w:ascii="Arial" w:hAnsi="Arial" w:cs="Arial"/>
          <w:i/>
          <w:iCs/>
          <w:noProof/>
          <w:szCs w:val="24"/>
          <w:lang w:val="en-US"/>
        </w:rPr>
        <w:t>Exp. Cell Res.</w:t>
      </w:r>
      <w:r>
        <w:rPr>
          <w:rFonts w:ascii="Arial" w:hAnsi="Arial" w:cs="Arial"/>
          <w:noProof/>
          <w:szCs w:val="24"/>
          <w:lang w:val="en-US"/>
        </w:rPr>
        <w:t xml:space="preserve"> </w:t>
      </w:r>
      <w:r>
        <w:rPr>
          <w:rFonts w:ascii="Arial" w:hAnsi="Arial" w:cs="Arial"/>
          <w:b/>
          <w:bCs/>
          <w:noProof/>
          <w:szCs w:val="24"/>
          <w:lang w:val="en-US"/>
        </w:rPr>
        <w:t>1977</w:t>
      </w:r>
      <w:r>
        <w:rPr>
          <w:rFonts w:ascii="Arial" w:hAnsi="Arial" w:cs="Arial"/>
          <w:noProof/>
          <w:szCs w:val="24"/>
          <w:lang w:val="en-US"/>
        </w:rPr>
        <w:t xml:space="preserve">, </w:t>
      </w:r>
      <w:r>
        <w:rPr>
          <w:rFonts w:ascii="Arial" w:hAnsi="Arial" w:cs="Arial"/>
          <w:i/>
          <w:iCs/>
          <w:noProof/>
          <w:szCs w:val="24"/>
          <w:lang w:val="en-US"/>
        </w:rPr>
        <w:t>105</w:t>
      </w:r>
      <w:r>
        <w:rPr>
          <w:rFonts w:ascii="Arial" w:hAnsi="Arial" w:cs="Arial"/>
          <w:noProof/>
          <w:szCs w:val="24"/>
          <w:lang w:val="en-US"/>
        </w:rPr>
        <w:t xml:space="preserve"> (1), 79–98.</w:t>
      </w:r>
    </w:p>
    <w:p w14:paraId="28768CC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(217) </w:t>
      </w:r>
      <w:r>
        <w:rPr>
          <w:rFonts w:ascii="Arial" w:hAnsi="Arial" w:cs="Arial"/>
          <w:noProof/>
          <w:szCs w:val="24"/>
          <w:lang w:val="en-US"/>
        </w:rPr>
        <w:tab/>
        <w:t>Fantes, P</w:t>
      </w:r>
      <w:r>
        <w:rPr>
          <w:rFonts w:ascii="Arial" w:hAnsi="Arial" w:cs="Arial"/>
          <w:noProof/>
          <w:szCs w:val="24"/>
          <w:lang w:val="en-US"/>
        </w:rPr>
        <w:t xml:space="preserve">.; Nurse, P. Control of Cell Size at Division in Fission Yeast by a Growth-Modulated Size Control over Nuclear Division. </w:t>
      </w:r>
      <w:r>
        <w:rPr>
          <w:rFonts w:ascii="Arial" w:hAnsi="Arial" w:cs="Arial"/>
          <w:i/>
          <w:iCs/>
          <w:noProof/>
          <w:szCs w:val="24"/>
          <w:lang w:val="en-US"/>
        </w:rPr>
        <w:t>Exp Cell Res</w:t>
      </w:r>
      <w:r>
        <w:rPr>
          <w:rFonts w:ascii="Arial" w:hAnsi="Arial" w:cs="Arial"/>
          <w:noProof/>
          <w:szCs w:val="24"/>
          <w:lang w:val="en-US"/>
        </w:rPr>
        <w:t xml:space="preserve"> </w:t>
      </w:r>
      <w:r>
        <w:rPr>
          <w:rFonts w:ascii="Arial" w:hAnsi="Arial" w:cs="Arial"/>
          <w:b/>
          <w:bCs/>
          <w:noProof/>
          <w:szCs w:val="24"/>
          <w:lang w:val="en-US"/>
        </w:rPr>
        <w:t>1977</w:t>
      </w:r>
      <w:r>
        <w:rPr>
          <w:rFonts w:ascii="Arial" w:hAnsi="Arial" w:cs="Arial"/>
          <w:noProof/>
          <w:szCs w:val="24"/>
          <w:lang w:val="en-US"/>
        </w:rPr>
        <w:t xml:space="preserve">, </w:t>
      </w:r>
      <w:r>
        <w:rPr>
          <w:rFonts w:ascii="Arial" w:hAnsi="Arial" w:cs="Arial"/>
          <w:i/>
          <w:iCs/>
          <w:noProof/>
          <w:szCs w:val="24"/>
          <w:lang w:val="en-US"/>
        </w:rPr>
        <w:t>107</w:t>
      </w:r>
      <w:r>
        <w:rPr>
          <w:rFonts w:ascii="Arial" w:hAnsi="Arial" w:cs="Arial"/>
          <w:noProof/>
          <w:szCs w:val="24"/>
          <w:lang w:val="en-US"/>
        </w:rPr>
        <w:t>.</w:t>
      </w:r>
    </w:p>
    <w:p w14:paraId="670284C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(218) </w:t>
      </w:r>
      <w:r>
        <w:rPr>
          <w:rFonts w:ascii="Arial" w:hAnsi="Arial" w:cs="Arial"/>
          <w:noProof/>
          <w:szCs w:val="24"/>
          <w:lang w:val="en-US"/>
        </w:rPr>
        <w:tab/>
        <w:t>Ferrezuelo, F.; Colomina, N.; Palmisano, A.; Garí, E.; Gallego, C.; Csikász-Nagy, A.; Aldea, M. The Crit</w:t>
      </w:r>
      <w:r>
        <w:rPr>
          <w:rFonts w:ascii="Arial" w:hAnsi="Arial" w:cs="Arial"/>
          <w:noProof/>
          <w:szCs w:val="24"/>
          <w:lang w:val="en-US"/>
        </w:rPr>
        <w:t xml:space="preserve">ical Size Is Set at a Single-Cell Level by Growth Rate to Attain Homeostasis and Adaptation. </w:t>
      </w:r>
      <w:r>
        <w:rPr>
          <w:rFonts w:ascii="Arial" w:hAnsi="Arial" w:cs="Arial"/>
          <w:i/>
          <w:iCs/>
          <w:noProof/>
          <w:szCs w:val="24"/>
          <w:lang w:val="en-US"/>
        </w:rPr>
        <w:t>Nat. Commun.</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3</w:t>
      </w:r>
      <w:r>
        <w:rPr>
          <w:rFonts w:ascii="Arial" w:hAnsi="Arial" w:cs="Arial"/>
          <w:noProof/>
          <w:szCs w:val="24"/>
          <w:lang w:val="en-US"/>
        </w:rPr>
        <w:t>, 1012.</w:t>
      </w:r>
    </w:p>
    <w:p w14:paraId="66ADB19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(219) </w:t>
      </w:r>
      <w:r>
        <w:rPr>
          <w:rFonts w:ascii="Arial" w:hAnsi="Arial" w:cs="Arial"/>
          <w:noProof/>
          <w:szCs w:val="24"/>
          <w:lang w:val="en-US"/>
        </w:rPr>
        <w:tab/>
        <w:t xml:space="preserve">Conlon, I.; Raff, M. Size Control in Animal Development.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1999</w:t>
      </w:r>
      <w:r>
        <w:rPr>
          <w:rFonts w:ascii="Arial" w:hAnsi="Arial" w:cs="Arial"/>
          <w:noProof/>
          <w:szCs w:val="24"/>
          <w:lang w:val="en-US"/>
        </w:rPr>
        <w:t xml:space="preserve">, </w:t>
      </w:r>
      <w:r>
        <w:rPr>
          <w:rFonts w:ascii="Arial" w:hAnsi="Arial" w:cs="Arial"/>
          <w:i/>
          <w:iCs/>
          <w:noProof/>
          <w:szCs w:val="24"/>
          <w:lang w:val="en-US"/>
        </w:rPr>
        <w:t>96</w:t>
      </w:r>
      <w:r>
        <w:rPr>
          <w:rFonts w:ascii="Arial" w:hAnsi="Arial" w:cs="Arial"/>
          <w:noProof/>
          <w:szCs w:val="24"/>
          <w:lang w:val="en-US"/>
        </w:rPr>
        <w:t xml:space="preserve"> (2), 235–244.</w:t>
      </w:r>
    </w:p>
    <w:p w14:paraId="3083F1F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(220) </w:t>
      </w:r>
      <w:r>
        <w:rPr>
          <w:rFonts w:ascii="Arial" w:hAnsi="Arial" w:cs="Arial"/>
          <w:noProof/>
          <w:szCs w:val="24"/>
          <w:lang w:val="en-US"/>
        </w:rPr>
        <w:tab/>
      </w:r>
      <w:r>
        <w:rPr>
          <w:rFonts w:ascii="Arial" w:hAnsi="Arial" w:cs="Arial"/>
          <w:noProof/>
          <w:szCs w:val="24"/>
          <w:lang w:val="en-US"/>
        </w:rPr>
        <w:t xml:space="preserve">Edgar, B. A. How Flies Get Their Size: Genetics Meets Physiology. </w:t>
      </w:r>
      <w:r>
        <w:rPr>
          <w:rFonts w:ascii="Arial" w:hAnsi="Arial" w:cs="Arial"/>
          <w:i/>
          <w:iCs/>
          <w:noProof/>
          <w:szCs w:val="24"/>
          <w:lang w:val="en-US"/>
        </w:rPr>
        <w:t>Nat. Rev. Genet. 2006 712</w:t>
      </w:r>
      <w:r>
        <w:rPr>
          <w:rFonts w:ascii="Arial" w:hAnsi="Arial" w:cs="Arial"/>
          <w:noProof/>
          <w:szCs w:val="24"/>
          <w:lang w:val="en-US"/>
        </w:rPr>
        <w:t xml:space="preserve"> </w:t>
      </w:r>
      <w:r>
        <w:rPr>
          <w:rFonts w:ascii="Arial" w:hAnsi="Arial" w:cs="Arial"/>
          <w:b/>
          <w:bCs/>
          <w:noProof/>
          <w:szCs w:val="24"/>
          <w:lang w:val="en-US"/>
        </w:rPr>
        <w:t>2006</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 xml:space="preserve"> (12), 907–916.</w:t>
      </w:r>
    </w:p>
    <w:p w14:paraId="50E7267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(221) </w:t>
      </w:r>
      <w:r>
        <w:rPr>
          <w:rFonts w:ascii="Arial" w:hAnsi="Arial" w:cs="Arial"/>
          <w:noProof/>
          <w:szCs w:val="24"/>
          <w:lang w:val="en-US"/>
        </w:rPr>
        <w:tab/>
        <w:t>Grasgruber, P.; Cacek, J.; Kalina, T.; Sebera, M. The Role of Nutrition and Genetics as Key Determinants of the Positive Height Trend.</w:t>
      </w:r>
      <w:r>
        <w:rPr>
          <w:rFonts w:ascii="Arial" w:hAnsi="Arial" w:cs="Arial"/>
          <w:noProof/>
          <w:szCs w:val="24"/>
          <w:lang w:val="en-US"/>
        </w:rPr>
        <w:t xml:space="preserve"> </w:t>
      </w:r>
      <w:r>
        <w:rPr>
          <w:rFonts w:ascii="Arial" w:hAnsi="Arial" w:cs="Arial"/>
          <w:i/>
          <w:iCs/>
          <w:noProof/>
          <w:szCs w:val="24"/>
          <w:lang w:val="en-US"/>
        </w:rPr>
        <w:t>Econ. Hum. Biol.</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15</w:t>
      </w:r>
      <w:r>
        <w:rPr>
          <w:rFonts w:ascii="Arial" w:hAnsi="Arial" w:cs="Arial"/>
          <w:noProof/>
          <w:szCs w:val="24"/>
          <w:lang w:val="en-US"/>
        </w:rPr>
        <w:t>, 81–100.</w:t>
      </w:r>
    </w:p>
    <w:p w14:paraId="4EBC705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(222) </w:t>
      </w:r>
      <w:r>
        <w:rPr>
          <w:rFonts w:ascii="Arial" w:hAnsi="Arial" w:cs="Arial"/>
          <w:noProof/>
          <w:szCs w:val="24"/>
          <w:lang w:val="en-US"/>
        </w:rPr>
        <w:tab/>
        <w:t xml:space="preserve">Bentham, J.; Di Cesare, M.; Stevens, G. A.; Zhou, B.; Bixby, H.; Cowan, M.; Fortunato, L.; Bennett, J. E.; Danaei, G.; Hajifathalian, K.; et al. A Century of Trends in Adult Human Height.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5</w:t>
      </w:r>
      <w:r>
        <w:rPr>
          <w:rFonts w:ascii="Arial" w:hAnsi="Arial" w:cs="Arial"/>
          <w:noProof/>
          <w:szCs w:val="24"/>
          <w:lang w:val="en-US"/>
        </w:rPr>
        <w:t>.</w:t>
      </w:r>
    </w:p>
    <w:p w14:paraId="2E2F694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(223) </w:t>
      </w:r>
      <w:r>
        <w:rPr>
          <w:rFonts w:ascii="Arial" w:hAnsi="Arial" w:cs="Arial"/>
          <w:noProof/>
          <w:szCs w:val="24"/>
          <w:lang w:val="en-US"/>
        </w:rPr>
        <w:tab/>
        <w:t>Per</w:t>
      </w:r>
      <w:r>
        <w:rPr>
          <w:rFonts w:ascii="Arial" w:hAnsi="Arial" w:cs="Arial"/>
          <w:noProof/>
          <w:szCs w:val="24"/>
          <w:lang w:val="en-US"/>
        </w:rPr>
        <w:t xml:space="preserve">kins, J. M.; Subramanian, S. V.; Smith, G. D.; Özaltin, E. Adult Height, Nutrition, and Population Health. </w:t>
      </w:r>
      <w:r>
        <w:rPr>
          <w:rFonts w:ascii="Arial" w:hAnsi="Arial" w:cs="Arial"/>
          <w:i/>
          <w:iCs/>
          <w:noProof/>
          <w:szCs w:val="24"/>
          <w:lang w:val="en-US"/>
        </w:rPr>
        <w:t>Nutr. Rev.</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74</w:t>
      </w:r>
      <w:r>
        <w:rPr>
          <w:rFonts w:ascii="Arial" w:hAnsi="Arial" w:cs="Arial"/>
          <w:noProof/>
          <w:szCs w:val="24"/>
          <w:lang w:val="en-US"/>
        </w:rPr>
        <w:t xml:space="preserve"> (3), 149–165.</w:t>
      </w:r>
    </w:p>
    <w:p w14:paraId="6BE71CF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lang w:val="en-US"/>
        </w:rPr>
        <w:t xml:space="preserve">(224) </w:t>
      </w:r>
      <w:r>
        <w:rPr>
          <w:rFonts w:ascii="Arial" w:hAnsi="Arial" w:cs="Arial"/>
          <w:noProof/>
          <w:szCs w:val="24"/>
          <w:lang w:val="en-US"/>
        </w:rPr>
        <w:tab/>
        <w:t xml:space="preserve">Wright, S. M.; Aronne, L. J. Causes of Obesity. </w:t>
      </w:r>
      <w:r>
        <w:rPr>
          <w:rFonts w:ascii="Arial" w:hAnsi="Arial" w:cs="Arial"/>
          <w:i/>
          <w:iCs/>
          <w:noProof/>
          <w:szCs w:val="24"/>
        </w:rPr>
        <w:t>Abdom. Imaging</w:t>
      </w:r>
      <w:r>
        <w:rPr>
          <w:rFonts w:ascii="Arial" w:hAnsi="Arial" w:cs="Arial"/>
          <w:noProof/>
          <w:szCs w:val="24"/>
        </w:rPr>
        <w:t xml:space="preserve"> </w:t>
      </w:r>
      <w:r>
        <w:rPr>
          <w:rFonts w:ascii="Arial" w:hAnsi="Arial" w:cs="Arial"/>
          <w:b/>
          <w:bCs/>
          <w:noProof/>
          <w:szCs w:val="24"/>
        </w:rPr>
        <w:t>2012</w:t>
      </w:r>
      <w:r>
        <w:rPr>
          <w:rFonts w:ascii="Arial" w:hAnsi="Arial" w:cs="Arial"/>
          <w:noProof/>
          <w:szCs w:val="24"/>
        </w:rPr>
        <w:t xml:space="preserve">, </w:t>
      </w:r>
      <w:r>
        <w:rPr>
          <w:rFonts w:ascii="Arial" w:hAnsi="Arial" w:cs="Arial"/>
          <w:i/>
          <w:iCs/>
          <w:noProof/>
          <w:szCs w:val="24"/>
        </w:rPr>
        <w:t>37</w:t>
      </w:r>
      <w:r>
        <w:rPr>
          <w:rFonts w:ascii="Arial" w:hAnsi="Arial" w:cs="Arial"/>
          <w:noProof/>
          <w:szCs w:val="24"/>
        </w:rPr>
        <w:t xml:space="preserve"> (5), 730–732.</w:t>
      </w:r>
    </w:p>
    <w:p w14:paraId="1C4FFF5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rPr>
        <w:t xml:space="preserve">(225) </w:t>
      </w:r>
      <w:r>
        <w:rPr>
          <w:rFonts w:ascii="Arial" w:hAnsi="Arial" w:cs="Arial"/>
          <w:noProof/>
          <w:szCs w:val="24"/>
        </w:rPr>
        <w:tab/>
        <w:t>Verboven, K.; W</w:t>
      </w:r>
      <w:r>
        <w:rPr>
          <w:rFonts w:ascii="Arial" w:hAnsi="Arial" w:cs="Arial"/>
          <w:noProof/>
          <w:szCs w:val="24"/>
        </w:rPr>
        <w:t xml:space="preserve">outers, K.; Gaens, K.; Hansen, D.; Bijnen, M.; Wetzels, S.; Stehouwer, C. D.; Goossens, G. H.; Schalkwijk, C. G.; Blaak, E. E.; et al. </w:t>
      </w:r>
      <w:r>
        <w:rPr>
          <w:rFonts w:ascii="Arial" w:hAnsi="Arial" w:cs="Arial"/>
          <w:noProof/>
          <w:szCs w:val="24"/>
          <w:lang w:val="en-US"/>
        </w:rPr>
        <w:t>Abdominal Subcutaneous and Visceral Adipocyte Size, Lipolysis and Inflammation Relate to Insulin Resistance in Male Obese</w:t>
      </w:r>
      <w:r>
        <w:rPr>
          <w:rFonts w:ascii="Arial" w:hAnsi="Arial" w:cs="Arial"/>
          <w:noProof/>
          <w:szCs w:val="24"/>
          <w:lang w:val="en-US"/>
        </w:rPr>
        <w:t xml:space="preserve"> Humans. </w:t>
      </w:r>
      <w:r>
        <w:rPr>
          <w:rFonts w:ascii="Arial" w:hAnsi="Arial" w:cs="Arial"/>
          <w:i/>
          <w:iCs/>
          <w:noProof/>
          <w:szCs w:val="24"/>
          <w:lang w:val="en-US"/>
        </w:rPr>
        <w:t>Sci. Reports 2018 81</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(1), 1–8.</w:t>
      </w:r>
    </w:p>
    <w:p w14:paraId="44034F9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(226) </w:t>
      </w:r>
      <w:r>
        <w:rPr>
          <w:rFonts w:ascii="Arial" w:hAnsi="Arial" w:cs="Arial"/>
          <w:noProof/>
          <w:szCs w:val="24"/>
          <w:lang w:val="en-US"/>
        </w:rPr>
        <w:tab/>
        <w:t xml:space="preserve">Stenkula, K. G.; Erlanson-Albertsson, C. Adipose Cell Size: Importance in Health and Disease. </w:t>
      </w:r>
      <w:r>
        <w:rPr>
          <w:rFonts w:ascii="Arial" w:hAnsi="Arial" w:cs="Arial"/>
          <w:i/>
          <w:iCs/>
          <w:noProof/>
          <w:szCs w:val="24"/>
          <w:lang w:val="en-US"/>
        </w:rPr>
        <w:t>Am. J. Physiol. - Regul. Integr. Comp. Physiol.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315</w:t>
      </w:r>
      <w:r>
        <w:rPr>
          <w:rFonts w:ascii="Arial" w:hAnsi="Arial" w:cs="Arial"/>
          <w:noProof/>
          <w:szCs w:val="24"/>
          <w:lang w:val="en-US"/>
        </w:rPr>
        <w:t xml:space="preserve"> (2), R284–R295.</w:t>
      </w:r>
    </w:p>
    <w:p w14:paraId="4E1173C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(227) </w:t>
      </w:r>
      <w:r>
        <w:rPr>
          <w:rFonts w:ascii="Arial" w:hAnsi="Arial" w:cs="Arial"/>
          <w:noProof/>
          <w:szCs w:val="24"/>
          <w:lang w:val="en-US"/>
        </w:rPr>
        <w:tab/>
      </w:r>
      <w:r>
        <w:rPr>
          <w:rFonts w:ascii="Arial" w:hAnsi="Arial" w:cs="Arial"/>
          <w:noProof/>
          <w:szCs w:val="24"/>
          <w:lang w:val="en-US"/>
        </w:rPr>
        <w:t xml:space="preserve">Payne, J. L.; Groves, J. R.; Jost, A. B.; Nguyen, T.; Moffitt, S. E.; Hill, T. M.; Skotheim, J. M. LATE PALEOZOIC FUSULINOIDEAN GIGANTISM DRIVEN BY ATMOSPHERIC HYPEROXIA. </w:t>
      </w:r>
      <w:r>
        <w:rPr>
          <w:rFonts w:ascii="Arial" w:hAnsi="Arial" w:cs="Arial"/>
          <w:i/>
          <w:iCs/>
          <w:noProof/>
          <w:szCs w:val="24"/>
          <w:lang w:val="en-US"/>
        </w:rPr>
        <w:t>Evolution (N. Y).</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66</w:t>
      </w:r>
      <w:r>
        <w:rPr>
          <w:rFonts w:ascii="Arial" w:hAnsi="Arial" w:cs="Arial"/>
          <w:noProof/>
          <w:szCs w:val="24"/>
          <w:lang w:val="en-US"/>
        </w:rPr>
        <w:t xml:space="preserve"> (9), 2929–2939.</w:t>
      </w:r>
    </w:p>
    <w:p w14:paraId="0E927E6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(228) </w:t>
      </w:r>
      <w:r>
        <w:rPr>
          <w:rFonts w:ascii="Arial" w:hAnsi="Arial" w:cs="Arial"/>
          <w:noProof/>
          <w:szCs w:val="24"/>
          <w:lang w:val="en-US"/>
        </w:rPr>
        <w:tab/>
        <w:t>Franks, P. J.; Beerling, D. J. Maxi</w:t>
      </w:r>
      <w:r>
        <w:rPr>
          <w:rFonts w:ascii="Arial" w:hAnsi="Arial" w:cs="Arial"/>
          <w:noProof/>
          <w:szCs w:val="24"/>
          <w:lang w:val="en-US"/>
        </w:rPr>
        <w:t xml:space="preserve">mum Leaf Conductance Driven by CO2 Effects on Stomatal Size and Density over Geologic Time.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106</w:t>
      </w:r>
      <w:r>
        <w:rPr>
          <w:rFonts w:ascii="Arial" w:hAnsi="Arial" w:cs="Arial"/>
          <w:noProof/>
          <w:szCs w:val="24"/>
          <w:lang w:val="en-US"/>
        </w:rPr>
        <w:t xml:space="preserve"> (25), 10343–10347.</w:t>
      </w:r>
    </w:p>
    <w:p w14:paraId="2508976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(229) </w:t>
      </w:r>
      <w:r>
        <w:rPr>
          <w:rFonts w:ascii="Arial" w:hAnsi="Arial" w:cs="Arial"/>
          <w:noProof/>
          <w:szCs w:val="24"/>
          <w:lang w:val="en-US"/>
        </w:rPr>
        <w:tab/>
        <w:t>Grant, N. A.; Magid, A. A.; Franklin, J.; Dufour, Y.; Lenski, R. E. Changes in Cell Size and Sha</w:t>
      </w:r>
      <w:r>
        <w:rPr>
          <w:rFonts w:ascii="Arial" w:hAnsi="Arial" w:cs="Arial"/>
          <w:noProof/>
          <w:szCs w:val="24"/>
          <w:lang w:val="en-US"/>
        </w:rPr>
        <w:t xml:space="preserve">pe during 50,000 Generations of Experimental Evolution with Escherichia Coli. </w:t>
      </w:r>
      <w:r>
        <w:rPr>
          <w:rFonts w:ascii="Arial" w:hAnsi="Arial" w:cs="Arial"/>
          <w:i/>
          <w:iCs/>
          <w:noProof/>
          <w:szCs w:val="24"/>
          <w:lang w:val="en-US"/>
        </w:rPr>
        <w:t>J. Bacteriol.</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203</w:t>
      </w:r>
      <w:r>
        <w:rPr>
          <w:rFonts w:ascii="Arial" w:hAnsi="Arial" w:cs="Arial"/>
          <w:noProof/>
          <w:szCs w:val="24"/>
          <w:lang w:val="en-US"/>
        </w:rPr>
        <w:t xml:space="preserve"> (10).</w:t>
      </w:r>
    </w:p>
    <w:p w14:paraId="55A51DA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(230) </w:t>
      </w:r>
      <w:r>
        <w:rPr>
          <w:rFonts w:ascii="Arial" w:hAnsi="Arial" w:cs="Arial"/>
          <w:noProof/>
          <w:szCs w:val="24"/>
          <w:lang w:val="en-US"/>
        </w:rPr>
        <w:tab/>
        <w:t>Irvali, D.; Schlottmann, F. P.; Muralidhara, P.; Nadelson, I.; Kleemann, K.; Wood, N. E.; Doncic, A.; Ewald, J. C. When Yeast Cells Change Th</w:t>
      </w:r>
      <w:r>
        <w:rPr>
          <w:rFonts w:ascii="Arial" w:hAnsi="Arial" w:cs="Arial"/>
          <w:noProof/>
          <w:szCs w:val="24"/>
          <w:lang w:val="en-US"/>
        </w:rPr>
        <w:t xml:space="preserve">eir Mind: Cell Cycle “Start” Is Reversible under Starvation.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42</w:t>
      </w:r>
      <w:r>
        <w:rPr>
          <w:rFonts w:ascii="Arial" w:hAnsi="Arial" w:cs="Arial"/>
          <w:noProof/>
          <w:szCs w:val="24"/>
          <w:lang w:val="en-US"/>
        </w:rPr>
        <w:t xml:space="preserve"> (2), e110321.</w:t>
      </w:r>
    </w:p>
    <w:p w14:paraId="3A6FD50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(231) </w:t>
      </w:r>
      <w:r>
        <w:rPr>
          <w:rFonts w:ascii="Arial" w:hAnsi="Arial" w:cs="Arial"/>
          <w:noProof/>
          <w:szCs w:val="24"/>
          <w:lang w:val="en-US"/>
        </w:rPr>
        <w:tab/>
        <w:t xml:space="preserve">Rojas, E.; Theriot, J. A.; Huang, K. C. Response of Escherichia Coli Growth Rate to Osmotic Shock.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111</w:t>
      </w:r>
      <w:r>
        <w:rPr>
          <w:rFonts w:ascii="Arial" w:hAnsi="Arial" w:cs="Arial"/>
          <w:noProof/>
          <w:szCs w:val="24"/>
          <w:lang w:val="en-US"/>
        </w:rPr>
        <w:t xml:space="preserve"> (21), 7807–7812.</w:t>
      </w:r>
    </w:p>
    <w:p w14:paraId="6F4C585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(232) </w:t>
      </w:r>
      <w:r>
        <w:rPr>
          <w:rFonts w:ascii="Arial" w:hAnsi="Arial" w:cs="Arial"/>
          <w:noProof/>
          <w:szCs w:val="24"/>
          <w:lang w:val="en-US"/>
        </w:rPr>
        <w:tab/>
        <w:t xml:space="preserve">Cesar, S.; Huang, K. C. Thinking Big: The Tunability of Bacterial Cell Size. </w:t>
      </w:r>
      <w:r>
        <w:rPr>
          <w:rFonts w:ascii="Arial" w:hAnsi="Arial" w:cs="Arial"/>
          <w:i/>
          <w:iCs/>
          <w:noProof/>
          <w:szCs w:val="24"/>
          <w:lang w:val="en-US"/>
        </w:rPr>
        <w:t>FEMS Microbiol. Rev.</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026</w:t>
      </w:r>
      <w:r>
        <w:rPr>
          <w:rFonts w:ascii="Arial" w:hAnsi="Arial" w:cs="Arial"/>
          <w:noProof/>
          <w:szCs w:val="24"/>
          <w:lang w:val="en-US"/>
        </w:rPr>
        <w:t>, 672–678.</w:t>
      </w:r>
    </w:p>
    <w:p w14:paraId="5EE4EF0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(233) </w:t>
      </w:r>
      <w:r>
        <w:rPr>
          <w:rFonts w:ascii="Arial" w:hAnsi="Arial" w:cs="Arial"/>
          <w:noProof/>
          <w:szCs w:val="24"/>
          <w:lang w:val="en-US"/>
        </w:rPr>
        <w:tab/>
      </w:r>
      <w:r>
        <w:rPr>
          <w:rFonts w:ascii="Arial" w:hAnsi="Arial" w:cs="Arial"/>
          <w:noProof/>
          <w:szCs w:val="24"/>
          <w:lang w:val="en-US"/>
        </w:rPr>
        <w:t xml:space="preserve">Kiesel, M.; Reuss, R.; Endter, J.; Zimmermann, D.; Zimmermann, H.; Shirakashi, R.; Bamberg, E.; Zimmermann, U.; Sukhorukov, V. L. Swelling-Activated Pathways in Human T-Lymphocytes Studied by Cell Volumetry and Electrorotation. </w:t>
      </w:r>
      <w:r>
        <w:rPr>
          <w:rFonts w:ascii="Arial" w:hAnsi="Arial" w:cs="Arial"/>
          <w:i/>
          <w:iCs/>
          <w:noProof/>
          <w:szCs w:val="24"/>
          <w:lang w:val="en-US"/>
        </w:rPr>
        <w:t>Biophys. J.</w:t>
      </w:r>
      <w:r>
        <w:rPr>
          <w:rFonts w:ascii="Arial" w:hAnsi="Arial" w:cs="Arial"/>
          <w:noProof/>
          <w:szCs w:val="24"/>
          <w:lang w:val="en-US"/>
        </w:rPr>
        <w:t xml:space="preserve"> </w:t>
      </w:r>
      <w:r>
        <w:rPr>
          <w:rFonts w:ascii="Arial" w:hAnsi="Arial" w:cs="Arial"/>
          <w:b/>
          <w:bCs/>
          <w:noProof/>
          <w:szCs w:val="24"/>
          <w:lang w:val="en-US"/>
        </w:rPr>
        <w:t>2006</w:t>
      </w:r>
      <w:r>
        <w:rPr>
          <w:rFonts w:ascii="Arial" w:hAnsi="Arial" w:cs="Arial"/>
          <w:noProof/>
          <w:szCs w:val="24"/>
          <w:lang w:val="en-US"/>
        </w:rPr>
        <w:t xml:space="preserve">, </w:t>
      </w:r>
      <w:r>
        <w:rPr>
          <w:rFonts w:ascii="Arial" w:hAnsi="Arial" w:cs="Arial"/>
          <w:i/>
          <w:iCs/>
          <w:noProof/>
          <w:szCs w:val="24"/>
          <w:lang w:val="en-US"/>
        </w:rPr>
        <w:t>90</w:t>
      </w:r>
      <w:r>
        <w:rPr>
          <w:rFonts w:ascii="Arial" w:hAnsi="Arial" w:cs="Arial"/>
          <w:noProof/>
          <w:szCs w:val="24"/>
          <w:lang w:val="en-US"/>
        </w:rPr>
        <w:t xml:space="preserve"> (12), 4</w:t>
      </w:r>
      <w:r>
        <w:rPr>
          <w:rFonts w:ascii="Arial" w:hAnsi="Arial" w:cs="Arial"/>
          <w:noProof/>
          <w:szCs w:val="24"/>
          <w:lang w:val="en-US"/>
        </w:rPr>
        <w:t>720–4729.</w:t>
      </w:r>
    </w:p>
    <w:p w14:paraId="0FB36E1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(234) </w:t>
      </w:r>
      <w:r>
        <w:rPr>
          <w:rFonts w:ascii="Arial" w:hAnsi="Arial" w:cs="Arial"/>
          <w:noProof/>
          <w:szCs w:val="24"/>
          <w:lang w:val="en-US"/>
        </w:rPr>
        <w:tab/>
        <w:t xml:space="preserve">Groulx, N.; Boudreault, F.; Orlov, S. N.; Grygorczyk, R. Membrane Reserves and Hypotonic Cell Swelling. </w:t>
      </w:r>
      <w:r>
        <w:rPr>
          <w:rFonts w:ascii="Arial" w:hAnsi="Arial" w:cs="Arial"/>
          <w:i/>
          <w:iCs/>
          <w:noProof/>
          <w:szCs w:val="24"/>
          <w:lang w:val="en-US"/>
        </w:rPr>
        <w:t>J. Membr. Biol.</w:t>
      </w:r>
      <w:r>
        <w:rPr>
          <w:rFonts w:ascii="Arial" w:hAnsi="Arial" w:cs="Arial"/>
          <w:noProof/>
          <w:szCs w:val="24"/>
          <w:lang w:val="en-US"/>
        </w:rPr>
        <w:t xml:space="preserve"> </w:t>
      </w:r>
      <w:r>
        <w:rPr>
          <w:rFonts w:ascii="Arial" w:hAnsi="Arial" w:cs="Arial"/>
          <w:b/>
          <w:bCs/>
          <w:noProof/>
          <w:szCs w:val="24"/>
          <w:lang w:val="en-US"/>
        </w:rPr>
        <w:t>2006</w:t>
      </w:r>
      <w:r>
        <w:rPr>
          <w:rFonts w:ascii="Arial" w:hAnsi="Arial" w:cs="Arial"/>
          <w:noProof/>
          <w:szCs w:val="24"/>
          <w:lang w:val="en-US"/>
        </w:rPr>
        <w:t xml:space="preserve">, </w:t>
      </w:r>
      <w:r>
        <w:rPr>
          <w:rFonts w:ascii="Arial" w:hAnsi="Arial" w:cs="Arial"/>
          <w:i/>
          <w:iCs/>
          <w:noProof/>
          <w:szCs w:val="24"/>
          <w:lang w:val="en-US"/>
        </w:rPr>
        <w:t>214</w:t>
      </w:r>
      <w:r>
        <w:rPr>
          <w:rFonts w:ascii="Arial" w:hAnsi="Arial" w:cs="Arial"/>
          <w:noProof/>
          <w:szCs w:val="24"/>
          <w:lang w:val="en-US"/>
        </w:rPr>
        <w:t xml:space="preserve"> (1–2), 43–56.</w:t>
      </w:r>
    </w:p>
    <w:p w14:paraId="7193FE5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(235) </w:t>
      </w:r>
      <w:r>
        <w:rPr>
          <w:rFonts w:ascii="Arial" w:hAnsi="Arial" w:cs="Arial"/>
          <w:noProof/>
          <w:szCs w:val="24"/>
          <w:lang w:val="en-US"/>
        </w:rPr>
        <w:tab/>
        <w:t>Ušaj, M.; Trontelj, K.; Hudej, R.; Kandušer, M.; Miklavčič, D. Cell Size Dynamics and Vi</w:t>
      </w:r>
      <w:r>
        <w:rPr>
          <w:rFonts w:ascii="Arial" w:hAnsi="Arial" w:cs="Arial"/>
          <w:noProof/>
          <w:szCs w:val="24"/>
          <w:lang w:val="en-US"/>
        </w:rPr>
        <w:t xml:space="preserve">ability of Cells Exposed to Hypotonic Treatment and Electroporation for Electrofusion Optimization. </w:t>
      </w:r>
      <w:r>
        <w:rPr>
          <w:rFonts w:ascii="Arial" w:hAnsi="Arial" w:cs="Arial"/>
          <w:i/>
          <w:iCs/>
          <w:noProof/>
          <w:szCs w:val="24"/>
          <w:lang w:val="en-US"/>
        </w:rPr>
        <w:t>Radiol. Oncol.</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43</w:t>
      </w:r>
      <w:r>
        <w:rPr>
          <w:rFonts w:ascii="Arial" w:hAnsi="Arial" w:cs="Arial"/>
          <w:noProof/>
          <w:szCs w:val="24"/>
          <w:lang w:val="en-US"/>
        </w:rPr>
        <w:t xml:space="preserve"> (2), 108–119.</w:t>
      </w:r>
    </w:p>
    <w:p w14:paraId="5591251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(236) </w:t>
      </w:r>
      <w:r>
        <w:rPr>
          <w:rFonts w:ascii="Arial" w:hAnsi="Arial" w:cs="Arial"/>
          <w:noProof/>
          <w:szCs w:val="24"/>
          <w:lang w:val="en-US"/>
        </w:rPr>
        <w:tab/>
      </w:r>
      <w:r>
        <w:rPr>
          <w:rFonts w:ascii="Arial" w:hAnsi="Arial" w:cs="Arial"/>
          <w:noProof/>
          <w:szCs w:val="24"/>
          <w:lang w:val="en-US"/>
        </w:rPr>
        <w:t xml:space="preserve">Alhuthali, S.; Kotidis, P.; Kontoravdi, C. Osmolality Effects on CHO Cell Growth, Cell Volume, Antibody Productivity and Glycosylation. </w:t>
      </w:r>
      <w:r>
        <w:rPr>
          <w:rFonts w:ascii="Arial" w:hAnsi="Arial" w:cs="Arial"/>
          <w:i/>
          <w:iCs/>
          <w:noProof/>
          <w:szCs w:val="24"/>
          <w:lang w:val="en-US"/>
        </w:rPr>
        <w:t>Int. J. Mol. Sci. 2021, Vol. 22, Page 3290</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22</w:t>
      </w:r>
      <w:r>
        <w:rPr>
          <w:rFonts w:ascii="Arial" w:hAnsi="Arial" w:cs="Arial"/>
          <w:noProof/>
          <w:szCs w:val="24"/>
          <w:lang w:val="en-US"/>
        </w:rPr>
        <w:t xml:space="preserve"> (7), 3290.</w:t>
      </w:r>
    </w:p>
    <w:p w14:paraId="3C4913A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(237) </w:t>
      </w:r>
      <w:r>
        <w:rPr>
          <w:rFonts w:ascii="Arial" w:hAnsi="Arial" w:cs="Arial"/>
          <w:noProof/>
          <w:szCs w:val="24"/>
          <w:lang w:val="en-US"/>
        </w:rPr>
        <w:tab/>
        <w:t xml:space="preserve">Saldaña, C.; Villava, C.; Ramírez-Villarreal, J.; </w:t>
      </w:r>
      <w:r>
        <w:rPr>
          <w:rFonts w:ascii="Arial" w:hAnsi="Arial" w:cs="Arial"/>
          <w:noProof/>
          <w:szCs w:val="24"/>
          <w:lang w:val="en-US"/>
        </w:rPr>
        <w:t xml:space="preserve">Morales-Tlalpan, V.; Campos-Guillen, J.; Chávez-Servín, J.; García-Gasca, T. Rapid and Reversible Cell Volume Changes in Response to Osmotic Stress in Yeast. </w:t>
      </w:r>
      <w:r>
        <w:rPr>
          <w:rFonts w:ascii="Arial" w:hAnsi="Arial" w:cs="Arial"/>
          <w:i/>
          <w:iCs/>
          <w:noProof/>
          <w:szCs w:val="24"/>
          <w:lang w:val="en-US"/>
        </w:rPr>
        <w:t>Brazilian J. Microbiol.</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52</w:t>
      </w:r>
      <w:r>
        <w:rPr>
          <w:rFonts w:ascii="Arial" w:hAnsi="Arial" w:cs="Arial"/>
          <w:noProof/>
          <w:szCs w:val="24"/>
          <w:lang w:val="en-US"/>
        </w:rPr>
        <w:t xml:space="preserve"> (2), 895–903.</w:t>
      </w:r>
    </w:p>
    <w:p w14:paraId="5A84239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(238) </w:t>
      </w:r>
      <w:r>
        <w:rPr>
          <w:rFonts w:ascii="Arial" w:hAnsi="Arial" w:cs="Arial"/>
          <w:noProof/>
          <w:szCs w:val="24"/>
          <w:lang w:val="en-US"/>
        </w:rPr>
        <w:tab/>
        <w:t>Koivusalo, M.; Kapus, A.; Grinstein, S. Sens</w:t>
      </w:r>
      <w:r>
        <w:rPr>
          <w:rFonts w:ascii="Arial" w:hAnsi="Arial" w:cs="Arial"/>
          <w:noProof/>
          <w:szCs w:val="24"/>
          <w:lang w:val="en-US"/>
        </w:rPr>
        <w:t xml:space="preserve">ors, Transducers, and Effectors That Regulate Cell Size and Shape. </w:t>
      </w:r>
      <w:r>
        <w:rPr>
          <w:rFonts w:ascii="Arial" w:hAnsi="Arial" w:cs="Arial"/>
          <w:i/>
          <w:iCs/>
          <w:noProof/>
          <w:szCs w:val="24"/>
          <w:lang w:val="en-US"/>
        </w:rPr>
        <w:t>J. Biol. Chem.</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284</w:t>
      </w:r>
      <w:r>
        <w:rPr>
          <w:rFonts w:ascii="Arial" w:hAnsi="Arial" w:cs="Arial"/>
          <w:noProof/>
          <w:szCs w:val="24"/>
          <w:lang w:val="en-US"/>
        </w:rPr>
        <w:t xml:space="preserve"> (11), 6595–6599.</w:t>
      </w:r>
    </w:p>
    <w:p w14:paraId="1A5658F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(239) </w:t>
      </w:r>
      <w:r>
        <w:rPr>
          <w:rFonts w:ascii="Arial" w:hAnsi="Arial" w:cs="Arial"/>
          <w:noProof/>
          <w:szCs w:val="24"/>
          <w:lang w:val="en-US"/>
        </w:rPr>
        <w:tab/>
        <w:t xml:space="preserve">Knapp, B. D.; Huang, K. C. The Effects of Temperature on Cellular Physiology. </w:t>
      </w:r>
      <w:r>
        <w:rPr>
          <w:rFonts w:ascii="Arial" w:hAnsi="Arial" w:cs="Arial"/>
          <w:i/>
          <w:iCs/>
          <w:noProof/>
          <w:szCs w:val="24"/>
          <w:lang w:val="en-US"/>
        </w:rPr>
        <w:t>Annual Review of Biophysics</w:t>
      </w:r>
      <w:r>
        <w:rPr>
          <w:rFonts w:ascii="Arial" w:hAnsi="Arial" w:cs="Arial"/>
          <w:noProof/>
          <w:szCs w:val="24"/>
          <w:lang w:val="en-US"/>
        </w:rPr>
        <w:t>. Annual Reviews May 9, 2022, pp 49</w:t>
      </w:r>
      <w:r>
        <w:rPr>
          <w:rFonts w:ascii="Arial" w:hAnsi="Arial" w:cs="Arial"/>
          <w:noProof/>
          <w:szCs w:val="24"/>
          <w:lang w:val="en-US"/>
        </w:rPr>
        <w:t>9–526.</w:t>
      </w:r>
    </w:p>
    <w:p w14:paraId="7D9F879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(240) </w:t>
      </w:r>
      <w:r>
        <w:rPr>
          <w:rFonts w:ascii="Arial" w:hAnsi="Arial" w:cs="Arial"/>
          <w:noProof/>
          <w:szCs w:val="24"/>
          <w:lang w:val="en-US"/>
        </w:rPr>
        <w:tab/>
        <w:t xml:space="preserve">Trueba, F. J.; van Spronsen, E. A.; Traas, J.; Woldringh, C. L. Effects of Temperature on the Size and Shape of Escherichia Coli Cells. </w:t>
      </w:r>
      <w:r>
        <w:rPr>
          <w:rFonts w:ascii="Arial" w:hAnsi="Arial" w:cs="Arial"/>
          <w:i/>
          <w:iCs/>
          <w:noProof/>
          <w:szCs w:val="24"/>
          <w:lang w:val="en-US"/>
        </w:rPr>
        <w:t>Arch. Microbiol.</w:t>
      </w:r>
      <w:r>
        <w:rPr>
          <w:rFonts w:ascii="Arial" w:hAnsi="Arial" w:cs="Arial"/>
          <w:noProof/>
          <w:szCs w:val="24"/>
          <w:lang w:val="en-US"/>
        </w:rPr>
        <w:t xml:space="preserve"> </w:t>
      </w:r>
      <w:r>
        <w:rPr>
          <w:rFonts w:ascii="Arial" w:hAnsi="Arial" w:cs="Arial"/>
          <w:b/>
          <w:bCs/>
          <w:noProof/>
          <w:szCs w:val="24"/>
          <w:lang w:val="en-US"/>
        </w:rPr>
        <w:t>1982</w:t>
      </w:r>
      <w:r>
        <w:rPr>
          <w:rFonts w:ascii="Arial" w:hAnsi="Arial" w:cs="Arial"/>
          <w:noProof/>
          <w:szCs w:val="24"/>
          <w:lang w:val="en-US"/>
        </w:rPr>
        <w:t xml:space="preserve">, </w:t>
      </w:r>
      <w:r>
        <w:rPr>
          <w:rFonts w:ascii="Arial" w:hAnsi="Arial" w:cs="Arial"/>
          <w:i/>
          <w:iCs/>
          <w:noProof/>
          <w:szCs w:val="24"/>
          <w:lang w:val="en-US"/>
        </w:rPr>
        <w:t>131</w:t>
      </w:r>
      <w:r>
        <w:rPr>
          <w:rFonts w:ascii="Arial" w:hAnsi="Arial" w:cs="Arial"/>
          <w:noProof/>
          <w:szCs w:val="24"/>
          <w:lang w:val="en-US"/>
        </w:rPr>
        <w:t xml:space="preserve"> (3), 235–240.</w:t>
      </w:r>
    </w:p>
    <w:p w14:paraId="6C20BA5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(241) </w:t>
      </w:r>
      <w:r>
        <w:rPr>
          <w:rFonts w:ascii="Arial" w:hAnsi="Arial" w:cs="Arial"/>
          <w:noProof/>
          <w:szCs w:val="24"/>
          <w:lang w:val="en-US"/>
        </w:rPr>
        <w:tab/>
        <w:t xml:space="preserve">Gervais, P.; Martínez De Marañón, I.; Evrard, C.; Ferret, </w:t>
      </w:r>
      <w:r>
        <w:rPr>
          <w:rFonts w:ascii="Arial" w:hAnsi="Arial" w:cs="Arial"/>
          <w:noProof/>
          <w:szCs w:val="24"/>
          <w:lang w:val="en-US"/>
        </w:rPr>
        <w:t xml:space="preserve">E.; Moundanga, S. Cell Volume Changes during Rapid Temperature Shifts. </w:t>
      </w:r>
      <w:r>
        <w:rPr>
          <w:rFonts w:ascii="Arial" w:hAnsi="Arial" w:cs="Arial"/>
          <w:i/>
          <w:iCs/>
          <w:noProof/>
          <w:szCs w:val="24"/>
          <w:lang w:val="en-US"/>
        </w:rPr>
        <w:t>J. Biotechnol.</w:t>
      </w:r>
      <w:r>
        <w:rPr>
          <w:rFonts w:ascii="Arial" w:hAnsi="Arial" w:cs="Arial"/>
          <w:noProof/>
          <w:szCs w:val="24"/>
          <w:lang w:val="en-US"/>
        </w:rPr>
        <w:t xml:space="preserve"> </w:t>
      </w:r>
      <w:r>
        <w:rPr>
          <w:rFonts w:ascii="Arial" w:hAnsi="Arial" w:cs="Arial"/>
          <w:b/>
          <w:bCs/>
          <w:noProof/>
          <w:szCs w:val="24"/>
          <w:lang w:val="en-US"/>
        </w:rPr>
        <w:t>2003</w:t>
      </w:r>
      <w:r>
        <w:rPr>
          <w:rFonts w:ascii="Arial" w:hAnsi="Arial" w:cs="Arial"/>
          <w:noProof/>
          <w:szCs w:val="24"/>
          <w:lang w:val="en-US"/>
        </w:rPr>
        <w:t xml:space="preserve">, </w:t>
      </w:r>
      <w:r>
        <w:rPr>
          <w:rFonts w:ascii="Arial" w:hAnsi="Arial" w:cs="Arial"/>
          <w:i/>
          <w:iCs/>
          <w:noProof/>
          <w:szCs w:val="24"/>
          <w:lang w:val="en-US"/>
        </w:rPr>
        <w:t>102</w:t>
      </w:r>
      <w:r>
        <w:rPr>
          <w:rFonts w:ascii="Arial" w:hAnsi="Arial" w:cs="Arial"/>
          <w:noProof/>
          <w:szCs w:val="24"/>
          <w:lang w:val="en-US"/>
        </w:rPr>
        <w:t xml:space="preserve"> (3), 269–279.</w:t>
      </w:r>
    </w:p>
    <w:p w14:paraId="3E996E6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(242) </w:t>
      </w:r>
      <w:r>
        <w:rPr>
          <w:rFonts w:ascii="Arial" w:hAnsi="Arial" w:cs="Arial"/>
          <w:noProof/>
          <w:szCs w:val="24"/>
          <w:lang w:val="en-US"/>
        </w:rPr>
        <w:tab/>
        <w:t>van de Pol, I. L. E.; Hermaniuk, A.; Verberk, W. C. E. P. Interacting Effects of Cell Size and Temperature on Gene Expression, Growth, Deve</w:t>
      </w:r>
      <w:r>
        <w:rPr>
          <w:rFonts w:ascii="Arial" w:hAnsi="Arial" w:cs="Arial"/>
          <w:noProof/>
          <w:szCs w:val="24"/>
          <w:lang w:val="en-US"/>
        </w:rPr>
        <w:t xml:space="preserve">lopment and Swimming Performance in Larval Zebrafish. </w:t>
      </w:r>
      <w:r>
        <w:rPr>
          <w:rFonts w:ascii="Arial" w:hAnsi="Arial" w:cs="Arial"/>
          <w:i/>
          <w:iCs/>
          <w:noProof/>
          <w:szCs w:val="24"/>
          <w:lang w:val="en-US"/>
        </w:rPr>
        <w:t>Front. Physiol.</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738804.</w:t>
      </w:r>
    </w:p>
    <w:p w14:paraId="1F2D345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(243) </w:t>
      </w:r>
      <w:r>
        <w:rPr>
          <w:rFonts w:ascii="Arial" w:hAnsi="Arial" w:cs="Arial"/>
          <w:noProof/>
          <w:szCs w:val="24"/>
          <w:lang w:val="en-US"/>
        </w:rPr>
        <w:tab/>
        <w:t xml:space="preserve">Mueller, E. A.; Westfall, C. S.; Levin, P. A. PH-Dependent Activation of Cytokinesis Modulates Escherichia Coli Cell Size. </w:t>
      </w:r>
      <w:r>
        <w:rPr>
          <w:rFonts w:ascii="Arial" w:hAnsi="Arial" w:cs="Arial"/>
          <w:i/>
          <w:iCs/>
          <w:noProof/>
          <w:szCs w:val="24"/>
          <w:lang w:val="en-US"/>
        </w:rPr>
        <w:t>PLOS Genet.</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16</w:t>
      </w:r>
      <w:r>
        <w:rPr>
          <w:rFonts w:ascii="Arial" w:hAnsi="Arial" w:cs="Arial"/>
          <w:noProof/>
          <w:szCs w:val="24"/>
          <w:lang w:val="en-US"/>
        </w:rPr>
        <w:t xml:space="preserve"> (3), e1008685.</w:t>
      </w:r>
    </w:p>
    <w:p w14:paraId="243CEB8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(2</w:t>
      </w:r>
      <w:r>
        <w:rPr>
          <w:rFonts w:ascii="Arial" w:hAnsi="Arial" w:cs="Arial"/>
          <w:noProof/>
          <w:szCs w:val="24"/>
          <w:lang w:val="en-US"/>
        </w:rPr>
        <w:t xml:space="preserve">44) </w:t>
      </w:r>
      <w:r>
        <w:rPr>
          <w:rFonts w:ascii="Arial" w:hAnsi="Arial" w:cs="Arial"/>
          <w:noProof/>
          <w:szCs w:val="24"/>
          <w:lang w:val="en-US"/>
        </w:rPr>
        <w:tab/>
        <w:t xml:space="preserve">Shimasawa, M.; Sakamaki, J. ichi; Maeda, T.; Mizushima, N. The PH-Sensing Rim101 Pathway Regulates Cell Size in Budding Yeast. </w:t>
      </w:r>
      <w:r>
        <w:rPr>
          <w:rFonts w:ascii="Arial" w:hAnsi="Arial" w:cs="Arial"/>
          <w:i/>
          <w:iCs/>
          <w:noProof/>
          <w:szCs w:val="24"/>
          <w:lang w:val="en-US"/>
        </w:rPr>
        <w:t>J. Biol. Chem.</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299</w:t>
      </w:r>
      <w:r>
        <w:rPr>
          <w:rFonts w:ascii="Arial" w:hAnsi="Arial" w:cs="Arial"/>
          <w:noProof/>
          <w:szCs w:val="24"/>
          <w:lang w:val="en-US"/>
        </w:rPr>
        <w:t xml:space="preserve"> (3), 102973–102974.</w:t>
      </w:r>
    </w:p>
    <w:p w14:paraId="50248DA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(245) </w:t>
      </w:r>
      <w:r>
        <w:rPr>
          <w:rFonts w:ascii="Arial" w:hAnsi="Arial" w:cs="Arial"/>
          <w:noProof/>
          <w:szCs w:val="24"/>
          <w:lang w:val="en-US"/>
        </w:rPr>
        <w:tab/>
        <w:t>MACKENZIE, C. G.; MACKENZIE, J. B.; BECK, P. The Effect of PH on Growth,</w:t>
      </w:r>
      <w:r>
        <w:rPr>
          <w:rFonts w:ascii="Arial" w:hAnsi="Arial" w:cs="Arial"/>
          <w:noProof/>
          <w:szCs w:val="24"/>
          <w:lang w:val="en-US"/>
        </w:rPr>
        <w:t xml:space="preserve"> Protein Synthesis, and Lipid-Rich Particles of Cultured Mammalian Cells. </w:t>
      </w:r>
      <w:r>
        <w:rPr>
          <w:rFonts w:ascii="Arial" w:hAnsi="Arial" w:cs="Arial"/>
          <w:i/>
          <w:iCs/>
          <w:noProof/>
          <w:szCs w:val="24"/>
          <w:lang w:val="en-US"/>
        </w:rPr>
        <w:t>J. Biophys. Biochem. Cytol.</w:t>
      </w:r>
      <w:r>
        <w:rPr>
          <w:rFonts w:ascii="Arial" w:hAnsi="Arial" w:cs="Arial"/>
          <w:noProof/>
          <w:szCs w:val="24"/>
          <w:lang w:val="en-US"/>
        </w:rPr>
        <w:t xml:space="preserve"> </w:t>
      </w:r>
      <w:r>
        <w:rPr>
          <w:rFonts w:ascii="Arial" w:hAnsi="Arial" w:cs="Arial"/>
          <w:b/>
          <w:bCs/>
          <w:noProof/>
          <w:szCs w:val="24"/>
          <w:lang w:val="en-US"/>
        </w:rPr>
        <w:t>1961</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(1), 141–156.</w:t>
      </w:r>
    </w:p>
    <w:p w14:paraId="255B4A4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(246) </w:t>
      </w:r>
      <w:r>
        <w:rPr>
          <w:rFonts w:ascii="Arial" w:hAnsi="Arial" w:cs="Arial"/>
          <w:noProof/>
          <w:szCs w:val="24"/>
          <w:lang w:val="en-US"/>
        </w:rPr>
        <w:tab/>
      </w:r>
      <w:r>
        <w:rPr>
          <w:rFonts w:ascii="Arial" w:hAnsi="Arial" w:cs="Arial"/>
          <w:noProof/>
          <w:szCs w:val="24"/>
          <w:lang w:val="en-US"/>
        </w:rPr>
        <w:t xml:space="preserve">Lee, S.; Shanti, A. Effect of Exogenous PH on Cell Growth of Breast Cancer Cells. </w:t>
      </w:r>
      <w:r>
        <w:rPr>
          <w:rFonts w:ascii="Arial" w:hAnsi="Arial" w:cs="Arial"/>
          <w:i/>
          <w:iCs/>
          <w:noProof/>
          <w:szCs w:val="24"/>
          <w:lang w:val="en-US"/>
        </w:rPr>
        <w:t>Int. J. Mol. Sci. 2021, Vol. 22, Page 9910</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22</w:t>
      </w:r>
      <w:r>
        <w:rPr>
          <w:rFonts w:ascii="Arial" w:hAnsi="Arial" w:cs="Arial"/>
          <w:noProof/>
          <w:szCs w:val="24"/>
          <w:lang w:val="en-US"/>
        </w:rPr>
        <w:t xml:space="preserve"> (18), 9910.</w:t>
      </w:r>
    </w:p>
    <w:p w14:paraId="3A3DADB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(247) </w:t>
      </w:r>
      <w:r>
        <w:rPr>
          <w:rFonts w:ascii="Arial" w:hAnsi="Arial" w:cs="Arial"/>
          <w:noProof/>
          <w:szCs w:val="24"/>
          <w:lang w:val="en-US"/>
        </w:rPr>
        <w:tab/>
        <w:t>Wang, M.; Chai, N.; Sha, B.; Guo, M.; Zhuang, J.; Xu, F.; Li, F. The Effect of Substrate Stiffness on C</w:t>
      </w:r>
      <w:r>
        <w:rPr>
          <w:rFonts w:ascii="Arial" w:hAnsi="Arial" w:cs="Arial"/>
          <w:noProof/>
          <w:szCs w:val="24"/>
          <w:lang w:val="en-US"/>
        </w:rPr>
        <w:t xml:space="preserve">ancer Cell Volume Homeostasis. </w:t>
      </w:r>
      <w:r>
        <w:rPr>
          <w:rFonts w:ascii="Arial" w:hAnsi="Arial" w:cs="Arial"/>
          <w:i/>
          <w:iCs/>
          <w:noProof/>
          <w:szCs w:val="24"/>
          <w:lang w:val="en-US"/>
        </w:rPr>
        <w:t>J. Cell. Physiol.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233</w:t>
      </w:r>
      <w:r>
        <w:rPr>
          <w:rFonts w:ascii="Arial" w:hAnsi="Arial" w:cs="Arial"/>
          <w:noProof/>
          <w:szCs w:val="24"/>
          <w:lang w:val="en-US"/>
        </w:rPr>
        <w:t xml:space="preserve"> (2), 1414–1423.</w:t>
      </w:r>
    </w:p>
    <w:p w14:paraId="6B3DD4C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(248) </w:t>
      </w:r>
      <w:r>
        <w:rPr>
          <w:rFonts w:ascii="Arial" w:hAnsi="Arial" w:cs="Arial"/>
          <w:noProof/>
          <w:szCs w:val="24"/>
          <w:lang w:val="en-US"/>
        </w:rPr>
        <w:tab/>
        <w:t>Yeung, T.; Georges, P. C.; Flanagan, L. A.; Marg, B.; Ortiz, M.; Funaki, M.; Zahir, N.; Ming, W.; Weaver, V.; Janmey, P. A. Effects of Substrate Stiffness on Cell Morphology,</w:t>
      </w:r>
      <w:r>
        <w:rPr>
          <w:rFonts w:ascii="Arial" w:hAnsi="Arial" w:cs="Arial"/>
          <w:noProof/>
          <w:szCs w:val="24"/>
          <w:lang w:val="en-US"/>
        </w:rPr>
        <w:t xml:space="preserve"> Cytoskeletal Structure, and Adhesion. </w:t>
      </w:r>
      <w:r>
        <w:rPr>
          <w:rFonts w:ascii="Arial" w:hAnsi="Arial" w:cs="Arial"/>
          <w:i/>
          <w:iCs/>
          <w:noProof/>
          <w:szCs w:val="24"/>
          <w:lang w:val="en-US"/>
        </w:rPr>
        <w:t>Cell Motil. Cytoskeleton</w:t>
      </w:r>
      <w:r>
        <w:rPr>
          <w:rFonts w:ascii="Arial" w:hAnsi="Arial" w:cs="Arial"/>
          <w:noProof/>
          <w:szCs w:val="24"/>
          <w:lang w:val="en-US"/>
        </w:rPr>
        <w:t xml:space="preserve"> </w:t>
      </w:r>
      <w:r>
        <w:rPr>
          <w:rFonts w:ascii="Arial" w:hAnsi="Arial" w:cs="Arial"/>
          <w:b/>
          <w:bCs/>
          <w:noProof/>
          <w:szCs w:val="24"/>
          <w:lang w:val="en-US"/>
        </w:rPr>
        <w:t>2005</w:t>
      </w:r>
      <w:r>
        <w:rPr>
          <w:rFonts w:ascii="Arial" w:hAnsi="Arial" w:cs="Arial"/>
          <w:noProof/>
          <w:szCs w:val="24"/>
          <w:lang w:val="en-US"/>
        </w:rPr>
        <w:t xml:space="preserve">, </w:t>
      </w:r>
      <w:r>
        <w:rPr>
          <w:rFonts w:ascii="Arial" w:hAnsi="Arial" w:cs="Arial"/>
          <w:i/>
          <w:iCs/>
          <w:noProof/>
          <w:szCs w:val="24"/>
          <w:lang w:val="en-US"/>
        </w:rPr>
        <w:t>60</w:t>
      </w:r>
      <w:r>
        <w:rPr>
          <w:rFonts w:ascii="Arial" w:hAnsi="Arial" w:cs="Arial"/>
          <w:noProof/>
          <w:szCs w:val="24"/>
          <w:lang w:val="en-US"/>
        </w:rPr>
        <w:t xml:space="preserve"> (1), 24–34.</w:t>
      </w:r>
    </w:p>
    <w:p w14:paraId="3E183F2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(249) </w:t>
      </w:r>
      <w:r>
        <w:rPr>
          <w:rFonts w:ascii="Arial" w:hAnsi="Arial" w:cs="Arial"/>
          <w:noProof/>
          <w:szCs w:val="24"/>
          <w:lang w:val="en-US"/>
        </w:rPr>
        <w:tab/>
        <w:t xml:space="preserve">Liu, S.; Tan, C.; Tyers, M.; Zetterberg, A.; Kafri, R. What Programs the Size of Animal Cells? </w:t>
      </w:r>
      <w:r>
        <w:rPr>
          <w:rFonts w:ascii="Arial" w:hAnsi="Arial" w:cs="Arial"/>
          <w:i/>
          <w:iCs/>
          <w:noProof/>
          <w:szCs w:val="24"/>
          <w:lang w:val="en-US"/>
        </w:rPr>
        <w:t>Front. Cell Dev.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 949382.</w:t>
      </w:r>
    </w:p>
    <w:p w14:paraId="433B1D1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(250) </w:t>
      </w:r>
      <w:r>
        <w:rPr>
          <w:rFonts w:ascii="Arial" w:hAnsi="Arial" w:cs="Arial"/>
          <w:noProof/>
          <w:szCs w:val="24"/>
          <w:lang w:val="en-US"/>
        </w:rPr>
        <w:tab/>
        <w:t>Fantes, P. A. Control</w:t>
      </w:r>
      <w:r>
        <w:rPr>
          <w:rFonts w:ascii="Arial" w:hAnsi="Arial" w:cs="Arial"/>
          <w:noProof/>
          <w:szCs w:val="24"/>
          <w:lang w:val="en-US"/>
        </w:rPr>
        <w:t xml:space="preserve"> of Cell Size and Cycle Time in Schizosaccharomyces Pombe.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1977</w:t>
      </w:r>
      <w:r>
        <w:rPr>
          <w:rFonts w:ascii="Arial" w:hAnsi="Arial" w:cs="Arial"/>
          <w:noProof/>
          <w:szCs w:val="24"/>
          <w:lang w:val="en-US"/>
        </w:rPr>
        <w:t xml:space="preserve">, </w:t>
      </w:r>
      <w:r>
        <w:rPr>
          <w:rFonts w:ascii="Arial" w:hAnsi="Arial" w:cs="Arial"/>
          <w:i/>
          <w:iCs/>
          <w:noProof/>
          <w:szCs w:val="24"/>
          <w:lang w:val="en-US"/>
        </w:rPr>
        <w:t>24</w:t>
      </w:r>
      <w:r>
        <w:rPr>
          <w:rFonts w:ascii="Arial" w:hAnsi="Arial" w:cs="Arial"/>
          <w:noProof/>
          <w:szCs w:val="24"/>
          <w:lang w:val="en-US"/>
        </w:rPr>
        <w:t xml:space="preserve"> (1), 51–67.</w:t>
      </w:r>
    </w:p>
    <w:p w14:paraId="4DD90E5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(251) </w:t>
      </w:r>
      <w:r>
        <w:rPr>
          <w:rFonts w:ascii="Arial" w:hAnsi="Arial" w:cs="Arial"/>
          <w:noProof/>
          <w:szCs w:val="24"/>
          <w:lang w:val="en-US"/>
        </w:rPr>
        <w:tab/>
        <w:t xml:space="preserve">Voorn, W. J.; Koppes, L. J. H. Skew or Third Moment of Bacterial Generation Times. </w:t>
      </w:r>
      <w:r>
        <w:rPr>
          <w:rFonts w:ascii="Arial" w:hAnsi="Arial" w:cs="Arial"/>
          <w:i/>
          <w:iCs/>
          <w:noProof/>
          <w:szCs w:val="24"/>
          <w:lang w:val="en-US"/>
        </w:rPr>
        <w:t>Arch. Microbiol.</w:t>
      </w:r>
      <w:r>
        <w:rPr>
          <w:rFonts w:ascii="Arial" w:hAnsi="Arial" w:cs="Arial"/>
          <w:noProof/>
          <w:szCs w:val="24"/>
          <w:lang w:val="en-US"/>
        </w:rPr>
        <w:t xml:space="preserve"> </w:t>
      </w:r>
      <w:r>
        <w:rPr>
          <w:rFonts w:ascii="Arial" w:hAnsi="Arial" w:cs="Arial"/>
          <w:b/>
          <w:bCs/>
          <w:noProof/>
          <w:szCs w:val="24"/>
          <w:lang w:val="en-US"/>
        </w:rPr>
        <w:t>1997</w:t>
      </w:r>
      <w:r>
        <w:rPr>
          <w:rFonts w:ascii="Arial" w:hAnsi="Arial" w:cs="Arial"/>
          <w:noProof/>
          <w:szCs w:val="24"/>
          <w:lang w:val="en-US"/>
        </w:rPr>
        <w:t xml:space="preserve">, </w:t>
      </w:r>
      <w:r>
        <w:rPr>
          <w:rFonts w:ascii="Arial" w:hAnsi="Arial" w:cs="Arial"/>
          <w:i/>
          <w:iCs/>
          <w:noProof/>
          <w:szCs w:val="24"/>
          <w:lang w:val="en-US"/>
        </w:rPr>
        <w:t>169</w:t>
      </w:r>
      <w:r>
        <w:rPr>
          <w:rFonts w:ascii="Arial" w:hAnsi="Arial" w:cs="Arial"/>
          <w:noProof/>
          <w:szCs w:val="24"/>
          <w:lang w:val="en-US"/>
        </w:rPr>
        <w:t xml:space="preserve"> (1), 43–51.</w:t>
      </w:r>
    </w:p>
    <w:p w14:paraId="1B07346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(252) </w:t>
      </w:r>
      <w:r>
        <w:rPr>
          <w:rFonts w:ascii="Arial" w:hAnsi="Arial" w:cs="Arial"/>
          <w:noProof/>
          <w:szCs w:val="24"/>
          <w:lang w:val="en-US"/>
        </w:rPr>
        <w:tab/>
        <w:t>Pan, K. Z.; Saunders, T. E.</w:t>
      </w:r>
      <w:r>
        <w:rPr>
          <w:rFonts w:ascii="Arial" w:hAnsi="Arial" w:cs="Arial"/>
          <w:noProof/>
          <w:szCs w:val="24"/>
          <w:lang w:val="en-US"/>
        </w:rPr>
        <w:t xml:space="preserve">; Flor-Parra, I.; Howard, M.; Chang, F. Cortical Regulation of Cell Size by a Sizer Cdr2p.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2014</w:t>
      </w:r>
      <w:r>
        <w:rPr>
          <w:rFonts w:ascii="Arial" w:hAnsi="Arial" w:cs="Arial"/>
          <w:noProof/>
          <w:szCs w:val="24"/>
          <w:lang w:val="en-US"/>
        </w:rPr>
        <w:t xml:space="preserve"> (3).</w:t>
      </w:r>
    </w:p>
    <w:p w14:paraId="7E71703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(253) </w:t>
      </w:r>
      <w:r>
        <w:rPr>
          <w:rFonts w:ascii="Arial" w:hAnsi="Arial" w:cs="Arial"/>
          <w:noProof/>
          <w:szCs w:val="24"/>
          <w:lang w:val="en-US"/>
        </w:rPr>
        <w:tab/>
        <w:t xml:space="preserve">Cadart, C.; Monnier, S.; Grilli, J.; Sáez, P. J.; Srivastava, N.; Attia, R.; Terriac, E.; Baum, B.; Cosentino-Lagomarsino, M.; Piel, M. </w:t>
      </w:r>
      <w:r>
        <w:rPr>
          <w:rFonts w:ascii="Arial" w:hAnsi="Arial" w:cs="Arial"/>
          <w:noProof/>
          <w:szCs w:val="24"/>
          <w:lang w:val="en-US"/>
        </w:rPr>
        <w:t xml:space="preserve">Size Control in Mammalian Cells Involves Modulation of Both Growth Rate and Cell Cycle Duration. </w:t>
      </w:r>
      <w:r>
        <w:rPr>
          <w:rFonts w:ascii="Arial" w:hAnsi="Arial" w:cs="Arial"/>
          <w:i/>
          <w:iCs/>
          <w:noProof/>
          <w:szCs w:val="24"/>
          <w:lang w:val="en-US"/>
        </w:rPr>
        <w:t>Nat. Commun.</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(1), 3275.</w:t>
      </w:r>
    </w:p>
    <w:p w14:paraId="60EAB4F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(254) </w:t>
      </w:r>
      <w:r>
        <w:rPr>
          <w:rFonts w:ascii="Arial" w:hAnsi="Arial" w:cs="Arial"/>
          <w:noProof/>
          <w:szCs w:val="24"/>
          <w:lang w:val="en-US"/>
        </w:rPr>
        <w:tab/>
        <w:t>Soifer, I.; Robert, L.; Amir, A. Single-Cell Analysis of Growth in Budding Yeast and Bacteria Reveals a Common Size Regu</w:t>
      </w:r>
      <w:r>
        <w:rPr>
          <w:rFonts w:ascii="Arial" w:hAnsi="Arial" w:cs="Arial"/>
          <w:noProof/>
          <w:szCs w:val="24"/>
          <w:lang w:val="en-US"/>
        </w:rPr>
        <w:t xml:space="preserve">lation Strategy.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26</w:t>
      </w:r>
      <w:r>
        <w:rPr>
          <w:rFonts w:ascii="Arial" w:hAnsi="Arial" w:cs="Arial"/>
          <w:noProof/>
          <w:szCs w:val="24"/>
          <w:lang w:val="en-US"/>
        </w:rPr>
        <w:t xml:space="preserve"> (3), 356–361.</w:t>
      </w:r>
    </w:p>
    <w:p w14:paraId="272C35A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(255) </w:t>
      </w:r>
      <w:r>
        <w:rPr>
          <w:rFonts w:ascii="Arial" w:hAnsi="Arial" w:cs="Arial"/>
          <w:noProof/>
          <w:szCs w:val="24"/>
          <w:lang w:val="en-US"/>
        </w:rPr>
        <w:tab/>
        <w:t xml:space="preserve">Rhind, N. Cell-Size Control. </w:t>
      </w:r>
      <w:r>
        <w:rPr>
          <w:rFonts w:ascii="Arial" w:hAnsi="Arial" w:cs="Arial"/>
          <w:b/>
          <w:bCs/>
          <w:noProof/>
          <w:szCs w:val="24"/>
          <w:lang w:val="en-US"/>
        </w:rPr>
        <w:t>2021</w:t>
      </w:r>
      <w:r>
        <w:rPr>
          <w:rFonts w:ascii="Arial" w:hAnsi="Arial" w:cs="Arial"/>
          <w:noProof/>
          <w:szCs w:val="24"/>
          <w:lang w:val="en-US"/>
        </w:rPr>
        <w:t>.</w:t>
      </w:r>
    </w:p>
    <w:p w14:paraId="66121E2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(256) </w:t>
      </w:r>
      <w:r>
        <w:rPr>
          <w:rFonts w:ascii="Arial" w:hAnsi="Arial" w:cs="Arial"/>
          <w:noProof/>
          <w:szCs w:val="24"/>
          <w:lang w:val="en-US"/>
        </w:rPr>
        <w:tab/>
      </w:r>
      <w:r>
        <w:rPr>
          <w:rFonts w:ascii="Arial" w:hAnsi="Arial" w:cs="Arial"/>
          <w:noProof/>
          <w:szCs w:val="24"/>
          <w:lang w:val="en-US"/>
        </w:rPr>
        <w:t xml:space="preserve">Medina, E. M.; Turner, J. J.; Gordân, R.; Skotheim, J. M.; Buchler, N. E. Punctuated Evolution and Transitional Hybrid Network in an Ancestral Cell Cycle of Fungi.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5</w:t>
      </w:r>
      <w:r>
        <w:rPr>
          <w:rFonts w:ascii="Arial" w:hAnsi="Arial" w:cs="Arial"/>
          <w:noProof/>
          <w:szCs w:val="24"/>
          <w:lang w:val="en-US"/>
        </w:rPr>
        <w:t>.</w:t>
      </w:r>
    </w:p>
    <w:p w14:paraId="601CA97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(257) </w:t>
      </w:r>
      <w:r>
        <w:rPr>
          <w:rFonts w:ascii="Arial" w:hAnsi="Arial" w:cs="Arial"/>
          <w:noProof/>
          <w:szCs w:val="24"/>
          <w:lang w:val="en-US"/>
        </w:rPr>
        <w:tab/>
        <w:t>Costanzo, M.; Nishikawa, J. L.; Tang, X.; Millman, J. S.; Schub, O.; B</w:t>
      </w:r>
      <w:r>
        <w:rPr>
          <w:rFonts w:ascii="Arial" w:hAnsi="Arial" w:cs="Arial"/>
          <w:noProof/>
          <w:szCs w:val="24"/>
          <w:lang w:val="en-US"/>
        </w:rPr>
        <w:t xml:space="preserve">reitkreuz, K.; Dewar, D.; Rupes, I.; Andrews, B.; Tyers, M. CDK Activity Antagonizes Whi5, an Inhibitor of G1/S Transcription in Yeast.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2004</w:t>
      </w:r>
      <w:r>
        <w:rPr>
          <w:rFonts w:ascii="Arial" w:hAnsi="Arial" w:cs="Arial"/>
          <w:noProof/>
          <w:szCs w:val="24"/>
          <w:lang w:val="en-US"/>
        </w:rPr>
        <w:t xml:space="preserve">, </w:t>
      </w:r>
      <w:r>
        <w:rPr>
          <w:rFonts w:ascii="Arial" w:hAnsi="Arial" w:cs="Arial"/>
          <w:i/>
          <w:iCs/>
          <w:noProof/>
          <w:szCs w:val="24"/>
          <w:lang w:val="en-US"/>
        </w:rPr>
        <w:t>117</w:t>
      </w:r>
      <w:r>
        <w:rPr>
          <w:rFonts w:ascii="Arial" w:hAnsi="Arial" w:cs="Arial"/>
          <w:noProof/>
          <w:szCs w:val="24"/>
          <w:lang w:val="en-US"/>
        </w:rPr>
        <w:t xml:space="preserve"> (7), 899–913.</w:t>
      </w:r>
    </w:p>
    <w:p w14:paraId="469F3E5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(258) </w:t>
      </w:r>
      <w:r>
        <w:rPr>
          <w:rFonts w:ascii="Arial" w:hAnsi="Arial" w:cs="Arial"/>
          <w:noProof/>
          <w:szCs w:val="24"/>
          <w:lang w:val="en-US"/>
        </w:rPr>
        <w:tab/>
        <w:t xml:space="preserve">De Bruin, R. A. M.; McDonald, W. H.; Kalashnikova, T. I.; Yates, J.; Wittenberg, C. </w:t>
      </w:r>
      <w:r>
        <w:rPr>
          <w:rFonts w:ascii="Arial" w:hAnsi="Arial" w:cs="Arial"/>
          <w:noProof/>
          <w:szCs w:val="24"/>
          <w:lang w:val="en-US"/>
        </w:rPr>
        <w:t xml:space="preserve">Cln3 Activates G1-Specific Transcription via Phosphorylation of the SBF Bound Repressor Whi5.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2004</w:t>
      </w:r>
      <w:r>
        <w:rPr>
          <w:rFonts w:ascii="Arial" w:hAnsi="Arial" w:cs="Arial"/>
          <w:noProof/>
          <w:szCs w:val="24"/>
          <w:lang w:val="en-US"/>
        </w:rPr>
        <w:t xml:space="preserve">, </w:t>
      </w:r>
      <w:r>
        <w:rPr>
          <w:rFonts w:ascii="Arial" w:hAnsi="Arial" w:cs="Arial"/>
          <w:i/>
          <w:iCs/>
          <w:noProof/>
          <w:szCs w:val="24"/>
          <w:lang w:val="en-US"/>
        </w:rPr>
        <w:t>117</w:t>
      </w:r>
      <w:r>
        <w:rPr>
          <w:rFonts w:ascii="Arial" w:hAnsi="Arial" w:cs="Arial"/>
          <w:noProof/>
          <w:szCs w:val="24"/>
          <w:lang w:val="en-US"/>
        </w:rPr>
        <w:t xml:space="preserve"> (7), 887–898.</w:t>
      </w:r>
    </w:p>
    <w:p w14:paraId="6628255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(259) </w:t>
      </w:r>
      <w:r>
        <w:rPr>
          <w:rFonts w:ascii="Arial" w:hAnsi="Arial" w:cs="Arial"/>
          <w:noProof/>
          <w:szCs w:val="24"/>
          <w:lang w:val="en-US"/>
        </w:rPr>
        <w:tab/>
        <w:t>R Jones, A.; Forero-Vargas, M.; Withers, S. P.; Smith, R. S.; Traas, J.; Dewitte, W.; Murray, J. A. H. Cell-Size Dependent Pro</w:t>
      </w:r>
      <w:r>
        <w:rPr>
          <w:rFonts w:ascii="Arial" w:hAnsi="Arial" w:cs="Arial"/>
          <w:noProof/>
          <w:szCs w:val="24"/>
          <w:lang w:val="en-US"/>
        </w:rPr>
        <w:t xml:space="preserve">gression of the Cell Cycle Creates Homeostasis and Flexibility of Plant Cell Size. </w:t>
      </w:r>
      <w:r>
        <w:rPr>
          <w:rFonts w:ascii="Arial" w:hAnsi="Arial" w:cs="Arial"/>
          <w:i/>
          <w:iCs/>
          <w:noProof/>
          <w:szCs w:val="24"/>
          <w:lang w:val="en-US"/>
        </w:rPr>
        <w:t>Nat. Commun.</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15060.</w:t>
      </w:r>
    </w:p>
    <w:p w14:paraId="2D2E47B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(260) </w:t>
      </w:r>
      <w:r>
        <w:rPr>
          <w:rFonts w:ascii="Arial" w:hAnsi="Arial" w:cs="Arial"/>
          <w:noProof/>
          <w:szCs w:val="24"/>
          <w:lang w:val="en-US"/>
        </w:rPr>
        <w:tab/>
      </w:r>
      <w:r>
        <w:rPr>
          <w:rFonts w:ascii="Arial" w:hAnsi="Arial" w:cs="Arial"/>
          <w:noProof/>
          <w:szCs w:val="24"/>
          <w:lang w:val="en-US"/>
        </w:rPr>
        <w:t xml:space="preserve">Sablowski, R.; Gutierrez, C. Cycling in a Crowd: Coordination of Plant Cell Division, Growth, and Cell Fate. </w:t>
      </w:r>
      <w:r>
        <w:rPr>
          <w:rFonts w:ascii="Arial" w:hAnsi="Arial" w:cs="Arial"/>
          <w:i/>
          <w:iCs/>
          <w:noProof/>
          <w:szCs w:val="24"/>
          <w:lang w:val="en-US"/>
        </w:rPr>
        <w:t>Plant Cell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34</w:t>
      </w:r>
      <w:r>
        <w:rPr>
          <w:rFonts w:ascii="Arial" w:hAnsi="Arial" w:cs="Arial"/>
          <w:noProof/>
          <w:szCs w:val="24"/>
          <w:lang w:val="en-US"/>
        </w:rPr>
        <w:t xml:space="preserve"> (1), 193–208.</w:t>
      </w:r>
    </w:p>
    <w:p w14:paraId="6382E72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(261) </w:t>
      </w:r>
      <w:r>
        <w:rPr>
          <w:rFonts w:ascii="Arial" w:hAnsi="Arial" w:cs="Arial"/>
          <w:noProof/>
          <w:szCs w:val="24"/>
          <w:lang w:val="en-US"/>
        </w:rPr>
        <w:tab/>
        <w:t>Killander, D.; Zetterberg, A. A Quantitative Cytochemical Investigation of the Relationship between Cell M</w:t>
      </w:r>
      <w:r>
        <w:rPr>
          <w:rFonts w:ascii="Arial" w:hAnsi="Arial" w:cs="Arial"/>
          <w:noProof/>
          <w:szCs w:val="24"/>
          <w:lang w:val="en-US"/>
        </w:rPr>
        <w:t xml:space="preserve">ass and Initiation of DNA Synthesis in Mouse Fibroblasts in Vitro. </w:t>
      </w:r>
      <w:r>
        <w:rPr>
          <w:rFonts w:ascii="Arial" w:hAnsi="Arial" w:cs="Arial"/>
          <w:i/>
          <w:iCs/>
          <w:noProof/>
          <w:szCs w:val="24"/>
          <w:lang w:val="en-US"/>
        </w:rPr>
        <w:t>Exp. Cell Res.</w:t>
      </w:r>
      <w:r>
        <w:rPr>
          <w:rFonts w:ascii="Arial" w:hAnsi="Arial" w:cs="Arial"/>
          <w:noProof/>
          <w:szCs w:val="24"/>
          <w:lang w:val="en-US"/>
        </w:rPr>
        <w:t xml:space="preserve"> </w:t>
      </w:r>
      <w:r>
        <w:rPr>
          <w:rFonts w:ascii="Arial" w:hAnsi="Arial" w:cs="Arial"/>
          <w:b/>
          <w:bCs/>
          <w:noProof/>
          <w:szCs w:val="24"/>
          <w:lang w:val="en-US"/>
        </w:rPr>
        <w:t>1965</w:t>
      </w:r>
      <w:r>
        <w:rPr>
          <w:rFonts w:ascii="Arial" w:hAnsi="Arial" w:cs="Arial"/>
          <w:noProof/>
          <w:szCs w:val="24"/>
          <w:lang w:val="en-US"/>
        </w:rPr>
        <w:t xml:space="preserve">, </w:t>
      </w:r>
      <w:r>
        <w:rPr>
          <w:rFonts w:ascii="Arial" w:hAnsi="Arial" w:cs="Arial"/>
          <w:i/>
          <w:iCs/>
          <w:noProof/>
          <w:szCs w:val="24"/>
          <w:lang w:val="en-US"/>
        </w:rPr>
        <w:t>40</w:t>
      </w:r>
      <w:r>
        <w:rPr>
          <w:rFonts w:ascii="Arial" w:hAnsi="Arial" w:cs="Arial"/>
          <w:noProof/>
          <w:szCs w:val="24"/>
          <w:lang w:val="en-US"/>
        </w:rPr>
        <w:t xml:space="preserve"> (1), 12–20.</w:t>
      </w:r>
    </w:p>
    <w:p w14:paraId="2FEB175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(262) </w:t>
      </w:r>
      <w:r>
        <w:rPr>
          <w:rFonts w:ascii="Arial" w:hAnsi="Arial" w:cs="Arial"/>
          <w:noProof/>
          <w:szCs w:val="24"/>
          <w:lang w:val="en-US"/>
        </w:rPr>
        <w:tab/>
        <w:t xml:space="preserve">Dolznig, H.; Grebien, F.; Sauer, T.; Beug, H.; Müllner, E. W. Evidence for a Size-Sensing Mechanism in Animal Cells. </w:t>
      </w:r>
      <w:r>
        <w:rPr>
          <w:rFonts w:ascii="Arial" w:hAnsi="Arial" w:cs="Arial"/>
          <w:i/>
          <w:iCs/>
          <w:noProof/>
          <w:szCs w:val="24"/>
          <w:lang w:val="en-US"/>
        </w:rPr>
        <w:t>Nat. Cell Biol. 2004 69</w:t>
      </w:r>
      <w:r>
        <w:rPr>
          <w:rFonts w:ascii="Arial" w:hAnsi="Arial" w:cs="Arial"/>
          <w:noProof/>
          <w:szCs w:val="24"/>
          <w:lang w:val="en-US"/>
        </w:rPr>
        <w:t xml:space="preserve"> </w:t>
      </w:r>
      <w:r>
        <w:rPr>
          <w:rFonts w:ascii="Arial" w:hAnsi="Arial" w:cs="Arial"/>
          <w:b/>
          <w:bCs/>
          <w:noProof/>
          <w:szCs w:val="24"/>
          <w:lang w:val="en-US"/>
        </w:rPr>
        <w:t>2004</w:t>
      </w:r>
      <w:r>
        <w:rPr>
          <w:rFonts w:ascii="Arial" w:hAnsi="Arial" w:cs="Arial"/>
          <w:noProof/>
          <w:szCs w:val="24"/>
          <w:lang w:val="en-US"/>
        </w:rPr>
        <w:t>,</w:t>
      </w:r>
      <w:r>
        <w:rPr>
          <w:rFonts w:ascii="Arial" w:hAnsi="Arial" w:cs="Arial"/>
          <w:noProof/>
          <w:szCs w:val="24"/>
          <w:lang w:val="en-US"/>
        </w:rPr>
        <w:t xml:space="preserve"> </w:t>
      </w:r>
      <w:r>
        <w:rPr>
          <w:rFonts w:ascii="Arial" w:hAnsi="Arial" w:cs="Arial"/>
          <w:i/>
          <w:iCs/>
          <w:noProof/>
          <w:szCs w:val="24"/>
          <w:lang w:val="en-US"/>
        </w:rPr>
        <w:t>6</w:t>
      </w:r>
      <w:r>
        <w:rPr>
          <w:rFonts w:ascii="Arial" w:hAnsi="Arial" w:cs="Arial"/>
          <w:noProof/>
          <w:szCs w:val="24"/>
          <w:lang w:val="en-US"/>
        </w:rPr>
        <w:t xml:space="preserve"> (9), 899–905.</w:t>
      </w:r>
    </w:p>
    <w:p w14:paraId="68EC343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lang w:val="en-US"/>
        </w:rPr>
        <w:t xml:space="preserve">(263) </w:t>
      </w:r>
      <w:r>
        <w:rPr>
          <w:rFonts w:ascii="Arial" w:hAnsi="Arial" w:cs="Arial"/>
          <w:noProof/>
          <w:szCs w:val="24"/>
          <w:lang w:val="en-US"/>
        </w:rPr>
        <w:tab/>
        <w:t xml:space="preserve">Kafri, R.; Levy, J.; Ginzberg, M. B.; Oh, S.; Lahav, G.; Kirschner, M. W. Dynamics Extracted from Fixed Cells Reveal Feedback Linking Cell Growth to Cell Cycle. </w:t>
      </w:r>
      <w:r>
        <w:rPr>
          <w:rFonts w:ascii="Arial" w:hAnsi="Arial" w:cs="Arial"/>
          <w:i/>
          <w:iCs/>
          <w:noProof/>
          <w:szCs w:val="24"/>
        </w:rPr>
        <w:t>Nature</w:t>
      </w:r>
      <w:r>
        <w:rPr>
          <w:rFonts w:ascii="Arial" w:hAnsi="Arial" w:cs="Arial"/>
          <w:noProof/>
          <w:szCs w:val="24"/>
        </w:rPr>
        <w:t xml:space="preserve"> </w:t>
      </w:r>
      <w:r>
        <w:rPr>
          <w:rFonts w:ascii="Arial" w:hAnsi="Arial" w:cs="Arial"/>
          <w:b/>
          <w:bCs/>
          <w:noProof/>
          <w:szCs w:val="24"/>
        </w:rPr>
        <w:t>2013</w:t>
      </w:r>
      <w:r>
        <w:rPr>
          <w:rFonts w:ascii="Arial" w:hAnsi="Arial" w:cs="Arial"/>
          <w:noProof/>
          <w:szCs w:val="24"/>
        </w:rPr>
        <w:t xml:space="preserve">, </w:t>
      </w:r>
      <w:r>
        <w:rPr>
          <w:rFonts w:ascii="Arial" w:hAnsi="Arial" w:cs="Arial"/>
          <w:i/>
          <w:iCs/>
          <w:noProof/>
          <w:szCs w:val="24"/>
        </w:rPr>
        <w:t>494</w:t>
      </w:r>
      <w:r>
        <w:rPr>
          <w:rFonts w:ascii="Arial" w:hAnsi="Arial" w:cs="Arial"/>
          <w:noProof/>
          <w:szCs w:val="24"/>
        </w:rPr>
        <w:t xml:space="preserve"> (7438), 480–483.</w:t>
      </w:r>
    </w:p>
    <w:p w14:paraId="489BC4E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rPr>
        <w:t xml:space="preserve">(264) </w:t>
      </w:r>
      <w:r>
        <w:rPr>
          <w:rFonts w:ascii="Arial" w:hAnsi="Arial" w:cs="Arial"/>
          <w:noProof/>
          <w:szCs w:val="24"/>
        </w:rPr>
        <w:tab/>
      </w:r>
      <w:r>
        <w:rPr>
          <w:rFonts w:ascii="Arial" w:hAnsi="Arial" w:cs="Arial"/>
          <w:noProof/>
          <w:szCs w:val="24"/>
        </w:rPr>
        <w:t xml:space="preserve">Liu, S.; Ginzberg, M. B.; Patel, N.; Hild, M.; Leung, B.; Li, Z.; Chen, Y. C.; Chang, N.; Wang, Y.; Tan, C.; et al. </w:t>
      </w:r>
      <w:r>
        <w:rPr>
          <w:rFonts w:ascii="Arial" w:hAnsi="Arial" w:cs="Arial"/>
          <w:noProof/>
          <w:szCs w:val="24"/>
          <w:lang w:val="en-US"/>
        </w:rPr>
        <w:t xml:space="preserve">Size Uniformity of Animal Cells Is Actively Maintained by a P38 MAPK-Dependent Regulation of G1-Length.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w:t>
      </w:r>
    </w:p>
    <w:p w14:paraId="1ADD77C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(265) </w:t>
      </w:r>
      <w:r>
        <w:rPr>
          <w:rFonts w:ascii="Arial" w:hAnsi="Arial" w:cs="Arial"/>
          <w:noProof/>
          <w:szCs w:val="24"/>
          <w:lang w:val="en-US"/>
        </w:rPr>
        <w:tab/>
        <w:t>Ginzberg, M. B</w:t>
      </w:r>
      <w:r>
        <w:rPr>
          <w:rFonts w:ascii="Arial" w:hAnsi="Arial" w:cs="Arial"/>
          <w:noProof/>
          <w:szCs w:val="24"/>
          <w:lang w:val="en-US"/>
        </w:rPr>
        <w:t xml:space="preserve">.; Chang, N.; D’souza, H.; Patel, N.; Kafri, R.; Kirschner, M. W. Cell </w:t>
      </w:r>
      <w:r>
        <w:rPr>
          <w:rFonts w:ascii="Arial" w:hAnsi="Arial" w:cs="Arial"/>
          <w:noProof/>
          <w:szCs w:val="24"/>
          <w:lang w:val="en-US"/>
        </w:rPr>
        <w:lastRenderedPageBreak/>
        <w:t xml:space="preserve">Size Sensing in Animal Cells Coordinates Anabolic Growth Rates and Cell Cycle Progression to Maintain Cell Size Uniformity.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w:t>
      </w:r>
    </w:p>
    <w:p w14:paraId="3D481CE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(266) </w:t>
      </w:r>
      <w:r>
        <w:rPr>
          <w:rFonts w:ascii="Arial" w:hAnsi="Arial" w:cs="Arial"/>
          <w:noProof/>
          <w:szCs w:val="24"/>
          <w:lang w:val="en-US"/>
        </w:rPr>
        <w:tab/>
        <w:t>Narasimha, A. M.; Kaulich, M.; Shapiro,</w:t>
      </w:r>
      <w:r>
        <w:rPr>
          <w:rFonts w:ascii="Arial" w:hAnsi="Arial" w:cs="Arial"/>
          <w:noProof/>
          <w:szCs w:val="24"/>
          <w:lang w:val="en-US"/>
        </w:rPr>
        <w:t xml:space="preserve"> G. S.; Choi, Y. J.; Sicinski, P.; Dowdy, S. F. Cyclin D Activates the Rb Tumor Suppressor by Mono-Phosphorylation.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3</w:t>
      </w:r>
      <w:r>
        <w:rPr>
          <w:rFonts w:ascii="Arial" w:hAnsi="Arial" w:cs="Arial"/>
          <w:noProof/>
          <w:szCs w:val="24"/>
          <w:lang w:val="en-US"/>
        </w:rPr>
        <w:t>.</w:t>
      </w:r>
    </w:p>
    <w:p w14:paraId="1289921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(267) </w:t>
      </w:r>
      <w:r>
        <w:rPr>
          <w:rFonts w:ascii="Arial" w:hAnsi="Arial" w:cs="Arial"/>
          <w:noProof/>
          <w:szCs w:val="24"/>
          <w:lang w:val="en-US"/>
        </w:rPr>
        <w:tab/>
        <w:t>Liu, S.; Tan, C.; Melo-Gavin, C.; Mark, K. G.; Ginzberg, M. B.; Blutrich, R.; Patel, N.; Rape, M.; Kafri, R.; Affiliat</w:t>
      </w:r>
      <w:r>
        <w:rPr>
          <w:rFonts w:ascii="Arial" w:hAnsi="Arial" w:cs="Arial"/>
          <w:noProof/>
          <w:szCs w:val="24"/>
          <w:lang w:val="en-US"/>
        </w:rPr>
        <w:t xml:space="preserve">ions, #. Large Cells Activate Global Protein Degradation to Maintain Cell Size Homeostasis.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2021.11.09.467936.</w:t>
      </w:r>
    </w:p>
    <w:p w14:paraId="42B5B9A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(268) </w:t>
      </w:r>
      <w:r>
        <w:rPr>
          <w:rFonts w:ascii="Arial" w:hAnsi="Arial" w:cs="Arial"/>
          <w:noProof/>
          <w:szCs w:val="24"/>
          <w:lang w:val="en-US"/>
        </w:rPr>
        <w:tab/>
        <w:t xml:space="preserve">Varsano, G.; Wang, Y.; Wu, M. Probing Mammalian Cell Size Homeostasis by Channel-Assisted Cell Reshaping. </w:t>
      </w:r>
      <w:r>
        <w:rPr>
          <w:rFonts w:ascii="Arial" w:hAnsi="Arial" w:cs="Arial"/>
          <w:i/>
          <w:iCs/>
          <w:noProof/>
          <w:szCs w:val="24"/>
          <w:lang w:val="en-US"/>
        </w:rPr>
        <w:t>Cell Rep.</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20</w:t>
      </w:r>
      <w:r>
        <w:rPr>
          <w:rFonts w:ascii="Arial" w:hAnsi="Arial" w:cs="Arial"/>
          <w:noProof/>
          <w:szCs w:val="24"/>
          <w:lang w:val="en-US"/>
        </w:rPr>
        <w:t xml:space="preserve"> (2), 397–410.</w:t>
      </w:r>
    </w:p>
    <w:p w14:paraId="50A0BBF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(269) </w:t>
      </w:r>
      <w:r>
        <w:rPr>
          <w:rFonts w:ascii="Arial" w:hAnsi="Arial" w:cs="Arial"/>
          <w:noProof/>
          <w:szCs w:val="24"/>
          <w:lang w:val="en-US"/>
        </w:rPr>
        <w:tab/>
        <w:t xml:space="preserve">Schwarz, C.; Johnson, A.; Kõ Ivom€ Agi, M.; Zatulovskiy, E.; Kravitz, C. J.; Doncic, A.; Skotheim Correspondence, J. M. A Precise Cdk Activity Threshold Determines Passage through the Restriction Point. </w:t>
      </w:r>
      <w:r>
        <w:rPr>
          <w:rFonts w:ascii="Arial" w:hAnsi="Arial" w:cs="Arial"/>
          <w:b/>
          <w:bCs/>
          <w:noProof/>
          <w:szCs w:val="24"/>
          <w:lang w:val="en-US"/>
        </w:rPr>
        <w:t>2018</w:t>
      </w:r>
      <w:r>
        <w:rPr>
          <w:rFonts w:ascii="Arial" w:hAnsi="Arial" w:cs="Arial"/>
          <w:noProof/>
          <w:szCs w:val="24"/>
          <w:lang w:val="en-US"/>
        </w:rPr>
        <w:t>.</w:t>
      </w:r>
    </w:p>
    <w:p w14:paraId="41590E8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(270) </w:t>
      </w:r>
      <w:r>
        <w:rPr>
          <w:rFonts w:ascii="Arial" w:hAnsi="Arial" w:cs="Arial"/>
          <w:noProof/>
          <w:szCs w:val="24"/>
          <w:lang w:val="en-US"/>
        </w:rPr>
        <w:tab/>
        <w:t>Mesa, K. R.; Kawag</w:t>
      </w:r>
      <w:r>
        <w:rPr>
          <w:rFonts w:ascii="Arial" w:hAnsi="Arial" w:cs="Arial"/>
          <w:noProof/>
          <w:szCs w:val="24"/>
          <w:lang w:val="en-US"/>
        </w:rPr>
        <w:t xml:space="preserve">uchi, K.; Cockburn, K.; Xin, T.; Klein, A. M.; Greco, V. Homeostatic Epidermal Stem Cell Self-Renewal Is Driven by Local Differentiation. </w:t>
      </w:r>
      <w:r>
        <w:rPr>
          <w:rFonts w:ascii="Arial" w:hAnsi="Arial" w:cs="Arial"/>
          <w:i/>
          <w:iCs/>
          <w:noProof/>
          <w:szCs w:val="24"/>
          <w:lang w:val="en-US"/>
        </w:rPr>
        <w:t>Cell Stem Cell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23</w:t>
      </w:r>
      <w:r>
        <w:rPr>
          <w:rFonts w:ascii="Arial" w:hAnsi="Arial" w:cs="Arial"/>
          <w:noProof/>
          <w:szCs w:val="24"/>
          <w:lang w:val="en-US"/>
        </w:rPr>
        <w:t>, 677–686.</w:t>
      </w:r>
    </w:p>
    <w:p w14:paraId="108F830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(271) </w:t>
      </w:r>
      <w:r>
        <w:rPr>
          <w:rFonts w:ascii="Arial" w:hAnsi="Arial" w:cs="Arial"/>
          <w:noProof/>
          <w:szCs w:val="24"/>
          <w:lang w:val="en-US"/>
        </w:rPr>
        <w:tab/>
        <w:t>Xie, S.; Skotheim, J. M. A G1 Sizer Coordinates Growth and Division in the Mo</w:t>
      </w:r>
      <w:r>
        <w:rPr>
          <w:rFonts w:ascii="Arial" w:hAnsi="Arial" w:cs="Arial"/>
          <w:noProof/>
          <w:szCs w:val="24"/>
          <w:lang w:val="en-US"/>
        </w:rPr>
        <w:t xml:space="preserve">use Epidermis. </w:t>
      </w:r>
      <w:r>
        <w:rPr>
          <w:rFonts w:ascii="Arial" w:hAnsi="Arial" w:cs="Arial"/>
          <w:b/>
          <w:bCs/>
          <w:noProof/>
          <w:szCs w:val="24"/>
          <w:lang w:val="en-US"/>
        </w:rPr>
        <w:t>2020</w:t>
      </w:r>
      <w:r>
        <w:rPr>
          <w:rFonts w:ascii="Arial" w:hAnsi="Arial" w:cs="Arial"/>
          <w:noProof/>
          <w:szCs w:val="24"/>
          <w:lang w:val="en-US"/>
        </w:rPr>
        <w:t>.</w:t>
      </w:r>
    </w:p>
    <w:p w14:paraId="6CA159A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(272) </w:t>
      </w:r>
      <w:r>
        <w:rPr>
          <w:rFonts w:ascii="Arial" w:hAnsi="Arial" w:cs="Arial"/>
          <w:noProof/>
          <w:szCs w:val="24"/>
          <w:lang w:val="en-US"/>
        </w:rPr>
        <w:tab/>
        <w:t xml:space="preserve">Xie, S.; Zhang, S.; Medeiros, G. de; Liberali, P.; Skotheim, J. M. The G1/S Transition in Mammalian Stem Cells in Vivo Is Autonomously Regulated by Cell Size.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2024</w:t>
      </w:r>
      <w:r>
        <w:rPr>
          <w:rFonts w:ascii="Arial" w:hAnsi="Arial" w:cs="Arial"/>
          <w:noProof/>
          <w:szCs w:val="24"/>
          <w:lang w:val="en-US"/>
        </w:rPr>
        <w:t>, 2024.04.09.588781.</w:t>
      </w:r>
    </w:p>
    <w:p w14:paraId="04FA81B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(273) </w:t>
      </w:r>
      <w:r>
        <w:rPr>
          <w:rFonts w:ascii="Arial" w:hAnsi="Arial" w:cs="Arial"/>
          <w:noProof/>
          <w:szCs w:val="24"/>
          <w:lang w:val="en-US"/>
        </w:rPr>
        <w:tab/>
      </w:r>
      <w:r>
        <w:rPr>
          <w:rFonts w:ascii="Arial" w:hAnsi="Arial" w:cs="Arial"/>
          <w:noProof/>
          <w:szCs w:val="24"/>
          <w:lang w:val="en-US"/>
        </w:rPr>
        <w:t xml:space="preserve">Proulx-Giraldeau, F.; Skotheim, J. M.; Francois, P. Evolution of Cell Size Control Is Canalized towards Adders or Sizers by Cell Cycle Structure and Selective Pressures.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w:t>
      </w:r>
    </w:p>
    <w:p w14:paraId="1950108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(274) </w:t>
      </w:r>
      <w:r>
        <w:rPr>
          <w:rFonts w:ascii="Arial" w:hAnsi="Arial" w:cs="Arial"/>
          <w:noProof/>
          <w:szCs w:val="24"/>
          <w:lang w:val="en-US"/>
        </w:rPr>
        <w:tab/>
        <w:t xml:space="preserve">Cross, F. R.; Umen, J. G. The Chlamydomonas Cell Cycle. </w:t>
      </w:r>
      <w:r>
        <w:rPr>
          <w:rFonts w:ascii="Arial" w:hAnsi="Arial" w:cs="Arial"/>
          <w:i/>
          <w:iCs/>
          <w:noProof/>
          <w:szCs w:val="24"/>
          <w:lang w:val="en-US"/>
        </w:rPr>
        <w:t>Plant J</w:t>
      </w:r>
      <w:r>
        <w:rPr>
          <w:rFonts w:ascii="Arial" w:hAnsi="Arial" w:cs="Arial"/>
          <w:i/>
          <w:iCs/>
          <w:noProof/>
          <w:szCs w:val="24"/>
          <w:lang w:val="en-US"/>
        </w:rPr>
        <w:t>.</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82</w:t>
      </w:r>
      <w:r>
        <w:rPr>
          <w:rFonts w:ascii="Arial" w:hAnsi="Arial" w:cs="Arial"/>
          <w:noProof/>
          <w:szCs w:val="24"/>
          <w:lang w:val="en-US"/>
        </w:rPr>
        <w:t xml:space="preserve"> (3), 370–392.</w:t>
      </w:r>
    </w:p>
    <w:p w14:paraId="2F97790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(275) </w:t>
      </w:r>
      <w:r>
        <w:rPr>
          <w:rFonts w:ascii="Arial" w:hAnsi="Arial" w:cs="Arial"/>
          <w:noProof/>
          <w:szCs w:val="24"/>
          <w:lang w:val="en-US"/>
        </w:rPr>
        <w:tab/>
        <w:t xml:space="preserve">Spudich, J. L.; Sager, R. Regulation of the Chlamydomonas Cell Cycle by Light and Dark.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1980</w:t>
      </w:r>
      <w:r>
        <w:rPr>
          <w:rFonts w:ascii="Arial" w:hAnsi="Arial" w:cs="Arial"/>
          <w:noProof/>
          <w:szCs w:val="24"/>
          <w:lang w:val="en-US"/>
        </w:rPr>
        <w:t xml:space="preserve">, </w:t>
      </w:r>
      <w:r>
        <w:rPr>
          <w:rFonts w:ascii="Arial" w:hAnsi="Arial" w:cs="Arial"/>
          <w:i/>
          <w:iCs/>
          <w:noProof/>
          <w:szCs w:val="24"/>
          <w:lang w:val="en-US"/>
        </w:rPr>
        <w:t>85</w:t>
      </w:r>
      <w:r>
        <w:rPr>
          <w:rFonts w:ascii="Arial" w:hAnsi="Arial" w:cs="Arial"/>
          <w:noProof/>
          <w:szCs w:val="24"/>
          <w:lang w:val="en-US"/>
        </w:rPr>
        <w:t xml:space="preserve"> (1), 136–145.</w:t>
      </w:r>
    </w:p>
    <w:p w14:paraId="610A641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(276) </w:t>
      </w:r>
      <w:r>
        <w:rPr>
          <w:rFonts w:ascii="Arial" w:hAnsi="Arial" w:cs="Arial"/>
          <w:noProof/>
          <w:szCs w:val="24"/>
          <w:lang w:val="en-US"/>
        </w:rPr>
        <w:tab/>
        <w:t>Craigie, R. A.; Cavalier-Smith, T. Cell Volume and the Control of the Chlamydomonas Cell Cyc</w:t>
      </w:r>
      <w:r>
        <w:rPr>
          <w:rFonts w:ascii="Arial" w:hAnsi="Arial" w:cs="Arial"/>
          <w:noProof/>
          <w:szCs w:val="24"/>
          <w:lang w:val="en-US"/>
        </w:rPr>
        <w:t xml:space="preserve">le.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1982</w:t>
      </w:r>
      <w:r>
        <w:rPr>
          <w:rFonts w:ascii="Arial" w:hAnsi="Arial" w:cs="Arial"/>
          <w:noProof/>
          <w:szCs w:val="24"/>
          <w:lang w:val="en-US"/>
        </w:rPr>
        <w:t xml:space="preserve">, </w:t>
      </w:r>
      <w:r>
        <w:rPr>
          <w:rFonts w:ascii="Arial" w:hAnsi="Arial" w:cs="Arial"/>
          <w:i/>
          <w:iCs/>
          <w:noProof/>
          <w:szCs w:val="24"/>
          <w:lang w:val="en-US"/>
        </w:rPr>
        <w:t>Vol. 54</w:t>
      </w:r>
      <w:r>
        <w:rPr>
          <w:rFonts w:ascii="Arial" w:hAnsi="Arial" w:cs="Arial"/>
          <w:noProof/>
          <w:szCs w:val="24"/>
          <w:lang w:val="en-US"/>
        </w:rPr>
        <w:t xml:space="preserve"> (1), 173–191.</w:t>
      </w:r>
    </w:p>
    <w:p w14:paraId="66AEDE2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(277) </w:t>
      </w:r>
      <w:r>
        <w:rPr>
          <w:rFonts w:ascii="Arial" w:hAnsi="Arial" w:cs="Arial"/>
          <w:noProof/>
          <w:szCs w:val="24"/>
          <w:lang w:val="en-US"/>
        </w:rPr>
        <w:tab/>
        <w:t xml:space="preserve">Frank Heldt, A. S.; Tyson, J. J.; Cross, F. R.; ela Nová Correspondence, B. A Single Light-Responsive Sizer Can Control Multiple-Fission Cycles in Chlamydomonas.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30</w:t>
      </w:r>
      <w:r>
        <w:rPr>
          <w:rFonts w:ascii="Arial" w:hAnsi="Arial" w:cs="Arial"/>
          <w:noProof/>
          <w:szCs w:val="24"/>
          <w:lang w:val="en-US"/>
        </w:rPr>
        <w:t>, 634-644.e7.</w:t>
      </w:r>
    </w:p>
    <w:p w14:paraId="5D8DA4E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(278) </w:t>
      </w:r>
      <w:r>
        <w:rPr>
          <w:rFonts w:ascii="Arial" w:hAnsi="Arial" w:cs="Arial"/>
          <w:noProof/>
          <w:szCs w:val="24"/>
          <w:lang w:val="en-US"/>
        </w:rPr>
        <w:tab/>
        <w:t>F</w:t>
      </w:r>
      <w:r>
        <w:rPr>
          <w:rFonts w:ascii="Arial" w:hAnsi="Arial" w:cs="Arial"/>
          <w:noProof/>
          <w:szCs w:val="24"/>
          <w:lang w:val="en-US"/>
        </w:rPr>
        <w:t xml:space="preserve">ang, S. C.; De Los Reyes, C.; Umen, J. G. Cell Size Checkpoint Control by the Retinoblastoma Tumor Suppressor Pathway. </w:t>
      </w:r>
      <w:r>
        <w:rPr>
          <w:rFonts w:ascii="Arial" w:hAnsi="Arial" w:cs="Arial"/>
          <w:i/>
          <w:iCs/>
          <w:noProof/>
          <w:szCs w:val="24"/>
          <w:lang w:val="en-US"/>
        </w:rPr>
        <w:t>PLOS Genet.</w:t>
      </w:r>
      <w:r>
        <w:rPr>
          <w:rFonts w:ascii="Arial" w:hAnsi="Arial" w:cs="Arial"/>
          <w:noProof/>
          <w:szCs w:val="24"/>
          <w:lang w:val="en-US"/>
        </w:rPr>
        <w:t xml:space="preserve"> </w:t>
      </w:r>
      <w:r>
        <w:rPr>
          <w:rFonts w:ascii="Arial" w:hAnsi="Arial" w:cs="Arial"/>
          <w:b/>
          <w:bCs/>
          <w:noProof/>
          <w:szCs w:val="24"/>
          <w:lang w:val="en-US"/>
        </w:rPr>
        <w:t>2006</w:t>
      </w:r>
      <w:r>
        <w:rPr>
          <w:rFonts w:ascii="Arial" w:hAnsi="Arial" w:cs="Arial"/>
          <w:noProof/>
          <w:szCs w:val="24"/>
          <w:lang w:val="en-US"/>
        </w:rPr>
        <w:t xml:space="preserve">, </w:t>
      </w:r>
      <w:r>
        <w:rPr>
          <w:rFonts w:ascii="Arial" w:hAnsi="Arial" w:cs="Arial"/>
          <w:i/>
          <w:iCs/>
          <w:noProof/>
          <w:szCs w:val="24"/>
          <w:lang w:val="en-US"/>
        </w:rPr>
        <w:t>2</w:t>
      </w:r>
      <w:r>
        <w:rPr>
          <w:rFonts w:ascii="Arial" w:hAnsi="Arial" w:cs="Arial"/>
          <w:noProof/>
          <w:szCs w:val="24"/>
          <w:lang w:val="en-US"/>
        </w:rPr>
        <w:t xml:space="preserve"> (10), e167.</w:t>
      </w:r>
    </w:p>
    <w:p w14:paraId="1DFB51B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(279) </w:t>
      </w:r>
      <w:r>
        <w:rPr>
          <w:rFonts w:ascii="Arial" w:hAnsi="Arial" w:cs="Arial"/>
          <w:noProof/>
          <w:szCs w:val="24"/>
          <w:lang w:val="en-US"/>
        </w:rPr>
        <w:tab/>
        <w:t>Olson, B. J. S. C.; Oberholzer, M.; Li, Y.; Zones, J. M.; Kohli, H. S.; Bisova, K.; Fang, S. C.; M</w:t>
      </w:r>
      <w:r>
        <w:rPr>
          <w:rFonts w:ascii="Arial" w:hAnsi="Arial" w:cs="Arial"/>
          <w:noProof/>
          <w:szCs w:val="24"/>
          <w:lang w:val="en-US"/>
        </w:rPr>
        <w:t xml:space="preserve">eisenhelder, J.; Hunter, T.; Umena, J. G. Regulation of the Chlamydomonas Cell Cycle by a Stable, Chromatin-Associated Retinoblastoma Tumor Suppressor Complex. </w:t>
      </w:r>
      <w:r>
        <w:rPr>
          <w:rFonts w:ascii="Arial" w:hAnsi="Arial" w:cs="Arial"/>
          <w:i/>
          <w:iCs/>
          <w:noProof/>
          <w:szCs w:val="24"/>
          <w:lang w:val="en-US"/>
        </w:rPr>
        <w:t>Plant Cell</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22</w:t>
      </w:r>
      <w:r>
        <w:rPr>
          <w:rFonts w:ascii="Arial" w:hAnsi="Arial" w:cs="Arial"/>
          <w:noProof/>
          <w:szCs w:val="24"/>
          <w:lang w:val="en-US"/>
        </w:rPr>
        <w:t xml:space="preserve"> (10), 3331–3347.</w:t>
      </w:r>
    </w:p>
    <w:p w14:paraId="4D7A844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(280) </w:t>
      </w:r>
      <w:r>
        <w:rPr>
          <w:rFonts w:ascii="Arial" w:hAnsi="Arial" w:cs="Arial"/>
          <w:noProof/>
          <w:szCs w:val="24"/>
          <w:lang w:val="en-US"/>
        </w:rPr>
        <w:tab/>
        <w:t>Cross, F. R. Regulation of Multiple Fission and Cell</w:t>
      </w:r>
      <w:r>
        <w:rPr>
          <w:rFonts w:ascii="Arial" w:hAnsi="Arial" w:cs="Arial"/>
          <w:noProof/>
          <w:szCs w:val="24"/>
          <w:lang w:val="en-US"/>
        </w:rPr>
        <w:t xml:space="preserve">-Cycle-Dependent Gene Expression by CDKA1 and the Rb-E2F Pathway in Chlamydomonas.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lastRenderedPageBreak/>
        <w:t>30</w:t>
      </w:r>
      <w:r>
        <w:rPr>
          <w:rFonts w:ascii="Arial" w:hAnsi="Arial" w:cs="Arial"/>
          <w:noProof/>
          <w:szCs w:val="24"/>
          <w:lang w:val="en-US"/>
        </w:rPr>
        <w:t>, 1855-1865.e4.</w:t>
      </w:r>
    </w:p>
    <w:p w14:paraId="7030F3A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(281) </w:t>
      </w:r>
      <w:r>
        <w:rPr>
          <w:rFonts w:ascii="Arial" w:hAnsi="Arial" w:cs="Arial"/>
          <w:noProof/>
          <w:szCs w:val="24"/>
          <w:lang w:val="en-US"/>
        </w:rPr>
        <w:tab/>
        <w:t>Liu, D.; Lopez-Paz, C.; Li, Y.; Zhuang, X.; Umen, J. G.; Danforth, D. Subscaling of a Cytosolic RNA Binding Protein Governs Cell S</w:t>
      </w:r>
      <w:r>
        <w:rPr>
          <w:rFonts w:ascii="Arial" w:hAnsi="Arial" w:cs="Arial"/>
          <w:noProof/>
          <w:szCs w:val="24"/>
          <w:lang w:val="en-US"/>
        </w:rPr>
        <w:t xml:space="preserve">ize Homeostasis in the Multiple Fission Alga Chlamydomonas.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2022.11.02.514835.</w:t>
      </w:r>
    </w:p>
    <w:p w14:paraId="21011EE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(282) </w:t>
      </w:r>
      <w:r>
        <w:rPr>
          <w:rFonts w:ascii="Arial" w:hAnsi="Arial" w:cs="Arial"/>
          <w:noProof/>
          <w:szCs w:val="24"/>
          <w:lang w:val="en-US"/>
        </w:rPr>
        <w:tab/>
        <w:t xml:space="preserve">Nurse, P. Universal Control Mechanism Regulating Onset of M-Phase. </w:t>
      </w:r>
      <w:r>
        <w:rPr>
          <w:rFonts w:ascii="Arial" w:hAnsi="Arial" w:cs="Arial"/>
          <w:i/>
          <w:iCs/>
          <w:noProof/>
          <w:szCs w:val="24"/>
          <w:lang w:val="en-US"/>
        </w:rPr>
        <w:t>Nat. 1990 3446266</w:t>
      </w:r>
      <w:r>
        <w:rPr>
          <w:rFonts w:ascii="Arial" w:hAnsi="Arial" w:cs="Arial"/>
          <w:noProof/>
          <w:szCs w:val="24"/>
          <w:lang w:val="en-US"/>
        </w:rPr>
        <w:t xml:space="preserve"> </w:t>
      </w:r>
      <w:r>
        <w:rPr>
          <w:rFonts w:ascii="Arial" w:hAnsi="Arial" w:cs="Arial"/>
          <w:b/>
          <w:bCs/>
          <w:noProof/>
          <w:szCs w:val="24"/>
          <w:lang w:val="en-US"/>
        </w:rPr>
        <w:t>1990</w:t>
      </w:r>
      <w:r>
        <w:rPr>
          <w:rFonts w:ascii="Arial" w:hAnsi="Arial" w:cs="Arial"/>
          <w:noProof/>
          <w:szCs w:val="24"/>
          <w:lang w:val="en-US"/>
        </w:rPr>
        <w:t xml:space="preserve">, </w:t>
      </w:r>
      <w:r>
        <w:rPr>
          <w:rFonts w:ascii="Arial" w:hAnsi="Arial" w:cs="Arial"/>
          <w:i/>
          <w:iCs/>
          <w:noProof/>
          <w:szCs w:val="24"/>
          <w:lang w:val="en-US"/>
        </w:rPr>
        <w:t>344</w:t>
      </w:r>
      <w:r>
        <w:rPr>
          <w:rFonts w:ascii="Arial" w:hAnsi="Arial" w:cs="Arial"/>
          <w:noProof/>
          <w:szCs w:val="24"/>
          <w:lang w:val="en-US"/>
        </w:rPr>
        <w:t xml:space="preserve"> (6266), 503–508.</w:t>
      </w:r>
    </w:p>
    <w:p w14:paraId="430C0CF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(283) </w:t>
      </w:r>
      <w:r>
        <w:rPr>
          <w:rFonts w:ascii="Arial" w:hAnsi="Arial" w:cs="Arial"/>
          <w:noProof/>
          <w:szCs w:val="24"/>
          <w:lang w:val="en-US"/>
        </w:rPr>
        <w:tab/>
      </w:r>
      <w:r>
        <w:rPr>
          <w:rFonts w:ascii="Arial" w:hAnsi="Arial" w:cs="Arial"/>
          <w:noProof/>
          <w:szCs w:val="24"/>
          <w:lang w:val="en-US"/>
        </w:rPr>
        <w:t xml:space="preserve">Ubersax, J. A.; Woodbury, E. L.; Quang, P. N.; Paraz, M.; Blethrow, J. D.; Shah, K.; Shokat, K. M.; Morgan, D. O. Targets of the Cyclin-Dependent Kinase Cdk1. </w:t>
      </w:r>
      <w:r>
        <w:rPr>
          <w:rFonts w:ascii="Arial" w:hAnsi="Arial" w:cs="Arial"/>
          <w:i/>
          <w:iCs/>
          <w:noProof/>
          <w:szCs w:val="24"/>
          <w:lang w:val="en-US"/>
        </w:rPr>
        <w:t>Nature</w:t>
      </w:r>
      <w:r>
        <w:rPr>
          <w:rFonts w:ascii="Arial" w:hAnsi="Arial" w:cs="Arial"/>
          <w:noProof/>
          <w:szCs w:val="24"/>
          <w:lang w:val="en-US"/>
        </w:rPr>
        <w:t xml:space="preserve"> </w:t>
      </w:r>
      <w:r>
        <w:rPr>
          <w:rFonts w:ascii="Arial" w:hAnsi="Arial" w:cs="Arial"/>
          <w:b/>
          <w:bCs/>
          <w:noProof/>
          <w:szCs w:val="24"/>
          <w:lang w:val="en-US"/>
        </w:rPr>
        <w:t>2003</w:t>
      </w:r>
      <w:r>
        <w:rPr>
          <w:rFonts w:ascii="Arial" w:hAnsi="Arial" w:cs="Arial"/>
          <w:noProof/>
          <w:szCs w:val="24"/>
          <w:lang w:val="en-US"/>
        </w:rPr>
        <w:t xml:space="preserve">, </w:t>
      </w:r>
      <w:r>
        <w:rPr>
          <w:rFonts w:ascii="Arial" w:hAnsi="Arial" w:cs="Arial"/>
          <w:i/>
          <w:iCs/>
          <w:noProof/>
          <w:szCs w:val="24"/>
          <w:lang w:val="en-US"/>
        </w:rPr>
        <w:t>425</w:t>
      </w:r>
      <w:r>
        <w:rPr>
          <w:rFonts w:ascii="Arial" w:hAnsi="Arial" w:cs="Arial"/>
          <w:noProof/>
          <w:szCs w:val="24"/>
          <w:lang w:val="en-US"/>
        </w:rPr>
        <w:t xml:space="preserve"> (6960), 859–864.</w:t>
      </w:r>
    </w:p>
    <w:p w14:paraId="40593EC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(284) </w:t>
      </w:r>
      <w:r>
        <w:rPr>
          <w:rFonts w:ascii="Arial" w:hAnsi="Arial" w:cs="Arial"/>
          <w:noProof/>
          <w:szCs w:val="24"/>
          <w:lang w:val="en-US"/>
        </w:rPr>
        <w:tab/>
        <w:t>Moseley, J. B.; Mayeux, A.; Paoletti, A.; Nurse, P. A Sp</w:t>
      </w:r>
      <w:r>
        <w:rPr>
          <w:rFonts w:ascii="Arial" w:hAnsi="Arial" w:cs="Arial"/>
          <w:noProof/>
          <w:szCs w:val="24"/>
          <w:lang w:val="en-US"/>
        </w:rPr>
        <w:t xml:space="preserve">atial Gradient Coordinates Cell Size and Mitotic Entry in Fission Yeast. </w:t>
      </w:r>
      <w:r>
        <w:rPr>
          <w:rFonts w:ascii="Arial" w:hAnsi="Arial" w:cs="Arial"/>
          <w:i/>
          <w:iCs/>
          <w:noProof/>
          <w:szCs w:val="24"/>
          <w:lang w:val="en-US"/>
        </w:rPr>
        <w:t>Nature</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459</w:t>
      </w:r>
      <w:r>
        <w:rPr>
          <w:rFonts w:ascii="Arial" w:hAnsi="Arial" w:cs="Arial"/>
          <w:noProof/>
          <w:szCs w:val="24"/>
          <w:lang w:val="en-US"/>
        </w:rPr>
        <w:t xml:space="preserve"> (7248), 857–860.</w:t>
      </w:r>
    </w:p>
    <w:p w14:paraId="3ACA789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(285) </w:t>
      </w:r>
      <w:r>
        <w:rPr>
          <w:rFonts w:ascii="Arial" w:hAnsi="Arial" w:cs="Arial"/>
          <w:noProof/>
          <w:szCs w:val="24"/>
          <w:lang w:val="en-US"/>
        </w:rPr>
        <w:tab/>
        <w:t xml:space="preserve">Fisher, D.; Nurse, P. Cyclins of the Fission Yeast Schizosaccharomyces Pombe. </w:t>
      </w:r>
      <w:r>
        <w:rPr>
          <w:rFonts w:ascii="Arial" w:hAnsi="Arial" w:cs="Arial"/>
          <w:i/>
          <w:iCs/>
          <w:noProof/>
          <w:szCs w:val="24"/>
          <w:lang w:val="en-US"/>
        </w:rPr>
        <w:t>Semin. Cell Biol.</w:t>
      </w:r>
      <w:r>
        <w:rPr>
          <w:rFonts w:ascii="Arial" w:hAnsi="Arial" w:cs="Arial"/>
          <w:noProof/>
          <w:szCs w:val="24"/>
          <w:lang w:val="en-US"/>
        </w:rPr>
        <w:t xml:space="preserve"> </w:t>
      </w:r>
      <w:r>
        <w:rPr>
          <w:rFonts w:ascii="Arial" w:hAnsi="Arial" w:cs="Arial"/>
          <w:b/>
          <w:bCs/>
          <w:noProof/>
          <w:szCs w:val="24"/>
          <w:lang w:val="en-US"/>
        </w:rPr>
        <w:t>1995</w:t>
      </w:r>
      <w:r>
        <w:rPr>
          <w:rFonts w:ascii="Arial" w:hAnsi="Arial" w:cs="Arial"/>
          <w:noProof/>
          <w:szCs w:val="24"/>
          <w:lang w:val="en-US"/>
        </w:rPr>
        <w:t xml:space="preserve">, </w:t>
      </w:r>
      <w:r>
        <w:rPr>
          <w:rFonts w:ascii="Arial" w:hAnsi="Arial" w:cs="Arial"/>
          <w:i/>
          <w:iCs/>
          <w:noProof/>
          <w:szCs w:val="24"/>
          <w:lang w:val="en-US"/>
        </w:rPr>
        <w:t>6</w:t>
      </w:r>
      <w:r>
        <w:rPr>
          <w:rFonts w:ascii="Arial" w:hAnsi="Arial" w:cs="Arial"/>
          <w:noProof/>
          <w:szCs w:val="24"/>
          <w:lang w:val="en-US"/>
        </w:rPr>
        <w:t xml:space="preserve"> (2), 73–78.</w:t>
      </w:r>
    </w:p>
    <w:p w14:paraId="04801A7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(286) </w:t>
      </w:r>
      <w:r>
        <w:rPr>
          <w:rFonts w:ascii="Arial" w:hAnsi="Arial" w:cs="Arial"/>
          <w:noProof/>
          <w:szCs w:val="24"/>
          <w:lang w:val="en-US"/>
        </w:rPr>
        <w:tab/>
        <w:t>Martin, S. G.; Bert</w:t>
      </w:r>
      <w:r>
        <w:rPr>
          <w:rFonts w:ascii="Arial" w:hAnsi="Arial" w:cs="Arial"/>
          <w:noProof/>
          <w:szCs w:val="24"/>
          <w:lang w:val="en-US"/>
        </w:rPr>
        <w:t xml:space="preserve">helot-Grosjean, M. Polar Gradients of the DYRK-Family Kinase Pom1 Couple Cell Length with the Cell Cycle. </w:t>
      </w:r>
      <w:r>
        <w:rPr>
          <w:rFonts w:ascii="Arial" w:hAnsi="Arial" w:cs="Arial"/>
          <w:i/>
          <w:iCs/>
          <w:noProof/>
          <w:szCs w:val="24"/>
          <w:lang w:val="en-US"/>
        </w:rPr>
        <w:t>Nature</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459</w:t>
      </w:r>
      <w:r>
        <w:rPr>
          <w:rFonts w:ascii="Arial" w:hAnsi="Arial" w:cs="Arial"/>
          <w:noProof/>
          <w:szCs w:val="24"/>
          <w:lang w:val="en-US"/>
        </w:rPr>
        <w:t xml:space="preserve"> (7248), 852–856.</w:t>
      </w:r>
    </w:p>
    <w:p w14:paraId="4183D4C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(287) </w:t>
      </w:r>
      <w:r>
        <w:rPr>
          <w:rFonts w:ascii="Arial" w:hAnsi="Arial" w:cs="Arial"/>
          <w:noProof/>
          <w:szCs w:val="24"/>
          <w:lang w:val="en-US"/>
        </w:rPr>
        <w:tab/>
      </w:r>
      <w:r>
        <w:rPr>
          <w:rFonts w:ascii="Arial" w:hAnsi="Arial" w:cs="Arial"/>
          <w:noProof/>
          <w:szCs w:val="24"/>
          <w:lang w:val="en-US"/>
        </w:rPr>
        <w:t xml:space="preserve">Coleman, T. R.; Tang, Z.; Dunphy, W. G. Negative Regulation of the Wee1 Protein Kinase by Direct Action of the Niml/Cdrl Mitotic Inducer.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1993</w:t>
      </w:r>
      <w:r>
        <w:rPr>
          <w:rFonts w:ascii="Arial" w:hAnsi="Arial" w:cs="Arial"/>
          <w:noProof/>
          <w:szCs w:val="24"/>
          <w:lang w:val="en-US"/>
        </w:rPr>
        <w:t xml:space="preserve">, </w:t>
      </w:r>
      <w:r>
        <w:rPr>
          <w:rFonts w:ascii="Arial" w:hAnsi="Arial" w:cs="Arial"/>
          <w:i/>
          <w:iCs/>
          <w:noProof/>
          <w:szCs w:val="24"/>
          <w:lang w:val="en-US"/>
        </w:rPr>
        <w:t>72</w:t>
      </w:r>
      <w:r>
        <w:rPr>
          <w:rFonts w:ascii="Arial" w:hAnsi="Arial" w:cs="Arial"/>
          <w:noProof/>
          <w:szCs w:val="24"/>
          <w:lang w:val="en-US"/>
        </w:rPr>
        <w:t>, 919–929.</w:t>
      </w:r>
    </w:p>
    <w:p w14:paraId="798744D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(288) </w:t>
      </w:r>
      <w:r>
        <w:rPr>
          <w:rFonts w:ascii="Arial" w:hAnsi="Arial" w:cs="Arial"/>
          <w:noProof/>
          <w:szCs w:val="24"/>
          <w:lang w:val="en-US"/>
        </w:rPr>
        <w:tab/>
        <w:t>Parker, L. L.; Walter, S. A.; Young, P. G.; Piwnica-Worms, H. Phosphorylation and Inact</w:t>
      </w:r>
      <w:r>
        <w:rPr>
          <w:rFonts w:ascii="Arial" w:hAnsi="Arial" w:cs="Arial"/>
          <w:noProof/>
          <w:szCs w:val="24"/>
          <w:lang w:val="en-US"/>
        </w:rPr>
        <w:t xml:space="preserve">ivation of the Mitotic Inhibitor Weel by the Nim1/Cdr1 Kinase. </w:t>
      </w:r>
      <w:r>
        <w:rPr>
          <w:rFonts w:ascii="Arial" w:hAnsi="Arial" w:cs="Arial"/>
          <w:i/>
          <w:iCs/>
          <w:noProof/>
          <w:szCs w:val="24"/>
          <w:lang w:val="en-US"/>
        </w:rPr>
        <w:t>Nat. 1993 3636431</w:t>
      </w:r>
      <w:r>
        <w:rPr>
          <w:rFonts w:ascii="Arial" w:hAnsi="Arial" w:cs="Arial"/>
          <w:noProof/>
          <w:szCs w:val="24"/>
          <w:lang w:val="en-US"/>
        </w:rPr>
        <w:t xml:space="preserve"> </w:t>
      </w:r>
      <w:r>
        <w:rPr>
          <w:rFonts w:ascii="Arial" w:hAnsi="Arial" w:cs="Arial"/>
          <w:b/>
          <w:bCs/>
          <w:noProof/>
          <w:szCs w:val="24"/>
          <w:lang w:val="en-US"/>
        </w:rPr>
        <w:t>1993</w:t>
      </w:r>
      <w:r>
        <w:rPr>
          <w:rFonts w:ascii="Arial" w:hAnsi="Arial" w:cs="Arial"/>
          <w:noProof/>
          <w:szCs w:val="24"/>
          <w:lang w:val="en-US"/>
        </w:rPr>
        <w:t xml:space="preserve">, </w:t>
      </w:r>
      <w:r>
        <w:rPr>
          <w:rFonts w:ascii="Arial" w:hAnsi="Arial" w:cs="Arial"/>
          <w:i/>
          <w:iCs/>
          <w:noProof/>
          <w:szCs w:val="24"/>
          <w:lang w:val="en-US"/>
        </w:rPr>
        <w:t>363</w:t>
      </w:r>
      <w:r>
        <w:rPr>
          <w:rFonts w:ascii="Arial" w:hAnsi="Arial" w:cs="Arial"/>
          <w:noProof/>
          <w:szCs w:val="24"/>
          <w:lang w:val="en-US"/>
        </w:rPr>
        <w:t xml:space="preserve"> (6431), 736–738.</w:t>
      </w:r>
    </w:p>
    <w:p w14:paraId="5569B95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(289) </w:t>
      </w:r>
      <w:r>
        <w:rPr>
          <w:rFonts w:ascii="Arial" w:hAnsi="Arial" w:cs="Arial"/>
          <w:noProof/>
          <w:szCs w:val="24"/>
          <w:lang w:val="en-US"/>
        </w:rPr>
        <w:tab/>
        <w:t xml:space="preserve">Wu, L.; Russell, P. Nim1 Kinase Promotes Mitosis by Inactivating Wee1 Tyrosine Kinase. </w:t>
      </w:r>
      <w:r>
        <w:rPr>
          <w:rFonts w:ascii="Arial" w:hAnsi="Arial" w:cs="Arial"/>
          <w:i/>
          <w:iCs/>
          <w:noProof/>
          <w:szCs w:val="24"/>
          <w:lang w:val="en-US"/>
        </w:rPr>
        <w:t>Nat. 1993 3636431</w:t>
      </w:r>
      <w:r>
        <w:rPr>
          <w:rFonts w:ascii="Arial" w:hAnsi="Arial" w:cs="Arial"/>
          <w:noProof/>
          <w:szCs w:val="24"/>
          <w:lang w:val="en-US"/>
        </w:rPr>
        <w:t xml:space="preserve"> </w:t>
      </w:r>
      <w:r>
        <w:rPr>
          <w:rFonts w:ascii="Arial" w:hAnsi="Arial" w:cs="Arial"/>
          <w:b/>
          <w:bCs/>
          <w:noProof/>
          <w:szCs w:val="24"/>
          <w:lang w:val="en-US"/>
        </w:rPr>
        <w:t>1993</w:t>
      </w:r>
      <w:r>
        <w:rPr>
          <w:rFonts w:ascii="Arial" w:hAnsi="Arial" w:cs="Arial"/>
          <w:noProof/>
          <w:szCs w:val="24"/>
          <w:lang w:val="en-US"/>
        </w:rPr>
        <w:t xml:space="preserve">, </w:t>
      </w:r>
      <w:r>
        <w:rPr>
          <w:rFonts w:ascii="Arial" w:hAnsi="Arial" w:cs="Arial"/>
          <w:i/>
          <w:iCs/>
          <w:noProof/>
          <w:szCs w:val="24"/>
          <w:lang w:val="en-US"/>
        </w:rPr>
        <w:t>363</w:t>
      </w:r>
      <w:r>
        <w:rPr>
          <w:rFonts w:ascii="Arial" w:hAnsi="Arial" w:cs="Arial"/>
          <w:noProof/>
          <w:szCs w:val="24"/>
          <w:lang w:val="en-US"/>
        </w:rPr>
        <w:t xml:space="preserve"> (6431), 738–741.</w:t>
      </w:r>
    </w:p>
    <w:p w14:paraId="53F7029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(290) </w:t>
      </w:r>
      <w:r>
        <w:rPr>
          <w:rFonts w:ascii="Arial" w:hAnsi="Arial" w:cs="Arial"/>
          <w:noProof/>
          <w:szCs w:val="24"/>
          <w:lang w:val="en-US"/>
        </w:rPr>
        <w:tab/>
        <w:t>Br</w:t>
      </w:r>
      <w:r>
        <w:rPr>
          <w:rFonts w:ascii="Arial" w:hAnsi="Arial" w:cs="Arial"/>
          <w:noProof/>
          <w:szCs w:val="24"/>
          <w:lang w:val="en-US"/>
        </w:rPr>
        <w:t xml:space="preserve">eeding, C. S.; Hudson, J.; Balasubramanian, M. K.; Hemmingsen, S. M.; Young, P. G.; Gould, K. L. The Cdr2+ Gene Encodes a Regulator of G2/M Progression and Cytokinesis in Schizosaccharomyces Pombe.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(12), 3399–3415.</w:t>
      </w:r>
    </w:p>
    <w:p w14:paraId="462BFEA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(291) </w:t>
      </w:r>
      <w:r>
        <w:rPr>
          <w:rFonts w:ascii="Arial" w:hAnsi="Arial" w:cs="Arial"/>
          <w:noProof/>
          <w:szCs w:val="24"/>
          <w:lang w:val="en-US"/>
        </w:rPr>
        <w:tab/>
        <w:t>Kanoh, J.;</w:t>
      </w:r>
      <w:r>
        <w:rPr>
          <w:rFonts w:ascii="Arial" w:hAnsi="Arial" w:cs="Arial"/>
          <w:noProof/>
          <w:szCs w:val="24"/>
          <w:lang w:val="en-US"/>
        </w:rPr>
        <w:t xml:space="preserve"> Russell, P. The Protein Kinase Cdr2, Related to Nim1/Cdr1 Mitotic Inducer, Regulates the Onset of Mitosis in Fission Yeast.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(12), 3321–3334.</w:t>
      </w:r>
    </w:p>
    <w:p w14:paraId="20D425C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(292) </w:t>
      </w:r>
      <w:r>
        <w:rPr>
          <w:rFonts w:ascii="Arial" w:hAnsi="Arial" w:cs="Arial"/>
          <w:noProof/>
          <w:szCs w:val="24"/>
          <w:lang w:val="en-US"/>
        </w:rPr>
        <w:tab/>
      </w:r>
      <w:r>
        <w:rPr>
          <w:rFonts w:ascii="Arial" w:hAnsi="Arial" w:cs="Arial"/>
          <w:noProof/>
          <w:szCs w:val="24"/>
          <w:lang w:val="en-US"/>
        </w:rPr>
        <w:t xml:space="preserve">Morrell, J. L.; Nichols, C. B.; Gould, K. L. The GIN4 Family Kinase, Cdr2p, Acts Independently of Septins in Fission Yeast.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2004</w:t>
      </w:r>
      <w:r>
        <w:rPr>
          <w:rFonts w:ascii="Arial" w:hAnsi="Arial" w:cs="Arial"/>
          <w:noProof/>
          <w:szCs w:val="24"/>
          <w:lang w:val="en-US"/>
        </w:rPr>
        <w:t xml:space="preserve">, </w:t>
      </w:r>
      <w:r>
        <w:rPr>
          <w:rFonts w:ascii="Arial" w:hAnsi="Arial" w:cs="Arial"/>
          <w:i/>
          <w:iCs/>
          <w:noProof/>
          <w:szCs w:val="24"/>
          <w:lang w:val="en-US"/>
        </w:rPr>
        <w:t>117</w:t>
      </w:r>
      <w:r>
        <w:rPr>
          <w:rFonts w:ascii="Arial" w:hAnsi="Arial" w:cs="Arial"/>
          <w:noProof/>
          <w:szCs w:val="24"/>
          <w:lang w:val="en-US"/>
        </w:rPr>
        <w:t xml:space="preserve"> (22), 5293–5302.</w:t>
      </w:r>
    </w:p>
    <w:p w14:paraId="05BB15F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(293) </w:t>
      </w:r>
      <w:r>
        <w:rPr>
          <w:rFonts w:ascii="Arial" w:hAnsi="Arial" w:cs="Arial"/>
          <w:noProof/>
          <w:szCs w:val="24"/>
          <w:lang w:val="en-US"/>
        </w:rPr>
        <w:tab/>
        <w:t>Akamatsu, M.; Lin, Y.; Bewersdorf, J.; Pollard, T. D. Analysis of Interphase Node Pro</w:t>
      </w:r>
      <w:r>
        <w:rPr>
          <w:rFonts w:ascii="Arial" w:hAnsi="Arial" w:cs="Arial"/>
          <w:noProof/>
          <w:szCs w:val="24"/>
          <w:lang w:val="en-US"/>
        </w:rPr>
        <w:t xml:space="preserve">teins in Fission Yeast by Quantitative and Superresolution Fluorescence Microscopy.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28</w:t>
      </w:r>
      <w:r>
        <w:rPr>
          <w:rFonts w:ascii="Arial" w:hAnsi="Arial" w:cs="Arial"/>
          <w:noProof/>
          <w:szCs w:val="24"/>
          <w:lang w:val="en-US"/>
        </w:rPr>
        <w:t xml:space="preserve"> (23), 3203–3214.</w:t>
      </w:r>
    </w:p>
    <w:p w14:paraId="7546A58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(294) </w:t>
      </w:r>
      <w:r>
        <w:rPr>
          <w:rFonts w:ascii="Arial" w:hAnsi="Arial" w:cs="Arial"/>
          <w:noProof/>
          <w:szCs w:val="24"/>
          <w:lang w:val="en-US"/>
        </w:rPr>
        <w:tab/>
        <w:t>Facchetti, G.; Knapp, B.; Flor-Parra, I.; Chang, F.; Howard, M. Reprogramming Cdr2-Dependent Geometry-Based Cell Size Contr</w:t>
      </w:r>
      <w:r>
        <w:rPr>
          <w:rFonts w:ascii="Arial" w:hAnsi="Arial" w:cs="Arial"/>
          <w:noProof/>
          <w:szCs w:val="24"/>
          <w:lang w:val="en-US"/>
        </w:rPr>
        <w:t xml:space="preserve">ol in Fission Yeast.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29</w:t>
      </w:r>
      <w:r>
        <w:rPr>
          <w:rFonts w:ascii="Arial" w:hAnsi="Arial" w:cs="Arial"/>
          <w:noProof/>
          <w:szCs w:val="24"/>
          <w:lang w:val="en-US"/>
        </w:rPr>
        <w:t xml:space="preserve"> (2), 350-358.e4.</w:t>
      </w:r>
    </w:p>
    <w:p w14:paraId="3249357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(295) </w:t>
      </w:r>
      <w:r>
        <w:rPr>
          <w:rFonts w:ascii="Arial" w:hAnsi="Arial" w:cs="Arial"/>
          <w:noProof/>
          <w:szCs w:val="24"/>
          <w:lang w:val="en-US"/>
        </w:rPr>
        <w:tab/>
        <w:t xml:space="preserve">Moreno, S.; Nurse, P.; Russell, P. Regulation of Mitosis by Cyclic Accumulation of P80cdc25 Mitotic Inducer in Fission Yeast. </w:t>
      </w:r>
      <w:r>
        <w:rPr>
          <w:rFonts w:ascii="Arial" w:hAnsi="Arial" w:cs="Arial"/>
          <w:i/>
          <w:iCs/>
          <w:noProof/>
          <w:szCs w:val="24"/>
          <w:lang w:val="en-US"/>
        </w:rPr>
        <w:t>Nat. 1990 3446266</w:t>
      </w:r>
      <w:r>
        <w:rPr>
          <w:rFonts w:ascii="Arial" w:hAnsi="Arial" w:cs="Arial"/>
          <w:noProof/>
          <w:szCs w:val="24"/>
          <w:lang w:val="en-US"/>
        </w:rPr>
        <w:t xml:space="preserve"> </w:t>
      </w:r>
      <w:r>
        <w:rPr>
          <w:rFonts w:ascii="Arial" w:hAnsi="Arial" w:cs="Arial"/>
          <w:b/>
          <w:bCs/>
          <w:noProof/>
          <w:szCs w:val="24"/>
          <w:lang w:val="en-US"/>
        </w:rPr>
        <w:t>1990</w:t>
      </w:r>
      <w:r>
        <w:rPr>
          <w:rFonts w:ascii="Arial" w:hAnsi="Arial" w:cs="Arial"/>
          <w:noProof/>
          <w:szCs w:val="24"/>
          <w:lang w:val="en-US"/>
        </w:rPr>
        <w:t xml:space="preserve">, </w:t>
      </w:r>
      <w:r>
        <w:rPr>
          <w:rFonts w:ascii="Arial" w:hAnsi="Arial" w:cs="Arial"/>
          <w:i/>
          <w:iCs/>
          <w:noProof/>
          <w:szCs w:val="24"/>
          <w:lang w:val="en-US"/>
        </w:rPr>
        <w:t>344</w:t>
      </w:r>
      <w:r>
        <w:rPr>
          <w:rFonts w:ascii="Arial" w:hAnsi="Arial" w:cs="Arial"/>
          <w:noProof/>
          <w:szCs w:val="24"/>
          <w:lang w:val="en-US"/>
        </w:rPr>
        <w:t xml:space="preserve"> (6266), 549–552.</w:t>
      </w:r>
    </w:p>
    <w:p w14:paraId="3D94CEC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(296) </w:t>
      </w:r>
      <w:r>
        <w:rPr>
          <w:rFonts w:ascii="Arial" w:hAnsi="Arial" w:cs="Arial"/>
          <w:noProof/>
          <w:szCs w:val="24"/>
          <w:lang w:val="en-US"/>
        </w:rPr>
        <w:tab/>
        <w:t xml:space="preserve">Bähler, J.; </w:t>
      </w:r>
      <w:r>
        <w:rPr>
          <w:rFonts w:ascii="Arial" w:hAnsi="Arial" w:cs="Arial"/>
          <w:noProof/>
          <w:szCs w:val="24"/>
          <w:lang w:val="en-US"/>
        </w:rPr>
        <w:t xml:space="preserve">Pringle, J. R. Pom1p, a Fission Yeast Protein Kinase That Provides Positional Information for Both Polarized Growth and Cytokinesis. </w:t>
      </w:r>
      <w:r>
        <w:rPr>
          <w:rFonts w:ascii="Arial" w:hAnsi="Arial" w:cs="Arial"/>
          <w:i/>
          <w:iCs/>
          <w:noProof/>
          <w:szCs w:val="24"/>
          <w:lang w:val="en-US"/>
        </w:rPr>
        <w:t>Genes Dev.</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(9), 1356–1370.</w:t>
      </w:r>
    </w:p>
    <w:p w14:paraId="10CE6DA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(297) </w:t>
      </w:r>
      <w:r>
        <w:rPr>
          <w:rFonts w:ascii="Arial" w:hAnsi="Arial" w:cs="Arial"/>
          <w:noProof/>
          <w:szCs w:val="24"/>
          <w:lang w:val="en-US"/>
        </w:rPr>
        <w:tab/>
        <w:t>Allard, C. A. H.; Opalko, H. E.; Moseley, J. B. Stable Pom1 Clusters Form a Gluc</w:t>
      </w:r>
      <w:r>
        <w:rPr>
          <w:rFonts w:ascii="Arial" w:hAnsi="Arial" w:cs="Arial"/>
          <w:noProof/>
          <w:szCs w:val="24"/>
          <w:lang w:val="en-US"/>
        </w:rPr>
        <w:t xml:space="preserve">ose- Modulated Concentration Gradient That Regulates Mitotic Entry.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w:t>
      </w:r>
    </w:p>
    <w:p w14:paraId="5A50AD8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(298) </w:t>
      </w:r>
      <w:r>
        <w:rPr>
          <w:rFonts w:ascii="Arial" w:hAnsi="Arial" w:cs="Arial"/>
          <w:noProof/>
          <w:szCs w:val="24"/>
          <w:lang w:val="en-US"/>
        </w:rPr>
        <w:tab/>
        <w:t xml:space="preserve">Sayyad, W. A.; Pollard, T. D. The Number of Cytokinesis Nodes in Mitotic Fission Yeast Scales with Cell Size.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11</w:t>
      </w:r>
      <w:r>
        <w:rPr>
          <w:rFonts w:ascii="Arial" w:hAnsi="Arial" w:cs="Arial"/>
          <w:noProof/>
          <w:szCs w:val="24"/>
          <w:lang w:val="en-US"/>
        </w:rPr>
        <w:t>.</w:t>
      </w:r>
    </w:p>
    <w:p w14:paraId="641EE1E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(299) </w:t>
      </w:r>
      <w:r>
        <w:rPr>
          <w:rFonts w:ascii="Arial" w:hAnsi="Arial" w:cs="Arial"/>
          <w:noProof/>
          <w:szCs w:val="24"/>
          <w:lang w:val="en-US"/>
        </w:rPr>
        <w:tab/>
        <w:t>Opalko, H.; Geng, S.; Hall, A. R.</w:t>
      </w:r>
      <w:r>
        <w:rPr>
          <w:rFonts w:ascii="Arial" w:hAnsi="Arial" w:cs="Arial"/>
          <w:noProof/>
          <w:szCs w:val="24"/>
          <w:lang w:val="en-US"/>
        </w:rPr>
        <w:t xml:space="preserve">; Vavylonis, D.; Moseley, J. B. Design Principles of Cdr2 Node Patterns in Fission Yeast Cells.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34</w:t>
      </w:r>
      <w:r>
        <w:rPr>
          <w:rFonts w:ascii="Arial" w:hAnsi="Arial" w:cs="Arial"/>
          <w:noProof/>
          <w:szCs w:val="24"/>
          <w:lang w:val="en-US"/>
        </w:rPr>
        <w:t xml:space="preserve"> (11), br18.</w:t>
      </w:r>
    </w:p>
    <w:p w14:paraId="0FCE039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(300) </w:t>
      </w:r>
      <w:r>
        <w:rPr>
          <w:rFonts w:ascii="Arial" w:hAnsi="Arial" w:cs="Arial"/>
          <w:noProof/>
          <w:szCs w:val="24"/>
          <w:lang w:val="en-US"/>
        </w:rPr>
        <w:tab/>
        <w:t>Garmendia-Torres, C.; Tassy, O.; Matifas, A.; Molina, N.; Charvin, G. Multiple Inputs Ensure Yeast Cell Size Homeost</w:t>
      </w:r>
      <w:r>
        <w:rPr>
          <w:rFonts w:ascii="Arial" w:hAnsi="Arial" w:cs="Arial"/>
          <w:noProof/>
          <w:szCs w:val="24"/>
          <w:lang w:val="en-US"/>
        </w:rPr>
        <w:t xml:space="preserve">asis during Cell Cycle Progression.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w:t>
      </w:r>
    </w:p>
    <w:p w14:paraId="6D6B633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(301) </w:t>
      </w:r>
      <w:r>
        <w:rPr>
          <w:rFonts w:ascii="Arial" w:hAnsi="Arial" w:cs="Arial"/>
          <w:noProof/>
          <w:szCs w:val="24"/>
          <w:lang w:val="en-US"/>
        </w:rPr>
        <w:tab/>
        <w:t>Méndez, E.; Gomar-Alba, M.; Banõó, M. C.; Mendoza, M.; Quilis, I.; Igual, J. C. The Budding Yeast Start Repressor Whi7 Differs in Regulation from Whi5, Emerging as a Major Cell Cycle Brake in Respon</w:t>
      </w:r>
      <w:r>
        <w:rPr>
          <w:rFonts w:ascii="Arial" w:hAnsi="Arial" w:cs="Arial"/>
          <w:noProof/>
          <w:szCs w:val="24"/>
          <w:lang w:val="en-US"/>
        </w:rPr>
        <w:t xml:space="preserve">se to Stress.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133</w:t>
      </w:r>
      <w:r>
        <w:rPr>
          <w:rFonts w:ascii="Arial" w:hAnsi="Arial" w:cs="Arial"/>
          <w:noProof/>
          <w:szCs w:val="24"/>
          <w:lang w:val="en-US"/>
        </w:rPr>
        <w:t xml:space="preserve"> (24).</w:t>
      </w:r>
    </w:p>
    <w:p w14:paraId="4BC9D56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(302) </w:t>
      </w:r>
      <w:r>
        <w:rPr>
          <w:rFonts w:ascii="Arial" w:hAnsi="Arial" w:cs="Arial"/>
          <w:noProof/>
          <w:szCs w:val="24"/>
          <w:lang w:val="en-US"/>
        </w:rPr>
        <w:tab/>
      </w:r>
      <w:r>
        <w:rPr>
          <w:rFonts w:ascii="Arial" w:hAnsi="Arial" w:cs="Arial"/>
          <w:noProof/>
          <w:szCs w:val="24"/>
          <w:lang w:val="en-US"/>
        </w:rPr>
        <w:t xml:space="preserve">Streichan, S. J.; Hoerner, C. R.; Schneidt, T.; Holzer, D.; Hufnagel, L. Spatial Constraints Control Cell Proliferation in Tissues.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111</w:t>
      </w:r>
      <w:r>
        <w:rPr>
          <w:rFonts w:ascii="Arial" w:hAnsi="Arial" w:cs="Arial"/>
          <w:noProof/>
          <w:szCs w:val="24"/>
          <w:lang w:val="en-US"/>
        </w:rPr>
        <w:t xml:space="preserve"> (15), 5586–5591.</w:t>
      </w:r>
    </w:p>
    <w:p w14:paraId="190D831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(303) </w:t>
      </w:r>
      <w:r>
        <w:rPr>
          <w:rFonts w:ascii="Arial" w:hAnsi="Arial" w:cs="Arial"/>
          <w:noProof/>
          <w:szCs w:val="24"/>
          <w:lang w:val="en-US"/>
        </w:rPr>
        <w:tab/>
        <w:t>Pan, Y.; Heemskerk, I.; Ibar, C.; Shraiman, B. I.; Irvine,</w:t>
      </w:r>
      <w:r>
        <w:rPr>
          <w:rFonts w:ascii="Arial" w:hAnsi="Arial" w:cs="Arial"/>
          <w:noProof/>
          <w:szCs w:val="24"/>
          <w:lang w:val="en-US"/>
        </w:rPr>
        <w:t xml:space="preserve"> K. D. Differential Growth Triggers Mechanical Feedback That Elevates Hippo Signaling. </w:t>
      </w:r>
      <w:r>
        <w:rPr>
          <w:rFonts w:ascii="Arial" w:hAnsi="Arial" w:cs="Arial"/>
          <w:i/>
          <w:iCs/>
          <w:noProof/>
          <w:szCs w:val="24"/>
          <w:lang w:val="en-US"/>
        </w:rPr>
        <w:t>Proc. Natl. Acad. Sci. U. S. A.</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113</w:t>
      </w:r>
      <w:r>
        <w:rPr>
          <w:rFonts w:ascii="Arial" w:hAnsi="Arial" w:cs="Arial"/>
          <w:noProof/>
          <w:szCs w:val="24"/>
          <w:lang w:val="en-US"/>
        </w:rPr>
        <w:t xml:space="preserve"> (45), E6974–E6983.</w:t>
      </w:r>
    </w:p>
    <w:p w14:paraId="366B416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(304) </w:t>
      </w:r>
      <w:r>
        <w:rPr>
          <w:rFonts w:ascii="Arial" w:hAnsi="Arial" w:cs="Arial"/>
          <w:noProof/>
          <w:szCs w:val="24"/>
          <w:lang w:val="en-US"/>
        </w:rPr>
        <w:tab/>
        <w:t>Schiaffino, S.; Dyar, K. A.; Ciciliot, S.; Blaauw, B.; Sandri, M. Mechanisms Regulating Skeletal Musc</w:t>
      </w:r>
      <w:r>
        <w:rPr>
          <w:rFonts w:ascii="Arial" w:hAnsi="Arial" w:cs="Arial"/>
          <w:noProof/>
          <w:szCs w:val="24"/>
          <w:lang w:val="en-US"/>
        </w:rPr>
        <w:t xml:space="preserve">le Growth and Atrophy. </w:t>
      </w:r>
      <w:r>
        <w:rPr>
          <w:rFonts w:ascii="Arial" w:hAnsi="Arial" w:cs="Arial"/>
          <w:i/>
          <w:iCs/>
          <w:noProof/>
          <w:szCs w:val="24"/>
          <w:lang w:val="en-US"/>
        </w:rPr>
        <w:t>FEBS J.</w:t>
      </w:r>
      <w:r>
        <w:rPr>
          <w:rFonts w:ascii="Arial" w:hAnsi="Arial" w:cs="Arial"/>
          <w:noProof/>
          <w:szCs w:val="24"/>
          <w:lang w:val="en-US"/>
        </w:rPr>
        <w:t xml:space="preserve"> </w:t>
      </w:r>
      <w:r>
        <w:rPr>
          <w:rFonts w:ascii="Arial" w:hAnsi="Arial" w:cs="Arial"/>
          <w:b/>
          <w:bCs/>
          <w:noProof/>
          <w:szCs w:val="24"/>
          <w:lang w:val="en-US"/>
        </w:rPr>
        <w:t>2013</w:t>
      </w:r>
      <w:r>
        <w:rPr>
          <w:rFonts w:ascii="Arial" w:hAnsi="Arial" w:cs="Arial"/>
          <w:noProof/>
          <w:szCs w:val="24"/>
          <w:lang w:val="en-US"/>
        </w:rPr>
        <w:t xml:space="preserve">, </w:t>
      </w:r>
      <w:r>
        <w:rPr>
          <w:rFonts w:ascii="Arial" w:hAnsi="Arial" w:cs="Arial"/>
          <w:i/>
          <w:iCs/>
          <w:noProof/>
          <w:szCs w:val="24"/>
          <w:lang w:val="en-US"/>
        </w:rPr>
        <w:t>280</w:t>
      </w:r>
      <w:r>
        <w:rPr>
          <w:rFonts w:ascii="Arial" w:hAnsi="Arial" w:cs="Arial"/>
          <w:noProof/>
          <w:szCs w:val="24"/>
          <w:lang w:val="en-US"/>
        </w:rPr>
        <w:t xml:space="preserve"> (17), 4294–4314.</w:t>
      </w:r>
    </w:p>
    <w:p w14:paraId="4BB8044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(305) </w:t>
      </w:r>
      <w:r>
        <w:rPr>
          <w:rFonts w:ascii="Arial" w:hAnsi="Arial" w:cs="Arial"/>
          <w:noProof/>
          <w:szCs w:val="24"/>
          <w:lang w:val="en-US"/>
        </w:rPr>
        <w:tab/>
        <w:t xml:space="preserve">Hornberger, T. A.; Sukhija, K. B.; Chien, S. Regulation of MTOR by Mechanically Induced Signaling Events in Skeletal Muscle. </w:t>
      </w:r>
      <w:r>
        <w:rPr>
          <w:rFonts w:ascii="Arial" w:hAnsi="Arial" w:cs="Arial"/>
          <w:i/>
          <w:iCs/>
          <w:noProof/>
          <w:szCs w:val="24"/>
          <w:lang w:val="en-US"/>
        </w:rPr>
        <w:t>Cell Cycle</w:t>
      </w:r>
      <w:r>
        <w:rPr>
          <w:rFonts w:ascii="Arial" w:hAnsi="Arial" w:cs="Arial"/>
          <w:noProof/>
          <w:szCs w:val="24"/>
          <w:lang w:val="en-US"/>
        </w:rPr>
        <w:t xml:space="preserve"> </w:t>
      </w:r>
      <w:r>
        <w:rPr>
          <w:rFonts w:ascii="Arial" w:hAnsi="Arial" w:cs="Arial"/>
          <w:b/>
          <w:bCs/>
          <w:noProof/>
          <w:szCs w:val="24"/>
          <w:lang w:val="en-US"/>
        </w:rPr>
        <w:t>2006</w:t>
      </w:r>
      <w:r>
        <w:rPr>
          <w:rFonts w:ascii="Arial" w:hAnsi="Arial" w:cs="Arial"/>
          <w:noProof/>
          <w:szCs w:val="24"/>
          <w:lang w:val="en-US"/>
        </w:rPr>
        <w:t xml:space="preserve">, </w:t>
      </w:r>
      <w:r>
        <w:rPr>
          <w:rFonts w:ascii="Arial" w:hAnsi="Arial" w:cs="Arial"/>
          <w:i/>
          <w:iCs/>
          <w:noProof/>
          <w:szCs w:val="24"/>
          <w:lang w:val="en-US"/>
        </w:rPr>
        <w:t>5</w:t>
      </w:r>
      <w:r>
        <w:rPr>
          <w:rFonts w:ascii="Arial" w:hAnsi="Arial" w:cs="Arial"/>
          <w:noProof/>
          <w:szCs w:val="24"/>
          <w:lang w:val="en-US"/>
        </w:rPr>
        <w:t xml:space="preserve"> (13), 1391–1396.</w:t>
      </w:r>
    </w:p>
    <w:p w14:paraId="6D88C9B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(306) </w:t>
      </w:r>
      <w:r>
        <w:rPr>
          <w:rFonts w:ascii="Arial" w:hAnsi="Arial" w:cs="Arial"/>
          <w:noProof/>
          <w:szCs w:val="24"/>
          <w:lang w:val="en-US"/>
        </w:rPr>
        <w:tab/>
        <w:t>Yoon, M. S. MTOR as a K</w:t>
      </w:r>
      <w:r>
        <w:rPr>
          <w:rFonts w:ascii="Arial" w:hAnsi="Arial" w:cs="Arial"/>
          <w:noProof/>
          <w:szCs w:val="24"/>
          <w:lang w:val="en-US"/>
        </w:rPr>
        <w:t xml:space="preserve">ey Regulator in Maintaining Skeletal Muscle Mass. </w:t>
      </w:r>
      <w:r>
        <w:rPr>
          <w:rFonts w:ascii="Arial" w:hAnsi="Arial" w:cs="Arial"/>
          <w:i/>
          <w:iCs/>
          <w:noProof/>
          <w:szCs w:val="24"/>
          <w:lang w:val="en-US"/>
        </w:rPr>
        <w:t>Front. Physiol.</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(OCT), 294538.</w:t>
      </w:r>
    </w:p>
    <w:p w14:paraId="33AE8A7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rPr>
      </w:pPr>
      <w:r>
        <w:rPr>
          <w:rFonts w:ascii="Arial" w:hAnsi="Arial" w:cs="Arial"/>
          <w:noProof/>
          <w:szCs w:val="24"/>
          <w:lang w:val="en-US"/>
        </w:rPr>
        <w:t xml:space="preserve">(307) </w:t>
      </w:r>
      <w:r>
        <w:rPr>
          <w:rFonts w:ascii="Arial" w:hAnsi="Arial" w:cs="Arial"/>
          <w:noProof/>
          <w:szCs w:val="24"/>
          <w:lang w:val="en-US"/>
        </w:rPr>
        <w:tab/>
        <w:t>Kumar, A.; Xie, L.; Ta, C. M.; Hinton, A. J.; Gunasekar, S. K.; Minerath, R. A.; Shen, K.; Maurer, J. M.; Grueter, C. E.; Abel, E. D.; et al. Swell1 Regulates S</w:t>
      </w:r>
      <w:r>
        <w:rPr>
          <w:rFonts w:ascii="Arial" w:hAnsi="Arial" w:cs="Arial"/>
          <w:noProof/>
          <w:szCs w:val="24"/>
          <w:lang w:val="en-US"/>
        </w:rPr>
        <w:t xml:space="preserve">keletal Muscle Cell Size, Intracellular Signalling, Adiposity and Glucose Metabolism. </w:t>
      </w:r>
      <w:r>
        <w:rPr>
          <w:rFonts w:ascii="Arial" w:hAnsi="Arial" w:cs="Arial"/>
          <w:i/>
          <w:iCs/>
          <w:noProof/>
          <w:szCs w:val="24"/>
        </w:rPr>
        <w:t>Elife</w:t>
      </w:r>
      <w:r>
        <w:rPr>
          <w:rFonts w:ascii="Arial" w:hAnsi="Arial" w:cs="Arial"/>
          <w:noProof/>
          <w:szCs w:val="24"/>
        </w:rPr>
        <w:t xml:space="preserve"> </w:t>
      </w:r>
      <w:r>
        <w:rPr>
          <w:rFonts w:ascii="Arial" w:hAnsi="Arial" w:cs="Arial"/>
          <w:b/>
          <w:bCs/>
          <w:noProof/>
          <w:szCs w:val="24"/>
        </w:rPr>
        <w:t>2020</w:t>
      </w:r>
      <w:r>
        <w:rPr>
          <w:rFonts w:ascii="Arial" w:hAnsi="Arial" w:cs="Arial"/>
          <w:noProof/>
          <w:szCs w:val="24"/>
        </w:rPr>
        <w:t xml:space="preserve">, </w:t>
      </w:r>
      <w:r>
        <w:rPr>
          <w:rFonts w:ascii="Arial" w:hAnsi="Arial" w:cs="Arial"/>
          <w:i/>
          <w:iCs/>
          <w:noProof/>
          <w:szCs w:val="24"/>
        </w:rPr>
        <w:t>9</w:t>
      </w:r>
      <w:r>
        <w:rPr>
          <w:rFonts w:ascii="Arial" w:hAnsi="Arial" w:cs="Arial"/>
          <w:noProof/>
          <w:szCs w:val="24"/>
        </w:rPr>
        <w:t>, 1–59.</w:t>
      </w:r>
    </w:p>
    <w:p w14:paraId="4A02676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rPr>
        <w:t xml:space="preserve">(308) </w:t>
      </w:r>
      <w:r>
        <w:rPr>
          <w:rFonts w:ascii="Arial" w:hAnsi="Arial" w:cs="Arial"/>
          <w:noProof/>
          <w:szCs w:val="24"/>
        </w:rPr>
        <w:tab/>
        <w:t xml:space="preserve">Zhang, Y.; Xie, L.; Gunasekar, S. K.; Tong, D.; Mishra, A.; Gibson, W. J.; Wang, C.; Fidler, T.; Marthaler, B.; Klingelhutz, A.; et al. </w:t>
      </w:r>
      <w:r>
        <w:rPr>
          <w:rFonts w:ascii="Arial" w:hAnsi="Arial" w:cs="Arial"/>
          <w:noProof/>
          <w:szCs w:val="24"/>
          <w:lang w:val="en-US"/>
        </w:rPr>
        <w:t xml:space="preserve">SWELL1 Is a Regulator of Adipocyte Size, Insulin Signalling and Glucose Homeostasis. </w:t>
      </w:r>
      <w:r>
        <w:rPr>
          <w:rFonts w:ascii="Arial" w:hAnsi="Arial" w:cs="Arial"/>
          <w:i/>
          <w:iCs/>
          <w:noProof/>
          <w:szCs w:val="24"/>
          <w:lang w:val="en-US"/>
        </w:rPr>
        <w:t>Nat. Cell Biol. 2017 195</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19</w:t>
      </w:r>
      <w:r>
        <w:rPr>
          <w:rFonts w:ascii="Arial" w:hAnsi="Arial" w:cs="Arial"/>
          <w:noProof/>
          <w:szCs w:val="24"/>
          <w:lang w:val="en-US"/>
        </w:rPr>
        <w:t xml:space="preserve"> (5), 504–517.</w:t>
      </w:r>
    </w:p>
    <w:p w14:paraId="5946678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(309) </w:t>
      </w:r>
      <w:r>
        <w:rPr>
          <w:rFonts w:ascii="Arial" w:hAnsi="Arial" w:cs="Arial"/>
          <w:noProof/>
          <w:szCs w:val="24"/>
          <w:lang w:val="en-US"/>
        </w:rPr>
        <w:tab/>
        <w:t xml:space="preserve">Gunasekar, S. K.; Xie, L.; Sah, R. SWELL Signalling in Adipocytes: Can Fat “feel” Fat? </w:t>
      </w:r>
      <w:r>
        <w:rPr>
          <w:rFonts w:ascii="Arial" w:hAnsi="Arial" w:cs="Arial"/>
          <w:i/>
          <w:iCs/>
          <w:noProof/>
          <w:szCs w:val="24"/>
          <w:lang w:val="en-US"/>
        </w:rPr>
        <w:t>Adipocyte</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(1), 223–22</w:t>
      </w:r>
      <w:r>
        <w:rPr>
          <w:rFonts w:ascii="Arial" w:hAnsi="Arial" w:cs="Arial"/>
          <w:noProof/>
          <w:szCs w:val="24"/>
          <w:lang w:val="en-US"/>
        </w:rPr>
        <w:t>8.</w:t>
      </w:r>
    </w:p>
    <w:p w14:paraId="7CFFC42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(310) </w:t>
      </w:r>
      <w:r>
        <w:rPr>
          <w:rFonts w:ascii="Arial" w:hAnsi="Arial" w:cs="Arial"/>
          <w:noProof/>
          <w:szCs w:val="24"/>
          <w:lang w:val="en-US"/>
        </w:rPr>
        <w:tab/>
        <w:t xml:space="preserve">Eagle, H.; Levine, E. M. Growth Regulatory Effects of Cellular Interaction. </w:t>
      </w:r>
      <w:r>
        <w:rPr>
          <w:rFonts w:ascii="Arial" w:hAnsi="Arial" w:cs="Arial"/>
          <w:i/>
          <w:iCs/>
          <w:noProof/>
          <w:szCs w:val="24"/>
          <w:lang w:val="en-US"/>
        </w:rPr>
        <w:t>Nat. 1967 2135081</w:t>
      </w:r>
      <w:r>
        <w:rPr>
          <w:rFonts w:ascii="Arial" w:hAnsi="Arial" w:cs="Arial"/>
          <w:noProof/>
          <w:szCs w:val="24"/>
          <w:lang w:val="en-US"/>
        </w:rPr>
        <w:t xml:space="preserve"> </w:t>
      </w:r>
      <w:r>
        <w:rPr>
          <w:rFonts w:ascii="Arial" w:hAnsi="Arial" w:cs="Arial"/>
          <w:b/>
          <w:bCs/>
          <w:noProof/>
          <w:szCs w:val="24"/>
          <w:lang w:val="en-US"/>
        </w:rPr>
        <w:t>1967</w:t>
      </w:r>
      <w:r>
        <w:rPr>
          <w:rFonts w:ascii="Arial" w:hAnsi="Arial" w:cs="Arial"/>
          <w:noProof/>
          <w:szCs w:val="24"/>
          <w:lang w:val="en-US"/>
        </w:rPr>
        <w:t xml:space="preserve">, </w:t>
      </w:r>
      <w:r>
        <w:rPr>
          <w:rFonts w:ascii="Arial" w:hAnsi="Arial" w:cs="Arial"/>
          <w:i/>
          <w:iCs/>
          <w:noProof/>
          <w:szCs w:val="24"/>
          <w:lang w:val="en-US"/>
        </w:rPr>
        <w:t>213</w:t>
      </w:r>
      <w:r>
        <w:rPr>
          <w:rFonts w:ascii="Arial" w:hAnsi="Arial" w:cs="Arial"/>
          <w:noProof/>
          <w:szCs w:val="24"/>
          <w:lang w:val="en-US"/>
        </w:rPr>
        <w:t xml:space="preserve"> (5081), 1102–1106.</w:t>
      </w:r>
    </w:p>
    <w:p w14:paraId="7B15A30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(311) </w:t>
      </w:r>
      <w:r>
        <w:rPr>
          <w:rFonts w:ascii="Arial" w:hAnsi="Arial" w:cs="Arial"/>
          <w:noProof/>
          <w:szCs w:val="24"/>
          <w:lang w:val="en-US"/>
        </w:rPr>
        <w:tab/>
        <w:t>Pavel, M.; Renna, M.; Park, S. J.; Menzies, F. M.; Ricketts, T.; Füllgrabe, J.; Ashkenazi, A.; Frake, R. A.; Lombart</w:t>
      </w:r>
      <w:r>
        <w:rPr>
          <w:rFonts w:ascii="Arial" w:hAnsi="Arial" w:cs="Arial"/>
          <w:noProof/>
          <w:szCs w:val="24"/>
          <w:lang w:val="en-US"/>
        </w:rPr>
        <w:t xml:space="preserve">e, A. C.; Bento, C. F.; et al. Contact Inhibition </w:t>
      </w:r>
      <w:r>
        <w:rPr>
          <w:rFonts w:ascii="Arial" w:hAnsi="Arial" w:cs="Arial"/>
          <w:noProof/>
          <w:szCs w:val="24"/>
          <w:lang w:val="en-US"/>
        </w:rPr>
        <w:lastRenderedPageBreak/>
        <w:t xml:space="preserve">Controls Cell Survival and Proliferation via YAP/TAZ-Autophagy Axis. </w:t>
      </w:r>
      <w:r>
        <w:rPr>
          <w:rFonts w:ascii="Arial" w:hAnsi="Arial" w:cs="Arial"/>
          <w:i/>
          <w:iCs/>
          <w:noProof/>
          <w:szCs w:val="24"/>
          <w:lang w:val="en-US"/>
        </w:rPr>
        <w:t>Nat. Commun. 2018 91</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(1), 1–18.</w:t>
      </w:r>
    </w:p>
    <w:p w14:paraId="081D064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(312) </w:t>
      </w:r>
      <w:r>
        <w:rPr>
          <w:rFonts w:ascii="Arial" w:hAnsi="Arial" w:cs="Arial"/>
          <w:noProof/>
          <w:szCs w:val="24"/>
          <w:lang w:val="en-US"/>
        </w:rPr>
        <w:tab/>
        <w:t>Uroz, M.; Wistorf, S.; Serra-Picamal, X.; Conte, V.; Sales-Pardo, M.; Roca-Cusachs, P.; Gu</w:t>
      </w:r>
      <w:r>
        <w:rPr>
          <w:rFonts w:ascii="Arial" w:hAnsi="Arial" w:cs="Arial"/>
          <w:noProof/>
          <w:szCs w:val="24"/>
          <w:lang w:val="en-US"/>
        </w:rPr>
        <w:t xml:space="preserve">imerà, R.; Trepat, X. Regulation of Cell Cycle Progression by Cell–Cell and Cell–Matrix Forces. </w:t>
      </w:r>
      <w:r>
        <w:rPr>
          <w:rFonts w:ascii="Arial" w:hAnsi="Arial" w:cs="Arial"/>
          <w:i/>
          <w:iCs/>
          <w:noProof/>
          <w:szCs w:val="24"/>
          <w:lang w:val="en-US"/>
        </w:rPr>
        <w:t>Nat. Cell Biol. 2018 206</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20</w:t>
      </w:r>
      <w:r>
        <w:rPr>
          <w:rFonts w:ascii="Arial" w:hAnsi="Arial" w:cs="Arial"/>
          <w:noProof/>
          <w:szCs w:val="24"/>
          <w:lang w:val="en-US"/>
        </w:rPr>
        <w:t xml:space="preserve"> (6), 646–654.</w:t>
      </w:r>
    </w:p>
    <w:p w14:paraId="5C85F86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(313) </w:t>
      </w:r>
      <w:r>
        <w:rPr>
          <w:rFonts w:ascii="Arial" w:hAnsi="Arial" w:cs="Arial"/>
          <w:noProof/>
          <w:szCs w:val="24"/>
          <w:lang w:val="en-US"/>
        </w:rPr>
        <w:tab/>
        <w:t>Gonzalez, N. P.; Tao, J.; Rochman, N. D.; Vig, D.; Chiu, E.; Wirtz, D.; Sun, S. X. Cell Tension and Mecha</w:t>
      </w:r>
      <w:r>
        <w:rPr>
          <w:rFonts w:ascii="Arial" w:hAnsi="Arial" w:cs="Arial"/>
          <w:noProof/>
          <w:szCs w:val="24"/>
          <w:lang w:val="en-US"/>
        </w:rPr>
        <w:t xml:space="preserve">nical Regulation of Cell Volume. </w:t>
      </w:r>
      <w:r>
        <w:rPr>
          <w:rFonts w:ascii="Arial" w:hAnsi="Arial" w:cs="Arial"/>
          <w:i/>
          <w:iCs/>
          <w:noProof/>
          <w:szCs w:val="24"/>
          <w:lang w:val="en-US"/>
        </w:rPr>
        <w:t>Mol. Biol. Cell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29</w:t>
      </w:r>
      <w:r>
        <w:rPr>
          <w:rFonts w:ascii="Arial" w:hAnsi="Arial" w:cs="Arial"/>
          <w:noProof/>
          <w:szCs w:val="24"/>
          <w:lang w:val="en-US"/>
        </w:rPr>
        <w:t xml:space="preserve"> (21), 2591–2600.</w:t>
      </w:r>
    </w:p>
    <w:p w14:paraId="1A976CE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(314) </w:t>
      </w:r>
      <w:r>
        <w:rPr>
          <w:rFonts w:ascii="Arial" w:hAnsi="Arial" w:cs="Arial"/>
          <w:noProof/>
          <w:szCs w:val="24"/>
          <w:lang w:val="en-US"/>
        </w:rPr>
        <w:tab/>
      </w:r>
      <w:r>
        <w:rPr>
          <w:rFonts w:ascii="Arial" w:hAnsi="Arial" w:cs="Arial"/>
          <w:noProof/>
          <w:szCs w:val="24"/>
          <w:lang w:val="en-US"/>
        </w:rPr>
        <w:t xml:space="preserve">Perez-Gonzalez, N. A.; Rochman, N. D.; Yao, K.; Tao, J.; Le, M. T. T.; Flanary, S.; Sablich, L.; Toler, B.; Crentsil, E.; Takaesu, F.; et al. YAP and TAZ Regulate Cell Volume.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218</w:t>
      </w:r>
      <w:r>
        <w:rPr>
          <w:rFonts w:ascii="Arial" w:hAnsi="Arial" w:cs="Arial"/>
          <w:noProof/>
          <w:szCs w:val="24"/>
          <w:lang w:val="en-US"/>
        </w:rPr>
        <w:t xml:space="preserve"> (10), 3472–3488.</w:t>
      </w:r>
    </w:p>
    <w:p w14:paraId="3E387E9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(315) </w:t>
      </w:r>
      <w:r>
        <w:rPr>
          <w:rFonts w:ascii="Arial" w:hAnsi="Arial" w:cs="Arial"/>
          <w:noProof/>
          <w:szCs w:val="24"/>
          <w:lang w:val="en-US"/>
        </w:rPr>
        <w:tab/>
        <w:t>Stojanovski, K.; Gheorghe, I.; L</w:t>
      </w:r>
      <w:r>
        <w:rPr>
          <w:rFonts w:ascii="Arial" w:hAnsi="Arial" w:cs="Arial"/>
          <w:noProof/>
          <w:szCs w:val="24"/>
          <w:lang w:val="en-US"/>
        </w:rPr>
        <w:t xml:space="preserve">enart, P.; Lanjuin, A.; Mair, W. B.; Towbin, B. D. Maintenance of Appropriate Size Scaling of the C. Elegans Pharynx by YAP-1. </w:t>
      </w:r>
      <w:r>
        <w:rPr>
          <w:rFonts w:ascii="Arial" w:hAnsi="Arial" w:cs="Arial"/>
          <w:i/>
          <w:iCs/>
          <w:noProof/>
          <w:szCs w:val="24"/>
          <w:lang w:val="en-US"/>
        </w:rPr>
        <w:t>Nat. Commun. 2023 141</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14</w:t>
      </w:r>
      <w:r>
        <w:rPr>
          <w:rFonts w:ascii="Arial" w:hAnsi="Arial" w:cs="Arial"/>
          <w:noProof/>
          <w:szCs w:val="24"/>
          <w:lang w:val="en-US"/>
        </w:rPr>
        <w:t xml:space="preserve"> (1), 1–13.</w:t>
      </w:r>
    </w:p>
    <w:p w14:paraId="185DC0C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(316) </w:t>
      </w:r>
      <w:r>
        <w:rPr>
          <w:rFonts w:ascii="Arial" w:hAnsi="Arial" w:cs="Arial"/>
          <w:noProof/>
          <w:szCs w:val="24"/>
          <w:lang w:val="en-US"/>
        </w:rPr>
        <w:tab/>
        <w:t>Mugahid, D.; Kalocsay, M.; Liu, X.; Gruver, J. S.; Peshkin, L.; Kirschner, M. W.</w:t>
      </w:r>
      <w:r>
        <w:rPr>
          <w:rFonts w:ascii="Arial" w:hAnsi="Arial" w:cs="Arial"/>
          <w:noProof/>
          <w:szCs w:val="24"/>
          <w:lang w:val="en-US"/>
        </w:rPr>
        <w:t xml:space="preserve"> YAP Regulates Cell Size and Growth Dynamics via Non-Cell Autonomous Mediators.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w:t>
      </w:r>
    </w:p>
    <w:p w14:paraId="5FB8415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(317) </w:t>
      </w:r>
      <w:r>
        <w:rPr>
          <w:rFonts w:ascii="Arial" w:hAnsi="Arial" w:cs="Arial"/>
          <w:noProof/>
          <w:szCs w:val="24"/>
          <w:lang w:val="en-US"/>
        </w:rPr>
        <w:tab/>
      </w:r>
      <w:r>
        <w:rPr>
          <w:rFonts w:ascii="Arial" w:hAnsi="Arial" w:cs="Arial"/>
          <w:noProof/>
          <w:szCs w:val="24"/>
          <w:lang w:val="en-US"/>
        </w:rPr>
        <w:t xml:space="preserve">Hinze, C.; Boucrot, E. Endocytosis in Proliferating, Quiescent and Terminally Differentiated Cells. </w:t>
      </w:r>
      <w:r>
        <w:rPr>
          <w:rFonts w:ascii="Arial" w:hAnsi="Arial" w:cs="Arial"/>
          <w:i/>
          <w:iCs/>
          <w:noProof/>
          <w:szCs w:val="24"/>
          <w:lang w:val="en-US"/>
        </w:rPr>
        <w:t>J. Cell Sci.</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131</w:t>
      </w:r>
      <w:r>
        <w:rPr>
          <w:rFonts w:ascii="Arial" w:hAnsi="Arial" w:cs="Arial"/>
          <w:noProof/>
          <w:szCs w:val="24"/>
          <w:lang w:val="en-US"/>
        </w:rPr>
        <w:t xml:space="preserve"> (23).</w:t>
      </w:r>
    </w:p>
    <w:p w14:paraId="3AAEA9C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(318) </w:t>
      </w:r>
      <w:r>
        <w:rPr>
          <w:rFonts w:ascii="Arial" w:hAnsi="Arial" w:cs="Arial"/>
          <w:noProof/>
          <w:szCs w:val="24"/>
          <w:lang w:val="en-US"/>
        </w:rPr>
        <w:tab/>
        <w:t>Frauwirth, K. A.; Riley, J. L.; Harris, M. H.; Parry, R. V; Rathmell, J. C.; Plas, D. R.; Elstrom, R. L.; June, C. H.; T</w:t>
      </w:r>
      <w:r>
        <w:rPr>
          <w:rFonts w:ascii="Arial" w:hAnsi="Arial" w:cs="Arial"/>
          <w:noProof/>
          <w:szCs w:val="24"/>
          <w:lang w:val="en-US"/>
        </w:rPr>
        <w:t xml:space="preserve">hompson, C. B. The CD28 Signaling Pathway Regulates Glucose Metabolism Ability of Resting Cells to Take up and Utilize Nutrients at Levels Sufficient to Maintain Viability (Rathmell et Al in Fat and Muscle Cells Insulin Induces Glucose Uptake in Excess of </w:t>
      </w:r>
      <w:r>
        <w:rPr>
          <w:rFonts w:ascii="Arial" w:hAnsi="Arial" w:cs="Arial"/>
          <w:noProof/>
          <w:szCs w:val="24"/>
          <w:lang w:val="en-US"/>
        </w:rPr>
        <w:t xml:space="preserve">That Required to Maintain. </w:t>
      </w:r>
      <w:r>
        <w:rPr>
          <w:rFonts w:ascii="Arial" w:hAnsi="Arial" w:cs="Arial"/>
          <w:i/>
          <w:iCs/>
          <w:noProof/>
          <w:szCs w:val="24"/>
          <w:lang w:val="en-US"/>
        </w:rPr>
        <w:t>Immunity</w:t>
      </w:r>
      <w:r>
        <w:rPr>
          <w:rFonts w:ascii="Arial" w:hAnsi="Arial" w:cs="Arial"/>
          <w:noProof/>
          <w:szCs w:val="24"/>
          <w:lang w:val="en-US"/>
        </w:rPr>
        <w:t xml:space="preserve"> </w:t>
      </w:r>
      <w:r>
        <w:rPr>
          <w:rFonts w:ascii="Arial" w:hAnsi="Arial" w:cs="Arial"/>
          <w:b/>
          <w:bCs/>
          <w:noProof/>
          <w:szCs w:val="24"/>
          <w:lang w:val="en-US"/>
        </w:rPr>
        <w:t>2002</w:t>
      </w:r>
      <w:r>
        <w:rPr>
          <w:rFonts w:ascii="Arial" w:hAnsi="Arial" w:cs="Arial"/>
          <w:noProof/>
          <w:szCs w:val="24"/>
          <w:lang w:val="en-US"/>
        </w:rPr>
        <w:t xml:space="preserve">, </w:t>
      </w:r>
      <w:r>
        <w:rPr>
          <w:rFonts w:ascii="Arial" w:hAnsi="Arial" w:cs="Arial"/>
          <w:i/>
          <w:iCs/>
          <w:noProof/>
          <w:szCs w:val="24"/>
          <w:lang w:val="en-US"/>
        </w:rPr>
        <w:t>16</w:t>
      </w:r>
      <w:r>
        <w:rPr>
          <w:rFonts w:ascii="Arial" w:hAnsi="Arial" w:cs="Arial"/>
          <w:noProof/>
          <w:szCs w:val="24"/>
          <w:lang w:val="en-US"/>
        </w:rPr>
        <w:t>, 769–777.</w:t>
      </w:r>
    </w:p>
    <w:p w14:paraId="59B3F99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(319) </w:t>
      </w:r>
      <w:r>
        <w:rPr>
          <w:rFonts w:ascii="Arial" w:hAnsi="Arial" w:cs="Arial"/>
          <w:noProof/>
          <w:szCs w:val="24"/>
          <w:lang w:val="en-US"/>
        </w:rPr>
        <w:tab/>
        <w:t>Lemons, J. M. S.; Coller, H. A.; Feng, X. J.; Bennett, B. D.; Legesse-Miller, A.; Johnson, E. L.; Raitman, I.; Pollina, E. A.; Rabitz, H. A.; Rabinowitz, J. D. Quiescent Fibroblasts Exhibit High</w:t>
      </w:r>
      <w:r>
        <w:rPr>
          <w:rFonts w:ascii="Arial" w:hAnsi="Arial" w:cs="Arial"/>
          <w:noProof/>
          <w:szCs w:val="24"/>
          <w:lang w:val="en-US"/>
        </w:rPr>
        <w:t xml:space="preserve"> Metabolic Activity. </w:t>
      </w:r>
      <w:r>
        <w:rPr>
          <w:rFonts w:ascii="Arial" w:hAnsi="Arial" w:cs="Arial"/>
          <w:i/>
          <w:iCs/>
          <w:noProof/>
          <w:szCs w:val="24"/>
          <w:lang w:val="en-US"/>
        </w:rPr>
        <w:t>PLOS Biol.</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(10), e1000514.</w:t>
      </w:r>
    </w:p>
    <w:p w14:paraId="687B7FA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(320) </w:t>
      </w:r>
      <w:r>
        <w:rPr>
          <w:rFonts w:ascii="Arial" w:hAnsi="Arial" w:cs="Arial"/>
          <w:noProof/>
          <w:szCs w:val="24"/>
          <w:lang w:val="en-US"/>
        </w:rPr>
        <w:tab/>
        <w:t xml:space="preserve">Gurtner, G. C.; Werner, S.; Barrandon, Y.; Longaker, M. T. Wound Repair and Regeneration. </w:t>
      </w:r>
      <w:r>
        <w:rPr>
          <w:rFonts w:ascii="Arial" w:hAnsi="Arial" w:cs="Arial"/>
          <w:i/>
          <w:iCs/>
          <w:noProof/>
          <w:szCs w:val="24"/>
          <w:lang w:val="en-US"/>
        </w:rPr>
        <w:t>Nat. 2008 4537193</w:t>
      </w:r>
      <w:r>
        <w:rPr>
          <w:rFonts w:ascii="Arial" w:hAnsi="Arial" w:cs="Arial"/>
          <w:noProof/>
          <w:szCs w:val="24"/>
          <w:lang w:val="en-US"/>
        </w:rPr>
        <w:t xml:space="preserve"> </w:t>
      </w:r>
      <w:r>
        <w:rPr>
          <w:rFonts w:ascii="Arial" w:hAnsi="Arial" w:cs="Arial"/>
          <w:b/>
          <w:bCs/>
          <w:noProof/>
          <w:szCs w:val="24"/>
          <w:lang w:val="en-US"/>
        </w:rPr>
        <w:t>2008</w:t>
      </w:r>
      <w:r>
        <w:rPr>
          <w:rFonts w:ascii="Arial" w:hAnsi="Arial" w:cs="Arial"/>
          <w:noProof/>
          <w:szCs w:val="24"/>
          <w:lang w:val="en-US"/>
        </w:rPr>
        <w:t xml:space="preserve">, </w:t>
      </w:r>
      <w:r>
        <w:rPr>
          <w:rFonts w:ascii="Arial" w:hAnsi="Arial" w:cs="Arial"/>
          <w:i/>
          <w:iCs/>
          <w:noProof/>
          <w:szCs w:val="24"/>
          <w:lang w:val="en-US"/>
        </w:rPr>
        <w:t>453</w:t>
      </w:r>
      <w:r>
        <w:rPr>
          <w:rFonts w:ascii="Arial" w:hAnsi="Arial" w:cs="Arial"/>
          <w:noProof/>
          <w:szCs w:val="24"/>
          <w:lang w:val="en-US"/>
        </w:rPr>
        <w:t xml:space="preserve"> (7193), 314–321.</w:t>
      </w:r>
    </w:p>
    <w:p w14:paraId="64DC38E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(321) </w:t>
      </w:r>
      <w:r>
        <w:rPr>
          <w:rFonts w:ascii="Arial" w:hAnsi="Arial" w:cs="Arial"/>
          <w:noProof/>
          <w:szCs w:val="24"/>
          <w:lang w:val="en-US"/>
        </w:rPr>
        <w:tab/>
        <w:t>Franklin, J. L.; Johnson, E. M. Control of Neuronal</w:t>
      </w:r>
      <w:r>
        <w:rPr>
          <w:rFonts w:ascii="Arial" w:hAnsi="Arial" w:cs="Arial"/>
          <w:noProof/>
          <w:szCs w:val="24"/>
          <w:lang w:val="en-US"/>
        </w:rPr>
        <w:t xml:space="preserve"> Size Homeostasis by Trophic Factor–Mediated Coupling of Protein Degradation to Protein Synthesis.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142</w:t>
      </w:r>
      <w:r>
        <w:rPr>
          <w:rFonts w:ascii="Arial" w:hAnsi="Arial" w:cs="Arial"/>
          <w:noProof/>
          <w:szCs w:val="24"/>
          <w:lang w:val="en-US"/>
        </w:rPr>
        <w:t xml:space="preserve"> (5), 1313–1324.</w:t>
      </w:r>
    </w:p>
    <w:p w14:paraId="6F7FC19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(322) </w:t>
      </w:r>
      <w:r>
        <w:rPr>
          <w:rFonts w:ascii="Arial" w:hAnsi="Arial" w:cs="Arial"/>
          <w:noProof/>
          <w:szCs w:val="24"/>
          <w:lang w:val="en-US"/>
        </w:rPr>
        <w:tab/>
        <w:t xml:space="preserve">Zoncu, R.; Efeyan, A.; Sabatini, D. M. MTOR: From Growth Signal Integration to Cancer, Diabetes and Ageing. </w:t>
      </w:r>
      <w:r>
        <w:rPr>
          <w:rFonts w:ascii="Arial" w:hAnsi="Arial" w:cs="Arial"/>
          <w:i/>
          <w:iCs/>
          <w:noProof/>
          <w:szCs w:val="24"/>
          <w:lang w:val="en-US"/>
        </w:rPr>
        <w:t>Na</w:t>
      </w:r>
      <w:r>
        <w:rPr>
          <w:rFonts w:ascii="Arial" w:hAnsi="Arial" w:cs="Arial"/>
          <w:i/>
          <w:iCs/>
          <w:noProof/>
          <w:szCs w:val="24"/>
          <w:lang w:val="en-US"/>
        </w:rPr>
        <w:t>t. Rev. Mol. Cell Biol. 2010 121</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(1), 21–35.</w:t>
      </w:r>
    </w:p>
    <w:p w14:paraId="1332CF9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(323) </w:t>
      </w:r>
      <w:r>
        <w:rPr>
          <w:rFonts w:ascii="Arial" w:hAnsi="Arial" w:cs="Arial"/>
          <w:noProof/>
          <w:szCs w:val="24"/>
          <w:lang w:val="en-US"/>
        </w:rPr>
        <w:tab/>
        <w:t xml:space="preserve">Kellogg, D. R.; Levin, P. A. Nutrient Availability as an Arbiter of Cell Size. </w:t>
      </w:r>
      <w:r>
        <w:rPr>
          <w:rFonts w:ascii="Arial" w:hAnsi="Arial" w:cs="Arial"/>
          <w:i/>
          <w:iCs/>
          <w:noProof/>
          <w:szCs w:val="24"/>
          <w:lang w:val="en-US"/>
        </w:rPr>
        <w:t>Trends Cell Biol.</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32</w:t>
      </w:r>
      <w:r>
        <w:rPr>
          <w:rFonts w:ascii="Arial" w:hAnsi="Arial" w:cs="Arial"/>
          <w:noProof/>
          <w:szCs w:val="24"/>
          <w:lang w:val="en-US"/>
        </w:rPr>
        <w:t xml:space="preserve"> (11), 908–919.</w:t>
      </w:r>
    </w:p>
    <w:p w14:paraId="1F52B8F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(324) </w:t>
      </w:r>
      <w:r>
        <w:rPr>
          <w:rFonts w:ascii="Arial" w:hAnsi="Arial" w:cs="Arial"/>
          <w:noProof/>
          <w:szCs w:val="24"/>
          <w:lang w:val="en-US"/>
        </w:rPr>
        <w:tab/>
        <w:t>Øvrebø, J. I.; Ma, Y.; Edgar, B. A. Cell Growth and the Cell Cycle:</w:t>
      </w:r>
      <w:r>
        <w:rPr>
          <w:rFonts w:ascii="Arial" w:hAnsi="Arial" w:cs="Arial"/>
          <w:noProof/>
          <w:szCs w:val="24"/>
          <w:lang w:val="en-US"/>
        </w:rPr>
        <w:t xml:space="preserve"> New Insights about Persistent Questions. </w:t>
      </w:r>
      <w:r>
        <w:rPr>
          <w:rFonts w:ascii="Arial" w:hAnsi="Arial" w:cs="Arial"/>
          <w:i/>
          <w:iCs/>
          <w:noProof/>
          <w:szCs w:val="24"/>
          <w:lang w:val="en-US"/>
        </w:rPr>
        <w:t>BioEssays</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44</w:t>
      </w:r>
      <w:r>
        <w:rPr>
          <w:rFonts w:ascii="Arial" w:hAnsi="Arial" w:cs="Arial"/>
          <w:noProof/>
          <w:szCs w:val="24"/>
          <w:lang w:val="en-US"/>
        </w:rPr>
        <w:t xml:space="preserve"> (11), 2200150.</w:t>
      </w:r>
    </w:p>
    <w:p w14:paraId="438D83F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(325) </w:t>
      </w:r>
      <w:r>
        <w:rPr>
          <w:rFonts w:ascii="Arial" w:hAnsi="Arial" w:cs="Arial"/>
          <w:noProof/>
          <w:szCs w:val="24"/>
          <w:lang w:val="en-US"/>
        </w:rPr>
        <w:tab/>
        <w:t xml:space="preserve">Dechant, R.; Peter, M. Nutrient Signals Driving Cell Growth. </w:t>
      </w:r>
      <w:r>
        <w:rPr>
          <w:rFonts w:ascii="Arial" w:hAnsi="Arial" w:cs="Arial"/>
          <w:i/>
          <w:iCs/>
          <w:noProof/>
          <w:szCs w:val="24"/>
          <w:lang w:val="en-US"/>
        </w:rPr>
        <w:t>Curr. Opin. Cell Biol.</w:t>
      </w:r>
      <w:r>
        <w:rPr>
          <w:rFonts w:ascii="Arial" w:hAnsi="Arial" w:cs="Arial"/>
          <w:noProof/>
          <w:szCs w:val="24"/>
          <w:lang w:val="en-US"/>
        </w:rPr>
        <w:t xml:space="preserve"> </w:t>
      </w:r>
      <w:r>
        <w:rPr>
          <w:rFonts w:ascii="Arial" w:hAnsi="Arial" w:cs="Arial"/>
          <w:b/>
          <w:bCs/>
          <w:noProof/>
          <w:szCs w:val="24"/>
          <w:lang w:val="en-US"/>
        </w:rPr>
        <w:t>2008</w:t>
      </w:r>
      <w:r>
        <w:rPr>
          <w:rFonts w:ascii="Arial" w:hAnsi="Arial" w:cs="Arial"/>
          <w:noProof/>
          <w:szCs w:val="24"/>
          <w:lang w:val="en-US"/>
        </w:rPr>
        <w:t xml:space="preserve">, </w:t>
      </w:r>
      <w:r>
        <w:rPr>
          <w:rFonts w:ascii="Arial" w:hAnsi="Arial" w:cs="Arial"/>
          <w:i/>
          <w:iCs/>
          <w:noProof/>
          <w:szCs w:val="24"/>
          <w:lang w:val="en-US"/>
        </w:rPr>
        <w:t>20</w:t>
      </w:r>
      <w:r>
        <w:rPr>
          <w:rFonts w:ascii="Arial" w:hAnsi="Arial" w:cs="Arial"/>
          <w:noProof/>
          <w:szCs w:val="24"/>
          <w:lang w:val="en-US"/>
        </w:rPr>
        <w:t xml:space="preserve"> (6), 678–687.</w:t>
      </w:r>
    </w:p>
    <w:p w14:paraId="270B633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(326) </w:t>
      </w:r>
      <w:r>
        <w:rPr>
          <w:rFonts w:ascii="Arial" w:hAnsi="Arial" w:cs="Arial"/>
          <w:noProof/>
          <w:szCs w:val="24"/>
          <w:lang w:val="en-US"/>
        </w:rPr>
        <w:tab/>
        <w:t>Ewald, J. C. How Yeast Coordinates Metabolism, Growth and D</w:t>
      </w:r>
      <w:r>
        <w:rPr>
          <w:rFonts w:ascii="Arial" w:hAnsi="Arial" w:cs="Arial"/>
          <w:noProof/>
          <w:szCs w:val="24"/>
          <w:lang w:val="en-US"/>
        </w:rPr>
        <w:t xml:space="preserve">ivision. </w:t>
      </w:r>
      <w:r>
        <w:rPr>
          <w:rFonts w:ascii="Arial" w:hAnsi="Arial" w:cs="Arial"/>
          <w:i/>
          <w:iCs/>
          <w:noProof/>
          <w:szCs w:val="24"/>
          <w:lang w:val="en-US"/>
        </w:rPr>
        <w:t>Curr. Opin. Microbiol.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45</w:t>
      </w:r>
      <w:r>
        <w:rPr>
          <w:rFonts w:ascii="Arial" w:hAnsi="Arial" w:cs="Arial"/>
          <w:noProof/>
          <w:szCs w:val="24"/>
          <w:lang w:val="en-US"/>
        </w:rPr>
        <w:t>, 1–7.</w:t>
      </w:r>
    </w:p>
    <w:p w14:paraId="7AEAAE7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(327) </w:t>
      </w:r>
      <w:r>
        <w:rPr>
          <w:rFonts w:ascii="Arial" w:hAnsi="Arial" w:cs="Arial"/>
          <w:noProof/>
          <w:szCs w:val="24"/>
          <w:lang w:val="en-US"/>
        </w:rPr>
        <w:tab/>
      </w:r>
      <w:r>
        <w:rPr>
          <w:rFonts w:ascii="Arial" w:hAnsi="Arial" w:cs="Arial"/>
          <w:noProof/>
          <w:szCs w:val="24"/>
          <w:lang w:val="en-US"/>
        </w:rPr>
        <w:t xml:space="preserve">Wolfson, R. L.; Sabatini, D. M. Cell Metabolism The Dawn of the Age of Amino Acid Sensors for the MTORC1 Pathway. </w:t>
      </w:r>
      <w:r>
        <w:rPr>
          <w:rFonts w:ascii="Arial" w:hAnsi="Arial" w:cs="Arial"/>
          <w:i/>
          <w:iCs/>
          <w:noProof/>
          <w:szCs w:val="24"/>
          <w:lang w:val="en-US"/>
        </w:rPr>
        <w:t>Cell Metab.</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26</w:t>
      </w:r>
      <w:r>
        <w:rPr>
          <w:rFonts w:ascii="Arial" w:hAnsi="Arial" w:cs="Arial"/>
          <w:noProof/>
          <w:szCs w:val="24"/>
          <w:lang w:val="en-US"/>
        </w:rPr>
        <w:t>, 301–309.</w:t>
      </w:r>
    </w:p>
    <w:p w14:paraId="1834EC5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(328) </w:t>
      </w:r>
      <w:r>
        <w:rPr>
          <w:rFonts w:ascii="Arial" w:hAnsi="Arial" w:cs="Arial"/>
          <w:noProof/>
          <w:szCs w:val="24"/>
          <w:lang w:val="en-US"/>
        </w:rPr>
        <w:tab/>
        <w:t xml:space="preserve">Chantranupong, L.; Scaria, S. M.; Saxton, R. A.; Gygi, M. P.; Shen, K.; Wyant, G. A.; Wang, T.; Harper, </w:t>
      </w:r>
      <w:r>
        <w:rPr>
          <w:rFonts w:ascii="Arial" w:hAnsi="Arial" w:cs="Arial"/>
          <w:noProof/>
          <w:szCs w:val="24"/>
          <w:lang w:val="en-US"/>
        </w:rPr>
        <w:t xml:space="preserve">J. W.; Gygi, S. P.; Sabatini, D. M. The CASTOR Proteins Are Arginine Sensors for the MTORC1 Pathway.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165</w:t>
      </w:r>
      <w:r>
        <w:rPr>
          <w:rFonts w:ascii="Arial" w:hAnsi="Arial" w:cs="Arial"/>
          <w:noProof/>
          <w:szCs w:val="24"/>
          <w:lang w:val="en-US"/>
        </w:rPr>
        <w:t xml:space="preserve"> (1), 153–164.</w:t>
      </w:r>
    </w:p>
    <w:p w14:paraId="415CAED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(329) </w:t>
      </w:r>
      <w:r>
        <w:rPr>
          <w:rFonts w:ascii="Arial" w:hAnsi="Arial" w:cs="Arial"/>
          <w:noProof/>
          <w:szCs w:val="24"/>
          <w:lang w:val="en-US"/>
        </w:rPr>
        <w:tab/>
        <w:t>Wang, S.; Tsun, Z. Y.; Wolfson, R. L.; Shen, K.; Wyant, G. A.; Plovanich, M. E.; Yuan, E. D.; Jones, T. D.; Chantranupo</w:t>
      </w:r>
      <w:r>
        <w:rPr>
          <w:rFonts w:ascii="Arial" w:hAnsi="Arial" w:cs="Arial"/>
          <w:noProof/>
          <w:szCs w:val="24"/>
          <w:lang w:val="en-US"/>
        </w:rPr>
        <w:t xml:space="preserve">ng, L.; Comb, W.; et al. Lysosomal Amino Acid Transporter SLC38A9 Signals Arginine Sufficiency to MTORC1.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347</w:t>
      </w:r>
      <w:r>
        <w:rPr>
          <w:rFonts w:ascii="Arial" w:hAnsi="Arial" w:cs="Arial"/>
          <w:noProof/>
          <w:szCs w:val="24"/>
          <w:lang w:val="en-US"/>
        </w:rPr>
        <w:t xml:space="preserve"> (6218), 188–194.</w:t>
      </w:r>
    </w:p>
    <w:p w14:paraId="1BAC15A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(330) </w:t>
      </w:r>
      <w:r>
        <w:rPr>
          <w:rFonts w:ascii="Arial" w:hAnsi="Arial" w:cs="Arial"/>
          <w:noProof/>
          <w:szCs w:val="24"/>
          <w:lang w:val="en-US"/>
        </w:rPr>
        <w:tab/>
        <w:t>Gu, X.; Orozco, J. M.; Saxton, R. A.; Condon, K. J.; Liu, G. Y.; Krawczyk, P. A.; Scaria, S. M.; Wade Harper</w:t>
      </w:r>
      <w:r>
        <w:rPr>
          <w:rFonts w:ascii="Arial" w:hAnsi="Arial" w:cs="Arial"/>
          <w:noProof/>
          <w:szCs w:val="24"/>
          <w:lang w:val="en-US"/>
        </w:rPr>
        <w:t xml:space="preserve">, J.; Gygi, S. P.; Sabatini, D. M. SAMTOR Is an S-Adenosylmethionine Sensor for the MTORC1 Pathway.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358</w:t>
      </w:r>
      <w:r>
        <w:rPr>
          <w:rFonts w:ascii="Arial" w:hAnsi="Arial" w:cs="Arial"/>
          <w:noProof/>
          <w:szCs w:val="24"/>
          <w:lang w:val="en-US"/>
        </w:rPr>
        <w:t xml:space="preserve"> (6364), 813–818.</w:t>
      </w:r>
    </w:p>
    <w:p w14:paraId="33C8175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(331) </w:t>
      </w:r>
      <w:r>
        <w:rPr>
          <w:rFonts w:ascii="Arial" w:hAnsi="Arial" w:cs="Arial"/>
          <w:noProof/>
          <w:szCs w:val="24"/>
          <w:lang w:val="en-US"/>
        </w:rPr>
        <w:tab/>
        <w:t>Lemaire, K.; Van De Velde, S.; Van Dijck, P.; Thevelein, J. M. Glucose and Sucrose Act as Agonist and Mannose as A</w:t>
      </w:r>
      <w:r>
        <w:rPr>
          <w:rFonts w:ascii="Arial" w:hAnsi="Arial" w:cs="Arial"/>
          <w:noProof/>
          <w:szCs w:val="24"/>
          <w:lang w:val="en-US"/>
        </w:rPr>
        <w:t xml:space="preserve">ntagonist Ligands of the G Protein-Coupled Receptor Gpr1 in the Yeast Saccharomyces Cerevisiae.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2004</w:t>
      </w:r>
      <w:r>
        <w:rPr>
          <w:rFonts w:ascii="Arial" w:hAnsi="Arial" w:cs="Arial"/>
          <w:noProof/>
          <w:szCs w:val="24"/>
          <w:lang w:val="en-US"/>
        </w:rPr>
        <w:t xml:space="preserve">, </w:t>
      </w:r>
      <w:r>
        <w:rPr>
          <w:rFonts w:ascii="Arial" w:hAnsi="Arial" w:cs="Arial"/>
          <w:i/>
          <w:iCs/>
          <w:noProof/>
          <w:szCs w:val="24"/>
          <w:lang w:val="en-US"/>
        </w:rPr>
        <w:t>16</w:t>
      </w:r>
      <w:r>
        <w:rPr>
          <w:rFonts w:ascii="Arial" w:hAnsi="Arial" w:cs="Arial"/>
          <w:noProof/>
          <w:szCs w:val="24"/>
          <w:lang w:val="en-US"/>
        </w:rPr>
        <w:t xml:space="preserve"> (2), 293–299.</w:t>
      </w:r>
    </w:p>
    <w:p w14:paraId="1E35274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(332) </w:t>
      </w:r>
      <w:r>
        <w:rPr>
          <w:rFonts w:ascii="Arial" w:hAnsi="Arial" w:cs="Arial"/>
          <w:noProof/>
          <w:szCs w:val="24"/>
          <w:lang w:val="en-US"/>
        </w:rPr>
        <w:tab/>
        <w:t>Rolland, F.; De Winde, J. H.; Lemaire, K.; Boles, E.; Thevelein, J. M.; Winderickx, J. Glucose-Induced CAMP Signalling i</w:t>
      </w:r>
      <w:r>
        <w:rPr>
          <w:rFonts w:ascii="Arial" w:hAnsi="Arial" w:cs="Arial"/>
          <w:noProof/>
          <w:szCs w:val="24"/>
          <w:lang w:val="en-US"/>
        </w:rPr>
        <w:t xml:space="preserve">n Yeast Requires Both a G-Protein Coupled Receptor System for Extracellular Glucose Detection and a Separable Hexose Kinase-Dependent Sensing Process. </w:t>
      </w:r>
      <w:r>
        <w:rPr>
          <w:rFonts w:ascii="Arial" w:hAnsi="Arial" w:cs="Arial"/>
          <w:i/>
          <w:iCs/>
          <w:noProof/>
          <w:szCs w:val="24"/>
          <w:lang w:val="en-US"/>
        </w:rPr>
        <w:t>Mol. Microbiol.</w:t>
      </w:r>
      <w:r>
        <w:rPr>
          <w:rFonts w:ascii="Arial" w:hAnsi="Arial" w:cs="Arial"/>
          <w:noProof/>
          <w:szCs w:val="24"/>
          <w:lang w:val="en-US"/>
        </w:rPr>
        <w:t xml:space="preserve"> </w:t>
      </w:r>
      <w:r>
        <w:rPr>
          <w:rFonts w:ascii="Arial" w:hAnsi="Arial" w:cs="Arial"/>
          <w:b/>
          <w:bCs/>
          <w:noProof/>
          <w:szCs w:val="24"/>
          <w:lang w:val="en-US"/>
        </w:rPr>
        <w:t>2000</w:t>
      </w:r>
      <w:r>
        <w:rPr>
          <w:rFonts w:ascii="Arial" w:hAnsi="Arial" w:cs="Arial"/>
          <w:noProof/>
          <w:szCs w:val="24"/>
          <w:lang w:val="en-US"/>
        </w:rPr>
        <w:t xml:space="preserve">, </w:t>
      </w:r>
      <w:r>
        <w:rPr>
          <w:rFonts w:ascii="Arial" w:hAnsi="Arial" w:cs="Arial"/>
          <w:i/>
          <w:iCs/>
          <w:noProof/>
          <w:szCs w:val="24"/>
          <w:lang w:val="en-US"/>
        </w:rPr>
        <w:t>38</w:t>
      </w:r>
      <w:r>
        <w:rPr>
          <w:rFonts w:ascii="Arial" w:hAnsi="Arial" w:cs="Arial"/>
          <w:noProof/>
          <w:szCs w:val="24"/>
          <w:lang w:val="en-US"/>
        </w:rPr>
        <w:t xml:space="preserve"> (2), 348–358.</w:t>
      </w:r>
    </w:p>
    <w:p w14:paraId="782F7B4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(333) </w:t>
      </w:r>
      <w:r>
        <w:rPr>
          <w:rFonts w:ascii="Arial" w:hAnsi="Arial" w:cs="Arial"/>
          <w:noProof/>
          <w:szCs w:val="24"/>
          <w:lang w:val="en-US"/>
        </w:rPr>
        <w:tab/>
        <w:t>Peeters, K.; Van Leemputte, F.; Fischer, B.; Bonini, B. M.;</w:t>
      </w:r>
      <w:r>
        <w:rPr>
          <w:rFonts w:ascii="Arial" w:hAnsi="Arial" w:cs="Arial"/>
          <w:noProof/>
          <w:szCs w:val="24"/>
          <w:lang w:val="en-US"/>
        </w:rPr>
        <w:t xml:space="preserve"> Quezada, H.; Tsytlonok, M.; Haesen, D.; Vanthienen, W.; Bernardes, N.; Gonzalez-Blas, C. B.; et al. Fructose-1,6-Bisphosphate Couples Glycolytic Flux to Activation of Ras. </w:t>
      </w:r>
      <w:r>
        <w:rPr>
          <w:rFonts w:ascii="Arial" w:hAnsi="Arial" w:cs="Arial"/>
          <w:i/>
          <w:iCs/>
          <w:noProof/>
          <w:szCs w:val="24"/>
          <w:lang w:val="en-US"/>
        </w:rPr>
        <w:t>Nat. Commun. 2017 81</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(1), 1–15.</w:t>
      </w:r>
    </w:p>
    <w:p w14:paraId="5098E8A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(334) </w:t>
      </w:r>
      <w:r>
        <w:rPr>
          <w:rFonts w:ascii="Arial" w:hAnsi="Arial" w:cs="Arial"/>
          <w:noProof/>
          <w:szCs w:val="24"/>
          <w:lang w:val="en-US"/>
        </w:rPr>
        <w:tab/>
        <w:t>Broek, D.; Toda, T.; Michaeli, T.; L</w:t>
      </w:r>
      <w:r>
        <w:rPr>
          <w:rFonts w:ascii="Arial" w:hAnsi="Arial" w:cs="Arial"/>
          <w:noProof/>
          <w:szCs w:val="24"/>
          <w:lang w:val="en-US"/>
        </w:rPr>
        <w:t xml:space="preserve">evin, L.; Birchmeier, C.; Zoller, M.; Powers, S.; Wigler, M. The S. Cerevisiae CDC25 Gene Product Regulates the RAS/Adenylate Cyclase Pathway. </w:t>
      </w:r>
      <w:r>
        <w:rPr>
          <w:rFonts w:ascii="Arial" w:hAnsi="Arial" w:cs="Arial"/>
          <w:i/>
          <w:iCs/>
          <w:noProof/>
          <w:szCs w:val="24"/>
          <w:lang w:val="en-US"/>
        </w:rPr>
        <w:t>Cell</w:t>
      </w:r>
      <w:r>
        <w:rPr>
          <w:rFonts w:ascii="Arial" w:hAnsi="Arial" w:cs="Arial"/>
          <w:noProof/>
          <w:szCs w:val="24"/>
          <w:lang w:val="en-US"/>
        </w:rPr>
        <w:t xml:space="preserve"> </w:t>
      </w:r>
      <w:r>
        <w:rPr>
          <w:rFonts w:ascii="Arial" w:hAnsi="Arial" w:cs="Arial"/>
          <w:b/>
          <w:bCs/>
          <w:noProof/>
          <w:szCs w:val="24"/>
          <w:lang w:val="en-US"/>
        </w:rPr>
        <w:t>1987</w:t>
      </w:r>
      <w:r>
        <w:rPr>
          <w:rFonts w:ascii="Arial" w:hAnsi="Arial" w:cs="Arial"/>
          <w:noProof/>
          <w:szCs w:val="24"/>
          <w:lang w:val="en-US"/>
        </w:rPr>
        <w:t xml:space="preserve">, </w:t>
      </w:r>
      <w:r>
        <w:rPr>
          <w:rFonts w:ascii="Arial" w:hAnsi="Arial" w:cs="Arial"/>
          <w:i/>
          <w:iCs/>
          <w:noProof/>
          <w:szCs w:val="24"/>
          <w:lang w:val="en-US"/>
        </w:rPr>
        <w:t>48</w:t>
      </w:r>
      <w:r>
        <w:rPr>
          <w:rFonts w:ascii="Arial" w:hAnsi="Arial" w:cs="Arial"/>
          <w:noProof/>
          <w:szCs w:val="24"/>
          <w:lang w:val="en-US"/>
        </w:rPr>
        <w:t xml:space="preserve"> (5), 789–799.</w:t>
      </w:r>
    </w:p>
    <w:p w14:paraId="1522E9D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(335) </w:t>
      </w:r>
      <w:r>
        <w:rPr>
          <w:rFonts w:ascii="Arial" w:hAnsi="Arial" w:cs="Arial"/>
          <w:noProof/>
          <w:szCs w:val="24"/>
          <w:lang w:val="en-US"/>
        </w:rPr>
        <w:tab/>
        <w:t xml:space="preserve">Colombo, S.; Ma, P.; Cauwenberg, L.; Winderickx, J.; Crauwels, M.; Teunissen, </w:t>
      </w:r>
      <w:r>
        <w:rPr>
          <w:rFonts w:ascii="Arial" w:hAnsi="Arial" w:cs="Arial"/>
          <w:noProof/>
          <w:szCs w:val="24"/>
          <w:lang w:val="en-US"/>
        </w:rPr>
        <w:t>A.; Nauwelaers, D.; De Winde, J. H.; Gorwa, M. F.; Colavizza, D.; et al. Involvement of Distinct G</w:t>
      </w:r>
      <w:r>
        <w:rPr>
          <w:rFonts w:ascii="Cambria Math" w:hAnsi="Cambria Math" w:cs="Cambria Math"/>
          <w:noProof/>
          <w:szCs w:val="24"/>
          <w:lang w:val="en-US"/>
        </w:rPr>
        <w:t>‐</w:t>
      </w:r>
      <w:r>
        <w:rPr>
          <w:rFonts w:ascii="Arial" w:hAnsi="Arial" w:cs="Arial"/>
          <w:noProof/>
          <w:szCs w:val="24"/>
          <w:lang w:val="en-US"/>
        </w:rPr>
        <w:t>proteins, Gpa2 and Ras, in Glucose</w:t>
      </w:r>
      <w:r>
        <w:rPr>
          <w:rFonts w:ascii="Cambria Math" w:hAnsi="Cambria Math" w:cs="Cambria Math"/>
          <w:noProof/>
          <w:szCs w:val="24"/>
          <w:lang w:val="en-US"/>
        </w:rPr>
        <w:t>‐</w:t>
      </w:r>
      <w:r>
        <w:rPr>
          <w:rFonts w:ascii="Arial" w:hAnsi="Arial" w:cs="Arial"/>
          <w:noProof/>
          <w:szCs w:val="24"/>
          <w:lang w:val="en-US"/>
        </w:rPr>
        <w:t xml:space="preserve"> and Intracellular Acidification</w:t>
      </w:r>
      <w:r>
        <w:rPr>
          <w:rFonts w:ascii="Cambria Math" w:hAnsi="Cambria Math" w:cs="Cambria Math"/>
          <w:noProof/>
          <w:szCs w:val="24"/>
          <w:lang w:val="en-US"/>
        </w:rPr>
        <w:t>‐</w:t>
      </w:r>
      <w:r>
        <w:rPr>
          <w:rFonts w:ascii="Arial" w:hAnsi="Arial" w:cs="Arial"/>
          <w:noProof/>
          <w:szCs w:val="24"/>
          <w:lang w:val="en-US"/>
        </w:rPr>
        <w:t xml:space="preserve">induced CAMP Signalling in the Yeast Saccharomyces Cerevisiae.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17</w:t>
      </w:r>
      <w:r>
        <w:rPr>
          <w:rFonts w:ascii="Arial" w:hAnsi="Arial" w:cs="Arial"/>
          <w:noProof/>
          <w:szCs w:val="24"/>
          <w:lang w:val="en-US"/>
        </w:rPr>
        <w:t xml:space="preserve"> (12), 3326–3341.</w:t>
      </w:r>
    </w:p>
    <w:p w14:paraId="7771073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(336) </w:t>
      </w:r>
      <w:r>
        <w:rPr>
          <w:rFonts w:ascii="Arial" w:hAnsi="Arial" w:cs="Arial"/>
          <w:noProof/>
          <w:szCs w:val="24"/>
          <w:lang w:val="en-US"/>
        </w:rPr>
        <w:tab/>
        <w:t>Creamer, D. R.; Hubbard, S. J.; Ashe, M. P.; Grant, C. M. Yeast Protein Kinase A Isoforms: A Means of Encoding Specificity in the Response to Diverse St</w:t>
      </w:r>
      <w:r>
        <w:rPr>
          <w:rFonts w:ascii="Arial" w:hAnsi="Arial" w:cs="Arial"/>
          <w:noProof/>
          <w:szCs w:val="24"/>
          <w:lang w:val="en-US"/>
        </w:rPr>
        <w:t xml:space="preserve">ress Conditions? </w:t>
      </w:r>
      <w:r>
        <w:rPr>
          <w:rFonts w:ascii="Arial" w:hAnsi="Arial" w:cs="Arial"/>
          <w:i/>
          <w:iCs/>
          <w:noProof/>
          <w:szCs w:val="24"/>
          <w:lang w:val="en-US"/>
        </w:rPr>
        <w:t>Biomolecules</w:t>
      </w:r>
      <w:r>
        <w:rPr>
          <w:rFonts w:ascii="Arial" w:hAnsi="Arial" w:cs="Arial"/>
          <w:noProof/>
          <w:szCs w:val="24"/>
          <w:lang w:val="en-US"/>
        </w:rPr>
        <w:t>. Multidisciplinary Digital Publishing Institute July 8, 2022, p 958.</w:t>
      </w:r>
    </w:p>
    <w:p w14:paraId="462F82D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(337) </w:t>
      </w:r>
      <w:r>
        <w:rPr>
          <w:rFonts w:ascii="Arial" w:hAnsi="Arial" w:cs="Arial"/>
          <w:noProof/>
          <w:szCs w:val="24"/>
          <w:lang w:val="en-US"/>
        </w:rPr>
        <w:tab/>
        <w:t>Rinaldi, J.; Wu, J.; Yang, J.; Ralston, C. Y.; Sankaran, B.; Moreno, S.; Taylor, S. S. Structure of Yeast Regulatory Subunit: A Glimpse into the Evolu</w:t>
      </w:r>
      <w:r>
        <w:rPr>
          <w:rFonts w:ascii="Arial" w:hAnsi="Arial" w:cs="Arial"/>
          <w:noProof/>
          <w:szCs w:val="24"/>
          <w:lang w:val="en-US"/>
        </w:rPr>
        <w:t xml:space="preserve">tion of PKA Signaling. </w:t>
      </w:r>
      <w:r>
        <w:rPr>
          <w:rFonts w:ascii="Arial" w:hAnsi="Arial" w:cs="Arial"/>
          <w:i/>
          <w:iCs/>
          <w:noProof/>
          <w:szCs w:val="24"/>
          <w:lang w:val="en-US"/>
        </w:rPr>
        <w:t>Structure</w:t>
      </w:r>
      <w:r>
        <w:rPr>
          <w:rFonts w:ascii="Arial" w:hAnsi="Arial" w:cs="Arial"/>
          <w:noProof/>
          <w:szCs w:val="24"/>
          <w:lang w:val="en-US"/>
        </w:rPr>
        <w:t xml:space="preserve"> </w:t>
      </w:r>
      <w:r>
        <w:rPr>
          <w:rFonts w:ascii="Arial" w:hAnsi="Arial" w:cs="Arial"/>
          <w:b/>
          <w:bCs/>
          <w:noProof/>
          <w:szCs w:val="24"/>
          <w:lang w:val="en-US"/>
        </w:rPr>
        <w:t>2010</w:t>
      </w:r>
      <w:r>
        <w:rPr>
          <w:rFonts w:ascii="Arial" w:hAnsi="Arial" w:cs="Arial"/>
          <w:noProof/>
          <w:szCs w:val="24"/>
          <w:lang w:val="en-US"/>
        </w:rPr>
        <w:t xml:space="preserve">, </w:t>
      </w:r>
      <w:r>
        <w:rPr>
          <w:rFonts w:ascii="Arial" w:hAnsi="Arial" w:cs="Arial"/>
          <w:i/>
          <w:iCs/>
          <w:noProof/>
          <w:szCs w:val="24"/>
          <w:lang w:val="en-US"/>
        </w:rPr>
        <w:t>18</w:t>
      </w:r>
      <w:r>
        <w:rPr>
          <w:rFonts w:ascii="Arial" w:hAnsi="Arial" w:cs="Arial"/>
          <w:noProof/>
          <w:szCs w:val="24"/>
          <w:lang w:val="en-US"/>
        </w:rPr>
        <w:t xml:space="preserve"> (11), 1471–1482.</w:t>
      </w:r>
    </w:p>
    <w:p w14:paraId="27BBE15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(338) </w:t>
      </w:r>
      <w:r>
        <w:rPr>
          <w:rFonts w:ascii="Arial" w:hAnsi="Arial" w:cs="Arial"/>
          <w:noProof/>
          <w:szCs w:val="24"/>
          <w:lang w:val="en-US"/>
        </w:rPr>
        <w:tab/>
        <w:t xml:space="preserve">Van Zeebroeck, G.; Demuyser, L.; Zhang, Z.; Cottignie, I.; Thevelein, J. M. Nutrient </w:t>
      </w:r>
      <w:r>
        <w:rPr>
          <w:rFonts w:ascii="Arial" w:hAnsi="Arial" w:cs="Arial"/>
          <w:noProof/>
          <w:szCs w:val="24"/>
          <w:lang w:val="en-US"/>
        </w:rPr>
        <w:lastRenderedPageBreak/>
        <w:t xml:space="preserve">Sensing and CAMP Signaling in Yeast: G-Protein Coupled Receptor versus Transceptor Activation of PKA. </w:t>
      </w:r>
      <w:r>
        <w:rPr>
          <w:rFonts w:ascii="Arial" w:hAnsi="Arial" w:cs="Arial"/>
          <w:i/>
          <w:iCs/>
          <w:noProof/>
          <w:szCs w:val="24"/>
          <w:lang w:val="en-US"/>
        </w:rPr>
        <w:t>Mic</w:t>
      </w:r>
      <w:r>
        <w:rPr>
          <w:rFonts w:ascii="Arial" w:hAnsi="Arial" w:cs="Arial"/>
          <w:i/>
          <w:iCs/>
          <w:noProof/>
          <w:szCs w:val="24"/>
          <w:lang w:val="en-US"/>
        </w:rPr>
        <w:t>rob. Cell</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(1), 17.</w:t>
      </w:r>
    </w:p>
    <w:p w14:paraId="6DC112B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(339) </w:t>
      </w:r>
      <w:r>
        <w:rPr>
          <w:rFonts w:ascii="Arial" w:hAnsi="Arial" w:cs="Arial"/>
          <w:noProof/>
          <w:szCs w:val="24"/>
          <w:lang w:val="en-US"/>
        </w:rPr>
        <w:tab/>
        <w:t>Hirimburegama, K.; Durnez, P.; Keleman, J.; Oris, E.; Vergauwen, R.; Mergelsberg, H.; Thevelein, J. M. Nutrient-Induced Activation of Trehalase in Nutrient-Starved Cells of the Yeast Saccharomyces Cerevisiae: CAMP Is Not I</w:t>
      </w:r>
      <w:r>
        <w:rPr>
          <w:rFonts w:ascii="Arial" w:hAnsi="Arial" w:cs="Arial"/>
          <w:noProof/>
          <w:szCs w:val="24"/>
          <w:lang w:val="en-US"/>
        </w:rPr>
        <w:t xml:space="preserve">nvolved as Second Messenger. </w:t>
      </w:r>
      <w:r>
        <w:rPr>
          <w:rFonts w:ascii="Arial" w:hAnsi="Arial" w:cs="Arial"/>
          <w:i/>
          <w:iCs/>
          <w:noProof/>
          <w:szCs w:val="24"/>
          <w:lang w:val="en-US"/>
        </w:rPr>
        <w:t>J. Gen. Microbiol.</w:t>
      </w:r>
      <w:r>
        <w:rPr>
          <w:rFonts w:ascii="Arial" w:hAnsi="Arial" w:cs="Arial"/>
          <w:noProof/>
          <w:szCs w:val="24"/>
          <w:lang w:val="en-US"/>
        </w:rPr>
        <w:t xml:space="preserve"> </w:t>
      </w:r>
      <w:r>
        <w:rPr>
          <w:rFonts w:ascii="Arial" w:hAnsi="Arial" w:cs="Arial"/>
          <w:b/>
          <w:bCs/>
          <w:noProof/>
          <w:szCs w:val="24"/>
          <w:lang w:val="en-US"/>
        </w:rPr>
        <w:t>1992</w:t>
      </w:r>
      <w:r>
        <w:rPr>
          <w:rFonts w:ascii="Arial" w:hAnsi="Arial" w:cs="Arial"/>
          <w:noProof/>
          <w:szCs w:val="24"/>
          <w:lang w:val="en-US"/>
        </w:rPr>
        <w:t xml:space="preserve">, </w:t>
      </w:r>
      <w:r>
        <w:rPr>
          <w:rFonts w:ascii="Arial" w:hAnsi="Arial" w:cs="Arial"/>
          <w:i/>
          <w:iCs/>
          <w:noProof/>
          <w:szCs w:val="24"/>
          <w:lang w:val="en-US"/>
        </w:rPr>
        <w:t>138</w:t>
      </w:r>
      <w:r>
        <w:rPr>
          <w:rFonts w:ascii="Arial" w:hAnsi="Arial" w:cs="Arial"/>
          <w:noProof/>
          <w:szCs w:val="24"/>
          <w:lang w:val="en-US"/>
        </w:rPr>
        <w:t xml:space="preserve"> (10), 2035–2043.</w:t>
      </w:r>
    </w:p>
    <w:p w14:paraId="22F7A1D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(340) </w:t>
      </w:r>
      <w:r>
        <w:rPr>
          <w:rFonts w:ascii="Arial" w:hAnsi="Arial" w:cs="Arial"/>
          <w:noProof/>
          <w:szCs w:val="24"/>
          <w:lang w:val="en-US"/>
        </w:rPr>
        <w:tab/>
        <w:t>Steyfkens, F.; Zhang, Z.; Van Zeebroeck, G.; Thevelein, J. M. Multiple Transceptors for Macro- and Micro-Nutrients Control Diverse Cellular Properties through the PKA Pathway</w:t>
      </w:r>
      <w:r>
        <w:rPr>
          <w:rFonts w:ascii="Arial" w:hAnsi="Arial" w:cs="Arial"/>
          <w:noProof/>
          <w:szCs w:val="24"/>
          <w:lang w:val="en-US"/>
        </w:rPr>
        <w:t xml:space="preserve"> in Yeast: A Paradigm for the Rapidly Expanding World of Eukaryotic Nutrient Transceptors up to Those in Human Cells. </w:t>
      </w:r>
      <w:r>
        <w:rPr>
          <w:rFonts w:ascii="Arial" w:hAnsi="Arial" w:cs="Arial"/>
          <w:i/>
          <w:iCs/>
          <w:noProof/>
          <w:szCs w:val="24"/>
          <w:lang w:val="en-US"/>
        </w:rPr>
        <w:t>Front. Pharmacol.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(MAR), 347749.</w:t>
      </w:r>
    </w:p>
    <w:p w14:paraId="11097BB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(341) </w:t>
      </w:r>
      <w:r>
        <w:rPr>
          <w:rFonts w:ascii="Arial" w:hAnsi="Arial" w:cs="Arial"/>
          <w:noProof/>
          <w:szCs w:val="24"/>
          <w:lang w:val="en-US"/>
        </w:rPr>
        <w:tab/>
      </w:r>
      <w:r>
        <w:rPr>
          <w:rFonts w:ascii="Arial" w:hAnsi="Arial" w:cs="Arial"/>
          <w:noProof/>
          <w:szCs w:val="24"/>
          <w:lang w:val="en-US"/>
        </w:rPr>
        <w:t xml:space="preserve">Zhang, Z.; Cottignie, I.; van Zeebroeck, G.; Thevelein, J. M. Nutrient Transceptors Physically Interact with the Yeast S6/Protein Kinase B Homolog, Sch9, a TOR Kinase Target. </w:t>
      </w:r>
      <w:r>
        <w:rPr>
          <w:rFonts w:ascii="Arial" w:hAnsi="Arial" w:cs="Arial"/>
          <w:i/>
          <w:iCs/>
          <w:noProof/>
          <w:szCs w:val="24"/>
          <w:lang w:val="en-US"/>
        </w:rPr>
        <w:t>Biochem. J.</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478</w:t>
      </w:r>
      <w:r>
        <w:rPr>
          <w:rFonts w:ascii="Arial" w:hAnsi="Arial" w:cs="Arial"/>
          <w:noProof/>
          <w:szCs w:val="24"/>
          <w:lang w:val="en-US"/>
        </w:rPr>
        <w:t xml:space="preserve"> (2), 357–375.</w:t>
      </w:r>
    </w:p>
    <w:p w14:paraId="33DC12E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(342) </w:t>
      </w:r>
      <w:r>
        <w:rPr>
          <w:rFonts w:ascii="Arial" w:hAnsi="Arial" w:cs="Arial"/>
          <w:noProof/>
          <w:szCs w:val="24"/>
          <w:lang w:val="en-US"/>
        </w:rPr>
        <w:tab/>
        <w:t>Plank, M.; Carmiol, N.; Mitri, B.; Cap</w:t>
      </w:r>
      <w:r>
        <w:rPr>
          <w:rFonts w:ascii="Arial" w:hAnsi="Arial" w:cs="Arial"/>
          <w:noProof/>
          <w:szCs w:val="24"/>
          <w:lang w:val="en-US"/>
        </w:rPr>
        <w:t xml:space="preserve">aldi, A. P. Systems Level Analysis of Time and Stimuli Specific Signaling through PKA.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2022.03.10.483795.</w:t>
      </w:r>
    </w:p>
    <w:p w14:paraId="1CCE896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(343) </w:t>
      </w:r>
      <w:r>
        <w:rPr>
          <w:rFonts w:ascii="Arial" w:hAnsi="Arial" w:cs="Arial"/>
          <w:noProof/>
          <w:szCs w:val="24"/>
          <w:lang w:val="en-US"/>
        </w:rPr>
        <w:tab/>
        <w:t xml:space="preserve">Sohn, J. W.; Ho, W. K. Cellular and Systemic Mechanisms for Glucose Sensing and Homeostasis. </w:t>
      </w:r>
      <w:r>
        <w:rPr>
          <w:rFonts w:ascii="Arial" w:hAnsi="Arial" w:cs="Arial"/>
          <w:i/>
          <w:iCs/>
          <w:noProof/>
          <w:szCs w:val="24"/>
          <w:lang w:val="en-US"/>
        </w:rPr>
        <w:t>Pflugers Arch.</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472</w:t>
      </w:r>
      <w:r>
        <w:rPr>
          <w:rFonts w:ascii="Arial" w:hAnsi="Arial" w:cs="Arial"/>
          <w:noProof/>
          <w:szCs w:val="24"/>
          <w:lang w:val="en-US"/>
        </w:rPr>
        <w:t xml:space="preserve"> (11), 1547–</w:t>
      </w:r>
      <w:r>
        <w:rPr>
          <w:rFonts w:ascii="Arial" w:hAnsi="Arial" w:cs="Arial"/>
          <w:noProof/>
          <w:szCs w:val="24"/>
          <w:lang w:val="en-US"/>
        </w:rPr>
        <w:t>1561.</w:t>
      </w:r>
    </w:p>
    <w:p w14:paraId="3A79171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(344) </w:t>
      </w:r>
      <w:r>
        <w:rPr>
          <w:rFonts w:ascii="Arial" w:hAnsi="Arial" w:cs="Arial"/>
          <w:noProof/>
          <w:szCs w:val="24"/>
          <w:lang w:val="en-US"/>
        </w:rPr>
        <w:tab/>
        <w:t xml:space="preserve">Yang, H.; Yang, L. Targeting CAMP/PKA Pathway for Glycemic Control and Type 2 Diabetes Therapy. </w:t>
      </w:r>
      <w:r>
        <w:rPr>
          <w:rFonts w:ascii="Arial" w:hAnsi="Arial" w:cs="Arial"/>
          <w:i/>
          <w:iCs/>
          <w:noProof/>
          <w:szCs w:val="24"/>
          <w:lang w:val="en-US"/>
        </w:rPr>
        <w:t>Journal of Molecular Endocrinology</w:t>
      </w:r>
      <w:r>
        <w:rPr>
          <w:rFonts w:ascii="Arial" w:hAnsi="Arial" w:cs="Arial"/>
          <w:noProof/>
          <w:szCs w:val="24"/>
          <w:lang w:val="en-US"/>
        </w:rPr>
        <w:t>. 2016, pp R93–R108.</w:t>
      </w:r>
    </w:p>
    <w:p w14:paraId="5276D64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(345) </w:t>
      </w:r>
      <w:r>
        <w:rPr>
          <w:rFonts w:ascii="Arial" w:hAnsi="Arial" w:cs="Arial"/>
          <w:noProof/>
          <w:szCs w:val="24"/>
          <w:lang w:val="en-US"/>
        </w:rPr>
        <w:tab/>
      </w:r>
      <w:r>
        <w:rPr>
          <w:rFonts w:ascii="Arial" w:hAnsi="Arial" w:cs="Arial"/>
          <w:noProof/>
          <w:szCs w:val="24"/>
          <w:lang w:val="en-US"/>
        </w:rPr>
        <w:t xml:space="preserve">Torres-Quesada, O.; Mayrhofer, J. E.; Stefan, E. The Many Faces of Compartmentalized PKA Signalosomes. </w:t>
      </w:r>
      <w:r>
        <w:rPr>
          <w:rFonts w:ascii="Arial" w:hAnsi="Arial" w:cs="Arial"/>
          <w:i/>
          <w:iCs/>
          <w:noProof/>
          <w:szCs w:val="24"/>
          <w:lang w:val="en-US"/>
        </w:rPr>
        <w:t>Cell. Signal.</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37</w:t>
      </w:r>
      <w:r>
        <w:rPr>
          <w:rFonts w:ascii="Arial" w:hAnsi="Arial" w:cs="Arial"/>
          <w:noProof/>
          <w:szCs w:val="24"/>
          <w:lang w:val="en-US"/>
        </w:rPr>
        <w:t>, 1–11.</w:t>
      </w:r>
    </w:p>
    <w:p w14:paraId="3407E36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(346) </w:t>
      </w:r>
      <w:r>
        <w:rPr>
          <w:rFonts w:ascii="Arial" w:hAnsi="Arial" w:cs="Arial"/>
          <w:noProof/>
          <w:szCs w:val="24"/>
          <w:lang w:val="en-US"/>
        </w:rPr>
        <w:tab/>
        <w:t>Jewell, J. L.; Fu, V.; Hong, A. W.; Yu, F. X.; Meng, D.; Melick, C. H.; Wang, H.; Lam, W. L. M.; Yuan, H. X.; Taylor</w:t>
      </w:r>
      <w:r>
        <w:rPr>
          <w:rFonts w:ascii="Arial" w:hAnsi="Arial" w:cs="Arial"/>
          <w:noProof/>
          <w:szCs w:val="24"/>
          <w:lang w:val="en-US"/>
        </w:rPr>
        <w:t xml:space="preserve">, S. S.; et al. GPCR Signaling Inhibits MTORC1 via PKA Phosphorylation of Raptor.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w:t>
      </w:r>
    </w:p>
    <w:p w14:paraId="2DAB85F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(347) </w:t>
      </w:r>
      <w:r>
        <w:rPr>
          <w:rFonts w:ascii="Arial" w:hAnsi="Arial" w:cs="Arial"/>
          <w:noProof/>
          <w:szCs w:val="24"/>
          <w:lang w:val="en-US"/>
        </w:rPr>
        <w:tab/>
        <w:t>Melick, C. H.; Lama-Sherpa, T. D.; Curukovic, A.; Jewell, J. L. G-Protein Coupled Receptor Signaling and Mammalian Target of Rapamycin Complex 1 Regulat</w:t>
      </w:r>
      <w:r>
        <w:rPr>
          <w:rFonts w:ascii="Arial" w:hAnsi="Arial" w:cs="Arial"/>
          <w:noProof/>
          <w:szCs w:val="24"/>
          <w:lang w:val="en-US"/>
        </w:rPr>
        <w:t xml:space="preserve">ion. </w:t>
      </w:r>
      <w:r>
        <w:rPr>
          <w:rFonts w:ascii="Arial" w:hAnsi="Arial" w:cs="Arial"/>
          <w:i/>
          <w:iCs/>
          <w:noProof/>
          <w:szCs w:val="24"/>
          <w:lang w:val="en-US"/>
        </w:rPr>
        <w:t>Molecular Pharmacology</w:t>
      </w:r>
      <w:r>
        <w:rPr>
          <w:rFonts w:ascii="Arial" w:hAnsi="Arial" w:cs="Arial"/>
          <w:noProof/>
          <w:szCs w:val="24"/>
          <w:lang w:val="en-US"/>
        </w:rPr>
        <w:t>. American Society for Pharmacology and Experimental Therapeutics April 1, 2022, pp 181–190.</w:t>
      </w:r>
    </w:p>
    <w:p w14:paraId="283F1A4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(348) </w:t>
      </w:r>
      <w:r>
        <w:rPr>
          <w:rFonts w:ascii="Arial" w:hAnsi="Arial" w:cs="Arial"/>
          <w:noProof/>
          <w:szCs w:val="24"/>
          <w:lang w:val="en-US"/>
        </w:rPr>
        <w:tab/>
        <w:t xml:space="preserve">Sabatini, D. M. Twenty-Five Years of MTOR: Uncovering the Link from Nutrients to Growth. </w:t>
      </w:r>
      <w:r>
        <w:rPr>
          <w:rFonts w:ascii="Arial" w:hAnsi="Arial" w:cs="Arial"/>
          <w:i/>
          <w:iCs/>
          <w:noProof/>
          <w:szCs w:val="24"/>
          <w:lang w:val="en-US"/>
        </w:rPr>
        <w:t>Proc. Natl. Acad. Sci.</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114</w:t>
      </w:r>
      <w:r>
        <w:rPr>
          <w:rFonts w:ascii="Arial" w:hAnsi="Arial" w:cs="Arial"/>
          <w:noProof/>
          <w:szCs w:val="24"/>
          <w:lang w:val="en-US"/>
        </w:rPr>
        <w:t xml:space="preserve"> (45), 1</w:t>
      </w:r>
      <w:r>
        <w:rPr>
          <w:rFonts w:ascii="Arial" w:hAnsi="Arial" w:cs="Arial"/>
          <w:noProof/>
          <w:szCs w:val="24"/>
          <w:lang w:val="en-US"/>
        </w:rPr>
        <w:t>1818–11825.</w:t>
      </w:r>
    </w:p>
    <w:p w14:paraId="17DF6BC3"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(349) </w:t>
      </w:r>
      <w:r>
        <w:rPr>
          <w:rFonts w:ascii="Arial" w:hAnsi="Arial" w:cs="Arial"/>
          <w:noProof/>
          <w:szCs w:val="24"/>
          <w:lang w:val="en-US"/>
        </w:rPr>
        <w:tab/>
        <w:t>Saxton, R. A.; Sabatini, D. M. Leading Edge MTOR Signaling in Growth, Metabolism, and Disease.</w:t>
      </w:r>
    </w:p>
    <w:p w14:paraId="7135CF2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(350) </w:t>
      </w:r>
      <w:r>
        <w:rPr>
          <w:rFonts w:ascii="Arial" w:hAnsi="Arial" w:cs="Arial"/>
          <w:noProof/>
          <w:szCs w:val="24"/>
          <w:lang w:val="en-US"/>
        </w:rPr>
        <w:tab/>
        <w:t xml:space="preserve">Linde-Garelli, K. Y.; Rogala, K. B. Structural Mechanisms of the MTOR Pathway. </w:t>
      </w:r>
      <w:r>
        <w:rPr>
          <w:rFonts w:ascii="Arial" w:hAnsi="Arial" w:cs="Arial"/>
          <w:i/>
          <w:iCs/>
          <w:noProof/>
          <w:szCs w:val="24"/>
          <w:lang w:val="en-US"/>
        </w:rPr>
        <w:t>Curr. Opin. Struct. Biol.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82</w:t>
      </w:r>
      <w:r>
        <w:rPr>
          <w:rFonts w:ascii="Arial" w:hAnsi="Arial" w:cs="Arial"/>
          <w:noProof/>
          <w:szCs w:val="24"/>
          <w:lang w:val="en-US"/>
        </w:rPr>
        <w:t>, 102663.</w:t>
      </w:r>
    </w:p>
    <w:p w14:paraId="38584D8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(351) </w:t>
      </w:r>
      <w:r>
        <w:rPr>
          <w:rFonts w:ascii="Arial" w:hAnsi="Arial" w:cs="Arial"/>
          <w:noProof/>
          <w:szCs w:val="24"/>
          <w:lang w:val="en-US"/>
        </w:rPr>
        <w:tab/>
        <w:t xml:space="preserve">Liu, </w:t>
      </w:r>
      <w:r>
        <w:rPr>
          <w:rFonts w:ascii="Arial" w:hAnsi="Arial" w:cs="Arial"/>
          <w:noProof/>
          <w:szCs w:val="24"/>
          <w:lang w:val="en-US"/>
        </w:rPr>
        <w:t xml:space="preserve">G. Y.; Jouandin, P.; Bahng, R. E.; Perrimon, N.; Sabatini, D. M. An Evolutionary Mechanism to Assimilate New Nutrient Sensors into the MTORC1 Pathway.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w:t>
      </w:r>
    </w:p>
    <w:p w14:paraId="2EA214F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(352) </w:t>
      </w:r>
      <w:r>
        <w:rPr>
          <w:rFonts w:ascii="Arial" w:hAnsi="Arial" w:cs="Arial"/>
          <w:noProof/>
          <w:szCs w:val="24"/>
          <w:lang w:val="en-US"/>
        </w:rPr>
        <w:tab/>
        <w:t>Hopkins, B. D.; Goncalves, M. D.; Cantley, L. C. Insulin–PI3K Signalling: An Evoluti</w:t>
      </w:r>
      <w:r>
        <w:rPr>
          <w:rFonts w:ascii="Arial" w:hAnsi="Arial" w:cs="Arial"/>
          <w:noProof/>
          <w:szCs w:val="24"/>
          <w:lang w:val="en-US"/>
        </w:rPr>
        <w:t xml:space="preserve">onarily Insulated Metabolic Driver of Cancer. </w:t>
      </w:r>
      <w:r>
        <w:rPr>
          <w:rFonts w:ascii="Arial" w:hAnsi="Arial" w:cs="Arial"/>
          <w:i/>
          <w:iCs/>
          <w:noProof/>
          <w:szCs w:val="24"/>
          <w:lang w:val="en-US"/>
        </w:rPr>
        <w:t>Nat. Rev. Endocrinol. 2020 165</w:t>
      </w:r>
      <w:r>
        <w:rPr>
          <w:rFonts w:ascii="Arial" w:hAnsi="Arial" w:cs="Arial"/>
          <w:noProof/>
          <w:szCs w:val="24"/>
          <w:lang w:val="en-US"/>
        </w:rPr>
        <w:t xml:space="preserve"> </w:t>
      </w:r>
      <w:r>
        <w:rPr>
          <w:rFonts w:ascii="Arial" w:hAnsi="Arial" w:cs="Arial"/>
          <w:b/>
          <w:bCs/>
          <w:noProof/>
          <w:szCs w:val="24"/>
          <w:lang w:val="en-US"/>
        </w:rPr>
        <w:t>2020</w:t>
      </w:r>
      <w:r>
        <w:rPr>
          <w:rFonts w:ascii="Arial" w:hAnsi="Arial" w:cs="Arial"/>
          <w:noProof/>
          <w:szCs w:val="24"/>
          <w:lang w:val="en-US"/>
        </w:rPr>
        <w:t xml:space="preserve">, </w:t>
      </w:r>
      <w:r>
        <w:rPr>
          <w:rFonts w:ascii="Arial" w:hAnsi="Arial" w:cs="Arial"/>
          <w:i/>
          <w:iCs/>
          <w:noProof/>
          <w:szCs w:val="24"/>
          <w:lang w:val="en-US"/>
        </w:rPr>
        <w:t>16</w:t>
      </w:r>
      <w:r>
        <w:rPr>
          <w:rFonts w:ascii="Arial" w:hAnsi="Arial" w:cs="Arial"/>
          <w:noProof/>
          <w:szCs w:val="24"/>
          <w:lang w:val="en-US"/>
        </w:rPr>
        <w:t xml:space="preserve"> (5), 276–283.</w:t>
      </w:r>
    </w:p>
    <w:p w14:paraId="1B0B566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(353) </w:t>
      </w:r>
      <w:r>
        <w:rPr>
          <w:rFonts w:ascii="Arial" w:hAnsi="Arial" w:cs="Arial"/>
          <w:noProof/>
          <w:szCs w:val="24"/>
          <w:lang w:val="en-US"/>
        </w:rPr>
        <w:tab/>
        <w:t xml:space="preserve">Hemmings, B. A.; Restuccia, D. F. PI3K-PKB/Akt Pathway. </w:t>
      </w:r>
      <w:r>
        <w:rPr>
          <w:rFonts w:ascii="Arial" w:hAnsi="Arial" w:cs="Arial"/>
          <w:i/>
          <w:iCs/>
          <w:noProof/>
          <w:szCs w:val="24"/>
          <w:lang w:val="en-US"/>
        </w:rPr>
        <w:t>Cold Spring Harb. Perspect. Biol.</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4</w:t>
      </w:r>
      <w:r>
        <w:rPr>
          <w:rFonts w:ascii="Arial" w:hAnsi="Arial" w:cs="Arial"/>
          <w:noProof/>
          <w:szCs w:val="24"/>
          <w:lang w:val="en-US"/>
        </w:rPr>
        <w:t xml:space="preserve"> (9), a011189.</w:t>
      </w:r>
    </w:p>
    <w:p w14:paraId="1CFE348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(354) </w:t>
      </w:r>
      <w:r>
        <w:rPr>
          <w:rFonts w:ascii="Arial" w:hAnsi="Arial" w:cs="Arial"/>
          <w:noProof/>
          <w:szCs w:val="24"/>
          <w:lang w:val="en-US"/>
        </w:rPr>
        <w:tab/>
        <w:t>Zhang, H.; Stallock, J. P.; Ng</w:t>
      </w:r>
      <w:r>
        <w:rPr>
          <w:rFonts w:ascii="Arial" w:hAnsi="Arial" w:cs="Arial"/>
          <w:noProof/>
          <w:szCs w:val="24"/>
          <w:lang w:val="en-US"/>
        </w:rPr>
        <w:t xml:space="preserve">, J. C.; Reinhard, C.; Neufeld, T. P. Regulation of Cellular Growth by the Drosophila Target of Rapamycin DTOR. </w:t>
      </w:r>
      <w:r>
        <w:rPr>
          <w:rFonts w:ascii="Arial" w:hAnsi="Arial" w:cs="Arial"/>
          <w:i/>
          <w:iCs/>
          <w:noProof/>
          <w:szCs w:val="24"/>
          <w:lang w:val="en-US"/>
        </w:rPr>
        <w:t>Genes Dev.</w:t>
      </w:r>
      <w:r>
        <w:rPr>
          <w:rFonts w:ascii="Arial" w:hAnsi="Arial" w:cs="Arial"/>
          <w:noProof/>
          <w:szCs w:val="24"/>
          <w:lang w:val="en-US"/>
        </w:rPr>
        <w:t xml:space="preserve"> </w:t>
      </w:r>
      <w:r>
        <w:rPr>
          <w:rFonts w:ascii="Arial" w:hAnsi="Arial" w:cs="Arial"/>
          <w:b/>
          <w:bCs/>
          <w:noProof/>
          <w:szCs w:val="24"/>
          <w:lang w:val="en-US"/>
        </w:rPr>
        <w:t>2000</w:t>
      </w:r>
      <w:r>
        <w:rPr>
          <w:rFonts w:ascii="Arial" w:hAnsi="Arial" w:cs="Arial"/>
          <w:noProof/>
          <w:szCs w:val="24"/>
          <w:lang w:val="en-US"/>
        </w:rPr>
        <w:t xml:space="preserve">, </w:t>
      </w:r>
      <w:r>
        <w:rPr>
          <w:rFonts w:ascii="Arial" w:hAnsi="Arial" w:cs="Arial"/>
          <w:i/>
          <w:iCs/>
          <w:noProof/>
          <w:szCs w:val="24"/>
          <w:lang w:val="en-US"/>
        </w:rPr>
        <w:t>14</w:t>
      </w:r>
      <w:r>
        <w:rPr>
          <w:rFonts w:ascii="Arial" w:hAnsi="Arial" w:cs="Arial"/>
          <w:noProof/>
          <w:szCs w:val="24"/>
          <w:lang w:val="en-US"/>
        </w:rPr>
        <w:t xml:space="preserve"> (21), 2712–2724.</w:t>
      </w:r>
    </w:p>
    <w:p w14:paraId="5F324F6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(355) </w:t>
      </w:r>
      <w:r>
        <w:rPr>
          <w:rFonts w:ascii="Arial" w:hAnsi="Arial" w:cs="Arial"/>
          <w:noProof/>
          <w:szCs w:val="24"/>
          <w:lang w:val="en-US"/>
        </w:rPr>
        <w:tab/>
        <w:t>Montagne, J.; Stewart, M. J.; Stocker, H.; Hafen, E.; Kozma, S. C.; Thomas, G. Drosophila S6 Kinase:</w:t>
      </w:r>
      <w:r>
        <w:rPr>
          <w:rFonts w:ascii="Arial" w:hAnsi="Arial" w:cs="Arial"/>
          <w:noProof/>
          <w:szCs w:val="24"/>
          <w:lang w:val="en-US"/>
        </w:rPr>
        <w:t xml:space="preserve"> A Regulator of Cell Size. </w:t>
      </w:r>
      <w:r>
        <w:rPr>
          <w:rFonts w:ascii="Arial" w:hAnsi="Arial" w:cs="Arial"/>
          <w:i/>
          <w:iCs/>
          <w:noProof/>
          <w:szCs w:val="24"/>
          <w:lang w:val="en-US"/>
        </w:rPr>
        <w:t>Science</w:t>
      </w:r>
      <w:r>
        <w:rPr>
          <w:rFonts w:ascii="Arial" w:hAnsi="Arial" w:cs="Arial"/>
          <w:noProof/>
          <w:szCs w:val="24"/>
          <w:lang w:val="en-US"/>
        </w:rPr>
        <w:t xml:space="preserve"> </w:t>
      </w:r>
      <w:r>
        <w:rPr>
          <w:rFonts w:ascii="Arial" w:hAnsi="Arial" w:cs="Arial"/>
          <w:b/>
          <w:bCs/>
          <w:noProof/>
          <w:szCs w:val="24"/>
          <w:lang w:val="en-US"/>
        </w:rPr>
        <w:t>1999</w:t>
      </w:r>
      <w:r>
        <w:rPr>
          <w:rFonts w:ascii="Arial" w:hAnsi="Arial" w:cs="Arial"/>
          <w:noProof/>
          <w:szCs w:val="24"/>
          <w:lang w:val="en-US"/>
        </w:rPr>
        <w:t xml:space="preserve">, </w:t>
      </w:r>
      <w:r>
        <w:rPr>
          <w:rFonts w:ascii="Arial" w:hAnsi="Arial" w:cs="Arial"/>
          <w:i/>
          <w:iCs/>
          <w:noProof/>
          <w:szCs w:val="24"/>
          <w:lang w:val="en-US"/>
        </w:rPr>
        <w:t>285</w:t>
      </w:r>
      <w:r>
        <w:rPr>
          <w:rFonts w:ascii="Arial" w:hAnsi="Arial" w:cs="Arial"/>
          <w:noProof/>
          <w:szCs w:val="24"/>
          <w:lang w:val="en-US"/>
        </w:rPr>
        <w:t xml:space="preserve"> (5436), 2126–2129.</w:t>
      </w:r>
    </w:p>
    <w:p w14:paraId="281DD26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(356) </w:t>
      </w:r>
      <w:r>
        <w:rPr>
          <w:rFonts w:ascii="Arial" w:hAnsi="Arial" w:cs="Arial"/>
          <w:noProof/>
          <w:szCs w:val="24"/>
          <w:lang w:val="en-US"/>
        </w:rPr>
        <w:tab/>
      </w:r>
      <w:r>
        <w:rPr>
          <w:rFonts w:ascii="Arial" w:hAnsi="Arial" w:cs="Arial"/>
          <w:noProof/>
          <w:szCs w:val="24"/>
          <w:lang w:val="en-US"/>
        </w:rPr>
        <w:t xml:space="preserve">Fingar, D. C.; Salama, S.; Tsou, C.; Harlow, E.; Blenis, J. Mammalian Cell Size Is Controlled by MTOR and Its Downstream Targets S6K1 and 4EBP1/EIF4E. </w:t>
      </w:r>
      <w:r>
        <w:rPr>
          <w:rFonts w:ascii="Arial" w:hAnsi="Arial" w:cs="Arial"/>
          <w:i/>
          <w:iCs/>
          <w:noProof/>
          <w:szCs w:val="24"/>
          <w:lang w:val="en-US"/>
        </w:rPr>
        <w:t>Genes Dev.</w:t>
      </w:r>
      <w:r>
        <w:rPr>
          <w:rFonts w:ascii="Arial" w:hAnsi="Arial" w:cs="Arial"/>
          <w:noProof/>
          <w:szCs w:val="24"/>
          <w:lang w:val="en-US"/>
        </w:rPr>
        <w:t xml:space="preserve"> </w:t>
      </w:r>
      <w:r>
        <w:rPr>
          <w:rFonts w:ascii="Arial" w:hAnsi="Arial" w:cs="Arial"/>
          <w:b/>
          <w:bCs/>
          <w:noProof/>
          <w:szCs w:val="24"/>
          <w:lang w:val="en-US"/>
        </w:rPr>
        <w:t>2002</w:t>
      </w:r>
      <w:r>
        <w:rPr>
          <w:rFonts w:ascii="Arial" w:hAnsi="Arial" w:cs="Arial"/>
          <w:noProof/>
          <w:szCs w:val="24"/>
          <w:lang w:val="en-US"/>
        </w:rPr>
        <w:t xml:space="preserve">, </w:t>
      </w:r>
      <w:r>
        <w:rPr>
          <w:rFonts w:ascii="Arial" w:hAnsi="Arial" w:cs="Arial"/>
          <w:i/>
          <w:iCs/>
          <w:noProof/>
          <w:szCs w:val="24"/>
          <w:lang w:val="en-US"/>
        </w:rPr>
        <w:t>16</w:t>
      </w:r>
      <w:r>
        <w:rPr>
          <w:rFonts w:ascii="Arial" w:hAnsi="Arial" w:cs="Arial"/>
          <w:noProof/>
          <w:szCs w:val="24"/>
          <w:lang w:val="en-US"/>
        </w:rPr>
        <w:t xml:space="preserve"> (12), 1472.</w:t>
      </w:r>
    </w:p>
    <w:p w14:paraId="1B1D900A"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(357) </w:t>
      </w:r>
      <w:r>
        <w:rPr>
          <w:rFonts w:ascii="Arial" w:hAnsi="Arial" w:cs="Arial"/>
          <w:noProof/>
          <w:szCs w:val="24"/>
          <w:lang w:val="en-US"/>
        </w:rPr>
        <w:tab/>
        <w:t xml:space="preserve">Fumarola, C.; La Monica, S.; Alfieri, R. R.; Borra, E.; Guidotti, </w:t>
      </w:r>
      <w:r>
        <w:rPr>
          <w:rFonts w:ascii="Arial" w:hAnsi="Arial" w:cs="Arial"/>
          <w:noProof/>
          <w:szCs w:val="24"/>
          <w:lang w:val="en-US"/>
        </w:rPr>
        <w:t xml:space="preserve">G. G. Cell Size Reduction Induced by Inhibition of the MTOR/S6K-Signaling Pathway Protects Jurkat Cells from Apoptosis. </w:t>
      </w:r>
      <w:r>
        <w:rPr>
          <w:rFonts w:ascii="Arial" w:hAnsi="Arial" w:cs="Arial"/>
          <w:i/>
          <w:iCs/>
          <w:noProof/>
          <w:szCs w:val="24"/>
          <w:lang w:val="en-US"/>
        </w:rPr>
        <w:t>Cell Death Differ. 2005 1210</w:t>
      </w:r>
      <w:r>
        <w:rPr>
          <w:rFonts w:ascii="Arial" w:hAnsi="Arial" w:cs="Arial"/>
          <w:noProof/>
          <w:szCs w:val="24"/>
          <w:lang w:val="en-US"/>
        </w:rPr>
        <w:t xml:space="preserve"> </w:t>
      </w:r>
      <w:r>
        <w:rPr>
          <w:rFonts w:ascii="Arial" w:hAnsi="Arial" w:cs="Arial"/>
          <w:b/>
          <w:bCs/>
          <w:noProof/>
          <w:szCs w:val="24"/>
          <w:lang w:val="en-US"/>
        </w:rPr>
        <w:t>2005</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(10), 1344–1357.</w:t>
      </w:r>
    </w:p>
    <w:p w14:paraId="582B823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(358) </w:t>
      </w:r>
      <w:r>
        <w:rPr>
          <w:rFonts w:ascii="Arial" w:hAnsi="Arial" w:cs="Arial"/>
          <w:noProof/>
          <w:szCs w:val="24"/>
          <w:lang w:val="en-US"/>
        </w:rPr>
        <w:tab/>
        <w:t>Artiles, K.; Anastasia, S.; McCusker, D.; Kellogg, D. R. The Rts1 Regulato</w:t>
      </w:r>
      <w:r>
        <w:rPr>
          <w:rFonts w:ascii="Arial" w:hAnsi="Arial" w:cs="Arial"/>
          <w:noProof/>
          <w:szCs w:val="24"/>
          <w:lang w:val="en-US"/>
        </w:rPr>
        <w:t xml:space="preserve">ry Subunit of Protein Phosphatase 2A Is Required for Control of G1 Cyclin Transcription and Nutrient Modulation of Cell Size. </w:t>
      </w:r>
      <w:r>
        <w:rPr>
          <w:rFonts w:ascii="Arial" w:hAnsi="Arial" w:cs="Arial"/>
          <w:i/>
          <w:iCs/>
          <w:noProof/>
          <w:szCs w:val="24"/>
          <w:lang w:val="en-US"/>
        </w:rPr>
        <w:t>PLOS Genet.</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5</w:t>
      </w:r>
      <w:r>
        <w:rPr>
          <w:rFonts w:ascii="Arial" w:hAnsi="Arial" w:cs="Arial"/>
          <w:noProof/>
          <w:szCs w:val="24"/>
          <w:lang w:val="en-US"/>
        </w:rPr>
        <w:t xml:space="preserve"> (11), e1000727.</w:t>
      </w:r>
    </w:p>
    <w:p w14:paraId="182F1C6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(359) </w:t>
      </w:r>
      <w:r>
        <w:rPr>
          <w:rFonts w:ascii="Arial" w:hAnsi="Arial" w:cs="Arial"/>
          <w:noProof/>
          <w:szCs w:val="24"/>
          <w:lang w:val="en-US"/>
        </w:rPr>
        <w:tab/>
        <w:t>Lucena, R.; Alcaide-Gavilán, M.; Schubert, K.; He, M.; Domnauer, M. G.; Marquer, C.; Kl</w:t>
      </w:r>
      <w:r>
        <w:rPr>
          <w:rFonts w:ascii="Arial" w:hAnsi="Arial" w:cs="Arial"/>
          <w:noProof/>
          <w:szCs w:val="24"/>
          <w:lang w:val="en-US"/>
        </w:rPr>
        <w:t xml:space="preserve">ose, C.; Surma, M. A.; Kellogg, D. R. Cell Size and Growth Rate Are Modulated by TORC2-Dependent Signals.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28</w:t>
      </w:r>
      <w:r>
        <w:rPr>
          <w:rFonts w:ascii="Arial" w:hAnsi="Arial" w:cs="Arial"/>
          <w:noProof/>
          <w:szCs w:val="24"/>
          <w:lang w:val="en-US"/>
        </w:rPr>
        <w:t xml:space="preserve"> (2), 196-210.e4.</w:t>
      </w:r>
    </w:p>
    <w:p w14:paraId="6261332B"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(360) </w:t>
      </w:r>
      <w:r>
        <w:rPr>
          <w:rFonts w:ascii="Arial" w:hAnsi="Arial" w:cs="Arial"/>
          <w:noProof/>
          <w:szCs w:val="24"/>
          <w:lang w:val="en-US"/>
        </w:rPr>
        <w:tab/>
        <w:t>Leitao, R. M.; Jasani, A.; Talavera, R. A.; Pham, A.; Okobi, Q. J.; Kellogg, D. R. A Conserved PP2A Regul</w:t>
      </w:r>
      <w:r>
        <w:rPr>
          <w:rFonts w:ascii="Arial" w:hAnsi="Arial" w:cs="Arial"/>
          <w:noProof/>
          <w:szCs w:val="24"/>
          <w:lang w:val="en-US"/>
        </w:rPr>
        <w:t xml:space="preserve">atory Subunit Enforces Proportional Relationships Between Cell Size and Growth Rate. </w:t>
      </w:r>
      <w:r>
        <w:rPr>
          <w:rFonts w:ascii="Arial" w:hAnsi="Arial" w:cs="Arial"/>
          <w:i/>
          <w:iCs/>
          <w:noProof/>
          <w:szCs w:val="24"/>
          <w:lang w:val="en-US"/>
        </w:rPr>
        <w:t>Genetics</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213</w:t>
      </w:r>
      <w:r>
        <w:rPr>
          <w:rFonts w:ascii="Arial" w:hAnsi="Arial" w:cs="Arial"/>
          <w:noProof/>
          <w:szCs w:val="24"/>
          <w:lang w:val="en-US"/>
        </w:rPr>
        <w:t xml:space="preserve"> (2), 517–528.</w:t>
      </w:r>
    </w:p>
    <w:p w14:paraId="45F4E8B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(361) </w:t>
      </w:r>
      <w:r>
        <w:rPr>
          <w:rFonts w:ascii="Arial" w:hAnsi="Arial" w:cs="Arial"/>
          <w:noProof/>
          <w:szCs w:val="24"/>
          <w:lang w:val="en-US"/>
        </w:rPr>
        <w:tab/>
        <w:t>Chica, N.; Rozalé, A. E.; Pé Rez-Hidalgo, L.; Rubio, A.; Novak, B.; Moreno, S. Article Nutritional Control of Cell Size by the Grea</w:t>
      </w:r>
      <w:r>
        <w:rPr>
          <w:rFonts w:ascii="Arial" w:hAnsi="Arial" w:cs="Arial"/>
          <w:noProof/>
          <w:szCs w:val="24"/>
          <w:lang w:val="en-US"/>
        </w:rPr>
        <w:t xml:space="preserve">twall-Endosulfine-PP2A$B55 Pathway. </w:t>
      </w:r>
      <w:r>
        <w:rPr>
          <w:rFonts w:ascii="Arial" w:hAnsi="Arial" w:cs="Arial"/>
          <w:i/>
          <w:iCs/>
          <w:noProof/>
          <w:szCs w:val="24"/>
          <w:lang w:val="en-US"/>
        </w:rPr>
        <w:t>Curr. Biol.</w:t>
      </w:r>
      <w:r>
        <w:rPr>
          <w:rFonts w:ascii="Arial" w:hAnsi="Arial" w:cs="Arial"/>
          <w:noProof/>
          <w:szCs w:val="24"/>
          <w:lang w:val="en-US"/>
        </w:rPr>
        <w:t xml:space="preserve"> </w:t>
      </w:r>
      <w:r>
        <w:rPr>
          <w:rFonts w:ascii="Arial" w:hAnsi="Arial" w:cs="Arial"/>
          <w:b/>
          <w:bCs/>
          <w:noProof/>
          <w:szCs w:val="24"/>
          <w:lang w:val="en-US"/>
        </w:rPr>
        <w:t>2016</w:t>
      </w:r>
      <w:r>
        <w:rPr>
          <w:rFonts w:ascii="Arial" w:hAnsi="Arial" w:cs="Arial"/>
          <w:noProof/>
          <w:szCs w:val="24"/>
          <w:lang w:val="en-US"/>
        </w:rPr>
        <w:t xml:space="preserve">, </w:t>
      </w:r>
      <w:r>
        <w:rPr>
          <w:rFonts w:ascii="Arial" w:hAnsi="Arial" w:cs="Arial"/>
          <w:i/>
          <w:iCs/>
          <w:noProof/>
          <w:szCs w:val="24"/>
          <w:lang w:val="en-US"/>
        </w:rPr>
        <w:t>26</w:t>
      </w:r>
      <w:r>
        <w:rPr>
          <w:rFonts w:ascii="Arial" w:hAnsi="Arial" w:cs="Arial"/>
          <w:noProof/>
          <w:szCs w:val="24"/>
          <w:lang w:val="en-US"/>
        </w:rPr>
        <w:t>, 319–330.</w:t>
      </w:r>
    </w:p>
    <w:p w14:paraId="5F90842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(362) </w:t>
      </w:r>
      <w:r>
        <w:rPr>
          <w:rFonts w:ascii="Arial" w:hAnsi="Arial" w:cs="Arial"/>
          <w:noProof/>
          <w:szCs w:val="24"/>
          <w:lang w:val="en-US"/>
        </w:rPr>
        <w:tab/>
        <w:t xml:space="preserve">García-Blanco, N.; Vázquez-Bolado, A.; Moreno, S. Greatwall-Endosulfine: A Molecular Switch That Regulates PP2A/B55 Protein Phosphatase Activity in Dividing and Quiescent Cells. </w:t>
      </w:r>
      <w:r>
        <w:rPr>
          <w:rFonts w:ascii="Arial" w:hAnsi="Arial" w:cs="Arial"/>
          <w:i/>
          <w:iCs/>
          <w:noProof/>
          <w:szCs w:val="24"/>
          <w:lang w:val="en-US"/>
        </w:rPr>
        <w:t>Int.</w:t>
      </w:r>
      <w:r>
        <w:rPr>
          <w:rFonts w:ascii="Arial" w:hAnsi="Arial" w:cs="Arial"/>
          <w:i/>
          <w:iCs/>
          <w:noProof/>
          <w:szCs w:val="24"/>
          <w:lang w:val="en-US"/>
        </w:rPr>
        <w:t xml:space="preserve"> J. Mol. Sci. 2019, Vol. 20, Page 6228</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20</w:t>
      </w:r>
      <w:r>
        <w:rPr>
          <w:rFonts w:ascii="Arial" w:hAnsi="Arial" w:cs="Arial"/>
          <w:noProof/>
          <w:szCs w:val="24"/>
          <w:lang w:val="en-US"/>
        </w:rPr>
        <w:t xml:space="preserve"> (24), 6228.</w:t>
      </w:r>
    </w:p>
    <w:p w14:paraId="4629C30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(363) </w:t>
      </w:r>
      <w:r>
        <w:rPr>
          <w:rFonts w:ascii="Arial" w:hAnsi="Arial" w:cs="Arial"/>
          <w:noProof/>
          <w:szCs w:val="24"/>
          <w:lang w:val="en-US"/>
        </w:rPr>
        <w:tab/>
        <w:t xml:space="preserve">Glover, D. M. The Overlooked Greatwall: A New Perspective on Mitotic Control. </w:t>
      </w:r>
      <w:r>
        <w:rPr>
          <w:rFonts w:ascii="Arial" w:hAnsi="Arial" w:cs="Arial"/>
          <w:i/>
          <w:iCs/>
          <w:noProof/>
          <w:szCs w:val="24"/>
          <w:lang w:val="en-US"/>
        </w:rPr>
        <w:t>Open Biol.</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2</w:t>
      </w:r>
      <w:r>
        <w:rPr>
          <w:rFonts w:ascii="Arial" w:hAnsi="Arial" w:cs="Arial"/>
          <w:noProof/>
          <w:szCs w:val="24"/>
          <w:lang w:val="en-US"/>
        </w:rPr>
        <w:t xml:space="preserve"> (MARCH).</w:t>
      </w:r>
    </w:p>
    <w:p w14:paraId="4B2C942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(364) </w:t>
      </w:r>
      <w:r>
        <w:rPr>
          <w:rFonts w:ascii="Arial" w:hAnsi="Arial" w:cs="Arial"/>
          <w:noProof/>
          <w:szCs w:val="24"/>
          <w:lang w:val="en-US"/>
        </w:rPr>
        <w:tab/>
        <w:t xml:space="preserve">Lorca, T.; Castro, A. The Greatwall Kinase: A New Pathway in the Control of </w:t>
      </w:r>
      <w:r>
        <w:rPr>
          <w:rFonts w:ascii="Arial" w:hAnsi="Arial" w:cs="Arial"/>
          <w:noProof/>
          <w:szCs w:val="24"/>
          <w:lang w:val="en-US"/>
        </w:rPr>
        <w:t xml:space="preserve">the Cell Cycle. </w:t>
      </w:r>
      <w:r>
        <w:rPr>
          <w:rFonts w:ascii="Arial" w:hAnsi="Arial" w:cs="Arial"/>
          <w:i/>
          <w:iCs/>
          <w:noProof/>
          <w:szCs w:val="24"/>
          <w:lang w:val="en-US"/>
        </w:rPr>
        <w:t>Oncogene 2013 325</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32</w:t>
      </w:r>
      <w:r>
        <w:rPr>
          <w:rFonts w:ascii="Arial" w:hAnsi="Arial" w:cs="Arial"/>
          <w:noProof/>
          <w:szCs w:val="24"/>
          <w:lang w:val="en-US"/>
        </w:rPr>
        <w:t xml:space="preserve"> (5), 537–543.</w:t>
      </w:r>
    </w:p>
    <w:p w14:paraId="083B77A1"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(365) </w:t>
      </w:r>
      <w:r>
        <w:rPr>
          <w:rFonts w:ascii="Arial" w:hAnsi="Arial" w:cs="Arial"/>
          <w:noProof/>
          <w:szCs w:val="24"/>
          <w:lang w:val="en-US"/>
        </w:rPr>
        <w:tab/>
        <w:t xml:space="preserve">Mochida, S.; Ikeo, S.; Gannon, J.; Hunt, T. Regulated Activity of PP2A-B55 Is Crucial for Controlling Entry into and Exit from Mitosis in Xenopus Egg Extracts.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2009</w:t>
      </w:r>
      <w:r>
        <w:rPr>
          <w:rFonts w:ascii="Arial" w:hAnsi="Arial" w:cs="Arial"/>
          <w:noProof/>
          <w:szCs w:val="24"/>
          <w:lang w:val="en-US"/>
        </w:rPr>
        <w:t xml:space="preserve">, </w:t>
      </w:r>
      <w:r>
        <w:rPr>
          <w:rFonts w:ascii="Arial" w:hAnsi="Arial" w:cs="Arial"/>
          <w:i/>
          <w:iCs/>
          <w:noProof/>
          <w:szCs w:val="24"/>
          <w:lang w:val="en-US"/>
        </w:rPr>
        <w:t>28</w:t>
      </w:r>
      <w:r>
        <w:rPr>
          <w:rFonts w:ascii="Arial" w:hAnsi="Arial" w:cs="Arial"/>
          <w:noProof/>
          <w:szCs w:val="24"/>
          <w:lang w:val="en-US"/>
        </w:rPr>
        <w:t xml:space="preserve"> (18), 2777–2785.</w:t>
      </w:r>
    </w:p>
    <w:p w14:paraId="6C69137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(366) </w:t>
      </w:r>
      <w:r>
        <w:rPr>
          <w:rFonts w:ascii="Arial" w:hAnsi="Arial" w:cs="Arial"/>
          <w:noProof/>
          <w:szCs w:val="24"/>
          <w:lang w:val="en-US"/>
        </w:rPr>
        <w:tab/>
        <w:t xml:space="preserve">Pal, G.; Paraz, M. T. Z.; Kellogg, D. R. Regulation of Mih1/Cdc25 by Protein Phosphatase 2A and Casein Kinase 1. </w:t>
      </w:r>
      <w:r>
        <w:rPr>
          <w:rFonts w:ascii="Arial" w:hAnsi="Arial" w:cs="Arial"/>
          <w:i/>
          <w:iCs/>
          <w:noProof/>
          <w:szCs w:val="24"/>
          <w:lang w:val="en-US"/>
        </w:rPr>
        <w:t>J. Cell Biol.</w:t>
      </w:r>
      <w:r>
        <w:rPr>
          <w:rFonts w:ascii="Arial" w:hAnsi="Arial" w:cs="Arial"/>
          <w:noProof/>
          <w:szCs w:val="24"/>
          <w:lang w:val="en-US"/>
        </w:rPr>
        <w:t xml:space="preserve"> </w:t>
      </w:r>
      <w:r>
        <w:rPr>
          <w:rFonts w:ascii="Arial" w:hAnsi="Arial" w:cs="Arial"/>
          <w:b/>
          <w:bCs/>
          <w:noProof/>
          <w:szCs w:val="24"/>
          <w:lang w:val="en-US"/>
        </w:rPr>
        <w:t>2008</w:t>
      </w:r>
      <w:r>
        <w:rPr>
          <w:rFonts w:ascii="Arial" w:hAnsi="Arial" w:cs="Arial"/>
          <w:noProof/>
          <w:szCs w:val="24"/>
          <w:lang w:val="en-US"/>
        </w:rPr>
        <w:t xml:space="preserve">, </w:t>
      </w:r>
      <w:r>
        <w:rPr>
          <w:rFonts w:ascii="Arial" w:hAnsi="Arial" w:cs="Arial"/>
          <w:i/>
          <w:iCs/>
          <w:noProof/>
          <w:szCs w:val="24"/>
          <w:lang w:val="en-US"/>
        </w:rPr>
        <w:t>180</w:t>
      </w:r>
      <w:r>
        <w:rPr>
          <w:rFonts w:ascii="Arial" w:hAnsi="Arial" w:cs="Arial"/>
          <w:noProof/>
          <w:szCs w:val="24"/>
          <w:lang w:val="en-US"/>
        </w:rPr>
        <w:t xml:space="preserve"> (5), 931–945.</w:t>
      </w:r>
    </w:p>
    <w:p w14:paraId="161C63A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(367) </w:t>
      </w:r>
      <w:r>
        <w:rPr>
          <w:rFonts w:ascii="Arial" w:hAnsi="Arial" w:cs="Arial"/>
          <w:noProof/>
          <w:szCs w:val="24"/>
          <w:lang w:val="en-US"/>
        </w:rPr>
        <w:tab/>
        <w:t>Wanke, V.; Cameroni, E.; Uotila, A.; Piccolis, M.; Urban, J.; Loewith, R.</w:t>
      </w:r>
      <w:r>
        <w:rPr>
          <w:rFonts w:ascii="Arial" w:hAnsi="Arial" w:cs="Arial"/>
          <w:noProof/>
          <w:szCs w:val="24"/>
          <w:lang w:val="en-US"/>
        </w:rPr>
        <w:t xml:space="preserve">; De Virgilio, C. Caffeine Extends Yeast Lifespan by Targeting TORC1. </w:t>
      </w:r>
      <w:r>
        <w:rPr>
          <w:rFonts w:ascii="Arial" w:hAnsi="Arial" w:cs="Arial"/>
          <w:i/>
          <w:iCs/>
          <w:noProof/>
          <w:szCs w:val="24"/>
          <w:lang w:val="en-US"/>
        </w:rPr>
        <w:t>Mol. Microbiol.</w:t>
      </w:r>
      <w:r>
        <w:rPr>
          <w:rFonts w:ascii="Arial" w:hAnsi="Arial" w:cs="Arial"/>
          <w:noProof/>
          <w:szCs w:val="24"/>
          <w:lang w:val="en-US"/>
        </w:rPr>
        <w:t xml:space="preserve"> </w:t>
      </w:r>
      <w:r>
        <w:rPr>
          <w:rFonts w:ascii="Arial" w:hAnsi="Arial" w:cs="Arial"/>
          <w:b/>
          <w:bCs/>
          <w:noProof/>
          <w:szCs w:val="24"/>
          <w:lang w:val="en-US"/>
        </w:rPr>
        <w:t>2008</w:t>
      </w:r>
      <w:r>
        <w:rPr>
          <w:rFonts w:ascii="Arial" w:hAnsi="Arial" w:cs="Arial"/>
          <w:noProof/>
          <w:szCs w:val="24"/>
          <w:lang w:val="en-US"/>
        </w:rPr>
        <w:t xml:space="preserve">, </w:t>
      </w:r>
      <w:r>
        <w:rPr>
          <w:rFonts w:ascii="Arial" w:hAnsi="Arial" w:cs="Arial"/>
          <w:i/>
          <w:iCs/>
          <w:noProof/>
          <w:szCs w:val="24"/>
          <w:lang w:val="en-US"/>
        </w:rPr>
        <w:t>69</w:t>
      </w:r>
      <w:r>
        <w:rPr>
          <w:rFonts w:ascii="Arial" w:hAnsi="Arial" w:cs="Arial"/>
          <w:noProof/>
          <w:szCs w:val="24"/>
          <w:lang w:val="en-US"/>
        </w:rPr>
        <w:t xml:space="preserve"> (1), 277–285.</w:t>
      </w:r>
    </w:p>
    <w:p w14:paraId="5A27796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(368) </w:t>
      </w:r>
      <w:r>
        <w:rPr>
          <w:rFonts w:ascii="Arial" w:hAnsi="Arial" w:cs="Arial"/>
          <w:noProof/>
          <w:szCs w:val="24"/>
          <w:lang w:val="en-US"/>
        </w:rPr>
        <w:tab/>
      </w:r>
      <w:r>
        <w:rPr>
          <w:rFonts w:ascii="Arial" w:hAnsi="Arial" w:cs="Arial"/>
          <w:noProof/>
          <w:szCs w:val="24"/>
          <w:lang w:val="en-US"/>
        </w:rPr>
        <w:t xml:space="preserve">Verine Bontron, S.; Jaquenoud, M.; Vaga, S.; Talarek, N.; Bodenmiller, B.; Aebersold, R.; De Virgilio, C. Yeast Endosulfines Control Entry into Quiescence and Chronological Life Span by Inhibiting Protein Phosphatase 2A. </w:t>
      </w:r>
      <w:r>
        <w:rPr>
          <w:rFonts w:ascii="Arial" w:hAnsi="Arial" w:cs="Arial"/>
          <w:b/>
          <w:bCs/>
          <w:noProof/>
          <w:szCs w:val="24"/>
          <w:lang w:val="en-US"/>
        </w:rPr>
        <w:t>2013</w:t>
      </w:r>
      <w:r>
        <w:rPr>
          <w:rFonts w:ascii="Arial" w:hAnsi="Arial" w:cs="Arial"/>
          <w:noProof/>
          <w:szCs w:val="24"/>
          <w:lang w:val="en-US"/>
        </w:rPr>
        <w:t>.</w:t>
      </w:r>
    </w:p>
    <w:p w14:paraId="37690A5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(369) </w:t>
      </w:r>
      <w:r>
        <w:rPr>
          <w:rFonts w:ascii="Arial" w:hAnsi="Arial" w:cs="Arial"/>
          <w:noProof/>
          <w:szCs w:val="24"/>
          <w:lang w:val="en-US"/>
        </w:rPr>
        <w:tab/>
        <w:t>Moreno-Torres, M.; Jaq</w:t>
      </w:r>
      <w:r>
        <w:rPr>
          <w:rFonts w:ascii="Arial" w:hAnsi="Arial" w:cs="Arial"/>
          <w:noProof/>
          <w:szCs w:val="24"/>
          <w:lang w:val="en-US"/>
        </w:rPr>
        <w:t xml:space="preserve">uenoud, M.; De Virgilio, C. TORC1 Controls G1–S Cell Cycle Transition in Yeast via Mpk1 and the Greatwall Kinase Pathway. </w:t>
      </w:r>
      <w:r>
        <w:rPr>
          <w:rFonts w:ascii="Arial" w:hAnsi="Arial" w:cs="Arial"/>
          <w:i/>
          <w:iCs/>
          <w:noProof/>
          <w:szCs w:val="24"/>
          <w:lang w:val="en-US"/>
        </w:rPr>
        <w:t>Nat. Commun. 2015 61</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6</w:t>
      </w:r>
      <w:r>
        <w:rPr>
          <w:rFonts w:ascii="Arial" w:hAnsi="Arial" w:cs="Arial"/>
          <w:noProof/>
          <w:szCs w:val="24"/>
          <w:lang w:val="en-US"/>
        </w:rPr>
        <w:t xml:space="preserve"> (1), 1–10.</w:t>
      </w:r>
    </w:p>
    <w:p w14:paraId="53BE354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(370) </w:t>
      </w:r>
      <w:r>
        <w:rPr>
          <w:rFonts w:ascii="Arial" w:hAnsi="Arial" w:cs="Arial"/>
          <w:noProof/>
          <w:szCs w:val="24"/>
          <w:lang w:val="en-US"/>
        </w:rPr>
        <w:tab/>
        <w:t>Talarek, N.; Gueydon, E.; Schwob, E. Homeostatic Control of Start through Negative Feed</w:t>
      </w:r>
      <w:r>
        <w:rPr>
          <w:rFonts w:ascii="Arial" w:hAnsi="Arial" w:cs="Arial"/>
          <w:noProof/>
          <w:szCs w:val="24"/>
          <w:lang w:val="en-US"/>
        </w:rPr>
        <w:t xml:space="preserve">back between Cln3-Cdk1 and Rim15/Greatwall Kinase in Budding Yeast. </w:t>
      </w:r>
      <w:r>
        <w:rPr>
          <w:rFonts w:ascii="Arial" w:hAnsi="Arial" w:cs="Arial"/>
          <w:i/>
          <w:iCs/>
          <w:noProof/>
          <w:szCs w:val="24"/>
          <w:lang w:val="en-US"/>
        </w:rPr>
        <w:t>Elife</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6</w:t>
      </w:r>
      <w:r>
        <w:rPr>
          <w:rFonts w:ascii="Arial" w:hAnsi="Arial" w:cs="Arial"/>
          <w:noProof/>
          <w:szCs w:val="24"/>
          <w:lang w:val="en-US"/>
        </w:rPr>
        <w:t>.</w:t>
      </w:r>
    </w:p>
    <w:p w14:paraId="430E827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(371) </w:t>
      </w:r>
      <w:r>
        <w:rPr>
          <w:rFonts w:ascii="Arial" w:hAnsi="Arial" w:cs="Arial"/>
          <w:noProof/>
          <w:szCs w:val="24"/>
          <w:lang w:val="en-US"/>
        </w:rPr>
        <w:tab/>
        <w:t>Reinders, A.; Bürckert, N.; Boller, T.; Wiemken, A.; De Virgilio, C. Saccharomyces Cerevisiae CAMP-Dependent Protein Kinase Controls Entry into Stationary Phase throu</w:t>
      </w:r>
      <w:r>
        <w:rPr>
          <w:rFonts w:ascii="Arial" w:hAnsi="Arial" w:cs="Arial"/>
          <w:noProof/>
          <w:szCs w:val="24"/>
          <w:lang w:val="en-US"/>
        </w:rPr>
        <w:t xml:space="preserve">gh the Rim15p Protein Kinase. </w:t>
      </w:r>
      <w:r>
        <w:rPr>
          <w:rFonts w:ascii="Arial" w:hAnsi="Arial" w:cs="Arial"/>
          <w:i/>
          <w:iCs/>
          <w:noProof/>
          <w:szCs w:val="24"/>
          <w:lang w:val="en-US"/>
        </w:rPr>
        <w:t>Genes Dev.</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12</w:t>
      </w:r>
      <w:r>
        <w:rPr>
          <w:rFonts w:ascii="Arial" w:hAnsi="Arial" w:cs="Arial"/>
          <w:noProof/>
          <w:szCs w:val="24"/>
          <w:lang w:val="en-US"/>
        </w:rPr>
        <w:t xml:space="preserve"> (18), 2943–2955.</w:t>
      </w:r>
    </w:p>
    <w:p w14:paraId="1EAFE66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(372) </w:t>
      </w:r>
      <w:r>
        <w:rPr>
          <w:rFonts w:ascii="Arial" w:hAnsi="Arial" w:cs="Arial"/>
          <w:noProof/>
          <w:szCs w:val="24"/>
          <w:lang w:val="en-US"/>
        </w:rPr>
        <w:tab/>
        <w:t xml:space="preserve">Broach, J. R. Nutritional Control of Growth and Development in Yeast. </w:t>
      </w:r>
      <w:r>
        <w:rPr>
          <w:rFonts w:ascii="Arial" w:hAnsi="Arial" w:cs="Arial"/>
          <w:i/>
          <w:iCs/>
          <w:noProof/>
          <w:szCs w:val="24"/>
          <w:lang w:val="en-US"/>
        </w:rPr>
        <w:t>Genetics</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192</w:t>
      </w:r>
      <w:r>
        <w:rPr>
          <w:rFonts w:ascii="Arial" w:hAnsi="Arial" w:cs="Arial"/>
          <w:noProof/>
          <w:szCs w:val="24"/>
          <w:lang w:val="en-US"/>
        </w:rPr>
        <w:t xml:space="preserve"> (1), 73–105.</w:t>
      </w:r>
    </w:p>
    <w:p w14:paraId="5D25ADD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(373) </w:t>
      </w:r>
      <w:r>
        <w:rPr>
          <w:rFonts w:ascii="Arial" w:hAnsi="Arial" w:cs="Arial"/>
          <w:noProof/>
          <w:szCs w:val="24"/>
          <w:lang w:val="en-US"/>
        </w:rPr>
        <w:tab/>
        <w:t xml:space="preserve">Amigoni, L.; Colombo, S.; Belotti, F.; Alberghina, L.; Martegani, E. The </w:t>
      </w:r>
      <w:r>
        <w:rPr>
          <w:rFonts w:ascii="Arial" w:hAnsi="Arial" w:cs="Arial"/>
          <w:noProof/>
          <w:szCs w:val="24"/>
          <w:lang w:val="en-US"/>
        </w:rPr>
        <w:t xml:space="preserve">Transcription Factor Swi4 Is Target for PKA Regulation of Cell Size at the G1 to S Transition in Saccharomyces Cerevisiae. </w:t>
      </w:r>
      <w:r>
        <w:rPr>
          <w:rFonts w:ascii="Arial" w:hAnsi="Arial" w:cs="Arial"/>
          <w:i/>
          <w:iCs/>
          <w:noProof/>
          <w:szCs w:val="24"/>
          <w:lang w:val="en-US"/>
        </w:rPr>
        <w:t>Cell Cycle</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14</w:t>
      </w:r>
      <w:r>
        <w:rPr>
          <w:rFonts w:ascii="Arial" w:hAnsi="Arial" w:cs="Arial"/>
          <w:noProof/>
          <w:szCs w:val="24"/>
          <w:lang w:val="en-US"/>
        </w:rPr>
        <w:t xml:space="preserve"> (15), 2429–2438.</w:t>
      </w:r>
    </w:p>
    <w:p w14:paraId="098BF1F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(374) </w:t>
      </w:r>
      <w:r>
        <w:rPr>
          <w:rFonts w:ascii="Arial" w:hAnsi="Arial" w:cs="Arial"/>
          <w:noProof/>
          <w:szCs w:val="24"/>
          <w:lang w:val="en-US"/>
        </w:rPr>
        <w:tab/>
        <w:t>Smith, A.; Ward, M. P.; Garrett, S. Yeast PKA Represses Msn2p/Msn4p</w:t>
      </w:r>
      <w:r>
        <w:rPr>
          <w:rFonts w:ascii="Cambria Math" w:hAnsi="Cambria Math" w:cs="Cambria Math"/>
          <w:noProof/>
          <w:szCs w:val="24"/>
          <w:lang w:val="en-US"/>
        </w:rPr>
        <w:t>‐</w:t>
      </w:r>
      <w:r>
        <w:rPr>
          <w:rFonts w:ascii="Arial" w:hAnsi="Arial" w:cs="Arial"/>
          <w:noProof/>
          <w:szCs w:val="24"/>
          <w:lang w:val="en-US"/>
        </w:rPr>
        <w:t>dependent Gene Expres</w:t>
      </w:r>
      <w:r>
        <w:rPr>
          <w:rFonts w:ascii="Arial" w:hAnsi="Arial" w:cs="Arial"/>
          <w:noProof/>
          <w:szCs w:val="24"/>
          <w:lang w:val="en-US"/>
        </w:rPr>
        <w:t xml:space="preserve">sion to Regulate Growth, Stress Response and Glycogen Accumulation.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17</w:t>
      </w:r>
      <w:r>
        <w:rPr>
          <w:rFonts w:ascii="Arial" w:hAnsi="Arial" w:cs="Arial"/>
          <w:noProof/>
          <w:szCs w:val="24"/>
          <w:lang w:val="en-US"/>
        </w:rPr>
        <w:t xml:space="preserve"> (13), 3556–3564.</w:t>
      </w:r>
    </w:p>
    <w:p w14:paraId="58CD91A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(375) </w:t>
      </w:r>
      <w:r>
        <w:rPr>
          <w:rFonts w:ascii="Arial" w:hAnsi="Arial" w:cs="Arial"/>
          <w:noProof/>
          <w:szCs w:val="24"/>
          <w:lang w:val="en-US"/>
        </w:rPr>
        <w:tab/>
      </w:r>
      <w:r>
        <w:rPr>
          <w:rFonts w:ascii="Arial" w:hAnsi="Arial" w:cs="Arial"/>
          <w:noProof/>
          <w:szCs w:val="24"/>
          <w:lang w:val="en-US"/>
        </w:rPr>
        <w:t xml:space="preserve">Chang, Y. L.; Tseng, S. F.; Huang, Y. C.; Shen, Z. J.; Hsu, P. H.; Hsieh, M. H.; Yang, C. W.; Tognetti, S.; Canal, B.; Subirana, L.; et al. Yeast Cip1 Is Activated by Environmental Stress to Inhibit Cdk1–G1 Cyclins via Mcm1 and Msn2/4. </w:t>
      </w:r>
      <w:r>
        <w:rPr>
          <w:rFonts w:ascii="Arial" w:hAnsi="Arial" w:cs="Arial"/>
          <w:i/>
          <w:iCs/>
          <w:noProof/>
          <w:szCs w:val="24"/>
          <w:lang w:val="en-US"/>
        </w:rPr>
        <w:t>Nat. Commun. 2017 81</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8</w:t>
      </w:r>
      <w:r>
        <w:rPr>
          <w:rFonts w:ascii="Arial" w:hAnsi="Arial" w:cs="Arial"/>
          <w:noProof/>
          <w:szCs w:val="24"/>
          <w:lang w:val="en-US"/>
        </w:rPr>
        <w:t xml:space="preserve"> (1), 1–14.</w:t>
      </w:r>
    </w:p>
    <w:p w14:paraId="61598B1C"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(376) </w:t>
      </w:r>
      <w:r>
        <w:rPr>
          <w:rFonts w:ascii="Arial" w:hAnsi="Arial" w:cs="Arial"/>
          <w:noProof/>
          <w:szCs w:val="24"/>
          <w:lang w:val="en-US"/>
        </w:rPr>
        <w:tab/>
        <w:t xml:space="preserve">Dukkipati, S. S.; Garrett, T. L.; Elbasiouny, S. M.; Paulsen, O.; Funk, G.; Elbasiouny, S. M. The Vulnerability of Spinal Motoneurons and Soma Size Plasticity in a Mouse Model of Amyotrophic Lateral Sclerosis. </w:t>
      </w:r>
      <w:r>
        <w:rPr>
          <w:rFonts w:ascii="Arial" w:hAnsi="Arial" w:cs="Arial"/>
          <w:i/>
          <w:iCs/>
          <w:noProof/>
          <w:szCs w:val="24"/>
          <w:lang w:val="en-US"/>
        </w:rPr>
        <w:t>J. Physiol.</w:t>
      </w:r>
      <w:r>
        <w:rPr>
          <w:rFonts w:ascii="Arial" w:hAnsi="Arial" w:cs="Arial"/>
          <w:noProof/>
          <w:szCs w:val="24"/>
          <w:lang w:val="en-US"/>
        </w:rPr>
        <w:t xml:space="preserve"> </w:t>
      </w:r>
      <w:r>
        <w:rPr>
          <w:rFonts w:ascii="Arial" w:hAnsi="Arial" w:cs="Arial"/>
          <w:b/>
          <w:bCs/>
          <w:noProof/>
          <w:szCs w:val="24"/>
          <w:lang w:val="en-US"/>
        </w:rPr>
        <w:t>2018</w:t>
      </w:r>
      <w:r>
        <w:rPr>
          <w:rFonts w:ascii="Arial" w:hAnsi="Arial" w:cs="Arial"/>
          <w:noProof/>
          <w:szCs w:val="24"/>
          <w:lang w:val="en-US"/>
        </w:rPr>
        <w:t xml:space="preserve">, </w:t>
      </w:r>
      <w:r>
        <w:rPr>
          <w:rFonts w:ascii="Arial" w:hAnsi="Arial" w:cs="Arial"/>
          <w:i/>
          <w:iCs/>
          <w:noProof/>
          <w:szCs w:val="24"/>
          <w:lang w:val="en-US"/>
        </w:rPr>
        <w:t>5</w:t>
      </w:r>
      <w:r>
        <w:rPr>
          <w:rFonts w:ascii="Arial" w:hAnsi="Arial" w:cs="Arial"/>
          <w:i/>
          <w:iCs/>
          <w:noProof/>
          <w:szCs w:val="24"/>
          <w:lang w:val="en-US"/>
        </w:rPr>
        <w:t>96</w:t>
      </w:r>
      <w:r>
        <w:rPr>
          <w:rFonts w:ascii="Arial" w:hAnsi="Arial" w:cs="Arial"/>
          <w:noProof/>
          <w:szCs w:val="24"/>
          <w:lang w:val="en-US"/>
        </w:rPr>
        <w:t xml:space="preserve"> (9), 1723–1745.</w:t>
      </w:r>
    </w:p>
    <w:p w14:paraId="433A8A0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(377) </w:t>
      </w:r>
      <w:r>
        <w:rPr>
          <w:rFonts w:ascii="Arial" w:hAnsi="Arial" w:cs="Arial"/>
          <w:noProof/>
          <w:szCs w:val="24"/>
          <w:lang w:val="en-US"/>
        </w:rPr>
        <w:tab/>
        <w:t xml:space="preserve">Martin, T. G.; Juarros, M. A.; Leinwand, L. A. Regression of Cardiac Hypertrophy in Health and Disease: Mechanisms and Therapeutic Potential. </w:t>
      </w:r>
      <w:r>
        <w:rPr>
          <w:rFonts w:ascii="Arial" w:hAnsi="Arial" w:cs="Arial"/>
          <w:i/>
          <w:iCs/>
          <w:noProof/>
          <w:szCs w:val="24"/>
          <w:lang w:val="en-US"/>
        </w:rPr>
        <w:t>Nat. Rev. Cardiol. 2023 205</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20</w:t>
      </w:r>
      <w:r>
        <w:rPr>
          <w:rFonts w:ascii="Arial" w:hAnsi="Arial" w:cs="Arial"/>
          <w:noProof/>
          <w:szCs w:val="24"/>
          <w:lang w:val="en-US"/>
        </w:rPr>
        <w:t xml:space="preserve"> (5), 347–363.</w:t>
      </w:r>
    </w:p>
    <w:p w14:paraId="37CE657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(378) </w:t>
      </w:r>
      <w:r>
        <w:rPr>
          <w:rFonts w:ascii="Arial" w:hAnsi="Arial" w:cs="Arial"/>
          <w:noProof/>
          <w:szCs w:val="24"/>
          <w:lang w:val="en-US"/>
        </w:rPr>
        <w:tab/>
        <w:t>Levy, D.; Garrison, R. J.; Sav</w:t>
      </w:r>
      <w:r>
        <w:rPr>
          <w:rFonts w:ascii="Arial" w:hAnsi="Arial" w:cs="Arial"/>
          <w:noProof/>
          <w:szCs w:val="24"/>
          <w:lang w:val="en-US"/>
        </w:rPr>
        <w:t xml:space="preserve">age, D. D.; Kannel, W. B.; Castelli, W. P. Prognostic Implications of Echocardiographically Determined Left Ventricular Mass in the Framingham Heart Study. </w:t>
      </w:r>
      <w:r>
        <w:rPr>
          <w:rFonts w:ascii="Arial" w:hAnsi="Arial" w:cs="Arial"/>
          <w:i/>
          <w:iCs/>
          <w:noProof/>
          <w:szCs w:val="24"/>
          <w:lang w:val="en-US"/>
        </w:rPr>
        <w:t>N. Engl. J. Med.</w:t>
      </w:r>
      <w:r>
        <w:rPr>
          <w:rFonts w:ascii="Arial" w:hAnsi="Arial" w:cs="Arial"/>
          <w:noProof/>
          <w:szCs w:val="24"/>
          <w:lang w:val="en-US"/>
        </w:rPr>
        <w:t xml:space="preserve"> </w:t>
      </w:r>
      <w:r>
        <w:rPr>
          <w:rFonts w:ascii="Arial" w:hAnsi="Arial" w:cs="Arial"/>
          <w:b/>
          <w:bCs/>
          <w:noProof/>
          <w:szCs w:val="24"/>
          <w:lang w:val="en-US"/>
        </w:rPr>
        <w:t>1990</w:t>
      </w:r>
      <w:r>
        <w:rPr>
          <w:rFonts w:ascii="Arial" w:hAnsi="Arial" w:cs="Arial"/>
          <w:noProof/>
          <w:szCs w:val="24"/>
          <w:lang w:val="en-US"/>
        </w:rPr>
        <w:t xml:space="preserve">, </w:t>
      </w:r>
      <w:r>
        <w:rPr>
          <w:rFonts w:ascii="Arial" w:hAnsi="Arial" w:cs="Arial"/>
          <w:i/>
          <w:iCs/>
          <w:noProof/>
          <w:szCs w:val="24"/>
          <w:lang w:val="en-US"/>
        </w:rPr>
        <w:t>322</w:t>
      </w:r>
      <w:r>
        <w:rPr>
          <w:rFonts w:ascii="Arial" w:hAnsi="Arial" w:cs="Arial"/>
          <w:noProof/>
          <w:szCs w:val="24"/>
          <w:lang w:val="en-US"/>
        </w:rPr>
        <w:t xml:space="preserve"> (22), 1561–1566.</w:t>
      </w:r>
    </w:p>
    <w:p w14:paraId="041688A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(379) </w:t>
      </w:r>
      <w:r>
        <w:rPr>
          <w:rFonts w:ascii="Arial" w:hAnsi="Arial" w:cs="Arial"/>
          <w:noProof/>
          <w:szCs w:val="24"/>
          <w:lang w:val="en-US"/>
        </w:rPr>
        <w:tab/>
        <w:t>Verkhratsky, A.; Rodrigues, J. J.; Pivoriunas, A.</w:t>
      </w:r>
      <w:r>
        <w:rPr>
          <w:rFonts w:ascii="Arial" w:hAnsi="Arial" w:cs="Arial"/>
          <w:noProof/>
          <w:szCs w:val="24"/>
          <w:lang w:val="en-US"/>
        </w:rPr>
        <w:t xml:space="preserve">; Zorec, R.; Semyanov, A. Astroglial Atrophy in Alzheimer’s Disease. </w:t>
      </w:r>
      <w:r>
        <w:rPr>
          <w:rFonts w:ascii="Arial" w:hAnsi="Arial" w:cs="Arial"/>
          <w:i/>
          <w:iCs/>
          <w:noProof/>
          <w:szCs w:val="24"/>
          <w:lang w:val="en-US"/>
        </w:rPr>
        <w:t>Pflügers Arch. - Eur. J. Physiol. 2019 47110</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471</w:t>
      </w:r>
      <w:r>
        <w:rPr>
          <w:rFonts w:ascii="Arial" w:hAnsi="Arial" w:cs="Arial"/>
          <w:noProof/>
          <w:szCs w:val="24"/>
          <w:lang w:val="en-US"/>
        </w:rPr>
        <w:t xml:space="preserve"> (10), 1247–1261.</w:t>
      </w:r>
    </w:p>
    <w:p w14:paraId="6F853805"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(380) </w:t>
      </w:r>
      <w:r>
        <w:rPr>
          <w:rFonts w:ascii="Arial" w:hAnsi="Arial" w:cs="Arial"/>
          <w:noProof/>
          <w:szCs w:val="24"/>
          <w:lang w:val="en-US"/>
        </w:rPr>
        <w:tab/>
        <w:t>Fatemi, S. H.; Halt, A. R.; Realmuto, G.; Earle, J.; Kist, D. A.; Thuras, P.; Metz, A. Purkinje Cell Size Is</w:t>
      </w:r>
      <w:r>
        <w:rPr>
          <w:rFonts w:ascii="Arial" w:hAnsi="Arial" w:cs="Arial"/>
          <w:noProof/>
          <w:szCs w:val="24"/>
          <w:lang w:val="en-US"/>
        </w:rPr>
        <w:t xml:space="preserve"> Reduced in Cerebellum of Patients with Autism. </w:t>
      </w:r>
      <w:r>
        <w:rPr>
          <w:rFonts w:ascii="Arial" w:hAnsi="Arial" w:cs="Arial"/>
          <w:i/>
          <w:iCs/>
          <w:noProof/>
          <w:szCs w:val="24"/>
          <w:lang w:val="en-US"/>
        </w:rPr>
        <w:t>Cell. Mol. Neurobiol.</w:t>
      </w:r>
      <w:r>
        <w:rPr>
          <w:rFonts w:ascii="Arial" w:hAnsi="Arial" w:cs="Arial"/>
          <w:noProof/>
          <w:szCs w:val="24"/>
          <w:lang w:val="en-US"/>
        </w:rPr>
        <w:t xml:space="preserve"> </w:t>
      </w:r>
      <w:r>
        <w:rPr>
          <w:rFonts w:ascii="Arial" w:hAnsi="Arial" w:cs="Arial"/>
          <w:b/>
          <w:bCs/>
          <w:noProof/>
          <w:szCs w:val="24"/>
          <w:lang w:val="en-US"/>
        </w:rPr>
        <w:t>2002</w:t>
      </w:r>
      <w:r>
        <w:rPr>
          <w:rFonts w:ascii="Arial" w:hAnsi="Arial" w:cs="Arial"/>
          <w:noProof/>
          <w:szCs w:val="24"/>
          <w:lang w:val="en-US"/>
        </w:rPr>
        <w:t xml:space="preserve">, </w:t>
      </w:r>
      <w:r>
        <w:rPr>
          <w:rFonts w:ascii="Arial" w:hAnsi="Arial" w:cs="Arial"/>
          <w:i/>
          <w:iCs/>
          <w:noProof/>
          <w:szCs w:val="24"/>
          <w:lang w:val="en-US"/>
        </w:rPr>
        <w:t>22</w:t>
      </w:r>
      <w:r>
        <w:rPr>
          <w:rFonts w:ascii="Arial" w:hAnsi="Arial" w:cs="Arial"/>
          <w:noProof/>
          <w:szCs w:val="24"/>
          <w:lang w:val="en-US"/>
        </w:rPr>
        <w:t xml:space="preserve"> (2), 171–175.</w:t>
      </w:r>
    </w:p>
    <w:p w14:paraId="64C3115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(381) </w:t>
      </w:r>
      <w:r>
        <w:rPr>
          <w:rFonts w:ascii="Arial" w:hAnsi="Arial" w:cs="Arial"/>
          <w:noProof/>
          <w:szCs w:val="24"/>
          <w:lang w:val="en-US"/>
        </w:rPr>
        <w:tab/>
        <w:t xml:space="preserve">Tran, K. D.; Smutzer, G. S.; Doty, R. L.; Arnold, S. E. Reduced Purkinje Cell Size in the Cerebellar Vermis of Elderly Patients with Schizophrenia. </w:t>
      </w:r>
      <w:r>
        <w:rPr>
          <w:rFonts w:ascii="Arial" w:hAnsi="Arial" w:cs="Arial"/>
          <w:i/>
          <w:iCs/>
          <w:noProof/>
          <w:szCs w:val="24"/>
          <w:lang w:val="en-US"/>
        </w:rPr>
        <w:t>Am. J. P</w:t>
      </w:r>
      <w:r>
        <w:rPr>
          <w:rFonts w:ascii="Arial" w:hAnsi="Arial" w:cs="Arial"/>
          <w:i/>
          <w:iCs/>
          <w:noProof/>
          <w:szCs w:val="24"/>
          <w:lang w:val="en-US"/>
        </w:rPr>
        <w:t>sychiatry</w:t>
      </w:r>
      <w:r>
        <w:rPr>
          <w:rFonts w:ascii="Arial" w:hAnsi="Arial" w:cs="Arial"/>
          <w:noProof/>
          <w:szCs w:val="24"/>
          <w:lang w:val="en-US"/>
        </w:rPr>
        <w:t xml:space="preserve"> </w:t>
      </w:r>
      <w:r>
        <w:rPr>
          <w:rFonts w:ascii="Arial" w:hAnsi="Arial" w:cs="Arial"/>
          <w:b/>
          <w:bCs/>
          <w:noProof/>
          <w:szCs w:val="24"/>
          <w:lang w:val="en-US"/>
        </w:rPr>
        <w:t>1998</w:t>
      </w:r>
      <w:r>
        <w:rPr>
          <w:rFonts w:ascii="Arial" w:hAnsi="Arial" w:cs="Arial"/>
          <w:noProof/>
          <w:szCs w:val="24"/>
          <w:lang w:val="en-US"/>
        </w:rPr>
        <w:t xml:space="preserve">, </w:t>
      </w:r>
      <w:r>
        <w:rPr>
          <w:rFonts w:ascii="Arial" w:hAnsi="Arial" w:cs="Arial"/>
          <w:i/>
          <w:iCs/>
          <w:noProof/>
          <w:szCs w:val="24"/>
          <w:lang w:val="en-US"/>
        </w:rPr>
        <w:t>155</w:t>
      </w:r>
      <w:r>
        <w:rPr>
          <w:rFonts w:ascii="Arial" w:hAnsi="Arial" w:cs="Arial"/>
          <w:noProof/>
          <w:szCs w:val="24"/>
          <w:lang w:val="en-US"/>
        </w:rPr>
        <w:t xml:space="preserve"> (9), 1288–1290.</w:t>
      </w:r>
    </w:p>
    <w:p w14:paraId="2A7D752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(382) </w:t>
      </w:r>
      <w:r>
        <w:rPr>
          <w:rFonts w:ascii="Arial" w:hAnsi="Arial" w:cs="Arial"/>
          <w:noProof/>
          <w:szCs w:val="24"/>
          <w:lang w:val="en-US"/>
        </w:rPr>
        <w:tab/>
        <w:t xml:space="preserve">Yin, L.; Li, N.; Jia, W.; Wang, N.; Liang, M.; Yang, X.; Du, G. Skeletal Muscle Atrophy: From Mechanisms to Treatments. </w:t>
      </w:r>
      <w:r>
        <w:rPr>
          <w:rFonts w:ascii="Arial" w:hAnsi="Arial" w:cs="Arial"/>
          <w:i/>
          <w:iCs/>
          <w:noProof/>
          <w:szCs w:val="24"/>
          <w:lang w:val="en-US"/>
        </w:rPr>
        <w:t>Pharmacol. Res.</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xml:space="preserve">, </w:t>
      </w:r>
      <w:r>
        <w:rPr>
          <w:rFonts w:ascii="Arial" w:hAnsi="Arial" w:cs="Arial"/>
          <w:i/>
          <w:iCs/>
          <w:noProof/>
          <w:szCs w:val="24"/>
          <w:lang w:val="en-US"/>
        </w:rPr>
        <w:t>172</w:t>
      </w:r>
      <w:r>
        <w:rPr>
          <w:rFonts w:ascii="Arial" w:hAnsi="Arial" w:cs="Arial"/>
          <w:noProof/>
          <w:szCs w:val="24"/>
          <w:lang w:val="en-US"/>
        </w:rPr>
        <w:t>.</w:t>
      </w:r>
    </w:p>
    <w:p w14:paraId="2A040946"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(383) </w:t>
      </w:r>
      <w:r>
        <w:rPr>
          <w:rFonts w:ascii="Arial" w:hAnsi="Arial" w:cs="Arial"/>
          <w:noProof/>
          <w:szCs w:val="24"/>
          <w:lang w:val="en-US"/>
        </w:rPr>
        <w:tab/>
        <w:t>Yücel, Y. H.; Zhang, Q.; Weinreb, R. N.; Kaufman, P. L.; Gu</w:t>
      </w:r>
      <w:r>
        <w:rPr>
          <w:rFonts w:ascii="Arial" w:hAnsi="Arial" w:cs="Arial"/>
          <w:noProof/>
          <w:szCs w:val="24"/>
          <w:lang w:val="en-US"/>
        </w:rPr>
        <w:t xml:space="preserve">pta, N. Atrophy of Relay Neurons in Magno- and Parvocellular Layers in the Lateral Geniculate Nucleus in Experimental Glaucoma. </w:t>
      </w:r>
      <w:r>
        <w:rPr>
          <w:rFonts w:ascii="Arial" w:hAnsi="Arial" w:cs="Arial"/>
          <w:i/>
          <w:iCs/>
          <w:noProof/>
          <w:szCs w:val="24"/>
          <w:lang w:val="en-US"/>
        </w:rPr>
        <w:t>Invest. Ophthalmol. Vis. Sci.</w:t>
      </w:r>
      <w:r>
        <w:rPr>
          <w:rFonts w:ascii="Arial" w:hAnsi="Arial" w:cs="Arial"/>
          <w:noProof/>
          <w:szCs w:val="24"/>
          <w:lang w:val="en-US"/>
        </w:rPr>
        <w:t xml:space="preserve"> </w:t>
      </w:r>
      <w:r>
        <w:rPr>
          <w:rFonts w:ascii="Arial" w:hAnsi="Arial" w:cs="Arial"/>
          <w:b/>
          <w:bCs/>
          <w:noProof/>
          <w:szCs w:val="24"/>
          <w:lang w:val="en-US"/>
        </w:rPr>
        <w:t>2001</w:t>
      </w:r>
      <w:r>
        <w:rPr>
          <w:rFonts w:ascii="Arial" w:hAnsi="Arial" w:cs="Arial"/>
          <w:noProof/>
          <w:szCs w:val="24"/>
          <w:lang w:val="en-US"/>
        </w:rPr>
        <w:t xml:space="preserve">, </w:t>
      </w:r>
      <w:r>
        <w:rPr>
          <w:rFonts w:ascii="Arial" w:hAnsi="Arial" w:cs="Arial"/>
          <w:i/>
          <w:iCs/>
          <w:noProof/>
          <w:szCs w:val="24"/>
          <w:lang w:val="en-US"/>
        </w:rPr>
        <w:t>42</w:t>
      </w:r>
      <w:r>
        <w:rPr>
          <w:rFonts w:ascii="Arial" w:hAnsi="Arial" w:cs="Arial"/>
          <w:noProof/>
          <w:szCs w:val="24"/>
          <w:lang w:val="en-US"/>
        </w:rPr>
        <w:t xml:space="preserve"> (13), 3216–3222.</w:t>
      </w:r>
    </w:p>
    <w:p w14:paraId="77E48D6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(384) </w:t>
      </w:r>
      <w:r>
        <w:rPr>
          <w:rFonts w:ascii="Arial" w:hAnsi="Arial" w:cs="Arial"/>
          <w:noProof/>
          <w:szCs w:val="24"/>
          <w:lang w:val="en-US"/>
        </w:rPr>
        <w:tab/>
        <w:t xml:space="preserve">DeLoughery, T. G. Microcytic Anemia. </w:t>
      </w:r>
      <w:r>
        <w:rPr>
          <w:rFonts w:ascii="Arial" w:hAnsi="Arial" w:cs="Arial"/>
          <w:i/>
          <w:iCs/>
          <w:noProof/>
          <w:szCs w:val="24"/>
          <w:lang w:val="en-US"/>
        </w:rPr>
        <w:t>https://doi.org/10.1056/NEJM</w:t>
      </w:r>
      <w:r>
        <w:rPr>
          <w:rFonts w:ascii="Arial" w:hAnsi="Arial" w:cs="Arial"/>
          <w:i/>
          <w:iCs/>
          <w:noProof/>
          <w:szCs w:val="24"/>
          <w:lang w:val="en-US"/>
        </w:rPr>
        <w:t>ra1215361</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371</w:t>
      </w:r>
      <w:r>
        <w:rPr>
          <w:rFonts w:ascii="Arial" w:hAnsi="Arial" w:cs="Arial"/>
          <w:noProof/>
          <w:szCs w:val="24"/>
          <w:lang w:val="en-US"/>
        </w:rPr>
        <w:t xml:space="preserve"> (14), 1324–1331.</w:t>
      </w:r>
    </w:p>
    <w:p w14:paraId="1612AE5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(385) </w:t>
      </w:r>
      <w:r>
        <w:rPr>
          <w:rFonts w:ascii="Arial" w:hAnsi="Arial" w:cs="Arial"/>
          <w:noProof/>
          <w:szCs w:val="24"/>
          <w:lang w:val="en-US"/>
        </w:rPr>
        <w:tab/>
      </w:r>
      <w:r>
        <w:rPr>
          <w:rFonts w:ascii="Arial" w:hAnsi="Arial" w:cs="Arial"/>
          <w:noProof/>
          <w:szCs w:val="24"/>
          <w:lang w:val="en-US"/>
        </w:rPr>
        <w:t xml:space="preserve">Khurana, A.; Chadha, Y.; Schmoller, K. M. Too Big Not to Fail: Different Paths Lead to Senescence of Enlarged Cells.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83</w:t>
      </w:r>
      <w:r>
        <w:rPr>
          <w:rFonts w:ascii="Arial" w:hAnsi="Arial" w:cs="Arial"/>
          <w:noProof/>
          <w:szCs w:val="24"/>
          <w:lang w:val="en-US"/>
        </w:rPr>
        <w:t xml:space="preserve"> (22), 3946–3947.</w:t>
      </w:r>
    </w:p>
    <w:p w14:paraId="65B749B2"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(386) </w:t>
      </w:r>
      <w:r>
        <w:rPr>
          <w:rFonts w:ascii="Arial" w:hAnsi="Arial" w:cs="Arial"/>
          <w:noProof/>
          <w:szCs w:val="24"/>
          <w:lang w:val="en-US"/>
        </w:rPr>
        <w:tab/>
        <w:t>Demidenko, Z. N.; Blagosklonny, M. V. Growth Stimulation Leads to Cellular Senescence When the C</w:t>
      </w:r>
      <w:r>
        <w:rPr>
          <w:rFonts w:ascii="Arial" w:hAnsi="Arial" w:cs="Arial"/>
          <w:noProof/>
          <w:szCs w:val="24"/>
          <w:lang w:val="en-US"/>
        </w:rPr>
        <w:t xml:space="preserve">ell Cycle Is Blocked. </w:t>
      </w:r>
      <w:r>
        <w:rPr>
          <w:rFonts w:ascii="Arial" w:hAnsi="Arial" w:cs="Arial"/>
          <w:i/>
          <w:iCs/>
          <w:noProof/>
          <w:szCs w:val="24"/>
          <w:lang w:val="en-US"/>
        </w:rPr>
        <w:t>Cell Cycle</w:t>
      </w:r>
      <w:r>
        <w:rPr>
          <w:rFonts w:ascii="Arial" w:hAnsi="Arial" w:cs="Arial"/>
          <w:noProof/>
          <w:szCs w:val="24"/>
          <w:lang w:val="en-US"/>
        </w:rPr>
        <w:t xml:space="preserve"> </w:t>
      </w:r>
      <w:r>
        <w:rPr>
          <w:rFonts w:ascii="Arial" w:hAnsi="Arial" w:cs="Arial"/>
          <w:b/>
          <w:bCs/>
          <w:noProof/>
          <w:szCs w:val="24"/>
          <w:lang w:val="en-US"/>
        </w:rPr>
        <w:t>2008</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 xml:space="preserve"> (21), 3355–3361.</w:t>
      </w:r>
    </w:p>
    <w:p w14:paraId="439328C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(387) </w:t>
      </w:r>
      <w:r>
        <w:rPr>
          <w:rFonts w:ascii="Arial" w:hAnsi="Arial" w:cs="Arial"/>
          <w:noProof/>
          <w:szCs w:val="24"/>
          <w:lang w:val="en-US"/>
        </w:rPr>
        <w:tab/>
        <w:t>Foy, R.; Crozier, L.; Pareri, A. U.; Valverde, J. M.; Park, B. H.; Ly, T.; Saurin Correspondence, A. T. Oncogenic Signals Prime Cancer Cells for Toxic Cell Overgrowth during a G1 Cell Cycle A</w:t>
      </w:r>
      <w:r>
        <w:rPr>
          <w:rFonts w:ascii="Arial" w:hAnsi="Arial" w:cs="Arial"/>
          <w:noProof/>
          <w:szCs w:val="24"/>
          <w:lang w:val="en-US"/>
        </w:rPr>
        <w:t xml:space="preserve">rrest.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83</w:t>
      </w:r>
      <w:r>
        <w:rPr>
          <w:rFonts w:ascii="Arial" w:hAnsi="Arial" w:cs="Arial"/>
          <w:noProof/>
          <w:szCs w:val="24"/>
          <w:lang w:val="en-US"/>
        </w:rPr>
        <w:t xml:space="preserve"> (22), 4047-4061.e6.</w:t>
      </w:r>
    </w:p>
    <w:p w14:paraId="7F9112F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(388) </w:t>
      </w:r>
      <w:r>
        <w:rPr>
          <w:rFonts w:ascii="Arial" w:hAnsi="Arial" w:cs="Arial"/>
          <w:noProof/>
          <w:szCs w:val="24"/>
          <w:lang w:val="en-US"/>
        </w:rPr>
        <w:tab/>
        <w:t>Wilson, G. A.; Vuina, K.; Sava, G.; Huard, C.; Meneguello, L.; Coulombe-Huntington, J.; Bertomeu, T.; Maizels, R. J.; Lauring, J.; Kriston-Vizi, J.; et al. Active Growth Signaling Promotes Senescence and</w:t>
      </w:r>
      <w:r>
        <w:rPr>
          <w:rFonts w:ascii="Arial" w:hAnsi="Arial" w:cs="Arial"/>
          <w:noProof/>
          <w:szCs w:val="24"/>
          <w:lang w:val="en-US"/>
        </w:rPr>
        <w:t xml:space="preserve"> Cancer Cell Sensitivity to CDK7 Inhibition.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83</w:t>
      </w:r>
      <w:r>
        <w:rPr>
          <w:rFonts w:ascii="Arial" w:hAnsi="Arial" w:cs="Arial"/>
          <w:noProof/>
          <w:szCs w:val="24"/>
          <w:lang w:val="en-US"/>
        </w:rPr>
        <w:t xml:space="preserve"> (22), 4078-4092.e6.</w:t>
      </w:r>
    </w:p>
    <w:p w14:paraId="7B918D68"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(389) </w:t>
      </w:r>
      <w:r>
        <w:rPr>
          <w:rFonts w:ascii="Arial" w:hAnsi="Arial" w:cs="Arial"/>
          <w:noProof/>
          <w:szCs w:val="24"/>
          <w:lang w:val="en-US"/>
        </w:rPr>
        <w:tab/>
        <w:t>Manohar, S.; Estrada, M. E.; Uliana, F.; Vuina, K.; Alvarez, P. M.; de Bruin, R. A. M.; Neurohr, G. E. Genome Homeostasis Defects Drive Enlarged Cells into Senescenc</w:t>
      </w:r>
      <w:r>
        <w:rPr>
          <w:rFonts w:ascii="Arial" w:hAnsi="Arial" w:cs="Arial"/>
          <w:noProof/>
          <w:szCs w:val="24"/>
          <w:lang w:val="en-US"/>
        </w:rPr>
        <w:t xml:space="preserve">e.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83</w:t>
      </w:r>
      <w:r>
        <w:rPr>
          <w:rFonts w:ascii="Arial" w:hAnsi="Arial" w:cs="Arial"/>
          <w:noProof/>
          <w:szCs w:val="24"/>
          <w:lang w:val="en-US"/>
        </w:rPr>
        <w:t xml:space="preserve"> (22), 4032-4046.e6.</w:t>
      </w:r>
    </w:p>
    <w:p w14:paraId="19EABC67"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(390) </w:t>
      </w:r>
      <w:r>
        <w:rPr>
          <w:rFonts w:ascii="Arial" w:hAnsi="Arial" w:cs="Arial"/>
          <w:noProof/>
          <w:szCs w:val="24"/>
          <w:lang w:val="en-US"/>
        </w:rPr>
        <w:tab/>
        <w:t xml:space="preserve">Crozier, L.; Foy, R.; Adib, R.; Kar, A.; Holt, J. A.; Pareri, A. U.; Valverde, J. M.; Rivera, R.; Weston, W. A.; Wilson, R.; et al. CDK4/6 Inhibitor-Mediated Cell Overgrowth Triggers Osmotic and Replication </w:t>
      </w:r>
      <w:r>
        <w:rPr>
          <w:rFonts w:ascii="Arial" w:hAnsi="Arial" w:cs="Arial"/>
          <w:noProof/>
          <w:szCs w:val="24"/>
          <w:lang w:val="en-US"/>
        </w:rPr>
        <w:t xml:space="preserve">Stress to Promote Senescence. </w:t>
      </w:r>
      <w:r>
        <w:rPr>
          <w:rFonts w:ascii="Arial" w:hAnsi="Arial" w:cs="Arial"/>
          <w:i/>
          <w:iCs/>
          <w:noProof/>
          <w:szCs w:val="24"/>
          <w:lang w:val="en-US"/>
        </w:rPr>
        <w:t>Mol. Cell</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xml:space="preserve">, </w:t>
      </w:r>
      <w:r>
        <w:rPr>
          <w:rFonts w:ascii="Arial" w:hAnsi="Arial" w:cs="Arial"/>
          <w:i/>
          <w:iCs/>
          <w:noProof/>
          <w:szCs w:val="24"/>
          <w:lang w:val="en-US"/>
        </w:rPr>
        <w:t>83</w:t>
      </w:r>
      <w:r>
        <w:rPr>
          <w:rFonts w:ascii="Arial" w:hAnsi="Arial" w:cs="Arial"/>
          <w:noProof/>
          <w:szCs w:val="24"/>
          <w:lang w:val="en-US"/>
        </w:rPr>
        <w:t xml:space="preserve"> (22), 4062-4077.e5.</w:t>
      </w:r>
    </w:p>
    <w:p w14:paraId="5D4A8B5D"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(391) </w:t>
      </w:r>
      <w:r>
        <w:rPr>
          <w:rFonts w:ascii="Arial" w:hAnsi="Arial" w:cs="Arial"/>
          <w:noProof/>
          <w:szCs w:val="24"/>
          <w:lang w:val="en-US"/>
        </w:rPr>
        <w:tab/>
        <w:t xml:space="preserve">Crozier, L.; Foy, R.; Mouery, B. L.; Whitaker, R. H.; Corno, A.; Spanos, C.; Ly, T.; Cook, J. G.; Saurin, A. T. CDK4/6 Inhibitors Induce Replication Stress to Cause Long-Term Cell </w:t>
      </w:r>
      <w:r>
        <w:rPr>
          <w:rFonts w:ascii="Arial" w:hAnsi="Arial" w:cs="Arial"/>
          <w:noProof/>
          <w:szCs w:val="24"/>
          <w:lang w:val="en-US"/>
        </w:rPr>
        <w:t xml:space="preserve">Cycle Withdrawal. </w:t>
      </w:r>
      <w:r>
        <w:rPr>
          <w:rFonts w:ascii="Arial" w:hAnsi="Arial" w:cs="Arial"/>
          <w:i/>
          <w:iCs/>
          <w:noProof/>
          <w:szCs w:val="24"/>
          <w:lang w:val="en-US"/>
        </w:rPr>
        <w:t>EMBO J.</w:t>
      </w:r>
      <w:r>
        <w:rPr>
          <w:rFonts w:ascii="Arial" w:hAnsi="Arial" w:cs="Arial"/>
          <w:noProof/>
          <w:szCs w:val="24"/>
          <w:lang w:val="en-US"/>
        </w:rPr>
        <w:t xml:space="preserve"> </w:t>
      </w:r>
      <w:r>
        <w:rPr>
          <w:rFonts w:ascii="Arial" w:hAnsi="Arial" w:cs="Arial"/>
          <w:b/>
          <w:bCs/>
          <w:noProof/>
          <w:szCs w:val="24"/>
          <w:lang w:val="en-US"/>
        </w:rPr>
        <w:t>2022</w:t>
      </w:r>
      <w:r>
        <w:rPr>
          <w:rFonts w:ascii="Arial" w:hAnsi="Arial" w:cs="Arial"/>
          <w:noProof/>
          <w:szCs w:val="24"/>
          <w:lang w:val="en-US"/>
        </w:rPr>
        <w:t xml:space="preserve">, </w:t>
      </w:r>
      <w:r>
        <w:rPr>
          <w:rFonts w:ascii="Arial" w:hAnsi="Arial" w:cs="Arial"/>
          <w:i/>
          <w:iCs/>
          <w:noProof/>
          <w:szCs w:val="24"/>
          <w:lang w:val="en-US"/>
        </w:rPr>
        <w:t>41</w:t>
      </w:r>
      <w:r>
        <w:rPr>
          <w:rFonts w:ascii="Arial" w:hAnsi="Arial" w:cs="Arial"/>
          <w:noProof/>
          <w:szCs w:val="24"/>
          <w:lang w:val="en-US"/>
        </w:rPr>
        <w:t xml:space="preserve"> (6), e108599.</w:t>
      </w:r>
    </w:p>
    <w:p w14:paraId="0FD167B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(392) </w:t>
      </w:r>
      <w:r>
        <w:rPr>
          <w:rFonts w:ascii="Arial" w:hAnsi="Arial" w:cs="Arial"/>
          <w:noProof/>
          <w:szCs w:val="24"/>
          <w:lang w:val="en-US"/>
        </w:rPr>
        <w:tab/>
        <w:t xml:space="preserve">Zadrag, R.; Bartosz, G.; Bilinski, T. Replicative Aging of the Yeast Does Not Require DNA Replication. </w:t>
      </w:r>
      <w:r>
        <w:rPr>
          <w:rFonts w:ascii="Arial" w:hAnsi="Arial" w:cs="Arial"/>
          <w:i/>
          <w:iCs/>
          <w:noProof/>
          <w:szCs w:val="24"/>
          <w:lang w:val="en-US"/>
        </w:rPr>
        <w:t>Biochem. Biophys. Res. Commun.</w:t>
      </w:r>
      <w:r>
        <w:rPr>
          <w:rFonts w:ascii="Arial" w:hAnsi="Arial" w:cs="Arial"/>
          <w:noProof/>
          <w:szCs w:val="24"/>
          <w:lang w:val="en-US"/>
        </w:rPr>
        <w:t xml:space="preserve"> </w:t>
      </w:r>
      <w:r>
        <w:rPr>
          <w:rFonts w:ascii="Arial" w:hAnsi="Arial" w:cs="Arial"/>
          <w:b/>
          <w:bCs/>
          <w:noProof/>
          <w:szCs w:val="24"/>
          <w:lang w:val="en-US"/>
        </w:rPr>
        <w:t>2005</w:t>
      </w:r>
      <w:r>
        <w:rPr>
          <w:rFonts w:ascii="Arial" w:hAnsi="Arial" w:cs="Arial"/>
          <w:noProof/>
          <w:szCs w:val="24"/>
          <w:lang w:val="en-US"/>
        </w:rPr>
        <w:t xml:space="preserve">, </w:t>
      </w:r>
      <w:r>
        <w:rPr>
          <w:rFonts w:ascii="Arial" w:hAnsi="Arial" w:cs="Arial"/>
          <w:i/>
          <w:iCs/>
          <w:noProof/>
          <w:szCs w:val="24"/>
          <w:lang w:val="en-US"/>
        </w:rPr>
        <w:t>333</w:t>
      </w:r>
      <w:r>
        <w:rPr>
          <w:rFonts w:ascii="Arial" w:hAnsi="Arial" w:cs="Arial"/>
          <w:noProof/>
          <w:szCs w:val="24"/>
          <w:lang w:val="en-US"/>
        </w:rPr>
        <w:t xml:space="preserve"> (1), 138–141.</w:t>
      </w:r>
    </w:p>
    <w:p w14:paraId="6F84DE20"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(393) </w:t>
      </w:r>
      <w:r>
        <w:rPr>
          <w:rFonts w:ascii="Arial" w:hAnsi="Arial" w:cs="Arial"/>
          <w:noProof/>
          <w:szCs w:val="24"/>
          <w:lang w:val="en-US"/>
        </w:rPr>
        <w:tab/>
        <w:t xml:space="preserve">Yang, J.; Dungrawala, H.; Hua, H.; </w:t>
      </w:r>
      <w:r>
        <w:rPr>
          <w:rFonts w:ascii="Arial" w:hAnsi="Arial" w:cs="Arial"/>
          <w:noProof/>
          <w:szCs w:val="24"/>
          <w:lang w:val="en-US"/>
        </w:rPr>
        <w:t xml:space="preserve">Manukyan, A.; Abraham, L.; Lane, W.; Mead, H.; Wright, J.; Schneider, B. L. Cell Size and Growth Rate Are Major Determinants of Replicative Lifespan. </w:t>
      </w:r>
      <w:r>
        <w:rPr>
          <w:rFonts w:ascii="Arial" w:hAnsi="Arial" w:cs="Arial"/>
          <w:i/>
          <w:iCs/>
          <w:noProof/>
          <w:szCs w:val="24"/>
          <w:lang w:val="en-US"/>
        </w:rPr>
        <w:t>Cell Cycle</w:t>
      </w:r>
      <w:r>
        <w:rPr>
          <w:rFonts w:ascii="Arial" w:hAnsi="Arial" w:cs="Arial"/>
          <w:noProof/>
          <w:szCs w:val="24"/>
          <w:lang w:val="en-US"/>
        </w:rPr>
        <w:t xml:space="preserve"> </w:t>
      </w:r>
      <w:r>
        <w:rPr>
          <w:rFonts w:ascii="Arial" w:hAnsi="Arial" w:cs="Arial"/>
          <w:b/>
          <w:bCs/>
          <w:noProof/>
          <w:szCs w:val="24"/>
          <w:lang w:val="en-US"/>
        </w:rPr>
        <w:t>2011</w:t>
      </w:r>
      <w:r>
        <w:rPr>
          <w:rFonts w:ascii="Arial" w:hAnsi="Arial" w:cs="Arial"/>
          <w:noProof/>
          <w:szCs w:val="24"/>
          <w:lang w:val="en-US"/>
        </w:rPr>
        <w:t xml:space="preserve">, </w:t>
      </w:r>
      <w:r>
        <w:rPr>
          <w:rFonts w:ascii="Arial" w:hAnsi="Arial" w:cs="Arial"/>
          <w:i/>
          <w:iCs/>
          <w:noProof/>
          <w:szCs w:val="24"/>
          <w:lang w:val="en-US"/>
        </w:rPr>
        <w:t>10</w:t>
      </w:r>
      <w:r>
        <w:rPr>
          <w:rFonts w:ascii="Arial" w:hAnsi="Arial" w:cs="Arial"/>
          <w:noProof/>
          <w:szCs w:val="24"/>
          <w:lang w:val="en-US"/>
        </w:rPr>
        <w:t xml:space="preserve"> (1), 144–155.</w:t>
      </w:r>
    </w:p>
    <w:p w14:paraId="574A5B1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(394) </w:t>
      </w:r>
      <w:r>
        <w:rPr>
          <w:rFonts w:ascii="Arial" w:hAnsi="Arial" w:cs="Arial"/>
          <w:noProof/>
          <w:szCs w:val="24"/>
          <w:lang w:val="en-US"/>
        </w:rPr>
        <w:tab/>
      </w:r>
      <w:r>
        <w:rPr>
          <w:rFonts w:ascii="Arial" w:hAnsi="Arial" w:cs="Arial"/>
          <w:noProof/>
          <w:szCs w:val="24"/>
          <w:lang w:val="en-US"/>
        </w:rPr>
        <w:t xml:space="preserve">Victorelli, S.; Passos, J. F. Telomeres and Cell Senescence - Size Matters Not. </w:t>
      </w:r>
      <w:r>
        <w:rPr>
          <w:rFonts w:ascii="Arial" w:hAnsi="Arial" w:cs="Arial"/>
          <w:i/>
          <w:iCs/>
          <w:noProof/>
          <w:szCs w:val="24"/>
          <w:lang w:val="en-US"/>
        </w:rPr>
        <w:t>EBioMedicine</w:t>
      </w:r>
      <w:r>
        <w:rPr>
          <w:rFonts w:ascii="Arial" w:hAnsi="Arial" w:cs="Arial"/>
          <w:noProof/>
          <w:szCs w:val="24"/>
          <w:lang w:val="en-US"/>
        </w:rPr>
        <w:t xml:space="preserve"> </w:t>
      </w:r>
      <w:r>
        <w:rPr>
          <w:rFonts w:ascii="Arial" w:hAnsi="Arial" w:cs="Arial"/>
          <w:b/>
          <w:bCs/>
          <w:noProof/>
          <w:szCs w:val="24"/>
          <w:lang w:val="en-US"/>
        </w:rPr>
        <w:t>2017</w:t>
      </w:r>
      <w:r>
        <w:rPr>
          <w:rFonts w:ascii="Arial" w:hAnsi="Arial" w:cs="Arial"/>
          <w:noProof/>
          <w:szCs w:val="24"/>
          <w:lang w:val="en-US"/>
        </w:rPr>
        <w:t xml:space="preserve">, </w:t>
      </w:r>
      <w:r>
        <w:rPr>
          <w:rFonts w:ascii="Arial" w:hAnsi="Arial" w:cs="Arial"/>
          <w:i/>
          <w:iCs/>
          <w:noProof/>
          <w:szCs w:val="24"/>
          <w:lang w:val="en-US"/>
        </w:rPr>
        <w:t>21</w:t>
      </w:r>
      <w:r>
        <w:rPr>
          <w:rFonts w:ascii="Arial" w:hAnsi="Arial" w:cs="Arial"/>
          <w:noProof/>
          <w:szCs w:val="24"/>
          <w:lang w:val="en-US"/>
        </w:rPr>
        <w:t>, 14–20.</w:t>
      </w:r>
    </w:p>
    <w:p w14:paraId="5A96AADF"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(395) </w:t>
      </w:r>
      <w:r>
        <w:rPr>
          <w:rFonts w:ascii="Arial" w:hAnsi="Arial" w:cs="Arial"/>
          <w:noProof/>
          <w:szCs w:val="24"/>
          <w:lang w:val="en-US"/>
        </w:rPr>
        <w:tab/>
      </w:r>
      <w:r>
        <w:rPr>
          <w:rFonts w:ascii="Arial" w:hAnsi="Arial" w:cs="Arial"/>
          <w:noProof/>
          <w:szCs w:val="24"/>
          <w:lang w:val="en-US"/>
        </w:rPr>
        <w:t xml:space="preserve">Kozlitina, J.; Garcia, C. K. Red Blood Cell Size Is Inversely Associated with Leukocyte Telomere Length in a Large Multi-Ethnic Population. </w:t>
      </w:r>
      <w:r>
        <w:rPr>
          <w:rFonts w:ascii="Arial" w:hAnsi="Arial" w:cs="Arial"/>
          <w:i/>
          <w:iCs/>
          <w:noProof/>
          <w:szCs w:val="24"/>
          <w:lang w:val="en-US"/>
        </w:rPr>
        <w:t>PLoS One</w:t>
      </w:r>
      <w:r>
        <w:rPr>
          <w:rFonts w:ascii="Arial" w:hAnsi="Arial" w:cs="Arial"/>
          <w:noProof/>
          <w:szCs w:val="24"/>
          <w:lang w:val="en-US"/>
        </w:rPr>
        <w:t xml:space="preserve"> </w:t>
      </w:r>
      <w:r>
        <w:rPr>
          <w:rFonts w:ascii="Arial" w:hAnsi="Arial" w:cs="Arial"/>
          <w:b/>
          <w:bCs/>
          <w:noProof/>
          <w:szCs w:val="24"/>
          <w:lang w:val="en-US"/>
        </w:rPr>
        <w:t>2012</w:t>
      </w:r>
      <w:r>
        <w:rPr>
          <w:rFonts w:ascii="Arial" w:hAnsi="Arial" w:cs="Arial"/>
          <w:noProof/>
          <w:szCs w:val="24"/>
          <w:lang w:val="en-US"/>
        </w:rPr>
        <w:t xml:space="preserve">, </w:t>
      </w:r>
      <w:r>
        <w:rPr>
          <w:rFonts w:ascii="Arial" w:hAnsi="Arial" w:cs="Arial"/>
          <w:i/>
          <w:iCs/>
          <w:noProof/>
          <w:szCs w:val="24"/>
          <w:lang w:val="en-US"/>
        </w:rPr>
        <w:t>7</w:t>
      </w:r>
      <w:r>
        <w:rPr>
          <w:rFonts w:ascii="Arial" w:hAnsi="Arial" w:cs="Arial"/>
          <w:noProof/>
          <w:szCs w:val="24"/>
          <w:lang w:val="en-US"/>
        </w:rPr>
        <w:t xml:space="preserve"> (12), e51046.</w:t>
      </w:r>
    </w:p>
    <w:p w14:paraId="61261B74"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(396) </w:t>
      </w:r>
      <w:r>
        <w:rPr>
          <w:rFonts w:ascii="Arial" w:hAnsi="Arial" w:cs="Arial"/>
          <w:noProof/>
          <w:szCs w:val="24"/>
          <w:lang w:val="en-US"/>
        </w:rPr>
        <w:tab/>
        <w:t>Harley, J.; Santosa, M. M.; Ng, C. Y.; Grinchuk, O. V.; Hor, J. H.; Liang, Y.;</w:t>
      </w:r>
      <w:r>
        <w:rPr>
          <w:rFonts w:ascii="Arial" w:hAnsi="Arial" w:cs="Arial"/>
          <w:noProof/>
          <w:szCs w:val="24"/>
          <w:lang w:val="en-US"/>
        </w:rPr>
        <w:t xml:space="preserve"> Lim, V. J.; Tee, W. W.; Ong, D. S. T.; Ng, S. Y. Telomere Shortening Induces Aging-Associated Phenotypes in HiPSC-Derived Neurons and Astrocytes. </w:t>
      </w:r>
      <w:r>
        <w:rPr>
          <w:rFonts w:ascii="Arial" w:hAnsi="Arial" w:cs="Arial"/>
          <w:i/>
          <w:iCs/>
          <w:noProof/>
          <w:szCs w:val="24"/>
          <w:lang w:val="en-US"/>
        </w:rPr>
        <w:t>Biogerontology</w:t>
      </w:r>
      <w:r>
        <w:rPr>
          <w:rFonts w:ascii="Arial" w:hAnsi="Arial" w:cs="Arial"/>
          <w:noProof/>
          <w:szCs w:val="24"/>
          <w:lang w:val="en-US"/>
        </w:rPr>
        <w:t xml:space="preserve"> </w:t>
      </w:r>
      <w:r>
        <w:rPr>
          <w:rFonts w:ascii="Arial" w:hAnsi="Arial" w:cs="Arial"/>
          <w:b/>
          <w:bCs/>
          <w:noProof/>
          <w:szCs w:val="24"/>
          <w:lang w:val="en-US"/>
        </w:rPr>
        <w:t>2023</w:t>
      </w:r>
      <w:r>
        <w:rPr>
          <w:rFonts w:ascii="Arial" w:hAnsi="Arial" w:cs="Arial"/>
          <w:noProof/>
          <w:szCs w:val="24"/>
          <w:lang w:val="en-US"/>
        </w:rPr>
        <w:t>, 1–20.</w:t>
      </w:r>
    </w:p>
    <w:p w14:paraId="0DF8274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lastRenderedPageBreak/>
        <w:t xml:space="preserve">(397) </w:t>
      </w:r>
      <w:r>
        <w:rPr>
          <w:rFonts w:ascii="Arial" w:hAnsi="Arial" w:cs="Arial"/>
          <w:noProof/>
          <w:szCs w:val="24"/>
          <w:lang w:val="en-US"/>
        </w:rPr>
        <w:tab/>
        <w:t>Lanz, M. C.; Zatulovskiy, E.; Swaffer, M. P.; Zhang, L.; Zhang, S.; You, D.</w:t>
      </w:r>
      <w:r>
        <w:rPr>
          <w:rFonts w:ascii="Arial" w:hAnsi="Arial" w:cs="Arial"/>
          <w:noProof/>
          <w:szCs w:val="24"/>
          <w:lang w:val="en-US"/>
        </w:rPr>
        <w:t xml:space="preserve"> S.; Marinov, G.; McAlpine, P.; Elias, J. E.; Skotheim, J. M. Increasing Cell Size Remodels the Proteome and Promotes Senescence. </w:t>
      </w:r>
      <w:r>
        <w:rPr>
          <w:rFonts w:ascii="Arial" w:hAnsi="Arial" w:cs="Arial"/>
          <w:i/>
          <w:iCs/>
          <w:noProof/>
          <w:szCs w:val="24"/>
          <w:lang w:val="en-US"/>
        </w:rPr>
        <w:t>bioRxiv</w:t>
      </w:r>
      <w:r>
        <w:rPr>
          <w:rFonts w:ascii="Arial" w:hAnsi="Arial" w:cs="Arial"/>
          <w:noProof/>
          <w:szCs w:val="24"/>
          <w:lang w:val="en-US"/>
        </w:rPr>
        <w:t xml:space="preserve"> </w:t>
      </w:r>
      <w:r>
        <w:rPr>
          <w:rFonts w:ascii="Arial" w:hAnsi="Arial" w:cs="Arial"/>
          <w:b/>
          <w:bCs/>
          <w:noProof/>
          <w:szCs w:val="24"/>
          <w:lang w:val="en-US"/>
        </w:rPr>
        <w:t>2021</w:t>
      </w:r>
      <w:r>
        <w:rPr>
          <w:rFonts w:ascii="Arial" w:hAnsi="Arial" w:cs="Arial"/>
          <w:noProof/>
          <w:szCs w:val="24"/>
          <w:lang w:val="en-US"/>
        </w:rPr>
        <w:t>, 2021.07.29.454227.</w:t>
      </w:r>
    </w:p>
    <w:p w14:paraId="04089FF9"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(398) </w:t>
      </w:r>
      <w:r>
        <w:rPr>
          <w:rFonts w:ascii="Arial" w:hAnsi="Arial" w:cs="Arial"/>
          <w:noProof/>
          <w:szCs w:val="24"/>
          <w:lang w:val="en-US"/>
        </w:rPr>
        <w:tab/>
        <w:t>Hansson, B.; Morén, B.; Fryklund, C.; Vliex, L.; Wasserstrom, S.; Albinsson, S.; Berge</w:t>
      </w:r>
      <w:r>
        <w:rPr>
          <w:rFonts w:ascii="Arial" w:hAnsi="Arial" w:cs="Arial"/>
          <w:noProof/>
          <w:szCs w:val="24"/>
          <w:lang w:val="en-US"/>
        </w:rPr>
        <w:t xml:space="preserve">r, K.; Stenkula, K. G. Adipose Cell Size Changes Are Associated with a Drastic Actin Remodeling. </w:t>
      </w:r>
      <w:r>
        <w:rPr>
          <w:rFonts w:ascii="Arial" w:hAnsi="Arial" w:cs="Arial"/>
          <w:i/>
          <w:iCs/>
          <w:noProof/>
          <w:szCs w:val="24"/>
          <w:lang w:val="en-US"/>
        </w:rPr>
        <w:t>Sci. Reports 2019 91</w:t>
      </w:r>
      <w:r>
        <w:rPr>
          <w:rFonts w:ascii="Arial" w:hAnsi="Arial" w:cs="Arial"/>
          <w:noProof/>
          <w:szCs w:val="24"/>
          <w:lang w:val="en-US"/>
        </w:rPr>
        <w:t xml:space="preserve"> </w:t>
      </w:r>
      <w:r>
        <w:rPr>
          <w:rFonts w:ascii="Arial" w:hAnsi="Arial" w:cs="Arial"/>
          <w:b/>
          <w:bCs/>
          <w:noProof/>
          <w:szCs w:val="24"/>
          <w:lang w:val="en-US"/>
        </w:rPr>
        <w:t>2019</w:t>
      </w:r>
      <w:r>
        <w:rPr>
          <w:rFonts w:ascii="Arial" w:hAnsi="Arial" w:cs="Arial"/>
          <w:noProof/>
          <w:szCs w:val="24"/>
          <w:lang w:val="en-US"/>
        </w:rPr>
        <w:t xml:space="preserve">, </w:t>
      </w:r>
      <w:r>
        <w:rPr>
          <w:rFonts w:ascii="Arial" w:hAnsi="Arial" w:cs="Arial"/>
          <w:i/>
          <w:iCs/>
          <w:noProof/>
          <w:szCs w:val="24"/>
          <w:lang w:val="en-US"/>
        </w:rPr>
        <w:t>9</w:t>
      </w:r>
      <w:r>
        <w:rPr>
          <w:rFonts w:ascii="Arial" w:hAnsi="Arial" w:cs="Arial"/>
          <w:noProof/>
          <w:szCs w:val="24"/>
          <w:lang w:val="en-US"/>
        </w:rPr>
        <w:t xml:space="preserve"> (1), 1–14.</w:t>
      </w:r>
    </w:p>
    <w:p w14:paraId="59EDD59E" w14:textId="77777777" w:rsidR="00066D11" w:rsidRDefault="00E55468">
      <w:pPr>
        <w:widowControl w:val="0"/>
        <w:autoSpaceDE w:val="0"/>
        <w:autoSpaceDN w:val="0"/>
        <w:adjustRightInd w:val="0"/>
        <w:spacing w:before="240" w:after="240" w:line="240" w:lineRule="auto"/>
        <w:ind w:left="640" w:hanging="640"/>
        <w:rPr>
          <w:rFonts w:ascii="Arial" w:hAnsi="Arial" w:cs="Arial"/>
          <w:noProof/>
          <w:szCs w:val="24"/>
          <w:lang w:val="en-US"/>
        </w:rPr>
      </w:pPr>
      <w:r>
        <w:rPr>
          <w:rFonts w:ascii="Arial" w:hAnsi="Arial" w:cs="Arial"/>
          <w:noProof/>
          <w:szCs w:val="24"/>
          <w:lang w:val="en-US"/>
        </w:rPr>
        <w:t xml:space="preserve">(399) </w:t>
      </w:r>
      <w:r>
        <w:rPr>
          <w:rFonts w:ascii="Arial" w:hAnsi="Arial" w:cs="Arial"/>
          <w:noProof/>
          <w:szCs w:val="24"/>
          <w:lang w:val="en-US"/>
        </w:rPr>
        <w:tab/>
        <w:t xml:space="preserve">Cotillard, A.; Poitou, C.; Torcivia, A.; Bouillot, J.-L.; Dietrich, A.; Klöting, N.; Grégoire, C.; Lolmede, K.; </w:t>
      </w:r>
      <w:r>
        <w:rPr>
          <w:rFonts w:ascii="Arial" w:hAnsi="Arial" w:cs="Arial"/>
          <w:noProof/>
          <w:szCs w:val="24"/>
          <w:lang w:val="en-US"/>
        </w:rPr>
        <w:t xml:space="preserve">Blüher, M.; Clément, K. Adipocyte Size Threshold Matters: Link with Risk of Type 2 Diabetes and Improved Insulin Resistance After Gastric Bypass. </w:t>
      </w:r>
      <w:r>
        <w:rPr>
          <w:rFonts w:ascii="Arial" w:hAnsi="Arial" w:cs="Arial"/>
          <w:i/>
          <w:iCs/>
          <w:noProof/>
          <w:szCs w:val="24"/>
          <w:lang w:val="en-US"/>
        </w:rPr>
        <w:t>J. Clin. Endocrinol. Metab.</w:t>
      </w:r>
      <w:r>
        <w:rPr>
          <w:rFonts w:ascii="Arial" w:hAnsi="Arial" w:cs="Arial"/>
          <w:noProof/>
          <w:szCs w:val="24"/>
          <w:lang w:val="en-US"/>
        </w:rPr>
        <w:t xml:space="preserve"> </w:t>
      </w:r>
      <w:r>
        <w:rPr>
          <w:rFonts w:ascii="Arial" w:hAnsi="Arial" w:cs="Arial"/>
          <w:b/>
          <w:bCs/>
          <w:noProof/>
          <w:szCs w:val="24"/>
          <w:lang w:val="en-US"/>
        </w:rPr>
        <w:t>2014</w:t>
      </w:r>
      <w:r>
        <w:rPr>
          <w:rFonts w:ascii="Arial" w:hAnsi="Arial" w:cs="Arial"/>
          <w:noProof/>
          <w:szCs w:val="24"/>
          <w:lang w:val="en-US"/>
        </w:rPr>
        <w:t xml:space="preserve">, </w:t>
      </w:r>
      <w:r>
        <w:rPr>
          <w:rFonts w:ascii="Arial" w:hAnsi="Arial" w:cs="Arial"/>
          <w:i/>
          <w:iCs/>
          <w:noProof/>
          <w:szCs w:val="24"/>
          <w:lang w:val="en-US"/>
        </w:rPr>
        <w:t>99</w:t>
      </w:r>
      <w:r>
        <w:rPr>
          <w:rFonts w:ascii="Arial" w:hAnsi="Arial" w:cs="Arial"/>
          <w:noProof/>
          <w:szCs w:val="24"/>
          <w:lang w:val="en-US"/>
        </w:rPr>
        <w:t xml:space="preserve"> (8), E1466–E1470.</w:t>
      </w:r>
    </w:p>
    <w:p w14:paraId="1428F727" w14:textId="77777777" w:rsidR="00066D11" w:rsidRDefault="00E55468">
      <w:pPr>
        <w:widowControl w:val="0"/>
        <w:autoSpaceDE w:val="0"/>
        <w:autoSpaceDN w:val="0"/>
        <w:adjustRightInd w:val="0"/>
        <w:spacing w:before="240" w:after="240" w:line="240" w:lineRule="auto"/>
        <w:ind w:left="640" w:hanging="640"/>
        <w:rPr>
          <w:rFonts w:ascii="Arial" w:hAnsi="Arial" w:cs="Arial"/>
          <w:noProof/>
          <w:lang w:val="en-US"/>
        </w:rPr>
      </w:pPr>
      <w:r>
        <w:rPr>
          <w:rFonts w:ascii="Arial" w:hAnsi="Arial" w:cs="Arial"/>
          <w:noProof/>
          <w:szCs w:val="24"/>
          <w:lang w:val="en-US"/>
        </w:rPr>
        <w:t xml:space="preserve">(400) </w:t>
      </w:r>
      <w:r>
        <w:rPr>
          <w:rFonts w:ascii="Arial" w:hAnsi="Arial" w:cs="Arial"/>
          <w:noProof/>
          <w:szCs w:val="24"/>
          <w:lang w:val="en-US"/>
        </w:rPr>
        <w:tab/>
        <w:t>Eriksson-Hogling, D.; Andersson, D. P.; Bäckdahl</w:t>
      </w:r>
      <w:r>
        <w:rPr>
          <w:rFonts w:ascii="Arial" w:hAnsi="Arial" w:cs="Arial"/>
          <w:noProof/>
          <w:szCs w:val="24"/>
          <w:lang w:val="en-US"/>
        </w:rPr>
        <w:t xml:space="preserve">, J.; Hoffstedt, J.; Rössner, S.; Thorell, A.; Arner, E.; Arner, P.; Rydén, M. Adipose Tissue Morphology Predicts Improved Insulin Sensitivity Following Moderate or Pronounced Weight Loss. </w:t>
      </w:r>
      <w:r>
        <w:rPr>
          <w:rFonts w:ascii="Arial" w:hAnsi="Arial" w:cs="Arial"/>
          <w:i/>
          <w:iCs/>
          <w:noProof/>
          <w:szCs w:val="24"/>
          <w:lang w:val="en-US"/>
        </w:rPr>
        <w:t>Int. J. Obes.</w:t>
      </w:r>
      <w:r>
        <w:rPr>
          <w:rFonts w:ascii="Arial" w:hAnsi="Arial" w:cs="Arial"/>
          <w:noProof/>
          <w:szCs w:val="24"/>
          <w:lang w:val="en-US"/>
        </w:rPr>
        <w:t xml:space="preserve"> </w:t>
      </w:r>
      <w:r>
        <w:rPr>
          <w:rFonts w:ascii="Arial" w:hAnsi="Arial" w:cs="Arial"/>
          <w:b/>
          <w:bCs/>
          <w:noProof/>
          <w:szCs w:val="24"/>
          <w:lang w:val="en-US"/>
        </w:rPr>
        <w:t>2015</w:t>
      </w:r>
      <w:r>
        <w:rPr>
          <w:rFonts w:ascii="Arial" w:hAnsi="Arial" w:cs="Arial"/>
          <w:noProof/>
          <w:szCs w:val="24"/>
          <w:lang w:val="en-US"/>
        </w:rPr>
        <w:t xml:space="preserve">, </w:t>
      </w:r>
      <w:r>
        <w:rPr>
          <w:rFonts w:ascii="Arial" w:hAnsi="Arial" w:cs="Arial"/>
          <w:i/>
          <w:iCs/>
          <w:noProof/>
          <w:szCs w:val="24"/>
          <w:lang w:val="en-US"/>
        </w:rPr>
        <w:t>39</w:t>
      </w:r>
      <w:r>
        <w:rPr>
          <w:rFonts w:ascii="Arial" w:hAnsi="Arial" w:cs="Arial"/>
          <w:noProof/>
          <w:szCs w:val="24"/>
          <w:lang w:val="en-US"/>
        </w:rPr>
        <w:t xml:space="preserve"> (6), 893–898.</w:t>
      </w:r>
    </w:p>
    <w:p w14:paraId="029E441A" w14:textId="77777777" w:rsidR="00066D11" w:rsidRDefault="00E55468">
      <w:pPr>
        <w:spacing w:before="240" w:after="240" w:line="240" w:lineRule="auto"/>
        <w:jc w:val="both"/>
        <w:rPr>
          <w:rFonts w:ascii="Arial" w:eastAsia="Times New Roman" w:hAnsi="Arial" w:cs="Arial"/>
          <w:lang w:val="en-US" w:eastAsia="de-DE"/>
        </w:rPr>
      </w:pPr>
      <w:r>
        <w:rPr>
          <w:rFonts w:ascii="Arial" w:eastAsia="Times New Roman" w:hAnsi="Arial" w:cs="Arial"/>
          <w:lang w:val="en-US" w:eastAsia="de-DE"/>
        </w:rPr>
        <w:fldChar w:fldCharType="end"/>
      </w:r>
    </w:p>
    <w:sectPr w:rsidR="00066D11">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0236" w14:textId="77777777" w:rsidR="00066D11" w:rsidRDefault="00E55468">
      <w:pPr>
        <w:spacing w:after="0" w:line="240" w:lineRule="auto"/>
      </w:pPr>
      <w:r>
        <w:separator/>
      </w:r>
    </w:p>
  </w:endnote>
  <w:endnote w:type="continuationSeparator" w:id="0">
    <w:p w14:paraId="0E73D236" w14:textId="77777777" w:rsidR="00066D11" w:rsidRDefault="00E55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917876"/>
      <w:docPartObj>
        <w:docPartGallery w:val="Page Numbers (Bottom of Page)"/>
        <w:docPartUnique/>
      </w:docPartObj>
    </w:sdtPr>
    <w:sdtEndPr>
      <w:rPr>
        <w:noProof/>
      </w:rPr>
    </w:sdtEndPr>
    <w:sdtContent>
      <w:p w14:paraId="12D0B357" w14:textId="77777777" w:rsidR="00066D11" w:rsidRDefault="00E55468">
        <w:pPr>
          <w:pStyle w:val="Fuzeile"/>
          <w:jc w:val="center"/>
        </w:pPr>
        <w:r>
          <w:fldChar w:fldCharType="begin"/>
        </w:r>
        <w:r>
          <w:instrText xml:space="preserve"> PAGE   \* MERGEFORMAT </w:instrText>
        </w:r>
        <w:r>
          <w:fldChar w:fldCharType="separate"/>
        </w:r>
        <w:r>
          <w:rPr>
            <w:noProof/>
          </w:rPr>
          <w:t>1</w:t>
        </w:r>
        <w:r>
          <w:rPr>
            <w:noProof/>
          </w:rPr>
          <w:fldChar w:fldCharType="end"/>
        </w:r>
      </w:p>
    </w:sdtContent>
  </w:sdt>
  <w:p w14:paraId="6B7CC461" w14:textId="77777777" w:rsidR="00066D11" w:rsidRDefault="00066D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D267A" w14:textId="77777777" w:rsidR="00066D11" w:rsidRDefault="00E55468">
      <w:pPr>
        <w:spacing w:after="0" w:line="240" w:lineRule="auto"/>
      </w:pPr>
      <w:r>
        <w:separator/>
      </w:r>
    </w:p>
  </w:footnote>
  <w:footnote w:type="continuationSeparator" w:id="0">
    <w:p w14:paraId="6AE5B38E" w14:textId="77777777" w:rsidR="00066D11" w:rsidRDefault="00E554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B28D5"/>
    <w:multiLevelType w:val="multilevel"/>
    <w:tmpl w:val="7AA8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BB6C8A"/>
    <w:multiLevelType w:val="hybridMultilevel"/>
    <w:tmpl w:val="7E8898AA"/>
    <w:lvl w:ilvl="0" w:tplc="D5967816">
      <w:start w:val="1"/>
      <w:numFmt w:val="decimal"/>
      <w:lvlText w:val="%1."/>
      <w:lvlJc w:val="left"/>
      <w:pPr>
        <w:ind w:left="1080" w:hanging="360"/>
      </w:pPr>
      <w:rPr>
        <w:rFonts w:hint="default"/>
        <w:u w:val="single"/>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24877A90"/>
    <w:multiLevelType w:val="multilevel"/>
    <w:tmpl w:val="59AA4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E1582C"/>
    <w:multiLevelType w:val="hybridMultilevel"/>
    <w:tmpl w:val="8E92F56E"/>
    <w:lvl w:ilvl="0" w:tplc="A0FE9AB4">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7943950">
    <w:abstractNumId w:val="3"/>
  </w:num>
  <w:num w:numId="2" w16cid:durableId="1604727998">
    <w:abstractNumId w:val="0"/>
  </w:num>
  <w:num w:numId="3" w16cid:durableId="103968165">
    <w:abstractNumId w:val="2"/>
  </w:num>
  <w:num w:numId="4" w16cid:durableId="712313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11"/>
    <w:rsid w:val="00066D11"/>
    <w:rsid w:val="00E554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045081A"/>
  <w15:chartTrackingRefBased/>
  <w15:docId w15:val="{23CE11EE-AA8E-4B54-81D3-DA730F102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sonormal0">
    <w:name w:val="msonormal"/>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Pr>
      <w:color w:val="0000FF"/>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iPriority w:val="99"/>
    <w:unhideWhenUs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13"/>
        <w:tab w:val="right" w:pos="9026"/>
      </w:tabs>
      <w:spacing w:after="0" w:line="240" w:lineRule="auto"/>
    </w:pPr>
  </w:style>
  <w:style w:type="character" w:customStyle="1" w:styleId="FuzeileZchn">
    <w:name w:val="Fußzeile Zchn"/>
    <w:basedOn w:val="Absatz-Standardschriftart"/>
    <w:link w:val="Fuzeile"/>
    <w:uiPriority w:val="99"/>
  </w:style>
  <w:style w:type="paragraph" w:styleId="berarbeitung">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57634">
      <w:bodyDiv w:val="1"/>
      <w:marLeft w:val="0"/>
      <w:marRight w:val="0"/>
      <w:marTop w:val="0"/>
      <w:marBottom w:val="0"/>
      <w:divBdr>
        <w:top w:val="none" w:sz="0" w:space="0" w:color="auto"/>
        <w:left w:val="none" w:sz="0" w:space="0" w:color="auto"/>
        <w:bottom w:val="none" w:sz="0" w:space="0" w:color="auto"/>
        <w:right w:val="none" w:sz="0" w:space="0" w:color="auto"/>
      </w:divBdr>
    </w:div>
    <w:div w:id="796336250">
      <w:bodyDiv w:val="1"/>
      <w:marLeft w:val="0"/>
      <w:marRight w:val="0"/>
      <w:marTop w:val="0"/>
      <w:marBottom w:val="0"/>
      <w:divBdr>
        <w:top w:val="none" w:sz="0" w:space="0" w:color="auto"/>
        <w:left w:val="none" w:sz="0" w:space="0" w:color="auto"/>
        <w:bottom w:val="none" w:sz="0" w:space="0" w:color="auto"/>
        <w:right w:val="none" w:sz="0" w:space="0" w:color="auto"/>
      </w:divBdr>
    </w:div>
    <w:div w:id="1494368058">
      <w:bodyDiv w:val="1"/>
      <w:marLeft w:val="0"/>
      <w:marRight w:val="0"/>
      <w:marTop w:val="0"/>
      <w:marBottom w:val="0"/>
      <w:divBdr>
        <w:top w:val="none" w:sz="0" w:space="0" w:color="auto"/>
        <w:left w:val="none" w:sz="0" w:space="0" w:color="auto"/>
        <w:bottom w:val="none" w:sz="0" w:space="0" w:color="auto"/>
        <w:right w:val="none" w:sz="0" w:space="0" w:color="auto"/>
      </w:divBdr>
    </w:div>
    <w:div w:id="212588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81AF54-2936-41C9-8C5C-5CF7A38882FA}">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0B557-B988-4409-8C13-DEF65D0E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256987</Words>
  <Characters>1619024</Characters>
  <Application>Microsoft Office Word</Application>
  <DocSecurity>4</DocSecurity>
  <Lines>13491</Lines>
  <Paragraphs>3744</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1872267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Schmoller, Kurt, Dr.</dc:creator>
  <cp:keywords/>
  <dc:description/>
  <cp:lastModifiedBy>Katrin Rauner</cp:lastModifiedBy>
  <cp:revision>2</cp:revision>
  <dcterms:created xsi:type="dcterms:W3CDTF">2024-06-21T10:20:00Z</dcterms:created>
  <dcterms:modified xsi:type="dcterms:W3CDTF">2024-06-21T10:20:00Z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http://csl.mendeley.com/styles/407741421/american-chemical-society</vt:lpwstr>
  </property>
  <property fmtid="{D5CDD505-2E9C-101B-9397-08002B2CF9AE}" pid="5" name="Mendeley Recent Style Name 1_1">
    <vt:lpwstr>American Chemical Society - Kurt Schmoller</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http://www.zotero.org/styles/cell</vt:lpwstr>
  </property>
  <property fmtid="{D5CDD505-2E9C-101B-9397-08002B2CF9AE}" pid="11" name="Mendeley Recent Style Name 4_1">
    <vt:lpwstr>Cell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http://csl.mendeley.com/styles/20448741/minimal-grant-proposals</vt:lpwstr>
  </property>
  <property fmtid="{D5CDD505-2E9C-101B-9397-08002B2CF9AE}" pid="17" name="Mendeley Recent Style Name 7_1">
    <vt:lpwstr>Minimal style for grant proposals</vt:lpwstr>
  </property>
  <property fmtid="{D5CDD505-2E9C-101B-9397-08002B2CF9AE}" pid="18" name="Mendeley Recent Style Id 8_1">
    <vt:lpwstr>http://www.zotero.org/styles/molecular-biology-of-the-cell</vt:lpwstr>
  </property>
  <property fmtid="{D5CDD505-2E9C-101B-9397-08002B2CF9AE}" pid="19" name="Mendeley Recent Style Name 8_1">
    <vt:lpwstr>Molecular Biology of the Cell</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6bf52e09-0794-3b86-8efa-f0b55ccfe3e7</vt:lpwstr>
  </property>
  <property fmtid="{D5CDD505-2E9C-101B-9397-08002B2CF9AE}" pid="24" name="Mendeley Citation Style_1">
    <vt:lpwstr>http://www.zotero.org/styles/american-chemical-society</vt:lpwstr>
  </property>
</Properties>
</file>