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620" w:type="dxa"/>
        <w:tblInd w:w="7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63"/>
        <w:gridCol w:w="851"/>
        <w:gridCol w:w="708"/>
        <w:gridCol w:w="993"/>
        <w:gridCol w:w="992"/>
        <w:gridCol w:w="926"/>
        <w:gridCol w:w="926"/>
        <w:gridCol w:w="926"/>
        <w:gridCol w:w="926"/>
        <w:gridCol w:w="926"/>
        <w:gridCol w:w="926"/>
        <w:gridCol w:w="926"/>
        <w:gridCol w:w="753"/>
        <w:gridCol w:w="561"/>
        <w:gridCol w:w="567"/>
        <w:gridCol w:w="567"/>
        <w:gridCol w:w="709"/>
        <w:gridCol w:w="674"/>
      </w:tblGrid>
      <w:tr w:rsidR="00D22854" w:rsidRPr="00300535" w:rsidTr="003E51DC">
        <w:trPr>
          <w:trHeight w:val="267"/>
        </w:trPr>
        <w:tc>
          <w:tcPr>
            <w:tcW w:w="1423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 w:themeFill="background1" w:themeFillShade="A6"/>
            <w:vAlign w:val="bottom"/>
          </w:tcPr>
          <w:p w:rsidR="00D22854" w:rsidRPr="00D22854" w:rsidRDefault="00D22854" w:rsidP="00F82A8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 w:themeColor="background1"/>
                <w:sz w:val="24"/>
                <w:szCs w:val="14"/>
                <w:lang w:eastAsia="de-DE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 w:themeColor="background1"/>
                <w:sz w:val="24"/>
                <w:szCs w:val="14"/>
                <w:lang w:eastAsia="de-DE"/>
              </w:rPr>
              <w:t xml:space="preserve">Table S1. Affected organ systems and laboratory phenotype: </w:t>
            </w:r>
            <w:r w:rsidRPr="00300535">
              <w:rPr>
                <w:rFonts w:ascii="Calibri" w:eastAsia="Times New Roman" w:hAnsi="Calibri" w:cs="Calibri"/>
                <w:b/>
                <w:bCs/>
                <w:color w:val="FFFFFF" w:themeColor="background1"/>
                <w:sz w:val="24"/>
                <w:szCs w:val="14"/>
                <w:lang w:eastAsia="de-DE"/>
              </w:rPr>
              <w:t>ILFS2</w:t>
            </w:r>
            <w:r>
              <w:rPr>
                <w:rFonts w:ascii="Calibri" w:eastAsia="Times New Roman" w:hAnsi="Calibri" w:cs="Calibri"/>
                <w:b/>
                <w:bCs/>
                <w:color w:val="FFFFFF" w:themeColor="background1"/>
                <w:sz w:val="24"/>
                <w:szCs w:val="14"/>
                <w:lang w:eastAsia="de-DE"/>
              </w:rPr>
              <w:t xml:space="preserve"> (</w:t>
            </w:r>
            <w:r w:rsidRPr="00D22854">
              <w:rPr>
                <w:rFonts w:ascii="Calibri" w:eastAsia="Times New Roman" w:hAnsi="Calibri" w:cs="Calibri"/>
                <w:b/>
                <w:bCs/>
                <w:i/>
                <w:color w:val="FFFFFF" w:themeColor="background1"/>
                <w:sz w:val="24"/>
                <w:szCs w:val="14"/>
                <w:lang w:eastAsia="de-DE"/>
              </w:rPr>
              <w:t>NBAS</w:t>
            </w:r>
            <w:r>
              <w:rPr>
                <w:rFonts w:ascii="Calibri" w:eastAsia="Times New Roman" w:hAnsi="Calibri" w:cs="Calibri"/>
                <w:b/>
                <w:bCs/>
                <w:color w:val="FFFFFF" w:themeColor="background1"/>
                <w:sz w:val="24"/>
                <w:szCs w:val="14"/>
                <w:lang w:eastAsia="de-DE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6A6A6" w:themeFill="background1" w:themeFillShade="A6"/>
            <w:vAlign w:val="bottom"/>
          </w:tcPr>
          <w:p w:rsidR="00D22854" w:rsidRPr="00300535" w:rsidRDefault="00D22854" w:rsidP="00F82A8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bottom"/>
          </w:tcPr>
          <w:p w:rsidR="00D22854" w:rsidRPr="00300535" w:rsidRDefault="00D22854" w:rsidP="00F82A8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</w:p>
        </w:tc>
      </w:tr>
      <w:tr w:rsidR="00A91C95" w:rsidRPr="00300535" w:rsidTr="00071D61">
        <w:trPr>
          <w:trHeight w:val="825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F82A8A" w:rsidRPr="00300535" w:rsidRDefault="00F82A8A" w:rsidP="00F82A8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Publication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F82A8A" w:rsidRPr="00300535" w:rsidRDefault="00F82A8A" w:rsidP="00071D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Patient number in publication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A6A6A6"/>
            <w:hideMark/>
          </w:tcPr>
          <w:p w:rsidR="00F82A8A" w:rsidRPr="00300535" w:rsidRDefault="00F82A8A" w:rsidP="00071D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Affected organ systems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F82A8A" w:rsidRPr="00300535" w:rsidRDefault="00F82A8A" w:rsidP="00071D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Abnormality of the liver (HP:0001392)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F82A8A" w:rsidRPr="00300535" w:rsidRDefault="00F82A8A" w:rsidP="00071D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Abnormality of the nervous system (HP:0000707)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F82A8A" w:rsidRPr="00300535" w:rsidRDefault="00F82A8A" w:rsidP="00071D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Abnormality of the immune system  (HP:0002715)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F82A8A" w:rsidRPr="00300535" w:rsidRDefault="00F82A8A" w:rsidP="00071D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Abnormality of the skeletal system (HP:0000924)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F82A8A" w:rsidRPr="00300535" w:rsidRDefault="00F82A8A" w:rsidP="00071D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Abnormality of the integument (HP:0001574)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F82A8A" w:rsidRPr="00300535" w:rsidRDefault="00F82A8A" w:rsidP="00071D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Growth abnormality (HP:0001507)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F82A8A" w:rsidRPr="00300535" w:rsidRDefault="00F82A8A" w:rsidP="00071D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Abnormality of the musculature (HP:0003011)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F82A8A" w:rsidRPr="00300535" w:rsidRDefault="00F82A8A" w:rsidP="00071D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Abnormality of the face (HP:0000271)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F82A8A" w:rsidRPr="00300535" w:rsidRDefault="00F82A8A" w:rsidP="00071D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Abnormality of the endocrine system (HP:0000818)</w:t>
            </w:r>
          </w:p>
        </w:tc>
        <w:tc>
          <w:tcPr>
            <w:tcW w:w="753" w:type="dxa"/>
            <w:tcBorders>
              <w:left w:val="single" w:sz="4" w:space="0" w:color="auto"/>
              <w:right w:val="single" w:sz="4" w:space="0" w:color="auto"/>
            </w:tcBorders>
            <w:shd w:val="clear" w:color="000000" w:fill="A6A6A6"/>
            <w:hideMark/>
          </w:tcPr>
          <w:p w:rsidR="00F82A8A" w:rsidRPr="00300535" w:rsidRDefault="005B6D77" w:rsidP="00071D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Liver bio-chemistry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F82A8A" w:rsidRPr="00300535" w:rsidRDefault="00F82A8A" w:rsidP="00071D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 xml:space="preserve">ASAT </w:t>
            </w: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(IU/L, max.)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F82A8A" w:rsidRPr="00300535" w:rsidRDefault="00F82A8A" w:rsidP="00071D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 xml:space="preserve">ALAT  </w:t>
            </w: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(IU/L, max.)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F82A8A" w:rsidRPr="00300535" w:rsidRDefault="00FD5C45" w:rsidP="00071D61">
            <w:pPr>
              <w:spacing w:after="0" w:line="240" w:lineRule="auto"/>
              <w:rPr>
                <w:rFonts w:ascii="Calibri" w:eastAsia="Times New Roman" w:hAnsi="Calibri" w:cs="Calibri"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INR</w:t>
            </w:r>
            <w:r w:rsidRPr="00300535">
              <w:rPr>
                <w:rFonts w:ascii="Calibri" w:eastAsia="Times New Roman" w:hAnsi="Calibri" w:cs="Calibri"/>
                <w:bCs/>
                <w:sz w:val="14"/>
                <w:szCs w:val="14"/>
                <w:lang w:eastAsia="de-DE"/>
              </w:rPr>
              <w:t xml:space="preserve"> (max.)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F82A8A" w:rsidRPr="00300535" w:rsidRDefault="00F82A8A" w:rsidP="00071D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 xml:space="preserve">Bilirubin direct </w:t>
            </w: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(μmol/L, max.)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F82A8A" w:rsidRPr="00300535" w:rsidRDefault="00FD5C45" w:rsidP="00071D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 xml:space="preserve">Bilirrubin total </w:t>
            </w: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(μmol/L, max.)</w:t>
            </w:r>
          </w:p>
        </w:tc>
      </w:tr>
      <w:tr w:rsidR="00FD5C45" w:rsidRPr="00300535" w:rsidTr="00FD5C45">
        <w:trPr>
          <w:trHeight w:val="113"/>
        </w:trPr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FD5C45" w:rsidRPr="003E51DC" w:rsidRDefault="00FD5C45" w:rsidP="00FD5C45">
            <w:pPr>
              <w:spacing w:after="0" w:line="240" w:lineRule="auto"/>
              <w:rPr>
                <w:rFonts w:ascii="Calibri" w:eastAsia="Times New Roman" w:hAnsi="Calibri" w:cs="Calibri"/>
                <w:bCs/>
                <w:sz w:val="14"/>
                <w:szCs w:val="14"/>
                <w:lang w:val="de-DE" w:eastAsia="de-DE"/>
              </w:rPr>
            </w:pPr>
            <w:r w:rsidRPr="003E51DC">
              <w:rPr>
                <w:rFonts w:ascii="Calibri" w:eastAsia="Times New Roman" w:hAnsi="Calibri" w:cs="Calibri"/>
                <w:bCs/>
                <w:sz w:val="14"/>
                <w:szCs w:val="14"/>
                <w:lang w:val="de-DE" w:eastAsia="de-DE"/>
              </w:rPr>
              <w:t>Haack et al., 2015; Staufner et al., 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bottom w:val="nil"/>
              <w:right w:val="nil"/>
            </w:tcBorders>
            <w:shd w:val="clear" w:color="000000" w:fill="A6A6A6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753" w:type="dxa"/>
            <w:tcBorders>
              <w:left w:val="single" w:sz="4" w:space="0" w:color="auto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FD5C45" w:rsidRPr="00300535" w:rsidRDefault="00FD5C45" w:rsidP="00FD5C4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6012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6650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74,8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132,6</w:t>
            </w:r>
          </w:p>
        </w:tc>
      </w:tr>
      <w:tr w:rsidR="00FD5C45" w:rsidRPr="00300535" w:rsidTr="00FD5C45">
        <w:trPr>
          <w:trHeight w:val="113"/>
        </w:trPr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FD5C45" w:rsidRPr="003E51DC" w:rsidRDefault="00FD5C45" w:rsidP="00FD5C45">
            <w:pPr>
              <w:spacing w:after="0" w:line="240" w:lineRule="auto"/>
              <w:rPr>
                <w:rFonts w:ascii="Calibri" w:eastAsia="Times New Roman" w:hAnsi="Calibri" w:cs="Calibri"/>
                <w:bCs/>
                <w:sz w:val="14"/>
                <w:szCs w:val="14"/>
                <w:lang w:val="de-DE" w:eastAsia="de-DE"/>
              </w:rPr>
            </w:pPr>
            <w:r w:rsidRPr="003E51DC">
              <w:rPr>
                <w:rFonts w:ascii="Calibri" w:eastAsia="Times New Roman" w:hAnsi="Calibri" w:cs="Calibri"/>
                <w:bCs/>
                <w:sz w:val="14"/>
                <w:szCs w:val="14"/>
                <w:lang w:val="de-DE" w:eastAsia="de-DE"/>
              </w:rPr>
              <w:t>Haack et al., 2015; Staufner et al., 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FD5C45" w:rsidRPr="00300535" w:rsidRDefault="00FD5C45" w:rsidP="00FD5C4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</w:tr>
      <w:tr w:rsidR="00FD5C45" w:rsidRPr="00300535" w:rsidTr="00300535">
        <w:trPr>
          <w:trHeight w:val="109"/>
        </w:trPr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FD5C45" w:rsidRPr="003E51DC" w:rsidRDefault="00FD5C45" w:rsidP="00FD5C45">
            <w:pPr>
              <w:spacing w:after="0" w:line="240" w:lineRule="auto"/>
              <w:rPr>
                <w:rFonts w:ascii="Calibri" w:eastAsia="Times New Roman" w:hAnsi="Calibri" w:cs="Calibri"/>
                <w:bCs/>
                <w:sz w:val="14"/>
                <w:szCs w:val="14"/>
                <w:lang w:val="de-DE" w:eastAsia="de-DE"/>
              </w:rPr>
            </w:pPr>
            <w:r w:rsidRPr="003E51DC">
              <w:rPr>
                <w:rFonts w:ascii="Calibri" w:eastAsia="Times New Roman" w:hAnsi="Calibri" w:cs="Calibri"/>
                <w:bCs/>
                <w:sz w:val="14"/>
                <w:szCs w:val="14"/>
                <w:lang w:val="de-DE" w:eastAsia="de-DE"/>
              </w:rPr>
              <w:t>Haack et al., 2015; Staufner et al., 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FD5C45" w:rsidRPr="00300535" w:rsidRDefault="00FD5C45" w:rsidP="00FD5C4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19850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8115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71,4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124,1</w:t>
            </w:r>
          </w:p>
        </w:tc>
      </w:tr>
      <w:tr w:rsidR="00FD5C45" w:rsidRPr="00300535" w:rsidTr="00FD5C45">
        <w:trPr>
          <w:trHeight w:val="113"/>
        </w:trPr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FD5C45" w:rsidRPr="003E51DC" w:rsidRDefault="00FD5C45" w:rsidP="00FD5C45">
            <w:pPr>
              <w:spacing w:after="0" w:line="240" w:lineRule="auto"/>
              <w:rPr>
                <w:rFonts w:ascii="Calibri" w:eastAsia="Times New Roman" w:hAnsi="Calibri" w:cs="Calibri"/>
                <w:bCs/>
                <w:sz w:val="14"/>
                <w:szCs w:val="14"/>
                <w:lang w:eastAsia="de-DE"/>
              </w:rPr>
            </w:pPr>
            <w:r w:rsidRPr="003E51DC">
              <w:rPr>
                <w:rFonts w:ascii="Calibri" w:eastAsia="Times New Roman" w:hAnsi="Calibri" w:cs="Calibri"/>
                <w:bCs/>
                <w:sz w:val="14"/>
                <w:szCs w:val="14"/>
                <w:lang w:eastAsia="de-DE"/>
              </w:rPr>
              <w:t>Staufner et al., 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FD5C45" w:rsidRPr="00300535" w:rsidRDefault="00FD5C45" w:rsidP="00FD5C4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31800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17800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67</w:t>
            </w:r>
          </w:p>
        </w:tc>
      </w:tr>
      <w:tr w:rsidR="00FD5C45" w:rsidRPr="00300535" w:rsidTr="00FD5C45">
        <w:trPr>
          <w:trHeight w:val="113"/>
        </w:trPr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FD5C45" w:rsidRPr="003E51DC" w:rsidRDefault="00FD5C45" w:rsidP="00FD5C45">
            <w:pPr>
              <w:spacing w:after="0" w:line="240" w:lineRule="auto"/>
              <w:rPr>
                <w:rFonts w:ascii="Calibri" w:eastAsia="Times New Roman" w:hAnsi="Calibri" w:cs="Calibri"/>
                <w:bCs/>
                <w:sz w:val="14"/>
                <w:szCs w:val="14"/>
                <w:lang w:val="de-DE" w:eastAsia="de-DE"/>
              </w:rPr>
            </w:pPr>
            <w:r w:rsidRPr="003E51DC">
              <w:rPr>
                <w:rFonts w:ascii="Calibri" w:eastAsia="Times New Roman" w:hAnsi="Calibri" w:cs="Calibri"/>
                <w:bCs/>
                <w:sz w:val="14"/>
                <w:szCs w:val="14"/>
                <w:lang w:val="de-DE" w:eastAsia="de-DE"/>
              </w:rPr>
              <w:t>Haack et al., 2015; Staufner et al., 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FD5C45" w:rsidRPr="00300535" w:rsidRDefault="00FD5C45" w:rsidP="00FD5C4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24721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11464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46,8</w:t>
            </w:r>
          </w:p>
        </w:tc>
      </w:tr>
      <w:tr w:rsidR="00FD5C45" w:rsidRPr="00300535" w:rsidTr="00FD5C45">
        <w:trPr>
          <w:trHeight w:val="113"/>
        </w:trPr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FD5C45" w:rsidRPr="003E51DC" w:rsidRDefault="00FD5C45" w:rsidP="00FD5C45">
            <w:pPr>
              <w:spacing w:after="0" w:line="240" w:lineRule="auto"/>
              <w:rPr>
                <w:rFonts w:ascii="Calibri" w:eastAsia="Times New Roman" w:hAnsi="Calibri" w:cs="Calibri"/>
                <w:bCs/>
                <w:sz w:val="14"/>
                <w:szCs w:val="14"/>
                <w:lang w:val="de-DE" w:eastAsia="de-DE"/>
              </w:rPr>
            </w:pPr>
            <w:r w:rsidRPr="003E51DC">
              <w:rPr>
                <w:rFonts w:ascii="Calibri" w:eastAsia="Times New Roman" w:hAnsi="Calibri" w:cs="Calibri"/>
                <w:bCs/>
                <w:sz w:val="14"/>
                <w:szCs w:val="14"/>
                <w:lang w:val="de-DE" w:eastAsia="de-DE"/>
              </w:rPr>
              <w:t>Haack et al., 2015; Staufner et al., 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FD5C45" w:rsidRPr="00300535" w:rsidRDefault="00FD5C45" w:rsidP="00FD5C4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7388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4001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5,6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69,7</w:t>
            </w:r>
          </w:p>
        </w:tc>
      </w:tr>
      <w:tr w:rsidR="00FD5C45" w:rsidRPr="00300535" w:rsidTr="00FD5C45">
        <w:trPr>
          <w:trHeight w:val="113"/>
        </w:trPr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FD5C45" w:rsidRPr="003E51DC" w:rsidRDefault="00FD5C45" w:rsidP="00FD5C45">
            <w:pPr>
              <w:spacing w:after="0" w:line="240" w:lineRule="auto"/>
              <w:rPr>
                <w:rFonts w:ascii="Calibri" w:eastAsia="Times New Roman" w:hAnsi="Calibri" w:cs="Calibri"/>
                <w:bCs/>
                <w:sz w:val="14"/>
                <w:szCs w:val="14"/>
                <w:lang w:val="de-DE" w:eastAsia="de-DE"/>
              </w:rPr>
            </w:pPr>
            <w:r w:rsidRPr="003E51DC">
              <w:rPr>
                <w:rFonts w:ascii="Calibri" w:eastAsia="Times New Roman" w:hAnsi="Calibri" w:cs="Calibri"/>
                <w:bCs/>
                <w:sz w:val="14"/>
                <w:szCs w:val="14"/>
                <w:lang w:val="de-DE" w:eastAsia="de-DE"/>
              </w:rPr>
              <w:t>Haack et al., 2015; Staufner et al., 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FD5C45" w:rsidRPr="00300535" w:rsidRDefault="00FD5C45" w:rsidP="00FD5C4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22040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17700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13,4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49,3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207,4</w:t>
            </w:r>
          </w:p>
        </w:tc>
      </w:tr>
      <w:tr w:rsidR="00FD5C45" w:rsidRPr="00300535" w:rsidTr="00FD5C45">
        <w:trPr>
          <w:trHeight w:val="113"/>
        </w:trPr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FD5C45" w:rsidRPr="003E51DC" w:rsidRDefault="00FD5C45" w:rsidP="00FD5C45">
            <w:pPr>
              <w:spacing w:after="0" w:line="240" w:lineRule="auto"/>
              <w:rPr>
                <w:rFonts w:ascii="Calibri" w:eastAsia="Times New Roman" w:hAnsi="Calibri" w:cs="Calibri"/>
                <w:bCs/>
                <w:sz w:val="14"/>
                <w:szCs w:val="14"/>
                <w:lang w:val="de-DE" w:eastAsia="de-DE"/>
              </w:rPr>
            </w:pPr>
            <w:r w:rsidRPr="003E51DC">
              <w:rPr>
                <w:rFonts w:ascii="Calibri" w:eastAsia="Times New Roman" w:hAnsi="Calibri" w:cs="Calibri"/>
                <w:bCs/>
                <w:sz w:val="14"/>
                <w:szCs w:val="14"/>
                <w:lang w:val="de-DE" w:eastAsia="de-DE"/>
              </w:rPr>
              <w:t>Haack et al., 2015; Staufner et al., 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11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FD5C45" w:rsidRPr="00300535" w:rsidRDefault="00FD5C45" w:rsidP="00FD5C4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17150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39,1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52,7</w:t>
            </w:r>
          </w:p>
        </w:tc>
      </w:tr>
      <w:tr w:rsidR="00FD5C45" w:rsidRPr="00300535" w:rsidTr="00FD5C45">
        <w:trPr>
          <w:trHeight w:val="113"/>
        </w:trPr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FD5C45" w:rsidRPr="003E51DC" w:rsidRDefault="00FD5C45" w:rsidP="00FD5C45">
            <w:pPr>
              <w:spacing w:after="0" w:line="240" w:lineRule="auto"/>
              <w:rPr>
                <w:rFonts w:ascii="Calibri" w:eastAsia="Times New Roman" w:hAnsi="Calibri" w:cs="Calibri"/>
                <w:bCs/>
                <w:sz w:val="14"/>
                <w:szCs w:val="14"/>
                <w:lang w:val="de-DE" w:eastAsia="de-DE"/>
              </w:rPr>
            </w:pPr>
            <w:r w:rsidRPr="003E51DC">
              <w:rPr>
                <w:rFonts w:ascii="Calibri" w:eastAsia="Times New Roman" w:hAnsi="Calibri" w:cs="Calibri"/>
                <w:bCs/>
                <w:sz w:val="14"/>
                <w:szCs w:val="14"/>
                <w:lang w:val="de-DE" w:eastAsia="de-DE"/>
              </w:rPr>
              <w:t>Haack et al., 2015; Staufner et al., 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14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FD5C45" w:rsidRPr="00300535" w:rsidRDefault="00FD5C45" w:rsidP="00FD5C4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1110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6373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170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233</w:t>
            </w:r>
          </w:p>
        </w:tc>
      </w:tr>
      <w:tr w:rsidR="00FD5C45" w:rsidRPr="00300535" w:rsidTr="00FD5C45">
        <w:trPr>
          <w:trHeight w:val="62"/>
        </w:trPr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FD5C45" w:rsidRPr="003E51DC" w:rsidRDefault="00FD5C45" w:rsidP="00FD5C45">
            <w:pPr>
              <w:spacing w:after="0" w:line="240" w:lineRule="auto"/>
              <w:rPr>
                <w:rFonts w:ascii="Calibri" w:eastAsia="Times New Roman" w:hAnsi="Calibri" w:cs="Calibri"/>
                <w:bCs/>
                <w:sz w:val="14"/>
                <w:szCs w:val="14"/>
                <w:lang w:eastAsia="de-DE"/>
              </w:rPr>
            </w:pPr>
            <w:r w:rsidRPr="003E51DC">
              <w:rPr>
                <w:rFonts w:ascii="Calibri" w:eastAsia="Times New Roman" w:hAnsi="Calibri" w:cs="Calibri"/>
                <w:bCs/>
                <w:sz w:val="14"/>
                <w:szCs w:val="14"/>
                <w:lang w:eastAsia="de-DE"/>
              </w:rPr>
              <w:t>Hasosah et al., 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FD5C45" w:rsidRPr="00300535" w:rsidRDefault="00FD5C45" w:rsidP="00FD5C4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2028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8773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1,1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10,2</w:t>
            </w:r>
          </w:p>
        </w:tc>
      </w:tr>
      <w:tr w:rsidR="00FD5C45" w:rsidRPr="00300535" w:rsidTr="00FD5C45">
        <w:trPr>
          <w:trHeight w:val="62"/>
        </w:trPr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FD5C45" w:rsidRPr="003E51DC" w:rsidRDefault="00FD5C45" w:rsidP="00FD5C45">
            <w:pPr>
              <w:spacing w:after="0" w:line="240" w:lineRule="auto"/>
              <w:rPr>
                <w:rFonts w:ascii="Calibri" w:eastAsia="Times New Roman" w:hAnsi="Calibri" w:cs="Calibri"/>
                <w:bCs/>
                <w:sz w:val="14"/>
                <w:szCs w:val="14"/>
                <w:lang w:eastAsia="de-DE"/>
              </w:rPr>
            </w:pPr>
            <w:r w:rsidRPr="003E51DC">
              <w:rPr>
                <w:rFonts w:ascii="Calibri" w:eastAsia="Times New Roman" w:hAnsi="Calibri" w:cs="Calibri"/>
                <w:bCs/>
                <w:sz w:val="14"/>
                <w:szCs w:val="14"/>
                <w:lang w:eastAsia="de-DE"/>
              </w:rPr>
              <w:t>Li et al., 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FD5C45" w:rsidRPr="00300535" w:rsidRDefault="00FD5C45" w:rsidP="00FD5C4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17344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8650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14,7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76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132</w:t>
            </w:r>
          </w:p>
        </w:tc>
      </w:tr>
      <w:tr w:rsidR="00FD5C45" w:rsidRPr="00300535" w:rsidTr="00FD5C45">
        <w:trPr>
          <w:trHeight w:val="62"/>
        </w:trPr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FD5C45" w:rsidRPr="003E51DC" w:rsidRDefault="00FD5C45" w:rsidP="00FD5C45">
            <w:pPr>
              <w:spacing w:after="0" w:line="240" w:lineRule="auto"/>
              <w:rPr>
                <w:rFonts w:ascii="Calibri" w:eastAsia="Times New Roman" w:hAnsi="Calibri" w:cs="Calibri"/>
                <w:bCs/>
                <w:sz w:val="14"/>
                <w:szCs w:val="14"/>
                <w:lang w:eastAsia="de-DE"/>
              </w:rPr>
            </w:pPr>
            <w:r w:rsidRPr="003E51DC">
              <w:rPr>
                <w:rFonts w:ascii="Calibri" w:eastAsia="Times New Roman" w:hAnsi="Calibri" w:cs="Calibri"/>
                <w:bCs/>
                <w:sz w:val="14"/>
                <w:szCs w:val="14"/>
                <w:lang w:eastAsia="de-DE"/>
              </w:rPr>
              <w:t>Li et al., 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FD5C45" w:rsidRPr="00300535" w:rsidRDefault="00FD5C45" w:rsidP="00FD5C4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23766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16231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13,09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76</w:t>
            </w:r>
          </w:p>
        </w:tc>
      </w:tr>
      <w:tr w:rsidR="00FD5C45" w:rsidRPr="00300535" w:rsidTr="00FD5C45">
        <w:trPr>
          <w:trHeight w:val="62"/>
        </w:trPr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FD5C45" w:rsidRPr="003E51DC" w:rsidRDefault="00FD5C45" w:rsidP="00FD5C45">
            <w:pPr>
              <w:spacing w:after="0" w:line="240" w:lineRule="auto"/>
              <w:rPr>
                <w:rFonts w:ascii="Calibri" w:eastAsia="Times New Roman" w:hAnsi="Calibri" w:cs="Calibri"/>
                <w:bCs/>
                <w:sz w:val="14"/>
                <w:szCs w:val="14"/>
                <w:lang w:eastAsia="de-DE"/>
              </w:rPr>
            </w:pPr>
            <w:r w:rsidRPr="003E51DC">
              <w:rPr>
                <w:rFonts w:ascii="Calibri" w:eastAsia="Times New Roman" w:hAnsi="Calibri" w:cs="Calibri"/>
                <w:bCs/>
                <w:sz w:val="14"/>
                <w:szCs w:val="14"/>
                <w:lang w:eastAsia="de-DE"/>
              </w:rPr>
              <w:t>Li et al., 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FD5C45" w:rsidRPr="00300535" w:rsidRDefault="00FD5C45" w:rsidP="00FD5C4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5880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4301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6,89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</w:tr>
      <w:tr w:rsidR="00FD5C45" w:rsidRPr="00300535" w:rsidTr="00FD5C45">
        <w:trPr>
          <w:trHeight w:val="62"/>
        </w:trPr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FD5C45" w:rsidRPr="003E51DC" w:rsidRDefault="00FD5C45" w:rsidP="00FD5C45">
            <w:pPr>
              <w:spacing w:after="0" w:line="240" w:lineRule="auto"/>
              <w:rPr>
                <w:rFonts w:ascii="Calibri" w:eastAsia="Times New Roman" w:hAnsi="Calibri" w:cs="Calibri"/>
                <w:bCs/>
                <w:sz w:val="14"/>
                <w:szCs w:val="14"/>
                <w:lang w:eastAsia="de-DE"/>
              </w:rPr>
            </w:pPr>
            <w:r w:rsidRPr="003E51DC">
              <w:rPr>
                <w:rFonts w:ascii="Calibri" w:eastAsia="Times New Roman" w:hAnsi="Calibri" w:cs="Calibri"/>
                <w:bCs/>
                <w:sz w:val="14"/>
                <w:szCs w:val="14"/>
                <w:lang w:eastAsia="de-DE"/>
              </w:rPr>
              <w:t>Wang et al., 2018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FD5C45" w:rsidRPr="00300535" w:rsidRDefault="00FD5C45" w:rsidP="00FD5C4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7690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4790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267,5</w:t>
            </w:r>
          </w:p>
        </w:tc>
      </w:tr>
      <w:tr w:rsidR="00FD5C45" w:rsidRPr="00300535" w:rsidTr="00FD5C45">
        <w:trPr>
          <w:trHeight w:val="62"/>
        </w:trPr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FD5C45" w:rsidRPr="003E51DC" w:rsidRDefault="00FD5C45" w:rsidP="00FD5C45">
            <w:pPr>
              <w:spacing w:after="0" w:line="240" w:lineRule="auto"/>
              <w:rPr>
                <w:rFonts w:ascii="Calibri" w:eastAsia="Times New Roman" w:hAnsi="Calibri" w:cs="Calibri"/>
                <w:bCs/>
                <w:sz w:val="14"/>
                <w:szCs w:val="14"/>
                <w:lang w:eastAsia="de-DE"/>
              </w:rPr>
            </w:pPr>
            <w:r w:rsidRPr="003E51DC">
              <w:rPr>
                <w:rFonts w:ascii="Calibri" w:eastAsia="Times New Roman" w:hAnsi="Calibri" w:cs="Calibri"/>
                <w:bCs/>
                <w:sz w:val="14"/>
                <w:szCs w:val="14"/>
                <w:lang w:eastAsia="de-DE"/>
              </w:rPr>
              <w:t>Staufner et al., 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51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FD5C45" w:rsidRPr="00300535" w:rsidRDefault="00FD5C45" w:rsidP="00FD5C4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9137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6,55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127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250</w:t>
            </w:r>
          </w:p>
        </w:tc>
      </w:tr>
      <w:tr w:rsidR="00FD5C45" w:rsidRPr="00300535" w:rsidTr="00FD5C45">
        <w:trPr>
          <w:trHeight w:val="96"/>
        </w:trPr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FD5C45" w:rsidRPr="003E51DC" w:rsidRDefault="00FD5C45" w:rsidP="00FD5C45">
            <w:pPr>
              <w:spacing w:after="0" w:line="240" w:lineRule="auto"/>
              <w:rPr>
                <w:rFonts w:ascii="Calibri" w:eastAsia="Times New Roman" w:hAnsi="Calibri" w:cs="Calibri"/>
                <w:bCs/>
                <w:sz w:val="14"/>
                <w:szCs w:val="14"/>
                <w:lang w:val="de-DE" w:eastAsia="de-DE"/>
              </w:rPr>
            </w:pPr>
            <w:r w:rsidRPr="003E51DC">
              <w:rPr>
                <w:rFonts w:ascii="Calibri" w:eastAsia="Times New Roman" w:hAnsi="Calibri" w:cs="Calibri"/>
                <w:bCs/>
                <w:sz w:val="14"/>
                <w:szCs w:val="14"/>
                <w:lang w:val="de-DE" w:eastAsia="de-DE"/>
              </w:rPr>
              <w:t>Abstract ICIEM 2017; Staufner et al., 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53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FD5C45" w:rsidRPr="00300535" w:rsidRDefault="00FD5C45" w:rsidP="00FD5C4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14388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9200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15,66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54,4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102</w:t>
            </w:r>
          </w:p>
        </w:tc>
      </w:tr>
      <w:tr w:rsidR="00FD5C45" w:rsidRPr="00300535" w:rsidTr="00FD5C45">
        <w:trPr>
          <w:trHeight w:val="62"/>
        </w:trPr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FD5C45" w:rsidRPr="003E51DC" w:rsidRDefault="00FD5C45" w:rsidP="00FD5C45">
            <w:pPr>
              <w:spacing w:after="0" w:line="240" w:lineRule="auto"/>
              <w:rPr>
                <w:rFonts w:ascii="Calibri" w:eastAsia="Times New Roman" w:hAnsi="Calibri" w:cs="Calibri"/>
                <w:bCs/>
                <w:sz w:val="14"/>
                <w:szCs w:val="14"/>
                <w:lang w:eastAsia="de-DE"/>
              </w:rPr>
            </w:pPr>
            <w:r w:rsidRPr="003E51DC">
              <w:rPr>
                <w:rFonts w:ascii="Calibri" w:eastAsia="Times New Roman" w:hAnsi="Calibri" w:cs="Calibri"/>
                <w:bCs/>
                <w:sz w:val="14"/>
                <w:szCs w:val="14"/>
                <w:lang w:eastAsia="de-DE"/>
              </w:rPr>
              <w:t>Staufner et al., 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54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FD5C45" w:rsidRPr="00300535" w:rsidRDefault="00FD5C45" w:rsidP="00FD5C4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3201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4915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8,1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97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216</w:t>
            </w:r>
          </w:p>
        </w:tc>
      </w:tr>
      <w:tr w:rsidR="00FD5C45" w:rsidRPr="00300535" w:rsidTr="00FD5C45">
        <w:trPr>
          <w:trHeight w:val="62"/>
        </w:trPr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FD5C45" w:rsidRPr="003E51DC" w:rsidRDefault="00FD5C45" w:rsidP="00FD5C45">
            <w:pPr>
              <w:spacing w:after="0" w:line="240" w:lineRule="auto"/>
              <w:rPr>
                <w:rFonts w:ascii="Calibri" w:eastAsia="Times New Roman" w:hAnsi="Calibri" w:cs="Calibri"/>
                <w:bCs/>
                <w:sz w:val="14"/>
                <w:szCs w:val="14"/>
                <w:lang w:eastAsia="de-DE"/>
              </w:rPr>
            </w:pPr>
            <w:r w:rsidRPr="003E51DC">
              <w:rPr>
                <w:rFonts w:ascii="Calibri" w:eastAsia="Times New Roman" w:hAnsi="Calibri" w:cs="Calibri"/>
                <w:bCs/>
                <w:sz w:val="14"/>
                <w:szCs w:val="14"/>
                <w:lang w:eastAsia="de-DE"/>
              </w:rPr>
              <w:t>Staufner et al., 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FD5C45" w:rsidRPr="00300535" w:rsidRDefault="00FD5C45" w:rsidP="00FD5C4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10444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4375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34,51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35,7</w:t>
            </w:r>
          </w:p>
        </w:tc>
      </w:tr>
      <w:tr w:rsidR="00FD5C45" w:rsidRPr="00300535" w:rsidTr="00FD5C45">
        <w:trPr>
          <w:trHeight w:val="62"/>
        </w:trPr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FD5C45" w:rsidRPr="003E51DC" w:rsidRDefault="00FD5C45" w:rsidP="00FD5C45">
            <w:pPr>
              <w:spacing w:after="0" w:line="240" w:lineRule="auto"/>
              <w:rPr>
                <w:rFonts w:ascii="Calibri" w:eastAsia="Times New Roman" w:hAnsi="Calibri" w:cs="Calibri"/>
                <w:bCs/>
                <w:sz w:val="14"/>
                <w:szCs w:val="14"/>
                <w:lang w:eastAsia="de-DE"/>
              </w:rPr>
            </w:pPr>
            <w:r w:rsidRPr="003E51DC">
              <w:rPr>
                <w:rFonts w:ascii="Calibri" w:eastAsia="Times New Roman" w:hAnsi="Calibri" w:cs="Calibri"/>
                <w:bCs/>
                <w:sz w:val="14"/>
                <w:szCs w:val="14"/>
                <w:lang w:eastAsia="de-DE"/>
              </w:rPr>
              <w:t>Staufner et al., 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56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FD5C45" w:rsidRPr="00300535" w:rsidRDefault="00FD5C45" w:rsidP="00FD5C4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6868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4242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2,02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246,5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329,8</w:t>
            </w:r>
          </w:p>
        </w:tc>
      </w:tr>
      <w:tr w:rsidR="00FD5C45" w:rsidRPr="00300535" w:rsidTr="00FD5C45">
        <w:trPr>
          <w:trHeight w:val="62"/>
        </w:trPr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FD5C45" w:rsidRPr="003E51DC" w:rsidRDefault="00FD5C45" w:rsidP="00FD5C45">
            <w:pPr>
              <w:spacing w:after="0" w:line="240" w:lineRule="auto"/>
              <w:rPr>
                <w:rFonts w:ascii="Calibri" w:eastAsia="Times New Roman" w:hAnsi="Calibri" w:cs="Calibri"/>
                <w:bCs/>
                <w:sz w:val="14"/>
                <w:szCs w:val="14"/>
                <w:lang w:eastAsia="de-DE"/>
              </w:rPr>
            </w:pPr>
            <w:r w:rsidRPr="003E51DC">
              <w:rPr>
                <w:rFonts w:ascii="Calibri" w:eastAsia="Times New Roman" w:hAnsi="Calibri" w:cs="Calibri"/>
                <w:bCs/>
                <w:sz w:val="14"/>
                <w:szCs w:val="14"/>
                <w:lang w:eastAsia="de-DE"/>
              </w:rPr>
              <w:t>Staufner et al., 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58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FD5C45" w:rsidRPr="00300535" w:rsidRDefault="00FD5C45" w:rsidP="00FD5C4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8500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113,9</w:t>
            </w:r>
          </w:p>
        </w:tc>
      </w:tr>
      <w:tr w:rsidR="00FD5C45" w:rsidRPr="00300535" w:rsidTr="00FD5C45">
        <w:trPr>
          <w:trHeight w:val="62"/>
        </w:trPr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FD5C45" w:rsidRPr="003E51DC" w:rsidRDefault="00FD5C45" w:rsidP="00FD5C45">
            <w:pPr>
              <w:spacing w:after="0" w:line="240" w:lineRule="auto"/>
              <w:rPr>
                <w:rFonts w:ascii="Calibri" w:eastAsia="Times New Roman" w:hAnsi="Calibri" w:cs="Calibri"/>
                <w:bCs/>
                <w:sz w:val="14"/>
                <w:szCs w:val="14"/>
                <w:lang w:eastAsia="de-DE"/>
              </w:rPr>
            </w:pPr>
            <w:r w:rsidRPr="003E51DC">
              <w:rPr>
                <w:rFonts w:ascii="Calibri" w:eastAsia="Times New Roman" w:hAnsi="Calibri" w:cs="Calibri"/>
                <w:bCs/>
                <w:sz w:val="14"/>
                <w:szCs w:val="14"/>
                <w:lang w:eastAsia="de-DE"/>
              </w:rPr>
              <w:t>Staufner et al., 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59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FD5C45" w:rsidRPr="00300535" w:rsidRDefault="00FD5C45" w:rsidP="00FD5C4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13695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8789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6,61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397,8</w:t>
            </w:r>
          </w:p>
        </w:tc>
      </w:tr>
      <w:tr w:rsidR="00FD5C45" w:rsidRPr="00300535" w:rsidTr="00FD5C45">
        <w:trPr>
          <w:trHeight w:val="62"/>
        </w:trPr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FD5C45" w:rsidRPr="003E51DC" w:rsidRDefault="00FD5C45" w:rsidP="00FD5C45">
            <w:pPr>
              <w:spacing w:after="0" w:line="240" w:lineRule="auto"/>
              <w:rPr>
                <w:rFonts w:ascii="Calibri" w:eastAsia="Times New Roman" w:hAnsi="Calibri" w:cs="Calibri"/>
                <w:bCs/>
                <w:sz w:val="14"/>
                <w:szCs w:val="14"/>
                <w:lang w:eastAsia="de-DE"/>
              </w:rPr>
            </w:pPr>
            <w:r w:rsidRPr="003E51DC">
              <w:rPr>
                <w:rFonts w:ascii="Calibri" w:eastAsia="Times New Roman" w:hAnsi="Calibri" w:cs="Calibri"/>
                <w:bCs/>
                <w:sz w:val="14"/>
                <w:szCs w:val="14"/>
                <w:lang w:eastAsia="de-DE"/>
              </w:rPr>
              <w:t>Staufner et al., 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FD5C45" w:rsidRPr="00300535" w:rsidRDefault="00FD5C45" w:rsidP="00FD5C4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7000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6124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11,1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39,1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39,1</w:t>
            </w:r>
          </w:p>
        </w:tc>
      </w:tr>
      <w:tr w:rsidR="00FD5C45" w:rsidRPr="00300535" w:rsidTr="00FD5C45">
        <w:trPr>
          <w:trHeight w:val="62"/>
        </w:trPr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FD5C45" w:rsidRPr="003E51DC" w:rsidRDefault="00FD5C45" w:rsidP="00FD5C45">
            <w:pPr>
              <w:spacing w:after="0" w:line="240" w:lineRule="auto"/>
              <w:rPr>
                <w:rFonts w:ascii="Calibri" w:eastAsia="Times New Roman" w:hAnsi="Calibri" w:cs="Calibri"/>
                <w:bCs/>
                <w:sz w:val="14"/>
                <w:szCs w:val="14"/>
                <w:lang w:eastAsia="de-DE"/>
              </w:rPr>
            </w:pPr>
            <w:r w:rsidRPr="003E51DC">
              <w:rPr>
                <w:rFonts w:ascii="Calibri" w:eastAsia="Times New Roman" w:hAnsi="Calibri" w:cs="Calibri"/>
                <w:bCs/>
                <w:sz w:val="14"/>
                <w:szCs w:val="14"/>
                <w:lang w:eastAsia="de-DE"/>
              </w:rPr>
              <w:t>Rius et al., 2019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FD5C45" w:rsidRPr="00300535" w:rsidRDefault="00FD5C45" w:rsidP="00FD5C4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27810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22655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</w:tr>
      <w:tr w:rsidR="00FD5C45" w:rsidRPr="00300535" w:rsidTr="00FD5C45">
        <w:trPr>
          <w:trHeight w:val="60"/>
        </w:trPr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FD5C45" w:rsidRPr="003E51DC" w:rsidRDefault="00FD5C45" w:rsidP="00FD5C45">
            <w:pPr>
              <w:spacing w:after="0" w:line="240" w:lineRule="auto"/>
              <w:rPr>
                <w:rFonts w:ascii="Calibri" w:eastAsia="Times New Roman" w:hAnsi="Calibri" w:cs="Calibri"/>
                <w:bCs/>
                <w:sz w:val="14"/>
                <w:szCs w:val="14"/>
                <w:lang w:eastAsia="de-DE"/>
              </w:rPr>
            </w:pPr>
            <w:r w:rsidRPr="003E51DC">
              <w:rPr>
                <w:rFonts w:ascii="Calibri" w:eastAsia="Times New Roman" w:hAnsi="Calibri" w:cs="Calibri"/>
                <w:bCs/>
                <w:sz w:val="14"/>
                <w:szCs w:val="14"/>
                <w:lang w:eastAsia="de-DE"/>
              </w:rPr>
              <w:t>Fischer-Zirnsak et al., 2019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FD5C45" w:rsidRPr="00300535" w:rsidRDefault="00FD5C45" w:rsidP="00FD5C4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25310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13330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</w:tr>
      <w:tr w:rsidR="00FD5C45" w:rsidRPr="00300535" w:rsidTr="00FD5C45">
        <w:trPr>
          <w:trHeight w:val="62"/>
        </w:trPr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FD5C45" w:rsidRPr="003E51DC" w:rsidRDefault="00FD5C45" w:rsidP="00FD5C45">
            <w:pPr>
              <w:spacing w:after="0" w:line="240" w:lineRule="auto"/>
              <w:rPr>
                <w:rFonts w:ascii="Calibri" w:eastAsia="Times New Roman" w:hAnsi="Calibri" w:cs="Calibri"/>
                <w:bCs/>
                <w:sz w:val="14"/>
                <w:szCs w:val="14"/>
                <w:lang w:eastAsia="de-DE"/>
              </w:rPr>
            </w:pPr>
            <w:r w:rsidRPr="003E51DC">
              <w:rPr>
                <w:rFonts w:ascii="Calibri" w:eastAsia="Times New Roman" w:hAnsi="Calibri" w:cs="Calibri"/>
                <w:bCs/>
                <w:sz w:val="14"/>
                <w:szCs w:val="14"/>
                <w:lang w:eastAsia="de-DE"/>
              </w:rPr>
              <w:t>Staufner et al., 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68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FD5C45" w:rsidRPr="00300535" w:rsidRDefault="00FD5C45" w:rsidP="00FD5C4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15015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11660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48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65</w:t>
            </w:r>
          </w:p>
        </w:tc>
      </w:tr>
      <w:tr w:rsidR="00FD5C45" w:rsidRPr="00300535" w:rsidTr="00FD5C45">
        <w:trPr>
          <w:trHeight w:val="62"/>
        </w:trPr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FD5C45" w:rsidRPr="003E51DC" w:rsidRDefault="00FD5C45" w:rsidP="00FD5C45">
            <w:pPr>
              <w:spacing w:after="0" w:line="240" w:lineRule="auto"/>
              <w:rPr>
                <w:rFonts w:ascii="Calibri" w:eastAsia="Times New Roman" w:hAnsi="Calibri" w:cs="Calibri"/>
                <w:bCs/>
                <w:sz w:val="14"/>
                <w:szCs w:val="14"/>
                <w:lang w:eastAsia="de-DE"/>
              </w:rPr>
            </w:pPr>
            <w:r w:rsidRPr="003E51DC">
              <w:rPr>
                <w:rFonts w:ascii="Calibri" w:eastAsia="Times New Roman" w:hAnsi="Calibri" w:cs="Calibri"/>
                <w:bCs/>
                <w:sz w:val="14"/>
                <w:szCs w:val="14"/>
                <w:lang w:eastAsia="de-DE"/>
              </w:rPr>
              <w:t>Staufner et al., 2021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69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FD5C45" w:rsidRPr="00300535" w:rsidRDefault="00FD5C45" w:rsidP="00FD5C4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27,36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58,14</w:t>
            </w:r>
          </w:p>
        </w:tc>
      </w:tr>
      <w:tr w:rsidR="00FD5C45" w:rsidRPr="00300535" w:rsidTr="00FD5C45">
        <w:trPr>
          <w:trHeight w:val="60"/>
        </w:trPr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FD5C45" w:rsidRPr="003E51DC" w:rsidRDefault="00FD5C45" w:rsidP="00FD5C45">
            <w:pPr>
              <w:spacing w:after="0" w:line="240" w:lineRule="auto"/>
              <w:rPr>
                <w:rFonts w:ascii="Calibri" w:eastAsia="Times New Roman" w:hAnsi="Calibri" w:cs="Calibri"/>
                <w:bCs/>
                <w:sz w:val="14"/>
                <w:szCs w:val="14"/>
                <w:lang w:eastAsia="de-DE"/>
              </w:rPr>
            </w:pPr>
            <w:r w:rsidRPr="003E51DC">
              <w:rPr>
                <w:rFonts w:ascii="Calibri" w:eastAsia="Times New Roman" w:hAnsi="Calibri" w:cs="Calibri"/>
                <w:bCs/>
                <w:sz w:val="14"/>
                <w:szCs w:val="14"/>
                <w:lang w:eastAsia="de-DE"/>
              </w:rPr>
              <w:t>Staufner et al., 2022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84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FD5C45" w:rsidRPr="00300535" w:rsidRDefault="00FD5C45" w:rsidP="00FD5C4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6688,6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3343,1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1,48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13,7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17,9</w:t>
            </w:r>
          </w:p>
        </w:tc>
      </w:tr>
      <w:tr w:rsidR="00FD5C45" w:rsidRPr="00300535" w:rsidTr="00FD5C45">
        <w:trPr>
          <w:trHeight w:val="62"/>
        </w:trPr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FD5C45" w:rsidRPr="003E51DC" w:rsidRDefault="00FD5C45" w:rsidP="00FD5C45">
            <w:pPr>
              <w:spacing w:after="0" w:line="240" w:lineRule="auto"/>
              <w:rPr>
                <w:rFonts w:ascii="Calibri" w:eastAsia="Times New Roman" w:hAnsi="Calibri" w:cs="Calibri"/>
                <w:bCs/>
                <w:sz w:val="14"/>
                <w:szCs w:val="14"/>
                <w:lang w:eastAsia="de-DE"/>
              </w:rPr>
            </w:pPr>
            <w:r w:rsidRPr="003E51DC">
              <w:rPr>
                <w:rFonts w:ascii="Calibri" w:eastAsia="Times New Roman" w:hAnsi="Calibri" w:cs="Calibri"/>
                <w:bCs/>
                <w:sz w:val="14"/>
                <w:szCs w:val="14"/>
                <w:lang w:eastAsia="de-DE"/>
              </w:rPr>
              <w:t>Lenz et al. 2021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FD5C45" w:rsidRPr="00300535" w:rsidRDefault="00FD5C45" w:rsidP="00FD5C4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2920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4501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2,54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2,39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2,53</w:t>
            </w:r>
          </w:p>
        </w:tc>
      </w:tr>
      <w:tr w:rsidR="00FD5C45" w:rsidRPr="00300535" w:rsidTr="00FD5C45">
        <w:trPr>
          <w:trHeight w:val="62"/>
        </w:trPr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FD5C45" w:rsidRPr="003E51DC" w:rsidRDefault="00FD5C45" w:rsidP="00FD5C45">
            <w:pPr>
              <w:spacing w:after="0" w:line="240" w:lineRule="auto"/>
              <w:rPr>
                <w:rFonts w:ascii="Calibri" w:eastAsia="Times New Roman" w:hAnsi="Calibri" w:cs="Calibri"/>
                <w:bCs/>
                <w:sz w:val="14"/>
                <w:szCs w:val="14"/>
                <w:lang w:eastAsia="de-DE"/>
              </w:rPr>
            </w:pPr>
            <w:r w:rsidRPr="003E51DC">
              <w:rPr>
                <w:rFonts w:ascii="Calibri" w:eastAsia="Times New Roman" w:hAnsi="Calibri" w:cs="Calibri"/>
                <w:bCs/>
                <w:sz w:val="14"/>
                <w:szCs w:val="14"/>
                <w:lang w:eastAsia="de-DE"/>
              </w:rPr>
              <w:t>Chavany et al., 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FD5C45" w:rsidRPr="00300535" w:rsidRDefault="00FD5C45" w:rsidP="00FD5C4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133</w:t>
            </w:r>
          </w:p>
        </w:tc>
      </w:tr>
      <w:tr w:rsidR="00FD5C45" w:rsidRPr="00300535" w:rsidTr="00FD5C45">
        <w:trPr>
          <w:trHeight w:val="62"/>
        </w:trPr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FD5C45" w:rsidRPr="003E51DC" w:rsidRDefault="00FD5C45" w:rsidP="00FD5C45">
            <w:pPr>
              <w:spacing w:after="0" w:line="240" w:lineRule="auto"/>
              <w:rPr>
                <w:rFonts w:ascii="Calibri" w:eastAsia="Times New Roman" w:hAnsi="Calibri" w:cs="Calibri"/>
                <w:bCs/>
                <w:sz w:val="14"/>
                <w:szCs w:val="14"/>
                <w:lang w:eastAsia="de-DE"/>
              </w:rPr>
            </w:pPr>
            <w:r w:rsidRPr="003E51DC">
              <w:rPr>
                <w:rFonts w:ascii="Calibri" w:eastAsia="Times New Roman" w:hAnsi="Calibri" w:cs="Calibri"/>
                <w:bCs/>
                <w:sz w:val="14"/>
                <w:szCs w:val="14"/>
                <w:lang w:eastAsia="de-DE"/>
              </w:rPr>
              <w:t>Chavany et al., 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FD5C45" w:rsidRPr="00300535" w:rsidRDefault="00FD5C45" w:rsidP="00FD5C4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20,73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</w:tr>
      <w:tr w:rsidR="00FD5C45" w:rsidRPr="00300535" w:rsidTr="00FD5C45">
        <w:trPr>
          <w:trHeight w:val="62"/>
        </w:trPr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FD5C45" w:rsidRPr="003E51DC" w:rsidRDefault="00FD5C45" w:rsidP="00FD5C45">
            <w:pPr>
              <w:spacing w:after="0" w:line="240" w:lineRule="auto"/>
              <w:rPr>
                <w:rFonts w:ascii="Calibri" w:eastAsia="Times New Roman" w:hAnsi="Calibri" w:cs="Calibri"/>
                <w:bCs/>
                <w:sz w:val="14"/>
                <w:szCs w:val="14"/>
                <w:lang w:eastAsia="de-DE"/>
              </w:rPr>
            </w:pPr>
            <w:r w:rsidRPr="003E51DC">
              <w:rPr>
                <w:rFonts w:ascii="Calibri" w:eastAsia="Times New Roman" w:hAnsi="Calibri" w:cs="Calibri"/>
                <w:bCs/>
                <w:sz w:val="14"/>
                <w:szCs w:val="14"/>
                <w:lang w:eastAsia="de-DE"/>
              </w:rPr>
              <w:t>Die Li et al., 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FD5C45" w:rsidRPr="00300535" w:rsidRDefault="00FD5C45" w:rsidP="00FD5C4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26322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16015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15,5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49,7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69,5</w:t>
            </w:r>
          </w:p>
        </w:tc>
      </w:tr>
      <w:tr w:rsidR="00FD5C45" w:rsidRPr="00300535" w:rsidTr="00FD5C45">
        <w:trPr>
          <w:trHeight w:val="62"/>
        </w:trPr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FD5C45" w:rsidRPr="003E51DC" w:rsidRDefault="00FD5C45" w:rsidP="00FD5C45">
            <w:pPr>
              <w:spacing w:after="0" w:line="240" w:lineRule="auto"/>
              <w:rPr>
                <w:rFonts w:ascii="Calibri" w:eastAsia="Times New Roman" w:hAnsi="Calibri" w:cs="Calibri"/>
                <w:bCs/>
                <w:sz w:val="14"/>
                <w:szCs w:val="14"/>
                <w:lang w:eastAsia="de-DE"/>
              </w:rPr>
            </w:pPr>
            <w:r w:rsidRPr="003E51DC">
              <w:rPr>
                <w:rFonts w:ascii="Calibri" w:eastAsia="Times New Roman" w:hAnsi="Calibri" w:cs="Calibri"/>
                <w:bCs/>
                <w:sz w:val="14"/>
                <w:szCs w:val="14"/>
                <w:lang w:eastAsia="de-DE"/>
              </w:rPr>
              <w:t>Die Li et al., 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FD5C45" w:rsidRPr="00300535" w:rsidRDefault="00FD5C45" w:rsidP="00FD5C4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</w:tr>
      <w:tr w:rsidR="00FD5C45" w:rsidRPr="00300535" w:rsidTr="00FD5C45">
        <w:trPr>
          <w:trHeight w:val="62"/>
        </w:trPr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FD5C45" w:rsidRPr="003E51DC" w:rsidRDefault="00FD5C45" w:rsidP="00FD5C45">
            <w:pPr>
              <w:spacing w:after="0" w:line="240" w:lineRule="auto"/>
              <w:rPr>
                <w:rFonts w:ascii="Calibri" w:eastAsia="Times New Roman" w:hAnsi="Calibri" w:cs="Calibri"/>
                <w:bCs/>
                <w:sz w:val="14"/>
                <w:szCs w:val="14"/>
                <w:lang w:eastAsia="de-DE"/>
              </w:rPr>
            </w:pPr>
            <w:r w:rsidRPr="003E51DC">
              <w:rPr>
                <w:rFonts w:ascii="Calibri" w:eastAsia="Times New Roman" w:hAnsi="Calibri" w:cs="Calibri"/>
                <w:bCs/>
                <w:sz w:val="14"/>
                <w:szCs w:val="14"/>
                <w:lang w:eastAsia="de-DE"/>
              </w:rPr>
              <w:t>Die Li et al., 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FD5C45" w:rsidRPr="00300535" w:rsidRDefault="00FD5C45" w:rsidP="00FD5C4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10181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8236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7,96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131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179</w:t>
            </w:r>
          </w:p>
        </w:tc>
      </w:tr>
      <w:tr w:rsidR="00FD5C45" w:rsidRPr="00300535" w:rsidTr="00FD5C45">
        <w:trPr>
          <w:trHeight w:val="62"/>
        </w:trPr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FD5C45" w:rsidRPr="003E51DC" w:rsidRDefault="00FD5C45" w:rsidP="00FD5C45">
            <w:pPr>
              <w:spacing w:after="0" w:line="240" w:lineRule="auto"/>
              <w:rPr>
                <w:rFonts w:ascii="Calibri" w:eastAsia="Times New Roman" w:hAnsi="Calibri" w:cs="Calibri"/>
                <w:bCs/>
                <w:sz w:val="14"/>
                <w:szCs w:val="14"/>
                <w:lang w:eastAsia="de-DE"/>
              </w:rPr>
            </w:pPr>
            <w:r w:rsidRPr="003E51DC">
              <w:rPr>
                <w:rFonts w:ascii="Calibri" w:eastAsia="Times New Roman" w:hAnsi="Calibri" w:cs="Calibri"/>
                <w:bCs/>
                <w:sz w:val="14"/>
                <w:szCs w:val="14"/>
                <w:lang w:eastAsia="de-DE"/>
              </w:rPr>
              <w:t>Die Li et al., 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FD5C45" w:rsidRPr="00300535" w:rsidRDefault="00FD5C45" w:rsidP="00FD5C4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12180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9950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5,12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65,7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68.9</w:t>
            </w:r>
          </w:p>
        </w:tc>
      </w:tr>
      <w:tr w:rsidR="00FD5C45" w:rsidRPr="00300535" w:rsidTr="00FD5C45">
        <w:trPr>
          <w:trHeight w:val="62"/>
        </w:trPr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FD5C45" w:rsidRPr="003E51DC" w:rsidRDefault="00FD5C45" w:rsidP="00FD5C45">
            <w:pPr>
              <w:spacing w:after="0" w:line="240" w:lineRule="auto"/>
              <w:rPr>
                <w:rFonts w:ascii="Calibri" w:eastAsia="Times New Roman" w:hAnsi="Calibri" w:cs="Calibri"/>
                <w:bCs/>
                <w:sz w:val="14"/>
                <w:szCs w:val="14"/>
                <w:lang w:eastAsia="de-DE"/>
              </w:rPr>
            </w:pPr>
            <w:r w:rsidRPr="003E51DC">
              <w:rPr>
                <w:rFonts w:ascii="Calibri" w:eastAsia="Times New Roman" w:hAnsi="Calibri" w:cs="Calibri"/>
                <w:bCs/>
                <w:sz w:val="14"/>
                <w:szCs w:val="14"/>
                <w:lang w:eastAsia="de-DE"/>
              </w:rPr>
              <w:t>Die Li et al., 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FD5C45" w:rsidRPr="00300535" w:rsidRDefault="00FD5C45" w:rsidP="00FD5C4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</w:tr>
      <w:tr w:rsidR="00FD5C45" w:rsidRPr="00300535" w:rsidTr="00FD5C45">
        <w:trPr>
          <w:trHeight w:val="62"/>
        </w:trPr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FD5C45" w:rsidRPr="003E51DC" w:rsidRDefault="00FD5C45" w:rsidP="00FD5C45">
            <w:pPr>
              <w:spacing w:after="0" w:line="240" w:lineRule="auto"/>
              <w:rPr>
                <w:rFonts w:ascii="Calibri" w:eastAsia="Times New Roman" w:hAnsi="Calibri" w:cs="Calibri"/>
                <w:bCs/>
                <w:sz w:val="14"/>
                <w:szCs w:val="14"/>
                <w:lang w:eastAsia="de-DE"/>
              </w:rPr>
            </w:pPr>
            <w:r w:rsidRPr="003E51DC">
              <w:rPr>
                <w:rFonts w:ascii="Calibri" w:eastAsia="Times New Roman" w:hAnsi="Calibri" w:cs="Calibri"/>
                <w:bCs/>
                <w:sz w:val="14"/>
                <w:szCs w:val="14"/>
                <w:lang w:eastAsia="de-DE"/>
              </w:rPr>
              <w:t>Jiang et al., 2021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FD5C45" w:rsidRPr="00300535" w:rsidRDefault="00FD5C45" w:rsidP="00FD5C4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9677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7169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2,1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24,5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35,81</w:t>
            </w:r>
          </w:p>
        </w:tc>
      </w:tr>
      <w:tr w:rsidR="00FD5C45" w:rsidRPr="00300535" w:rsidTr="00FD5C45">
        <w:trPr>
          <w:trHeight w:val="62"/>
        </w:trPr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bottom"/>
            <w:hideMark/>
          </w:tcPr>
          <w:p w:rsidR="00FD5C45" w:rsidRPr="003E51DC" w:rsidRDefault="00FD5C45" w:rsidP="00FD5C45">
            <w:pPr>
              <w:spacing w:after="0" w:line="240" w:lineRule="auto"/>
              <w:rPr>
                <w:rFonts w:ascii="Calibri" w:eastAsia="Times New Roman" w:hAnsi="Calibri" w:cs="Calibri"/>
                <w:bCs/>
                <w:sz w:val="14"/>
                <w:szCs w:val="14"/>
                <w:lang w:eastAsia="de-DE"/>
              </w:rPr>
            </w:pPr>
            <w:r w:rsidRPr="003E51DC">
              <w:rPr>
                <w:rFonts w:ascii="Calibri" w:eastAsia="Times New Roman" w:hAnsi="Calibri" w:cs="Calibri"/>
                <w:bCs/>
                <w:sz w:val="14"/>
                <w:szCs w:val="14"/>
                <w:lang w:eastAsia="de-DE"/>
              </w:rPr>
              <w:t>Lipinski et al., 2021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noWrap/>
            <w:vAlign w:val="bottom"/>
            <w:hideMark/>
          </w:tcPr>
          <w:p w:rsidR="00FD5C45" w:rsidRPr="00300535" w:rsidRDefault="00FD5C45" w:rsidP="00FD5C4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12246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7259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5,1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6</w:t>
            </w:r>
          </w:p>
        </w:tc>
      </w:tr>
      <w:tr w:rsidR="00FD5C45" w:rsidRPr="00300535" w:rsidTr="00FD5C45">
        <w:trPr>
          <w:trHeight w:val="62"/>
        </w:trPr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bottom"/>
            <w:hideMark/>
          </w:tcPr>
          <w:p w:rsidR="00FD5C45" w:rsidRPr="003E51DC" w:rsidRDefault="00FD5C45" w:rsidP="00FD5C45">
            <w:pPr>
              <w:spacing w:after="0" w:line="240" w:lineRule="auto"/>
              <w:rPr>
                <w:rFonts w:ascii="Calibri" w:eastAsia="Times New Roman" w:hAnsi="Calibri" w:cs="Calibri"/>
                <w:bCs/>
                <w:sz w:val="14"/>
                <w:szCs w:val="14"/>
                <w:lang w:eastAsia="de-DE"/>
              </w:rPr>
            </w:pPr>
            <w:r w:rsidRPr="003E51DC">
              <w:rPr>
                <w:rFonts w:ascii="Calibri" w:eastAsia="Times New Roman" w:hAnsi="Calibri" w:cs="Calibri"/>
                <w:bCs/>
                <w:sz w:val="14"/>
                <w:szCs w:val="14"/>
                <w:lang w:eastAsia="de-DE"/>
              </w:rPr>
              <w:t>Nazmi et al., 2021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noWrap/>
            <w:vAlign w:val="bottom"/>
            <w:hideMark/>
          </w:tcPr>
          <w:p w:rsidR="00FD5C45" w:rsidRPr="00300535" w:rsidRDefault="00FD5C45" w:rsidP="00FD5C4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</w:tr>
      <w:tr w:rsidR="00FD5C45" w:rsidRPr="00300535" w:rsidTr="00FD5C45">
        <w:trPr>
          <w:trHeight w:val="62"/>
        </w:trPr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bottom"/>
            <w:hideMark/>
          </w:tcPr>
          <w:p w:rsidR="00FD5C45" w:rsidRPr="003E51DC" w:rsidRDefault="00FD5C45" w:rsidP="00FD5C45">
            <w:pPr>
              <w:spacing w:after="0" w:line="240" w:lineRule="auto"/>
              <w:rPr>
                <w:rFonts w:ascii="Calibri" w:eastAsia="Times New Roman" w:hAnsi="Calibri" w:cs="Calibri"/>
                <w:bCs/>
                <w:sz w:val="14"/>
                <w:szCs w:val="14"/>
                <w:lang w:eastAsia="de-DE"/>
              </w:rPr>
            </w:pPr>
            <w:r w:rsidRPr="003E51DC">
              <w:rPr>
                <w:rFonts w:ascii="Calibri" w:eastAsia="Times New Roman" w:hAnsi="Calibri" w:cs="Calibri"/>
                <w:bCs/>
                <w:sz w:val="14"/>
                <w:szCs w:val="14"/>
                <w:lang w:eastAsia="de-DE"/>
              </w:rPr>
              <w:t>Cheng et al., 2022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noWrap/>
            <w:vAlign w:val="bottom"/>
            <w:hideMark/>
          </w:tcPr>
          <w:p w:rsidR="00FD5C45" w:rsidRPr="00300535" w:rsidRDefault="00FD5C45" w:rsidP="00FD5C4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7642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7179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</w:tr>
      <w:tr w:rsidR="00FD5C45" w:rsidRPr="00300535" w:rsidTr="00FD5C45">
        <w:trPr>
          <w:trHeight w:val="62"/>
        </w:trPr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bottom"/>
            <w:hideMark/>
          </w:tcPr>
          <w:p w:rsidR="00FD5C45" w:rsidRPr="003E51DC" w:rsidRDefault="00FD5C45" w:rsidP="00FD5C45">
            <w:pPr>
              <w:spacing w:after="0" w:line="240" w:lineRule="auto"/>
              <w:rPr>
                <w:rFonts w:ascii="Calibri" w:eastAsia="Times New Roman" w:hAnsi="Calibri" w:cs="Calibri"/>
                <w:bCs/>
                <w:sz w:val="14"/>
                <w:szCs w:val="14"/>
                <w:lang w:eastAsia="de-DE"/>
              </w:rPr>
            </w:pPr>
            <w:r w:rsidRPr="003E51DC">
              <w:rPr>
                <w:rFonts w:ascii="Calibri" w:eastAsia="Times New Roman" w:hAnsi="Calibri" w:cs="Calibri"/>
                <w:bCs/>
                <w:sz w:val="14"/>
                <w:szCs w:val="14"/>
                <w:lang w:eastAsia="de-DE"/>
              </w:rPr>
              <w:t>Akesson et al. 2022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B1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noWrap/>
            <w:vAlign w:val="bottom"/>
            <w:hideMark/>
          </w:tcPr>
          <w:p w:rsidR="00FD5C45" w:rsidRPr="00300535" w:rsidRDefault="00FD5C45" w:rsidP="00FD5C4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</w:tr>
      <w:tr w:rsidR="00FD5C45" w:rsidRPr="00300535" w:rsidTr="00FD5C45">
        <w:trPr>
          <w:trHeight w:val="62"/>
        </w:trPr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bottom"/>
            <w:hideMark/>
          </w:tcPr>
          <w:p w:rsidR="00FD5C45" w:rsidRPr="003E51DC" w:rsidRDefault="00FD5C45" w:rsidP="00FD5C45">
            <w:pPr>
              <w:spacing w:after="0" w:line="240" w:lineRule="auto"/>
              <w:rPr>
                <w:rFonts w:ascii="Calibri" w:eastAsia="Times New Roman" w:hAnsi="Calibri" w:cs="Calibri"/>
                <w:bCs/>
                <w:sz w:val="14"/>
                <w:szCs w:val="14"/>
                <w:lang w:eastAsia="de-DE"/>
              </w:rPr>
            </w:pPr>
            <w:r w:rsidRPr="003E51DC">
              <w:rPr>
                <w:rFonts w:ascii="Calibri" w:eastAsia="Times New Roman" w:hAnsi="Calibri" w:cs="Calibri"/>
                <w:bCs/>
                <w:sz w:val="14"/>
                <w:szCs w:val="14"/>
                <w:lang w:eastAsia="de-DE"/>
              </w:rPr>
              <w:t>Akesson et al. 2022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B2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noWrap/>
            <w:vAlign w:val="bottom"/>
            <w:hideMark/>
          </w:tcPr>
          <w:p w:rsidR="00FD5C45" w:rsidRPr="00300535" w:rsidRDefault="00FD5C45" w:rsidP="00FD5C4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</w:tr>
      <w:tr w:rsidR="00FD5C45" w:rsidRPr="00300535" w:rsidTr="00FD5C45">
        <w:trPr>
          <w:trHeight w:val="62"/>
        </w:trPr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D9D9D9"/>
            </w:tcBorders>
            <w:shd w:val="clear" w:color="auto" w:fill="auto"/>
            <w:noWrap/>
            <w:vAlign w:val="bottom"/>
            <w:hideMark/>
          </w:tcPr>
          <w:p w:rsidR="00FD5C45" w:rsidRPr="003E51DC" w:rsidRDefault="00FD5C45" w:rsidP="00FD5C45">
            <w:pPr>
              <w:spacing w:after="0" w:line="240" w:lineRule="auto"/>
              <w:rPr>
                <w:rFonts w:ascii="Calibri" w:eastAsia="Times New Roman" w:hAnsi="Calibri" w:cs="Calibri"/>
                <w:bCs/>
                <w:sz w:val="14"/>
                <w:szCs w:val="14"/>
                <w:lang w:eastAsia="de-DE"/>
              </w:rPr>
            </w:pPr>
            <w:r w:rsidRPr="003E51DC">
              <w:rPr>
                <w:rFonts w:ascii="Calibri" w:eastAsia="Times New Roman" w:hAnsi="Calibri" w:cs="Calibri"/>
                <w:bCs/>
                <w:sz w:val="14"/>
                <w:szCs w:val="14"/>
                <w:lang w:eastAsia="de-DE"/>
              </w:rPr>
              <w:t>Jiang et al., 2022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A6A6A6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A6A6A6"/>
            <w:noWrap/>
            <w:vAlign w:val="bottom"/>
            <w:hideMark/>
          </w:tcPr>
          <w:p w:rsidR="00FD5C45" w:rsidRPr="00300535" w:rsidRDefault="00FD5C45" w:rsidP="00FD5C4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45" w:rsidRPr="00300535" w:rsidRDefault="00FD5C45" w:rsidP="00FD5C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n.a.</w:t>
            </w:r>
          </w:p>
        </w:tc>
      </w:tr>
    </w:tbl>
    <w:p w:rsidR="008526F8" w:rsidRPr="00D84E0E" w:rsidRDefault="00D84E0E" w:rsidP="00071D61">
      <w:pPr>
        <w:rPr>
          <w:b/>
          <w:sz w:val="14"/>
          <w:szCs w:val="14"/>
        </w:rPr>
      </w:pPr>
      <w:r w:rsidRPr="00D84E0E">
        <w:rPr>
          <w:b/>
          <w:sz w:val="14"/>
          <w:szCs w:val="14"/>
        </w:rPr>
        <w:t>Table S1. Affected organ systems and laboratory phenotype: ILFS2 (</w:t>
      </w:r>
      <w:r w:rsidRPr="004527A6">
        <w:rPr>
          <w:b/>
          <w:i/>
          <w:sz w:val="14"/>
          <w:szCs w:val="14"/>
        </w:rPr>
        <w:t>NBAS</w:t>
      </w:r>
      <w:r w:rsidRPr="00D84E0E">
        <w:rPr>
          <w:b/>
          <w:sz w:val="14"/>
          <w:szCs w:val="14"/>
        </w:rPr>
        <w:t>)</w:t>
      </w:r>
      <w:r>
        <w:rPr>
          <w:b/>
          <w:sz w:val="14"/>
          <w:szCs w:val="14"/>
        </w:rPr>
        <w:t xml:space="preserve">. </w:t>
      </w:r>
      <w:r w:rsidRPr="00D84E0E">
        <w:rPr>
          <w:sz w:val="14"/>
          <w:szCs w:val="14"/>
        </w:rPr>
        <w:t>Indi</w:t>
      </w:r>
      <w:r>
        <w:rPr>
          <w:sz w:val="14"/>
          <w:szCs w:val="14"/>
        </w:rPr>
        <w:t>vidual phenotypic data regarding affected organ systems in ILFS2 and laboratory characteristics of the most severe liver decompensation. ILFS2: infantile liver failure syndrome type 2,HP: human phenotype; ASAT: aspartate aminotransferase; ALAT: alanine aminotransferase; IU/L: international units per litre; INR: international normalized ratio; max.: maximal)</w:t>
      </w:r>
      <w:r w:rsidR="007755E7">
        <w:rPr>
          <w:sz w:val="14"/>
          <w:szCs w:val="14"/>
        </w:rPr>
        <w:t xml:space="preserve">; </w:t>
      </w:r>
      <w:bookmarkStart w:id="0" w:name="_GoBack"/>
      <w:r w:rsidR="007755E7">
        <w:rPr>
          <w:sz w:val="14"/>
          <w:szCs w:val="14"/>
        </w:rPr>
        <w:t>n.a.: not available; N: no; Y: yes.</w:t>
      </w:r>
      <w:bookmarkEnd w:id="0"/>
    </w:p>
    <w:sectPr w:rsidR="008526F8" w:rsidRPr="00D84E0E" w:rsidSect="00D84E0E">
      <w:pgSz w:w="16838" w:h="11906" w:orient="landscape"/>
      <w:pgMar w:top="284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51DC" w:rsidRDefault="003E51DC" w:rsidP="00A91C95">
      <w:pPr>
        <w:spacing w:after="0" w:line="240" w:lineRule="auto"/>
      </w:pPr>
      <w:r>
        <w:separator/>
      </w:r>
    </w:p>
  </w:endnote>
  <w:endnote w:type="continuationSeparator" w:id="0">
    <w:p w:rsidR="003E51DC" w:rsidRDefault="003E51DC" w:rsidP="00A91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51DC" w:rsidRDefault="003E51DC" w:rsidP="00A91C95">
      <w:pPr>
        <w:spacing w:after="0" w:line="240" w:lineRule="auto"/>
      </w:pPr>
      <w:r>
        <w:separator/>
      </w:r>
    </w:p>
  </w:footnote>
  <w:footnote w:type="continuationSeparator" w:id="0">
    <w:p w:rsidR="003E51DC" w:rsidRDefault="003E51DC" w:rsidP="00A91C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6162"/>
    <w:rsid w:val="0005141B"/>
    <w:rsid w:val="00071D61"/>
    <w:rsid w:val="0029288C"/>
    <w:rsid w:val="00300535"/>
    <w:rsid w:val="003E51DC"/>
    <w:rsid w:val="004527A6"/>
    <w:rsid w:val="005622FA"/>
    <w:rsid w:val="005B6D77"/>
    <w:rsid w:val="00641D0F"/>
    <w:rsid w:val="007755E7"/>
    <w:rsid w:val="008072F1"/>
    <w:rsid w:val="008526F8"/>
    <w:rsid w:val="00A06162"/>
    <w:rsid w:val="00A91C95"/>
    <w:rsid w:val="00B60608"/>
    <w:rsid w:val="00D22854"/>
    <w:rsid w:val="00D73C43"/>
    <w:rsid w:val="00D84E0E"/>
    <w:rsid w:val="00DB577A"/>
    <w:rsid w:val="00E15B68"/>
    <w:rsid w:val="00E96DF3"/>
    <w:rsid w:val="00EA30F3"/>
    <w:rsid w:val="00F82A8A"/>
    <w:rsid w:val="00FD5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94708"/>
  <w15:chartTrackingRefBased/>
  <w15:docId w15:val="{FA4E23B5-1959-4806-80EF-3958A6682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Pr>
      <w:noProof/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91C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91C95"/>
  </w:style>
  <w:style w:type="paragraph" w:styleId="Fuzeile">
    <w:name w:val="footer"/>
    <w:basedOn w:val="Standard"/>
    <w:link w:val="FuzeileZchn"/>
    <w:uiPriority w:val="99"/>
    <w:unhideWhenUsed/>
    <w:rsid w:val="00A91C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91C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34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84128E-7C86-491B-A126-2CBDF4631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716</Words>
  <Characters>3820</Characters>
  <Application>Microsoft Office Word</Application>
  <DocSecurity>0</DocSecurity>
  <Lines>424</Lines>
  <Paragraphs>146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Peters, Bianca Isabelle</dc:creator>
  <cp:keywords/>
  <dc:description/>
  <cp:lastModifiedBy>Lenz, Dominic</cp:lastModifiedBy>
  <cp:revision>6</cp:revision>
  <dcterms:created xsi:type="dcterms:W3CDTF">2023-11-13T14:41:00Z</dcterms:created>
  <dcterms:modified xsi:type="dcterms:W3CDTF">2023-11-13T15:40:00Z</dcterms:modified>
</cp:coreProperties>
</file>