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55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8"/>
        <w:gridCol w:w="796"/>
        <w:gridCol w:w="637"/>
        <w:gridCol w:w="926"/>
        <w:gridCol w:w="926"/>
        <w:gridCol w:w="926"/>
        <w:gridCol w:w="926"/>
        <w:gridCol w:w="926"/>
        <w:gridCol w:w="926"/>
        <w:gridCol w:w="926"/>
        <w:gridCol w:w="926"/>
        <w:gridCol w:w="926"/>
        <w:gridCol w:w="753"/>
        <w:gridCol w:w="715"/>
        <w:gridCol w:w="715"/>
        <w:gridCol w:w="716"/>
        <w:gridCol w:w="715"/>
        <w:gridCol w:w="716"/>
      </w:tblGrid>
      <w:tr w:rsidR="00D22854" w:rsidRPr="00300535" w:rsidTr="006C5E6D">
        <w:trPr>
          <w:trHeight w:val="125"/>
        </w:trPr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300535" w:rsidRDefault="00D22854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 xml:space="preserve">Table S2. Affected organ systems and laboratory phenotype: </w:t>
            </w:r>
            <w:r w:rsidRPr="00300535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SOPH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 xml:space="preserve"> (</w:t>
            </w:r>
            <w:r w:rsidRPr="00D22854">
              <w:rPr>
                <w:rFonts w:ascii="Calibri" w:eastAsia="Times New Roman" w:hAnsi="Calibri" w:cs="Calibri"/>
                <w:b/>
                <w:bCs/>
                <w:i/>
                <w:color w:val="FFFFFF" w:themeColor="background1"/>
                <w:sz w:val="24"/>
                <w:szCs w:val="14"/>
                <w:lang w:eastAsia="de-DE"/>
              </w:rPr>
              <w:t>NBAS</w:t>
            </w:r>
            <w:r w:rsidRPr="00D22854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)</w:t>
            </w:r>
          </w:p>
        </w:tc>
      </w:tr>
      <w:tr w:rsidR="00641D0F" w:rsidRPr="00300535" w:rsidTr="00300535">
        <w:trPr>
          <w:trHeight w:val="73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Publication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Patient number in publication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Affected organ systems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liver (HP:0001392)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nervous system (HP:0000707)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641D0F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immune system </w:t>
            </w:r>
          </w:p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(HP:0002715)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641D0F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skeletal system </w:t>
            </w:r>
          </w:p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(HP:0000924)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integument (HP:0001574)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Growth abnormality (HP:0001507)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641D0F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musculature</w:t>
            </w:r>
          </w:p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(HP:0003011)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face (HP:0000271)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endocrine system (HP:0000818)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5B6D77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Liver bio-chemistry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ASAT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ALAT 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INR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(max.)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Bilirrubin total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(μmol/L, max.)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Bilirubin direct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(μmol/L, max.)</w:t>
            </w:r>
          </w:p>
        </w:tc>
      </w:tr>
      <w:tr w:rsidR="00641D0F" w:rsidRPr="00300535" w:rsidTr="00300535">
        <w:trPr>
          <w:trHeight w:val="109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Haack et al., 2015 and Staufner et al., 2015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</w:t>
            </w:r>
          </w:p>
        </w:tc>
        <w:tc>
          <w:tcPr>
            <w:tcW w:w="637" w:type="dxa"/>
            <w:tcBorders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5114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9968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227,8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35,7</w:t>
            </w:r>
          </w:p>
        </w:tc>
      </w:tr>
      <w:tr w:rsidR="00641D0F" w:rsidRPr="00300535" w:rsidTr="00300535">
        <w:trPr>
          <w:trHeight w:val="156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5600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1,99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55,233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26,163</w:t>
            </w:r>
          </w:p>
        </w:tc>
      </w:tr>
      <w:tr w:rsidR="00641D0F" w:rsidRPr="00300535" w:rsidTr="00300535">
        <w:trPr>
          <w:trHeight w:val="7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10320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7410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1,91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26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E658DC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hyperlink r:id="rId7" w:anchor="bib2" w:history="1">
              <w:r w:rsidR="00A91C95" w:rsidRPr="00300535">
                <w:rPr>
                  <w:rFonts w:ascii="Calibri" w:eastAsia="Times New Roman" w:hAnsi="Calibri" w:cs="Calibri"/>
                  <w:b/>
                  <w:bCs/>
                  <w:sz w:val="14"/>
                  <w:szCs w:val="14"/>
                  <w:lang w:eastAsia="de-DE"/>
                </w:rPr>
                <w:t>Balasubramanian et al., 2017</w:t>
              </w:r>
            </w:hyperlink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12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E658DC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hyperlink r:id="rId8" w:anchor="bib2" w:history="1">
              <w:r w:rsidR="00A91C95" w:rsidRPr="00300535">
                <w:rPr>
                  <w:rFonts w:ascii="Calibri" w:eastAsia="Times New Roman" w:hAnsi="Calibri" w:cs="Calibri"/>
                  <w:b/>
                  <w:bCs/>
                  <w:sz w:val="14"/>
                  <w:szCs w:val="14"/>
                  <w:lang w:eastAsia="de-DE"/>
                </w:rPr>
                <w:t>Balasubramanian et al., 2017</w:t>
              </w:r>
            </w:hyperlink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7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E658DC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hyperlink r:id="rId9" w:anchor="bib8" w:history="1">
              <w:r w:rsidR="00A91C95" w:rsidRPr="00300535">
                <w:rPr>
                  <w:rFonts w:ascii="Calibri" w:eastAsia="Times New Roman" w:hAnsi="Calibri" w:cs="Calibri"/>
                  <w:b/>
                  <w:bCs/>
                  <w:sz w:val="14"/>
                  <w:szCs w:val="14"/>
                  <w:lang w:eastAsia="de-DE"/>
                </w:rPr>
                <w:t>Kortüm et al., 2017</w:t>
              </w:r>
            </w:hyperlink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1565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1,08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3,4</w:t>
            </w:r>
          </w:p>
        </w:tc>
      </w:tr>
      <w:tr w:rsidR="00641D0F" w:rsidRPr="00300535" w:rsidTr="00300535">
        <w:trPr>
          <w:trHeight w:val="7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Haskins Olney et al., 2016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7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Kim et al., 2017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10A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113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Kim et al., 2017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10B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7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He et al., 2017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1991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174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Palagano et al., 2018 (Prontera et al., 2011)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8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Palagano et al., 2018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5,22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52,53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46,41</w:t>
            </w:r>
          </w:p>
        </w:tc>
      </w:tr>
      <w:tr w:rsidR="00641D0F" w:rsidRPr="00300535" w:rsidTr="00300535">
        <w:trPr>
          <w:trHeight w:val="10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Fischer-Zirnsak et al., 2019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Fischer-Zirnsak et al., 2019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Li et al., 2018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Yao et al., 2017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218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Carli et al., 2019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Carli et al., 2019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106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Thuriot et al., 2018; Buote, 2015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Gu et al., 2019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398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Suzuki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22546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12392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81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lastRenderedPageBreak/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12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Maksimova et al., 2010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Die Li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1,8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Die Li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Khoreva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265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1,1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4,7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Khoreva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343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3,3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Khoreva et al.,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Lacassie et al. 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641D0F" w:rsidRPr="00300535" w:rsidTr="00300535">
        <w:trPr>
          <w:trHeight w:val="62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Seo et al., 2022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A91C95" w:rsidRPr="00300535" w:rsidRDefault="00A91C95" w:rsidP="00A91C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95" w:rsidRPr="00300535" w:rsidRDefault="00A91C95" w:rsidP="00A91C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</w:tbl>
    <w:p w:rsidR="001A58CE" w:rsidRPr="00D84E0E" w:rsidRDefault="001A58CE" w:rsidP="001A58CE">
      <w:pPr>
        <w:rPr>
          <w:b/>
          <w:sz w:val="14"/>
          <w:szCs w:val="14"/>
        </w:rPr>
      </w:pPr>
      <w:r w:rsidRPr="00D84E0E">
        <w:rPr>
          <w:b/>
          <w:sz w:val="14"/>
          <w:szCs w:val="14"/>
        </w:rPr>
        <w:t>Table S</w:t>
      </w:r>
      <w:r>
        <w:rPr>
          <w:b/>
          <w:sz w:val="14"/>
          <w:szCs w:val="14"/>
        </w:rPr>
        <w:t>2</w:t>
      </w:r>
      <w:r w:rsidRPr="00D84E0E">
        <w:rPr>
          <w:b/>
          <w:sz w:val="14"/>
          <w:szCs w:val="14"/>
        </w:rPr>
        <w:t xml:space="preserve">. Affected organ systems and laboratory phenotype: </w:t>
      </w:r>
      <w:r>
        <w:rPr>
          <w:b/>
          <w:sz w:val="14"/>
          <w:szCs w:val="14"/>
        </w:rPr>
        <w:t>SOPH</w:t>
      </w:r>
      <w:r w:rsidRPr="00D84E0E">
        <w:rPr>
          <w:b/>
          <w:sz w:val="14"/>
          <w:szCs w:val="14"/>
        </w:rPr>
        <w:t xml:space="preserve"> (</w:t>
      </w:r>
      <w:r w:rsidRPr="00A033EB">
        <w:rPr>
          <w:b/>
          <w:i/>
          <w:sz w:val="14"/>
          <w:szCs w:val="14"/>
        </w:rPr>
        <w:t>NBAS</w:t>
      </w:r>
      <w:r w:rsidRPr="00D84E0E">
        <w:rPr>
          <w:b/>
          <w:sz w:val="14"/>
          <w:szCs w:val="14"/>
        </w:rPr>
        <w:t>)</w:t>
      </w:r>
      <w:r>
        <w:rPr>
          <w:b/>
          <w:sz w:val="14"/>
          <w:szCs w:val="14"/>
        </w:rPr>
        <w:t xml:space="preserve">. </w:t>
      </w:r>
      <w:r w:rsidRPr="00D84E0E">
        <w:rPr>
          <w:sz w:val="14"/>
          <w:szCs w:val="14"/>
        </w:rPr>
        <w:t>Indi</w:t>
      </w:r>
      <w:r>
        <w:rPr>
          <w:sz w:val="14"/>
          <w:szCs w:val="14"/>
        </w:rPr>
        <w:t>vidual phenotypic data regarding affected organ systems in SOPH and laboratory characteristics of the most severe liver decompensation. SOPH: short stature, optical atrophy and Pelger-Hu</w:t>
      </w:r>
      <w:r w:rsidRPr="001A58CE">
        <w:rPr>
          <w:sz w:val="14"/>
          <w:szCs w:val="14"/>
        </w:rPr>
        <w:t>ë</w:t>
      </w:r>
      <w:r>
        <w:rPr>
          <w:sz w:val="14"/>
          <w:szCs w:val="14"/>
        </w:rPr>
        <w:t>t anomaly; HP: human phenotype; ASAT: aspartate aminotransferase; ALAT: alanine aminotransferase; IU/L: international units per litre; INR: international normalized ratio; max.: maximal)</w:t>
      </w:r>
      <w:r w:rsidR="00E658DC">
        <w:rPr>
          <w:sz w:val="14"/>
          <w:szCs w:val="14"/>
        </w:rPr>
        <w:t xml:space="preserve">; </w:t>
      </w:r>
      <w:r w:rsidR="00E658DC">
        <w:rPr>
          <w:sz w:val="14"/>
          <w:szCs w:val="14"/>
        </w:rPr>
        <w:t>n.a.: not available; N: no; Y: yes.</w:t>
      </w:r>
      <w:bookmarkStart w:id="0" w:name="_GoBack"/>
      <w:bookmarkEnd w:id="0"/>
    </w:p>
    <w:p w:rsidR="005B6D77" w:rsidRPr="00300535" w:rsidRDefault="005B6D77" w:rsidP="003B065A">
      <w:pPr>
        <w:rPr>
          <w:sz w:val="14"/>
          <w:szCs w:val="14"/>
        </w:rPr>
      </w:pPr>
    </w:p>
    <w:sectPr w:rsidR="005B6D77" w:rsidRPr="00300535" w:rsidSect="00A91C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C45" w:rsidRDefault="00FD5C45" w:rsidP="00A91C95">
      <w:pPr>
        <w:spacing w:after="0" w:line="240" w:lineRule="auto"/>
      </w:pPr>
      <w:r>
        <w:separator/>
      </w:r>
    </w:p>
  </w:endnote>
  <w:endnote w:type="continuationSeparator" w:id="0">
    <w:p w:rsidR="00FD5C45" w:rsidRDefault="00FD5C45" w:rsidP="00A9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C45" w:rsidRDefault="00FD5C45" w:rsidP="00A91C95">
      <w:pPr>
        <w:spacing w:after="0" w:line="240" w:lineRule="auto"/>
      </w:pPr>
      <w:r>
        <w:separator/>
      </w:r>
    </w:p>
  </w:footnote>
  <w:footnote w:type="continuationSeparator" w:id="0">
    <w:p w:rsidR="00FD5C45" w:rsidRDefault="00FD5C45" w:rsidP="00A91C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162"/>
    <w:rsid w:val="0005141B"/>
    <w:rsid w:val="001A58CE"/>
    <w:rsid w:val="0029288C"/>
    <w:rsid w:val="00300535"/>
    <w:rsid w:val="003B065A"/>
    <w:rsid w:val="005622FA"/>
    <w:rsid w:val="005B6D77"/>
    <w:rsid w:val="00641D0F"/>
    <w:rsid w:val="006F71BA"/>
    <w:rsid w:val="008526F8"/>
    <w:rsid w:val="00A033EB"/>
    <w:rsid w:val="00A06162"/>
    <w:rsid w:val="00A91C95"/>
    <w:rsid w:val="00B60608"/>
    <w:rsid w:val="00D22854"/>
    <w:rsid w:val="00D73C43"/>
    <w:rsid w:val="00DB577A"/>
    <w:rsid w:val="00E15B68"/>
    <w:rsid w:val="00E658DC"/>
    <w:rsid w:val="00E96DF3"/>
    <w:rsid w:val="00EA30F3"/>
    <w:rsid w:val="00F82A8A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6DFD5"/>
  <w15:chartTrackingRefBased/>
  <w15:docId w15:val="{FA4E23B5-1959-4806-80EF-3958A668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noProof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1C95"/>
  </w:style>
  <w:style w:type="paragraph" w:styleId="Fuzeile">
    <w:name w:val="footer"/>
    <w:basedOn w:val="Standard"/>
    <w:link w:val="Fu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1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science/article/pii/S176972121630523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science/article/pii/S176972121630523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ciencedirect.com/science/article/pii/S1769721216305237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46203-E860-4CD6-A513-369529F30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1052</Words>
  <Characters>5612</Characters>
  <Application>Microsoft Office Word</Application>
  <DocSecurity>0</DocSecurity>
  <Lines>623</Lines>
  <Paragraphs>214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Peters, Bianca Isabelle</dc:creator>
  <cp:keywords/>
  <dc:description/>
  <cp:lastModifiedBy>Lenz, Dominic</cp:lastModifiedBy>
  <cp:revision>6</cp:revision>
  <dcterms:created xsi:type="dcterms:W3CDTF">2023-11-13T14:43:00Z</dcterms:created>
  <dcterms:modified xsi:type="dcterms:W3CDTF">2023-11-13T15:40:00Z</dcterms:modified>
</cp:coreProperties>
</file>