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F74" w:rsidRPr="00B33C5B" w:rsidRDefault="00166F74" w:rsidP="00166F74">
      <w:pPr>
        <w:autoSpaceDE w:val="0"/>
        <w:autoSpaceDN w:val="0"/>
        <w:ind w:hanging="640"/>
        <w:rPr>
          <w:rFonts w:eastAsia="Times New Roman"/>
        </w:rPr>
      </w:pPr>
    </w:p>
    <w:p w:rsidR="00166F74" w:rsidRPr="00B33C5B" w:rsidRDefault="00166F74" w:rsidP="00166F74">
      <w:pPr>
        <w:autoSpaceDE w:val="0"/>
        <w:autoSpaceDN w:val="0"/>
        <w:ind w:hanging="640"/>
        <w:rPr>
          <w:rFonts w:eastAsia="Times New Roman"/>
        </w:rPr>
      </w:pPr>
    </w:p>
    <w:p w:rsidR="00166F74" w:rsidRPr="00B33C5B" w:rsidRDefault="00166F74" w:rsidP="00166F74">
      <w:pPr>
        <w:autoSpaceDE w:val="0"/>
        <w:autoSpaceDN w:val="0"/>
        <w:ind w:hanging="640"/>
        <w:rPr>
          <w:rFonts w:eastAsia="Times New Roman"/>
        </w:rPr>
      </w:pPr>
      <w:r w:rsidRPr="00B33C5B">
        <w:rPr>
          <w:rFonts w:eastAsia="Times New Roman"/>
          <w:noProof/>
          <w:lang w:val="en-IN" w:eastAsia="en-IN"/>
        </w:rPr>
        <w:drawing>
          <wp:inline distT="0" distB="0" distL="0" distR="0" wp14:anchorId="31B68215" wp14:editId="41A9344C">
            <wp:extent cx="5731510" cy="14916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1_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F74" w:rsidRPr="00B33C5B" w:rsidRDefault="00166F74" w:rsidP="00166F74">
      <w:pPr>
        <w:autoSpaceDE w:val="0"/>
        <w:autoSpaceDN w:val="0"/>
        <w:ind w:left="-640" w:hanging="640"/>
        <w:rPr>
          <w:rFonts w:ascii="Times New Roman" w:eastAsia="Times New Roman" w:hAnsi="Times New Roman" w:cs="Times New Roman"/>
          <w:i/>
        </w:rPr>
      </w:pPr>
      <w:r w:rsidRPr="00B33C5B">
        <w:rPr>
          <w:rFonts w:ascii="Times New Roman" w:hAnsi="Times New Roman" w:cs="Times New Roman"/>
          <w:i/>
          <w:noProof/>
        </w:rPr>
        <w:t xml:space="preserve">            </w:t>
      </w:r>
      <w:r w:rsidRPr="00B33C5B">
        <w:rPr>
          <w:rFonts w:ascii="Times New Roman" w:eastAsia="Times New Roman" w:hAnsi="Times New Roman" w:cs="Times New Roman"/>
          <w:b/>
          <w:i/>
        </w:rPr>
        <w:t>Supplementary Fig 1</w:t>
      </w:r>
      <w:r w:rsidRPr="00B33C5B">
        <w:rPr>
          <w:rFonts w:ascii="Times New Roman" w:eastAsia="Times New Roman" w:hAnsi="Times New Roman" w:cs="Times New Roman"/>
          <w:i/>
        </w:rPr>
        <w:t xml:space="preserve">. </w:t>
      </w:r>
      <w:r w:rsidRPr="00B33C5B">
        <w:rPr>
          <w:rFonts w:ascii="Times New Roman" w:hAnsi="Times New Roman" w:cs="Times New Roman"/>
          <w:i/>
        </w:rPr>
        <w:t xml:space="preserve">Comparison of GFP intensity following </w:t>
      </w:r>
      <w:proofErr w:type="spellStart"/>
      <w:r w:rsidRPr="00B33C5B">
        <w:rPr>
          <w:rFonts w:ascii="Times New Roman" w:hAnsi="Times New Roman" w:cs="Times New Roman"/>
          <w:i/>
        </w:rPr>
        <w:t>eGFP</w:t>
      </w:r>
      <w:proofErr w:type="spellEnd"/>
      <w:r w:rsidRPr="00B33C5B">
        <w:rPr>
          <w:rFonts w:ascii="Times New Roman" w:hAnsi="Times New Roman" w:cs="Times New Roman"/>
          <w:i/>
        </w:rPr>
        <w:t xml:space="preserve">-MVA (4 x </w:t>
      </w:r>
      <w:proofErr w:type="gramStart"/>
      <w:r w:rsidRPr="00B33C5B">
        <w:rPr>
          <w:rFonts w:ascii="Times New Roman" w:hAnsi="Times New Roman" w:cs="Times New Roman"/>
          <w:i/>
        </w:rPr>
        <w:t>10</w:t>
      </w:r>
      <w:r w:rsidRPr="00B33C5B">
        <w:rPr>
          <w:rFonts w:ascii="Times New Roman" w:hAnsi="Times New Roman" w:cs="Times New Roman"/>
          <w:i/>
          <w:vertAlign w:val="superscript"/>
        </w:rPr>
        <w:t>4</w:t>
      </w:r>
      <w:r w:rsidRPr="00B33C5B">
        <w:rPr>
          <w:rFonts w:ascii="Times New Roman" w:hAnsi="Times New Roman" w:cs="Times New Roman"/>
          <w:i/>
        </w:rPr>
        <w:t xml:space="preserve"> </w:t>
      </w:r>
      <w:r w:rsidRPr="00B33C5B">
        <w:rPr>
          <w:rFonts w:ascii="Times New Roman" w:hAnsi="Times New Roman" w:cs="Times New Roman"/>
          <w:i/>
          <w:vertAlign w:val="superscript"/>
        </w:rPr>
        <w:t xml:space="preserve"> </w:t>
      </w:r>
      <w:r w:rsidRPr="00B33C5B">
        <w:rPr>
          <w:rFonts w:ascii="Times New Roman" w:hAnsi="Times New Roman" w:cs="Times New Roman"/>
          <w:i/>
        </w:rPr>
        <w:t>IU</w:t>
      </w:r>
      <w:proofErr w:type="gramEnd"/>
      <w:r w:rsidRPr="00B33C5B">
        <w:rPr>
          <w:rFonts w:ascii="Times New Roman" w:hAnsi="Times New Roman" w:cs="Times New Roman"/>
          <w:i/>
        </w:rPr>
        <w:t xml:space="preserve">) delivery with MAF and buccal administration of GFP-MVA without the film (buccal) (A). Images </w:t>
      </w:r>
      <w:proofErr w:type="gramStart"/>
      <w:r w:rsidRPr="00B33C5B">
        <w:rPr>
          <w:rFonts w:ascii="Times New Roman" w:hAnsi="Times New Roman" w:cs="Times New Roman"/>
          <w:i/>
        </w:rPr>
        <w:t>were captured</w:t>
      </w:r>
      <w:proofErr w:type="gramEnd"/>
      <w:r w:rsidRPr="00B33C5B">
        <w:rPr>
          <w:rFonts w:ascii="Times New Roman" w:hAnsi="Times New Roman" w:cs="Times New Roman"/>
          <w:i/>
        </w:rPr>
        <w:t xml:space="preserve"> after 2 days of application, showing GFP expression in the whole mouse (B) and specifically in the oral mucosa (C). </w:t>
      </w:r>
      <w:r w:rsidRPr="00B33C5B">
        <w:rPr>
          <w:rFonts w:ascii="Times New Roman" w:hAnsi="Times New Roman" w:cs="Times New Roman"/>
        </w:rPr>
        <w:t xml:space="preserve"> </w:t>
      </w:r>
    </w:p>
    <w:p w:rsidR="00166F74" w:rsidRPr="00B33C5B" w:rsidRDefault="00166F74" w:rsidP="00166F74">
      <w:pPr>
        <w:autoSpaceDE w:val="0"/>
        <w:autoSpaceDN w:val="0"/>
        <w:jc w:val="both"/>
        <w:rPr>
          <w:rFonts w:eastAsia="Times New Roman"/>
        </w:rPr>
      </w:pPr>
      <w:r w:rsidRPr="00B33C5B">
        <w:rPr>
          <w:rFonts w:eastAsia="Times New Roman"/>
        </w:rPr>
        <w:t xml:space="preserve">                                                                                       </w:t>
      </w:r>
    </w:p>
    <w:p w:rsidR="00166F74" w:rsidRPr="00B33C5B" w:rsidRDefault="00166F74" w:rsidP="00166F74">
      <w:pPr>
        <w:autoSpaceDE w:val="0"/>
        <w:autoSpaceDN w:val="0"/>
        <w:jc w:val="both"/>
        <w:rPr>
          <w:rFonts w:eastAsia="Times New Roman"/>
        </w:rPr>
      </w:pPr>
    </w:p>
    <w:p w:rsidR="00166F74" w:rsidRPr="00B33C5B" w:rsidRDefault="00166F74" w:rsidP="00166F74">
      <w:pPr>
        <w:autoSpaceDE w:val="0"/>
        <w:autoSpaceDN w:val="0"/>
        <w:ind w:hanging="640"/>
        <w:jc w:val="both"/>
        <w:rPr>
          <w:rFonts w:eastAsia="Times New Roman"/>
        </w:rPr>
      </w:pPr>
      <w:r w:rsidRPr="00B33C5B">
        <w:rPr>
          <w:rFonts w:eastAsia="Times New Roman"/>
          <w:noProof/>
          <w:lang w:val="en-IN" w:eastAsia="en-IN"/>
        </w:rPr>
        <w:drawing>
          <wp:inline distT="0" distB="0" distL="0" distR="0" wp14:anchorId="13482B31" wp14:editId="52ADB9A3">
            <wp:extent cx="5731510" cy="20370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_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F74" w:rsidRPr="00B33C5B" w:rsidRDefault="00166F74" w:rsidP="00166F74">
      <w:pPr>
        <w:autoSpaceDE w:val="0"/>
        <w:autoSpaceDN w:val="0"/>
        <w:spacing w:line="240" w:lineRule="auto"/>
        <w:ind w:left="-641"/>
        <w:jc w:val="both"/>
        <w:rPr>
          <w:rFonts w:ascii="Times New Roman" w:eastAsia="Times New Roman" w:hAnsi="Times New Roman" w:cs="Times New Roman"/>
          <w:i/>
        </w:rPr>
      </w:pPr>
      <w:r w:rsidRPr="00B33C5B">
        <w:rPr>
          <w:rFonts w:ascii="Times New Roman" w:eastAsia="Times New Roman" w:hAnsi="Times New Roman" w:cs="Times New Roman"/>
          <w:b/>
          <w:i/>
        </w:rPr>
        <w:t>Supplementary Fig 2</w:t>
      </w:r>
      <w:r w:rsidRPr="00B33C5B">
        <w:rPr>
          <w:rFonts w:ascii="Times New Roman" w:eastAsia="Times New Roman" w:hAnsi="Times New Roman" w:cs="Times New Roman"/>
          <w:i/>
        </w:rPr>
        <w:t xml:space="preserve">. </w:t>
      </w:r>
      <w:r w:rsidRPr="00B33C5B">
        <w:rPr>
          <w:rFonts w:ascii="Times New Roman" w:hAnsi="Times New Roman" w:cs="Times New Roman"/>
          <w:i/>
        </w:rPr>
        <w:t xml:space="preserve">Immunization of mice with mRNA/LNP encoding SARS-CoV-2 Spike protein via IN route. (A) Endpoint titers of total IgG antibodies against SARS-CoV-2 Spike protein with SD determined by ELISA three weeks after the prime dose and three weeks after each booster dose (blank n=6, IN-IN-IN n=5, IM-IN-IN n=6); (B) Detection of </w:t>
      </w:r>
      <w:proofErr w:type="spellStart"/>
      <w:r w:rsidRPr="00B33C5B">
        <w:rPr>
          <w:rFonts w:ascii="Times New Roman" w:hAnsi="Times New Roman" w:cs="Times New Roman"/>
          <w:i/>
        </w:rPr>
        <w:t>IgAs</w:t>
      </w:r>
      <w:proofErr w:type="spellEnd"/>
      <w:r w:rsidRPr="00B33C5B">
        <w:rPr>
          <w:rFonts w:ascii="Times New Roman" w:hAnsi="Times New Roman" w:cs="Times New Roman"/>
          <w:i/>
        </w:rPr>
        <w:t xml:space="preserve"> against SARS-CoV-2 Spike protein was measured with ELISA three weeks after the second booster dose. Graphs represent the mean and SEM (C) Endpoint titers of total IgG antibodies against SARS-CoV-2 Spike protein with SD determined by ELISA three weeks after the prime dose and three weeks after the boost (MAF – stomach =5, mRNA/LNP buccal =5, mRNA/LNP stomach =5, IM-MAF =5; MAF-MAF n=6) .</w:t>
      </w:r>
    </w:p>
    <w:p w:rsidR="00166F74" w:rsidRPr="00B33C5B" w:rsidRDefault="00166F74" w:rsidP="00166F74">
      <w:pPr>
        <w:autoSpaceDE w:val="0"/>
        <w:autoSpaceDN w:val="0"/>
        <w:ind w:hanging="640"/>
        <w:jc w:val="both"/>
        <w:rPr>
          <w:rFonts w:eastAsia="Times New Roman"/>
        </w:rPr>
      </w:pPr>
    </w:p>
    <w:p w:rsidR="00166F74" w:rsidRPr="00B33C5B" w:rsidRDefault="00166F74" w:rsidP="00166F74">
      <w:pPr>
        <w:keepNext/>
        <w:spacing w:line="360" w:lineRule="auto"/>
        <w:jc w:val="both"/>
      </w:pPr>
      <w:r w:rsidRPr="00B33C5B">
        <w:rPr>
          <w:noProof/>
          <w:lang w:val="en-IN" w:eastAsia="en-IN"/>
        </w:rPr>
        <w:lastRenderedPageBreak/>
        <w:drawing>
          <wp:inline distT="0" distB="0" distL="0" distR="0" wp14:anchorId="6DB77CF3" wp14:editId="33417535">
            <wp:extent cx="5731510" cy="783463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3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F74" w:rsidRPr="00B33C5B" w:rsidRDefault="00166F74" w:rsidP="00166F74">
      <w:pPr>
        <w:pStyle w:val="Caption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33C5B">
        <w:rPr>
          <w:rFonts w:ascii="Times New Roman" w:hAnsi="Times New Roman" w:cs="Times New Roman"/>
          <w:b/>
          <w:color w:val="auto"/>
          <w:sz w:val="22"/>
          <w:szCs w:val="22"/>
        </w:rPr>
        <w:t>Supplementary Fig. 3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 xml:space="preserve">. Gating strategy and flow cytometry statistics of mouse spleen for groups IM-IN-IN and MAF-MAF-MAF. Cell subset defined as </w:t>
      </w:r>
      <w:proofErr w:type="gramStart"/>
      <w:r w:rsidRPr="00B33C5B">
        <w:rPr>
          <w:rFonts w:ascii="Times New Roman" w:hAnsi="Times New Roman" w:cs="Times New Roman"/>
          <w:bCs/>
          <w:color w:val="auto"/>
          <w:sz w:val="22"/>
          <w:szCs w:val="22"/>
        </w:rPr>
        <w:t>1</w:t>
      </w:r>
      <w:proofErr w:type="gramEnd"/>
      <w:r w:rsidRPr="00B33C5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A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: CD19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- 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CD3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-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B33C5B">
        <w:rPr>
          <w:rFonts w:ascii="Times New Roman" w:hAnsi="Times New Roman" w:cs="Times New Roman"/>
          <w:bCs/>
          <w:color w:val="auto"/>
          <w:sz w:val="22"/>
          <w:szCs w:val="22"/>
        </w:rPr>
        <w:t>1 B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: CD8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- 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CD4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+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 xml:space="preserve"> T-cells, </w:t>
      </w:r>
      <w:r w:rsidRPr="00B33C5B">
        <w:rPr>
          <w:rFonts w:ascii="Times New Roman" w:hAnsi="Times New Roman" w:cs="Times New Roman"/>
          <w:bCs/>
          <w:color w:val="auto"/>
          <w:sz w:val="22"/>
          <w:szCs w:val="22"/>
        </w:rPr>
        <w:t>1 C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: CD8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- 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CD4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-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 xml:space="preserve"> T-cells, </w:t>
      </w:r>
      <w:r w:rsidRPr="00B33C5B">
        <w:rPr>
          <w:rFonts w:ascii="Times New Roman" w:hAnsi="Times New Roman" w:cs="Times New Roman"/>
          <w:bCs/>
          <w:color w:val="auto"/>
          <w:sz w:val="22"/>
          <w:szCs w:val="22"/>
        </w:rPr>
        <w:t>1 D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: CD8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+ 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>CD4</w:t>
      </w:r>
      <w:r w:rsidRPr="00B33C5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-</w:t>
      </w:r>
      <w:r w:rsidRPr="00B33C5B">
        <w:rPr>
          <w:rFonts w:ascii="Times New Roman" w:hAnsi="Times New Roman" w:cs="Times New Roman"/>
          <w:color w:val="auto"/>
          <w:sz w:val="22"/>
          <w:szCs w:val="22"/>
        </w:rPr>
        <w:t xml:space="preserve"> T-cells. Figures illustrating statistically significant differences among groups.</w:t>
      </w:r>
    </w:p>
    <w:p w:rsidR="00166F74" w:rsidRPr="00B33C5B" w:rsidRDefault="00166F74" w:rsidP="00166F74">
      <w:pPr>
        <w:keepNext/>
        <w:spacing w:line="360" w:lineRule="auto"/>
        <w:jc w:val="both"/>
      </w:pPr>
      <w:r w:rsidRPr="00B33C5B">
        <w:rPr>
          <w:noProof/>
          <w:lang w:val="en-IN" w:eastAsia="en-IN"/>
        </w:rPr>
        <w:lastRenderedPageBreak/>
        <w:drawing>
          <wp:inline distT="0" distB="0" distL="0" distR="0" wp14:anchorId="713A40B3" wp14:editId="62D11A0C">
            <wp:extent cx="5731510" cy="73704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F74" w:rsidRPr="00B33C5B" w:rsidRDefault="00166F74" w:rsidP="00166F74">
      <w:pPr>
        <w:pStyle w:val="NormalWeb"/>
        <w:jc w:val="both"/>
        <w:rPr>
          <w:i/>
          <w:sz w:val="22"/>
          <w:szCs w:val="22"/>
          <w:lang w:val="en-US"/>
        </w:rPr>
      </w:pPr>
      <w:r w:rsidRPr="00B33C5B">
        <w:rPr>
          <w:b/>
          <w:i/>
          <w:sz w:val="22"/>
          <w:szCs w:val="22"/>
          <w:lang w:val="en-US"/>
        </w:rPr>
        <w:t>Supplementary Fig. 4.</w:t>
      </w:r>
      <w:r w:rsidRPr="00B33C5B">
        <w:rPr>
          <w:i/>
          <w:sz w:val="22"/>
          <w:szCs w:val="22"/>
          <w:lang w:val="en-US"/>
        </w:rPr>
        <w:t xml:space="preserve"> Gating strategy and flow cytometry statistics of mouse spleen for groups IM-IM-IM, IM-MAF-MAF and IN-IN-IN. Cell subset defined as </w:t>
      </w:r>
      <w:r w:rsidRPr="00B33C5B">
        <w:rPr>
          <w:bCs/>
          <w:i/>
          <w:sz w:val="22"/>
          <w:szCs w:val="22"/>
          <w:lang w:val="en-US"/>
        </w:rPr>
        <w:t>2 A</w:t>
      </w:r>
      <w:r w:rsidRPr="00B33C5B">
        <w:rPr>
          <w:i/>
          <w:sz w:val="22"/>
          <w:szCs w:val="22"/>
          <w:lang w:val="en-US"/>
        </w:rPr>
        <w:t>: CD19</w:t>
      </w:r>
      <w:r w:rsidRPr="00B33C5B">
        <w:rPr>
          <w:i/>
          <w:sz w:val="22"/>
          <w:szCs w:val="22"/>
          <w:vertAlign w:val="superscript"/>
          <w:lang w:val="en-US"/>
        </w:rPr>
        <w:t xml:space="preserve">- </w:t>
      </w:r>
      <w:r w:rsidRPr="00B33C5B">
        <w:rPr>
          <w:i/>
          <w:sz w:val="22"/>
          <w:szCs w:val="22"/>
          <w:lang w:val="en-US"/>
        </w:rPr>
        <w:t>CD3</w:t>
      </w:r>
      <w:r w:rsidRPr="00B33C5B">
        <w:rPr>
          <w:i/>
          <w:sz w:val="22"/>
          <w:szCs w:val="22"/>
          <w:vertAlign w:val="superscript"/>
          <w:lang w:val="en-US"/>
        </w:rPr>
        <w:t>-</w:t>
      </w:r>
      <w:r w:rsidRPr="00B33C5B">
        <w:rPr>
          <w:i/>
          <w:sz w:val="22"/>
          <w:szCs w:val="22"/>
          <w:lang w:val="en-US"/>
        </w:rPr>
        <w:t xml:space="preserve">, </w:t>
      </w:r>
      <w:r w:rsidRPr="00B33C5B">
        <w:rPr>
          <w:bCs/>
          <w:i/>
          <w:sz w:val="22"/>
          <w:szCs w:val="22"/>
          <w:lang w:val="en-US"/>
        </w:rPr>
        <w:t>2 B</w:t>
      </w:r>
      <w:r w:rsidRPr="00B33C5B">
        <w:rPr>
          <w:i/>
          <w:sz w:val="22"/>
          <w:szCs w:val="22"/>
          <w:lang w:val="en-US"/>
        </w:rPr>
        <w:t>: CD8</w:t>
      </w:r>
      <w:r w:rsidRPr="00B33C5B">
        <w:rPr>
          <w:i/>
          <w:sz w:val="22"/>
          <w:szCs w:val="22"/>
          <w:vertAlign w:val="superscript"/>
          <w:lang w:val="en-US"/>
        </w:rPr>
        <w:t xml:space="preserve">- </w:t>
      </w:r>
      <w:r w:rsidRPr="00B33C5B">
        <w:rPr>
          <w:i/>
          <w:sz w:val="22"/>
          <w:szCs w:val="22"/>
          <w:lang w:val="en-US"/>
        </w:rPr>
        <w:t>CD4</w:t>
      </w:r>
      <w:r w:rsidRPr="00B33C5B">
        <w:rPr>
          <w:i/>
          <w:sz w:val="22"/>
          <w:szCs w:val="22"/>
          <w:vertAlign w:val="superscript"/>
          <w:lang w:val="en-US"/>
        </w:rPr>
        <w:t>+</w:t>
      </w:r>
      <w:r w:rsidRPr="00B33C5B">
        <w:rPr>
          <w:i/>
          <w:sz w:val="22"/>
          <w:szCs w:val="22"/>
          <w:lang w:val="en-US"/>
        </w:rPr>
        <w:t xml:space="preserve"> T-cells, </w:t>
      </w:r>
      <w:r w:rsidRPr="00B33C5B">
        <w:rPr>
          <w:bCs/>
          <w:i/>
          <w:sz w:val="22"/>
          <w:szCs w:val="22"/>
          <w:lang w:val="en-US"/>
        </w:rPr>
        <w:t>2 C</w:t>
      </w:r>
      <w:r w:rsidRPr="00B33C5B">
        <w:rPr>
          <w:i/>
          <w:sz w:val="22"/>
          <w:szCs w:val="22"/>
          <w:lang w:val="en-US"/>
        </w:rPr>
        <w:t>: CD8</w:t>
      </w:r>
      <w:r w:rsidRPr="00B33C5B">
        <w:rPr>
          <w:i/>
          <w:sz w:val="22"/>
          <w:szCs w:val="22"/>
          <w:vertAlign w:val="superscript"/>
          <w:lang w:val="en-US"/>
        </w:rPr>
        <w:t xml:space="preserve">- </w:t>
      </w:r>
      <w:r w:rsidRPr="00B33C5B">
        <w:rPr>
          <w:i/>
          <w:sz w:val="22"/>
          <w:szCs w:val="22"/>
          <w:lang w:val="en-US"/>
        </w:rPr>
        <w:t>CD4</w:t>
      </w:r>
      <w:r w:rsidRPr="00B33C5B">
        <w:rPr>
          <w:i/>
          <w:sz w:val="22"/>
          <w:szCs w:val="22"/>
          <w:vertAlign w:val="superscript"/>
          <w:lang w:val="en-US"/>
        </w:rPr>
        <w:t>-</w:t>
      </w:r>
      <w:r w:rsidRPr="00B33C5B">
        <w:rPr>
          <w:i/>
          <w:sz w:val="22"/>
          <w:szCs w:val="22"/>
          <w:lang w:val="en-US"/>
        </w:rPr>
        <w:t xml:space="preserve"> T-cells, </w:t>
      </w:r>
      <w:r w:rsidRPr="00B33C5B">
        <w:rPr>
          <w:bCs/>
          <w:i/>
          <w:sz w:val="22"/>
          <w:szCs w:val="22"/>
          <w:lang w:val="en-US"/>
        </w:rPr>
        <w:t>2 D</w:t>
      </w:r>
      <w:r w:rsidRPr="00B33C5B">
        <w:rPr>
          <w:i/>
          <w:sz w:val="22"/>
          <w:szCs w:val="22"/>
          <w:lang w:val="en-US"/>
        </w:rPr>
        <w:t>: CD8</w:t>
      </w:r>
      <w:r w:rsidRPr="00B33C5B">
        <w:rPr>
          <w:i/>
          <w:sz w:val="22"/>
          <w:szCs w:val="22"/>
          <w:vertAlign w:val="superscript"/>
          <w:lang w:val="en-US"/>
        </w:rPr>
        <w:t xml:space="preserve">+ </w:t>
      </w:r>
      <w:r w:rsidRPr="00B33C5B">
        <w:rPr>
          <w:i/>
          <w:sz w:val="22"/>
          <w:szCs w:val="22"/>
          <w:lang w:val="en-US"/>
        </w:rPr>
        <w:t>CD4</w:t>
      </w:r>
      <w:r w:rsidRPr="00B33C5B">
        <w:rPr>
          <w:i/>
          <w:sz w:val="22"/>
          <w:szCs w:val="22"/>
          <w:vertAlign w:val="superscript"/>
          <w:lang w:val="en-US"/>
        </w:rPr>
        <w:t>-</w:t>
      </w:r>
      <w:r w:rsidRPr="00B33C5B">
        <w:rPr>
          <w:i/>
          <w:sz w:val="22"/>
          <w:szCs w:val="22"/>
          <w:lang w:val="en-US"/>
        </w:rPr>
        <w:t xml:space="preserve"> T-cells. Figures illustrating statistically significant differences among groups.</w:t>
      </w:r>
    </w:p>
    <w:tbl>
      <w:tblPr>
        <w:tblpPr w:leftFromText="141" w:rightFromText="141" w:vertAnchor="text" w:horzAnchor="margin" w:tblpXSpec="center" w:tblpY="34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"/>
        <w:gridCol w:w="732"/>
        <w:gridCol w:w="883"/>
        <w:gridCol w:w="1354"/>
        <w:gridCol w:w="590"/>
        <w:gridCol w:w="931"/>
        <w:gridCol w:w="732"/>
        <w:gridCol w:w="883"/>
        <w:gridCol w:w="996"/>
        <w:gridCol w:w="652"/>
        <w:gridCol w:w="931"/>
      </w:tblGrid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e-AT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  <w:lang w:val="de-AT"/>
              </w:rPr>
              <w:t>Samples: IM-IM-IM; IM-MAF-MAF; IN-IN-IN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e-AT"/>
              </w:rPr>
            </w:pPr>
            <w:r w:rsidRPr="00B33C5B">
              <w:rPr>
                <w:rFonts w:ascii="Times New Roman" w:hAnsi="Times New Roman" w:cs="Times New Roman"/>
                <w:sz w:val="16"/>
                <w:szCs w:val="16"/>
                <w:lang w:val="de-AT"/>
              </w:rPr>
              <w:t xml:space="preserve"> Samples: IM-IN-IN; MAF-MAF-MAF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e-AT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Clone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Dye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Dilution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Cat. No.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Clone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Dye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Dilutions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Cat. No.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2E7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BV421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121421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2E7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BV421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121421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IM7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Pacific Blue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103019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IM7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Pacific Blue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103019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RM4-5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100553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RM4-5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100553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N418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117334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CD11c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N418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BV605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117334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CD62L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MEL-14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104453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CD62L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MEL-14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104453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MHCII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M5/114.15.2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107643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CD3e*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145-2C11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100349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M1/70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101267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CD11b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M1/70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101267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V15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53-6.7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100749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53-6.7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100749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S17016D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KIRAVIA Blue 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156521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S17016D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KIRAVIA Blue 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156521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GL-1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105007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GL-1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105007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145-2C11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100325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MHCII*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M5/114.15.2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PerCP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107623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X54-5/7.1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PerCP-Cy5.5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139307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X54-5/7.1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PE-Cy5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139331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H1.2F3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PE-Cy7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104511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H1.2F3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PE-Cy7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104511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Ly-6C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HK1.4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APC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Milteny</w:t>
            </w:r>
            <w:proofErr w:type="spellEnd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130-102-341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Ly-6C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HK1.4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APC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Milteny</w:t>
            </w:r>
            <w:proofErr w:type="spellEnd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130-102-341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6D5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Spark NIR 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115567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6D5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Spark NIR 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115567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Live/Dead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Zombie NIR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423106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Live/Dead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Zombie NIR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423106</w:t>
            </w:r>
          </w:p>
        </w:tc>
      </w:tr>
      <w:tr w:rsidR="00166F74" w:rsidRPr="00B33C5B" w:rsidTr="00CE503E">
        <w:trPr>
          <w:trHeight w:val="1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30-F11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APC-Cy7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103115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30-F11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APC-Cy7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166F74" w:rsidRPr="00B33C5B" w:rsidRDefault="00166F74" w:rsidP="00CE503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BL 103115</w:t>
            </w:r>
          </w:p>
        </w:tc>
      </w:tr>
    </w:tbl>
    <w:p w:rsidR="00166F74" w:rsidRPr="00B33C5B" w:rsidRDefault="00166F74" w:rsidP="00166F74">
      <w:pPr>
        <w:jc w:val="both"/>
        <w:rPr>
          <w:rFonts w:ascii="Times New Roman" w:hAnsi="Times New Roman" w:cs="Times New Roman"/>
          <w:i/>
        </w:rPr>
      </w:pPr>
      <w:r w:rsidRPr="00B33C5B">
        <w:rPr>
          <w:rFonts w:ascii="Times New Roman" w:hAnsi="Times New Roman" w:cs="Times New Roman"/>
          <w:b/>
          <w:i/>
        </w:rPr>
        <w:t>Supplementary Table 1</w:t>
      </w:r>
      <w:r w:rsidRPr="00B33C5B">
        <w:rPr>
          <w:rFonts w:ascii="Times New Roman" w:hAnsi="Times New Roman" w:cs="Times New Roman"/>
          <w:i/>
        </w:rPr>
        <w:t>: List of antibodies</w:t>
      </w: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F74" w:rsidRPr="00B33C5B" w:rsidRDefault="00166F74" w:rsidP="00166F7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6"/>
        <w:gridCol w:w="883"/>
        <w:gridCol w:w="1354"/>
        <w:gridCol w:w="1025"/>
        <w:gridCol w:w="945"/>
        <w:gridCol w:w="1016"/>
      </w:tblGrid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Clone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Dye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Manufacturer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Catalogue no.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Dilution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ZoombieNIR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77184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CD103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2E7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BV421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121422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200, 250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CD11b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M1/70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101267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CD11c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N418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BV605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117334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CD161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S17016D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KIRAVIA Blue 520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156522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170, 200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6D5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Spark NIR 685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115567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500, 1000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CD3e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145-2C11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PerCP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100325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BV711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100349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RM4-5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BV510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100559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IM7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Pacific Blue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103020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30-F11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APC-Cy7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103115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200, 500, 1000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CD62L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MEL-14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BV650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104453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200, 250, 500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CD64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X54-5/7.1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PerCP-Cy5.5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139307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Pe-Cy5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139331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GL-1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105007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200, 250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53-6.7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BV785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100750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500, 1000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Ly-6C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HK1.4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APC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MiltenyiBiotec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130-102-341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100, 200, 500</w:t>
            </w:r>
          </w:p>
        </w:tc>
      </w:tr>
      <w:tr w:rsidR="00166F74" w:rsidRPr="00B33C5B" w:rsidTr="00CE503E">
        <w:trPr>
          <w:trHeight w:val="210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MHCII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M5/114.15.2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BV711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107643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500, 1000</w:t>
            </w:r>
          </w:p>
        </w:tc>
      </w:tr>
      <w:tr w:rsidR="00166F74" w:rsidRPr="00B33C5B" w:rsidTr="00CE503E">
        <w:trPr>
          <w:trHeight w:val="150"/>
        </w:trPr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PerCP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107623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F74" w:rsidRPr="00B33C5B" w:rsidRDefault="00166F74" w:rsidP="00CE50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3C5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</w:tr>
    </w:tbl>
    <w:p w:rsidR="00166F74" w:rsidRPr="00B33C5B" w:rsidRDefault="00166F74" w:rsidP="00166F74">
      <w:pPr>
        <w:jc w:val="both"/>
        <w:rPr>
          <w:rFonts w:ascii="Times New Roman" w:hAnsi="Times New Roman" w:cs="Times New Roman"/>
        </w:rPr>
      </w:pPr>
      <w:r w:rsidRPr="00B33C5B">
        <w:rPr>
          <w:rFonts w:ascii="Times New Roman" w:hAnsi="Times New Roman" w:cs="Times New Roman"/>
          <w:b/>
          <w:i/>
        </w:rPr>
        <w:t xml:space="preserve">Supplementary </w:t>
      </w:r>
      <w:r w:rsidRPr="00B33C5B">
        <w:rPr>
          <w:rFonts w:ascii="Times New Roman" w:hAnsi="Times New Roman" w:cs="Times New Roman"/>
          <w:b/>
        </w:rPr>
        <w:t>Table 2:</w:t>
      </w:r>
      <w:r w:rsidRPr="00B33C5B">
        <w:rPr>
          <w:rFonts w:ascii="Times New Roman" w:hAnsi="Times New Roman" w:cs="Times New Roman"/>
        </w:rPr>
        <w:t xml:space="preserve"> List of antibodies used in antibody cocktail.</w:t>
      </w:r>
    </w:p>
    <w:p w:rsidR="00166F74" w:rsidRPr="00B33C5B" w:rsidRDefault="00166F74" w:rsidP="00166F74">
      <w:pPr>
        <w:jc w:val="both"/>
        <w:rPr>
          <w:rFonts w:ascii="Times New Roman" w:hAnsi="Times New Roman" w:cs="Times New Roman"/>
        </w:rPr>
      </w:pPr>
    </w:p>
    <w:p w:rsidR="00166F74" w:rsidRDefault="00166F74">
      <w:bookmarkStart w:id="0" w:name="_GoBack"/>
      <w:bookmarkEnd w:id="0"/>
    </w:p>
    <w:sectPr w:rsidR="00166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74"/>
    <w:rsid w:val="00166F74"/>
    <w:rsid w:val="0061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3712E0-FD28-4DEA-AAFA-D28EEC6F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F74"/>
    <w:rPr>
      <w:rFonts w:ascii="Calibri" w:eastAsia="Calibri" w:hAnsi="Calibri" w:cs="Calibri"/>
      <w:lang w:val="en-US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Caption">
    <w:name w:val="caption"/>
    <w:basedOn w:val="Normal"/>
    <w:next w:val="Normal"/>
    <w:uiPriority w:val="35"/>
    <w:unhideWhenUsed/>
    <w:qFormat/>
    <w:rsid w:val="00166F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627</Words>
  <Characters>3561</Characters>
  <Application>Microsoft Office Word</Application>
  <DocSecurity>0</DocSecurity>
  <Lines>77</Lines>
  <Paragraphs>34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E504768</dc:creator>
  <cp:keywords/>
  <dc:description/>
  <cp:lastModifiedBy>E504768</cp:lastModifiedBy>
  <cp:revision>1</cp:revision>
  <dcterms:created xsi:type="dcterms:W3CDTF">2024-05-22T07:12:00Z</dcterms:created>
  <dcterms:modified xsi:type="dcterms:W3CDTF">2024-05-22T07:13:00Z</dcterms:modified>
</cp:coreProperties>
</file>