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5F1B69" w14:textId="768F9CC6" w:rsidR="00FB687D" w:rsidRDefault="00FB687D" w:rsidP="007F0889">
      <w:pPr>
        <w:spacing w:line="480" w:lineRule="auto"/>
        <w:jc w:val="left"/>
        <w:rPr>
          <w:rFonts w:ascii="Times New Roman" w:hAnsi="Times New Roman"/>
          <w:b/>
          <w:sz w:val="28"/>
          <w:szCs w:val="28"/>
          <w:lang w:val="en-US"/>
        </w:rPr>
      </w:pPr>
      <w:r w:rsidRPr="00FB687D">
        <w:rPr>
          <w:rFonts w:ascii="Times New Roman" w:hAnsi="Times New Roman"/>
          <w:b/>
          <w:sz w:val="28"/>
          <w:szCs w:val="28"/>
          <w:lang w:val="en-US"/>
        </w:rPr>
        <w:t>Supplementary material to</w:t>
      </w:r>
    </w:p>
    <w:p w14:paraId="6EA2058E" w14:textId="77777777" w:rsidR="00564836" w:rsidRPr="00FB687D" w:rsidRDefault="00564836" w:rsidP="00FB687D">
      <w:pPr>
        <w:spacing w:line="480" w:lineRule="auto"/>
        <w:rPr>
          <w:rFonts w:ascii="Times New Roman" w:hAnsi="Times New Roman"/>
          <w:b/>
          <w:sz w:val="28"/>
          <w:szCs w:val="28"/>
          <w:lang w:val="en-US"/>
        </w:rPr>
      </w:pPr>
    </w:p>
    <w:p w14:paraId="4E21F47F" w14:textId="77777777" w:rsidR="00FB687D" w:rsidRPr="00FB687D" w:rsidRDefault="00FB687D" w:rsidP="00FB687D">
      <w:pPr>
        <w:spacing w:line="480" w:lineRule="auto"/>
        <w:rPr>
          <w:rFonts w:ascii="Times New Roman" w:hAnsi="Times New Roman"/>
          <w:b/>
          <w:bCs/>
          <w:sz w:val="28"/>
          <w:szCs w:val="28"/>
          <w:lang w:val="en-US"/>
        </w:rPr>
      </w:pPr>
      <w:r w:rsidRPr="00FB687D">
        <w:rPr>
          <w:rFonts w:ascii="Times New Roman" w:hAnsi="Times New Roman"/>
          <w:b/>
          <w:bCs/>
          <w:sz w:val="28"/>
          <w:szCs w:val="28"/>
          <w:lang w:val="en-US"/>
        </w:rPr>
        <w:t>Amiloride vs. furosemide for the treatment of edema in human nephrotic syndrome: a pilot study (AMILOR)</w:t>
      </w:r>
    </w:p>
    <w:p w14:paraId="07AD83D8" w14:textId="77777777" w:rsidR="00FB687D" w:rsidRDefault="00FB687D" w:rsidP="00FB687D">
      <w:pPr>
        <w:spacing w:after="120" w:line="480" w:lineRule="auto"/>
        <w:rPr>
          <w:rFonts w:ascii="Times New Roman" w:hAnsi="Times New Roman"/>
          <w:sz w:val="24"/>
          <w:szCs w:val="24"/>
        </w:rPr>
      </w:pPr>
      <w:r>
        <w:rPr>
          <w:rFonts w:ascii="Times New Roman" w:hAnsi="Times New Roman"/>
          <w:sz w:val="24"/>
          <w:szCs w:val="24"/>
        </w:rPr>
        <w:t>Anja Schork</w:t>
      </w:r>
      <w:r>
        <w:rPr>
          <w:rFonts w:ascii="Times New Roman" w:hAnsi="Times New Roman"/>
          <w:sz w:val="24"/>
          <w:szCs w:val="24"/>
          <w:vertAlign w:val="superscript"/>
        </w:rPr>
        <w:t>1-3</w:t>
      </w:r>
      <w:r>
        <w:rPr>
          <w:rFonts w:ascii="Times New Roman" w:hAnsi="Times New Roman"/>
          <w:sz w:val="24"/>
          <w:szCs w:val="24"/>
        </w:rPr>
        <w:t>, Elisabeth Vogel</w:t>
      </w:r>
      <w:r>
        <w:rPr>
          <w:rFonts w:ascii="Times New Roman" w:hAnsi="Times New Roman"/>
          <w:sz w:val="24"/>
          <w:szCs w:val="24"/>
          <w:vertAlign w:val="superscript"/>
        </w:rPr>
        <w:t>1-3</w:t>
      </w:r>
      <w:r>
        <w:rPr>
          <w:rFonts w:ascii="Times New Roman" w:hAnsi="Times New Roman"/>
          <w:sz w:val="24"/>
          <w:szCs w:val="24"/>
        </w:rPr>
        <w:t>, Bernhard N. Bohnert</w:t>
      </w:r>
      <w:r>
        <w:rPr>
          <w:rFonts w:ascii="Times New Roman" w:hAnsi="Times New Roman"/>
          <w:sz w:val="24"/>
          <w:szCs w:val="24"/>
          <w:vertAlign w:val="superscript"/>
        </w:rPr>
        <w:t>1-3</w:t>
      </w:r>
      <w:r>
        <w:rPr>
          <w:rFonts w:ascii="Times New Roman" w:hAnsi="Times New Roman"/>
          <w:sz w:val="24"/>
          <w:szCs w:val="24"/>
        </w:rPr>
        <w:t>, Daniel Essigke</w:t>
      </w:r>
      <w:r>
        <w:rPr>
          <w:rFonts w:ascii="Times New Roman" w:hAnsi="Times New Roman"/>
          <w:sz w:val="24"/>
          <w:szCs w:val="24"/>
          <w:vertAlign w:val="superscript"/>
        </w:rPr>
        <w:t>1-3</w:t>
      </w:r>
      <w:r>
        <w:rPr>
          <w:rFonts w:ascii="Times New Roman" w:hAnsi="Times New Roman"/>
          <w:sz w:val="24"/>
          <w:szCs w:val="24"/>
        </w:rPr>
        <w:t xml:space="preserve">, </w:t>
      </w:r>
      <w:r>
        <w:rPr>
          <w:rFonts w:ascii="Times New Roman" w:hAnsi="Times New Roman"/>
          <w:sz w:val="24"/>
          <w:szCs w:val="24"/>
        </w:rPr>
        <w:br/>
        <w:t>Matthias Wörn</w:t>
      </w:r>
      <w:r>
        <w:rPr>
          <w:rFonts w:ascii="Times New Roman" w:hAnsi="Times New Roman"/>
          <w:sz w:val="24"/>
          <w:szCs w:val="24"/>
          <w:vertAlign w:val="superscript"/>
        </w:rPr>
        <w:t>1-3</w:t>
      </w:r>
      <w:r>
        <w:rPr>
          <w:rFonts w:ascii="Times New Roman" w:hAnsi="Times New Roman"/>
          <w:sz w:val="24"/>
          <w:szCs w:val="24"/>
        </w:rPr>
        <w:t>, Imma Fischer</w:t>
      </w:r>
      <w:r>
        <w:rPr>
          <w:rFonts w:ascii="Times New Roman" w:hAnsi="Times New Roman"/>
          <w:sz w:val="24"/>
          <w:szCs w:val="24"/>
          <w:vertAlign w:val="superscript"/>
        </w:rPr>
        <w:t>4</w:t>
      </w:r>
      <w:r>
        <w:rPr>
          <w:rFonts w:ascii="Times New Roman" w:hAnsi="Times New Roman"/>
          <w:sz w:val="24"/>
          <w:szCs w:val="24"/>
        </w:rPr>
        <w:t>, Nils Heyne</w:t>
      </w:r>
      <w:r>
        <w:rPr>
          <w:rFonts w:ascii="Times New Roman" w:hAnsi="Times New Roman"/>
          <w:sz w:val="24"/>
          <w:szCs w:val="24"/>
          <w:vertAlign w:val="superscript"/>
        </w:rPr>
        <w:t>1-3</w:t>
      </w:r>
      <w:r>
        <w:rPr>
          <w:rFonts w:ascii="Times New Roman" w:hAnsi="Times New Roman"/>
          <w:sz w:val="24"/>
          <w:szCs w:val="24"/>
        </w:rPr>
        <w:t>, Andreas L. Birkenfeld</w:t>
      </w:r>
      <w:r>
        <w:rPr>
          <w:rFonts w:ascii="Times New Roman" w:hAnsi="Times New Roman"/>
          <w:sz w:val="24"/>
          <w:szCs w:val="24"/>
          <w:vertAlign w:val="superscript"/>
        </w:rPr>
        <w:t>1-3</w:t>
      </w:r>
      <w:r>
        <w:rPr>
          <w:rFonts w:ascii="Times New Roman" w:hAnsi="Times New Roman"/>
          <w:sz w:val="24"/>
          <w:szCs w:val="24"/>
        </w:rPr>
        <w:t>, Ferruh Artunc</w:t>
      </w:r>
      <w:r>
        <w:rPr>
          <w:rFonts w:ascii="Times New Roman" w:hAnsi="Times New Roman"/>
          <w:sz w:val="24"/>
          <w:szCs w:val="24"/>
          <w:vertAlign w:val="superscript"/>
        </w:rPr>
        <w:t>1-3</w:t>
      </w:r>
    </w:p>
    <w:p w14:paraId="7B5520E7" w14:textId="77777777" w:rsidR="00FB687D" w:rsidRDefault="00FB687D" w:rsidP="00FB687D">
      <w:pPr>
        <w:spacing w:line="480" w:lineRule="auto"/>
        <w:rPr>
          <w:rFonts w:ascii="Times New Roman" w:hAnsi="Times New Roman"/>
          <w:b/>
          <w:sz w:val="24"/>
          <w:szCs w:val="24"/>
          <w:lang w:val="en-US"/>
        </w:rPr>
      </w:pPr>
    </w:p>
    <w:p w14:paraId="1B3537B6" w14:textId="7325D082" w:rsidR="00FB687D" w:rsidRDefault="00FB687D" w:rsidP="00FB687D">
      <w:pPr>
        <w:spacing w:line="480" w:lineRule="auto"/>
        <w:rPr>
          <w:rFonts w:ascii="Times New Roman" w:hAnsi="Times New Roman"/>
          <w:b/>
          <w:sz w:val="24"/>
          <w:szCs w:val="24"/>
          <w:lang w:val="en-US"/>
        </w:rPr>
      </w:pPr>
      <w:r>
        <w:rPr>
          <w:rFonts w:ascii="Times New Roman" w:hAnsi="Times New Roman"/>
          <w:b/>
          <w:sz w:val="24"/>
          <w:szCs w:val="24"/>
          <w:lang w:val="en-US"/>
        </w:rPr>
        <w:t>Supplementary methods</w:t>
      </w:r>
    </w:p>
    <w:p w14:paraId="5F8432B2" w14:textId="19E55A94" w:rsidR="00397539" w:rsidRDefault="00397539" w:rsidP="00397539">
      <w:pPr>
        <w:spacing w:line="480" w:lineRule="auto"/>
        <w:rPr>
          <w:rFonts w:ascii="Times New Roman" w:hAnsi="Times New Roman"/>
          <w:bCs/>
          <w:i/>
          <w:sz w:val="24"/>
          <w:szCs w:val="24"/>
          <w:lang w:val="en-US"/>
        </w:rPr>
      </w:pPr>
      <w:r>
        <w:rPr>
          <w:rFonts w:ascii="Times New Roman" w:hAnsi="Times New Roman"/>
          <w:bCs/>
          <w:i/>
          <w:sz w:val="24"/>
          <w:szCs w:val="24"/>
          <w:lang w:val="en-US"/>
        </w:rPr>
        <w:t xml:space="preserve">Clinical chemistry </w:t>
      </w:r>
    </w:p>
    <w:p w14:paraId="1B7C1609" w14:textId="717A1D66" w:rsidR="00397539" w:rsidRDefault="00397539" w:rsidP="00397539">
      <w:pPr>
        <w:spacing w:line="480" w:lineRule="auto"/>
        <w:rPr>
          <w:rFonts w:ascii="Times New Roman" w:hAnsi="Times New Roman"/>
          <w:bCs/>
          <w:sz w:val="24"/>
          <w:szCs w:val="24"/>
          <w:lang w:val="en-US"/>
        </w:rPr>
      </w:pPr>
      <w:r>
        <w:rPr>
          <w:rFonts w:ascii="Times New Roman" w:hAnsi="Times New Roman"/>
          <w:bCs/>
          <w:sz w:val="24"/>
          <w:szCs w:val="24"/>
          <w:lang w:val="en-US"/>
        </w:rPr>
        <w:t xml:space="preserve">Routine laboratory parameters were measured at the Institute for Clinical Chemistry and </w:t>
      </w:r>
      <w:proofErr w:type="spellStart"/>
      <w:r>
        <w:rPr>
          <w:rFonts w:ascii="Times New Roman" w:hAnsi="Times New Roman"/>
          <w:bCs/>
          <w:sz w:val="24"/>
          <w:szCs w:val="24"/>
          <w:lang w:val="en-US"/>
        </w:rPr>
        <w:t>Pathobiochemistry</w:t>
      </w:r>
      <w:proofErr w:type="spellEnd"/>
      <w:r>
        <w:rPr>
          <w:rFonts w:ascii="Times New Roman" w:hAnsi="Times New Roman"/>
          <w:bCs/>
          <w:sz w:val="24"/>
          <w:szCs w:val="24"/>
          <w:lang w:val="en-US"/>
        </w:rPr>
        <w:t xml:space="preserve"> (Central Laboratory) of the University Hospital Tübingen under accredited conditions and obtained from the LAURIS Order Communication System (Nexus AG/ </w:t>
      </w:r>
      <w:proofErr w:type="spellStart"/>
      <w:r>
        <w:rPr>
          <w:rFonts w:ascii="Times New Roman" w:hAnsi="Times New Roman"/>
          <w:bCs/>
          <w:sz w:val="24"/>
          <w:szCs w:val="24"/>
          <w:lang w:val="en-US"/>
        </w:rPr>
        <w:t>Swisslab</w:t>
      </w:r>
      <w:proofErr w:type="spellEnd"/>
      <w:r>
        <w:rPr>
          <w:rFonts w:ascii="Times New Roman" w:hAnsi="Times New Roman"/>
          <w:bCs/>
          <w:sz w:val="24"/>
          <w:szCs w:val="24"/>
          <w:lang w:val="en-US"/>
        </w:rPr>
        <w:t xml:space="preserve">). Serum aldosterone concentration and plasma renin activity were measured manually using </w:t>
      </w:r>
      <w:proofErr w:type="spellStart"/>
      <w:r>
        <w:rPr>
          <w:rFonts w:ascii="Times New Roman" w:hAnsi="Times New Roman"/>
          <w:bCs/>
          <w:sz w:val="24"/>
          <w:szCs w:val="24"/>
          <w:lang w:val="en-US"/>
        </w:rPr>
        <w:t>radioimmunoassays</w:t>
      </w:r>
      <w:proofErr w:type="spellEnd"/>
      <w:r>
        <w:rPr>
          <w:rFonts w:ascii="Times New Roman" w:hAnsi="Times New Roman"/>
          <w:bCs/>
          <w:sz w:val="24"/>
          <w:szCs w:val="24"/>
          <w:lang w:val="en-US"/>
        </w:rPr>
        <w:t xml:space="preserve"> (</w:t>
      </w:r>
      <w:proofErr w:type="spellStart"/>
      <w:r>
        <w:rPr>
          <w:rFonts w:ascii="Times New Roman" w:hAnsi="Times New Roman"/>
          <w:bCs/>
          <w:sz w:val="24"/>
          <w:szCs w:val="24"/>
          <w:lang w:val="en-US"/>
        </w:rPr>
        <w:t>Immunotech</w:t>
      </w:r>
      <w:proofErr w:type="spellEnd"/>
      <w:r>
        <w:rPr>
          <w:rFonts w:ascii="Times New Roman" w:hAnsi="Times New Roman"/>
          <w:bCs/>
          <w:sz w:val="24"/>
          <w:szCs w:val="24"/>
          <w:lang w:val="en-US"/>
        </w:rPr>
        <w:t xml:space="preserve">, Prague, Czech Republic; </w:t>
      </w:r>
      <w:proofErr w:type="spellStart"/>
      <w:r>
        <w:rPr>
          <w:rFonts w:ascii="Times New Roman" w:hAnsi="Times New Roman"/>
          <w:bCs/>
          <w:sz w:val="24"/>
          <w:szCs w:val="24"/>
          <w:lang w:val="en-US"/>
        </w:rPr>
        <w:t>Zentech</w:t>
      </w:r>
      <w:proofErr w:type="spellEnd"/>
      <w:r>
        <w:rPr>
          <w:rFonts w:ascii="Times New Roman" w:hAnsi="Times New Roman"/>
          <w:bCs/>
          <w:sz w:val="24"/>
          <w:szCs w:val="24"/>
          <w:lang w:val="en-US"/>
        </w:rPr>
        <w:t xml:space="preserve">, </w:t>
      </w:r>
      <w:proofErr w:type="spellStart"/>
      <w:r>
        <w:rPr>
          <w:rFonts w:ascii="Times New Roman" w:hAnsi="Times New Roman"/>
          <w:bCs/>
          <w:sz w:val="24"/>
          <w:szCs w:val="24"/>
          <w:lang w:val="en-US"/>
        </w:rPr>
        <w:t>Angleur</w:t>
      </w:r>
      <w:proofErr w:type="spellEnd"/>
      <w:r>
        <w:rPr>
          <w:rFonts w:ascii="Times New Roman" w:hAnsi="Times New Roman"/>
          <w:bCs/>
          <w:sz w:val="24"/>
          <w:szCs w:val="24"/>
          <w:lang w:val="en-US"/>
        </w:rPr>
        <w:t xml:space="preserve">, Belgium) at the nephrology laboratory of the University Hospital of Tübingen. </w:t>
      </w:r>
      <w:r w:rsidR="00326A30">
        <w:rPr>
          <w:rFonts w:ascii="Times New Roman" w:hAnsi="Times New Roman"/>
          <w:bCs/>
          <w:sz w:val="24"/>
          <w:szCs w:val="24"/>
          <w:lang w:val="en-US"/>
        </w:rPr>
        <w:t>The samples were drawn without having the patients rested.</w:t>
      </w:r>
    </w:p>
    <w:p w14:paraId="2F0955E4" w14:textId="4196AB26" w:rsidR="00397539" w:rsidRDefault="00397539" w:rsidP="00FB687D">
      <w:pPr>
        <w:spacing w:line="480" w:lineRule="auto"/>
        <w:rPr>
          <w:rFonts w:ascii="Times New Roman" w:hAnsi="Times New Roman"/>
          <w:i/>
          <w:sz w:val="24"/>
          <w:szCs w:val="24"/>
          <w:lang w:val="en-US"/>
        </w:rPr>
      </w:pPr>
    </w:p>
    <w:p w14:paraId="4C30A7DF" w14:textId="77777777" w:rsidR="00B26A0B" w:rsidRDefault="00B26A0B" w:rsidP="00FB687D">
      <w:pPr>
        <w:spacing w:line="480" w:lineRule="auto"/>
        <w:rPr>
          <w:rFonts w:ascii="Times New Roman" w:hAnsi="Times New Roman"/>
          <w:i/>
          <w:sz w:val="24"/>
          <w:szCs w:val="24"/>
          <w:lang w:val="en-US"/>
        </w:rPr>
      </w:pPr>
    </w:p>
    <w:p w14:paraId="63A71051" w14:textId="75573E98" w:rsidR="00FB687D" w:rsidRDefault="00FB687D" w:rsidP="00FB687D">
      <w:pPr>
        <w:spacing w:line="480" w:lineRule="auto"/>
        <w:rPr>
          <w:rFonts w:ascii="Times New Roman" w:hAnsi="Times New Roman"/>
          <w:i/>
          <w:sz w:val="24"/>
          <w:szCs w:val="24"/>
          <w:lang w:val="en-US"/>
        </w:rPr>
      </w:pPr>
      <w:r>
        <w:rPr>
          <w:rFonts w:ascii="Times New Roman" w:hAnsi="Times New Roman"/>
          <w:i/>
          <w:sz w:val="24"/>
          <w:szCs w:val="24"/>
          <w:lang w:val="en-US"/>
        </w:rPr>
        <w:t>Extraction of furosemide and amiloride from urine samples and analysis by high pressure liquid chromatography (HPLC)</w:t>
      </w:r>
    </w:p>
    <w:p w14:paraId="1B29CD0B" w14:textId="77777777" w:rsidR="00FB687D" w:rsidRDefault="00FB687D" w:rsidP="00FB687D">
      <w:pPr>
        <w:spacing w:line="480" w:lineRule="auto"/>
        <w:rPr>
          <w:rFonts w:ascii="Times New Roman" w:hAnsi="Times New Roman"/>
          <w:bCs/>
          <w:sz w:val="24"/>
          <w:szCs w:val="24"/>
          <w:lang w:val="en-US"/>
        </w:rPr>
      </w:pPr>
      <w:r>
        <w:rPr>
          <w:rFonts w:ascii="Times New Roman" w:hAnsi="Times New Roman"/>
          <w:bCs/>
          <w:sz w:val="24"/>
          <w:szCs w:val="24"/>
          <w:lang w:val="en-US"/>
        </w:rPr>
        <w:t xml:space="preserve">Initially, to 300 µl of each urine sample, either 9 µl of 2 M hydrochloric acid was added to protonate and therefore un-ionize furosemide, or 200 µl of 2 M sodium hydroxide to deprotonate and un-ionize amiloride. Subsequently, 1500 µl of ethyl acetate was added to the samples for the extraction process. The mixture was vigorously vortexed, followed by shaking at 1000 RPM for 10 minutes for furosemide samples and 30 minutes for amiloride samples so </w:t>
      </w:r>
      <w:r>
        <w:rPr>
          <w:rFonts w:ascii="Times New Roman" w:hAnsi="Times New Roman"/>
          <w:bCs/>
          <w:sz w:val="24"/>
          <w:szCs w:val="24"/>
          <w:lang w:val="en-US"/>
        </w:rPr>
        <w:lastRenderedPageBreak/>
        <w:t xml:space="preserve">that the two phases were well mixed. The samples were then centrifuged at 700 g for 10 minutes, for separation of the aqueous and organic phases. After the separation, 1.2 ml of the 1.5 ml organic supernatant was transferred to fresh tubes. The ethyl acetate phase was then completely evaporated in a vacuum concentrator at 60 °C. The resultant pellet was redissolved in 300 µl of the mobile phase for high performance liquid chromatography (HPLC), composed of 39% methanol and 61% 0.02 M potassium phosphate buffer (pH 3) for the determination of the urinary furosemide concentration, and 20% methanol and 80% 0.02 M potassium phosphate buffer (pH 3) for the determination of the urinary amiloride concentration. As standard, furosemide and amiloride were dissolved in urine from a healthy donor in the range of 0.25 to 4 µg/ml and extracted in the same way as the urine samples. For the HPLC measurements, the redissolved samples of furosemide were 1:10 diluted by mixing 30 </w:t>
      </w:r>
      <w:proofErr w:type="spellStart"/>
      <w:r>
        <w:rPr>
          <w:rFonts w:ascii="Times New Roman" w:hAnsi="Times New Roman"/>
          <w:bCs/>
          <w:sz w:val="24"/>
          <w:szCs w:val="24"/>
          <w:lang w:val="en-US"/>
        </w:rPr>
        <w:t>μl</w:t>
      </w:r>
      <w:proofErr w:type="spellEnd"/>
      <w:r>
        <w:rPr>
          <w:rFonts w:ascii="Times New Roman" w:hAnsi="Times New Roman"/>
          <w:bCs/>
          <w:sz w:val="24"/>
          <w:szCs w:val="24"/>
          <w:lang w:val="en-US"/>
        </w:rPr>
        <w:t xml:space="preserve"> of the sample with 270 </w:t>
      </w:r>
      <w:proofErr w:type="spellStart"/>
      <w:r>
        <w:rPr>
          <w:rFonts w:ascii="Times New Roman" w:hAnsi="Times New Roman"/>
          <w:bCs/>
          <w:sz w:val="24"/>
          <w:szCs w:val="24"/>
          <w:lang w:val="en-US"/>
        </w:rPr>
        <w:t>μl</w:t>
      </w:r>
      <w:proofErr w:type="spellEnd"/>
      <w:r>
        <w:rPr>
          <w:rFonts w:ascii="Times New Roman" w:hAnsi="Times New Roman"/>
          <w:bCs/>
          <w:sz w:val="24"/>
          <w:szCs w:val="24"/>
          <w:lang w:val="en-US"/>
        </w:rPr>
        <w:t xml:space="preserve"> of the mobile phase solution, whereas amiloride samples were directly introduced to the HPLC system. The samples were injected by an autosampler and pumped to the HPLC column (Sykam, </w:t>
      </w:r>
      <w:proofErr w:type="spellStart"/>
      <w:r>
        <w:rPr>
          <w:rFonts w:ascii="Times New Roman" w:hAnsi="Times New Roman"/>
          <w:bCs/>
          <w:sz w:val="24"/>
          <w:szCs w:val="24"/>
          <w:lang w:val="en-US"/>
        </w:rPr>
        <w:t>Fürstenfeldbruck</w:t>
      </w:r>
      <w:proofErr w:type="spellEnd"/>
      <w:r>
        <w:rPr>
          <w:rFonts w:ascii="Times New Roman" w:hAnsi="Times New Roman"/>
          <w:bCs/>
          <w:sz w:val="24"/>
          <w:szCs w:val="24"/>
          <w:lang w:val="en-US"/>
        </w:rPr>
        <w:t>, Germany). A 250 mm length C-18 reversed-phase column with 4.6 mm inner diameter (</w:t>
      </w:r>
      <w:proofErr w:type="spellStart"/>
      <w:r>
        <w:rPr>
          <w:rFonts w:ascii="Times New Roman" w:hAnsi="Times New Roman"/>
          <w:bCs/>
          <w:sz w:val="24"/>
          <w:szCs w:val="24"/>
          <w:lang w:val="en-US"/>
        </w:rPr>
        <w:t>Spherisorb</w:t>
      </w:r>
      <w:proofErr w:type="spellEnd"/>
      <w:r>
        <w:rPr>
          <w:rFonts w:ascii="Times New Roman" w:hAnsi="Times New Roman"/>
          <w:bCs/>
          <w:sz w:val="24"/>
          <w:szCs w:val="24"/>
          <w:lang w:val="en-US"/>
        </w:rPr>
        <w:t xml:space="preserve"> ODS-2, 5 µm, Grom, Rottenburg-</w:t>
      </w:r>
      <w:proofErr w:type="spellStart"/>
      <w:r>
        <w:rPr>
          <w:rFonts w:ascii="Times New Roman" w:hAnsi="Times New Roman"/>
          <w:bCs/>
          <w:sz w:val="24"/>
          <w:szCs w:val="24"/>
          <w:lang w:val="en-US"/>
        </w:rPr>
        <w:t>Hailfingen</w:t>
      </w:r>
      <w:proofErr w:type="spellEnd"/>
      <w:r>
        <w:rPr>
          <w:rFonts w:ascii="Times New Roman" w:hAnsi="Times New Roman"/>
          <w:bCs/>
          <w:sz w:val="24"/>
          <w:szCs w:val="24"/>
          <w:lang w:val="en-US"/>
        </w:rPr>
        <w:t xml:space="preserve">, Germany) was used. The mobile phase for HPLC was maintained under isocratic conditions without a gradient. The injection volume at the autosampler was set to 50 µL, and the column flow rate to 1 ml/min. The eluates from the HPLC were monitored and quantified using an Ultraviolet-Visible (UV-Vis) detector. The furosemide peaks were detected at the extinction wavelength of 283 nm, and the amiloride peaks at 362 nm (Suppl. Figure S1). The peaks were quantified from the area under the curve (AUC), using the software </w:t>
      </w:r>
      <w:proofErr w:type="spellStart"/>
      <w:r>
        <w:rPr>
          <w:rFonts w:ascii="Times New Roman" w:hAnsi="Times New Roman"/>
          <w:bCs/>
          <w:sz w:val="24"/>
          <w:szCs w:val="24"/>
          <w:lang w:val="en-US"/>
        </w:rPr>
        <w:t>ChromStar</w:t>
      </w:r>
      <w:proofErr w:type="spellEnd"/>
      <w:r>
        <w:rPr>
          <w:rFonts w:ascii="Times New Roman" w:hAnsi="Times New Roman"/>
          <w:bCs/>
          <w:sz w:val="24"/>
          <w:szCs w:val="24"/>
          <w:lang w:val="en-US"/>
        </w:rPr>
        <w:t xml:space="preserve"> 7 (SCPA, Weyhe-</w:t>
      </w:r>
      <w:proofErr w:type="spellStart"/>
      <w:r>
        <w:rPr>
          <w:rFonts w:ascii="Times New Roman" w:hAnsi="Times New Roman"/>
          <w:bCs/>
          <w:sz w:val="24"/>
          <w:szCs w:val="24"/>
          <w:lang w:val="en-US"/>
        </w:rPr>
        <w:t>Leeste</w:t>
      </w:r>
      <w:proofErr w:type="spellEnd"/>
      <w:r>
        <w:rPr>
          <w:rFonts w:ascii="Times New Roman" w:hAnsi="Times New Roman"/>
          <w:bCs/>
          <w:sz w:val="24"/>
          <w:szCs w:val="24"/>
          <w:lang w:val="en-US"/>
        </w:rPr>
        <w:t xml:space="preserve">, Germany). </w:t>
      </w:r>
    </w:p>
    <w:p w14:paraId="2DABDBC4" w14:textId="6A9C743A" w:rsidR="00FB687D" w:rsidRDefault="00FB687D" w:rsidP="00FB687D">
      <w:pPr>
        <w:spacing w:line="480" w:lineRule="auto"/>
        <w:rPr>
          <w:rFonts w:ascii="Times New Roman" w:hAnsi="Times New Roman"/>
          <w:b/>
          <w:sz w:val="24"/>
          <w:szCs w:val="24"/>
          <w:lang w:val="en-US"/>
        </w:rPr>
      </w:pPr>
    </w:p>
    <w:p w14:paraId="0F23C431" w14:textId="04304BDB" w:rsidR="00B26A0B" w:rsidRDefault="00B26A0B" w:rsidP="00FB687D">
      <w:pPr>
        <w:spacing w:line="480" w:lineRule="auto"/>
        <w:rPr>
          <w:rFonts w:ascii="Times New Roman" w:hAnsi="Times New Roman"/>
          <w:b/>
          <w:sz w:val="24"/>
          <w:szCs w:val="24"/>
          <w:lang w:val="en-US"/>
        </w:rPr>
      </w:pPr>
    </w:p>
    <w:p w14:paraId="4BDAC42F" w14:textId="3BCDBC7A" w:rsidR="00B26A0B" w:rsidRDefault="00B26A0B" w:rsidP="00FB687D">
      <w:pPr>
        <w:spacing w:line="480" w:lineRule="auto"/>
        <w:rPr>
          <w:rFonts w:ascii="Times New Roman" w:hAnsi="Times New Roman"/>
          <w:b/>
          <w:sz w:val="24"/>
          <w:szCs w:val="24"/>
          <w:lang w:val="en-US"/>
        </w:rPr>
      </w:pPr>
    </w:p>
    <w:p w14:paraId="5EC46F6E" w14:textId="4F4C2032" w:rsidR="00B26A0B" w:rsidRDefault="00B26A0B" w:rsidP="00FB687D">
      <w:pPr>
        <w:spacing w:line="480" w:lineRule="auto"/>
        <w:rPr>
          <w:rFonts w:ascii="Times New Roman" w:hAnsi="Times New Roman"/>
          <w:b/>
          <w:sz w:val="24"/>
          <w:szCs w:val="24"/>
          <w:lang w:val="en-US"/>
        </w:rPr>
      </w:pPr>
    </w:p>
    <w:p w14:paraId="367BEF16" w14:textId="74576F3B" w:rsidR="00B26A0B" w:rsidRDefault="00B26A0B" w:rsidP="00FB687D">
      <w:pPr>
        <w:spacing w:line="480" w:lineRule="auto"/>
        <w:rPr>
          <w:rFonts w:ascii="Times New Roman" w:hAnsi="Times New Roman"/>
          <w:b/>
          <w:sz w:val="24"/>
          <w:szCs w:val="24"/>
          <w:lang w:val="en-US"/>
        </w:rPr>
      </w:pPr>
    </w:p>
    <w:p w14:paraId="351AAD98" w14:textId="4DF25600" w:rsidR="00FB687D" w:rsidRDefault="00FB687D" w:rsidP="00FB687D">
      <w:pPr>
        <w:spacing w:line="480" w:lineRule="auto"/>
        <w:rPr>
          <w:rFonts w:ascii="Times New Roman" w:hAnsi="Times New Roman"/>
          <w:b/>
          <w:sz w:val="24"/>
          <w:szCs w:val="24"/>
          <w:lang w:val="en-US"/>
        </w:rPr>
      </w:pPr>
      <w:r>
        <w:rPr>
          <w:rFonts w:ascii="Times New Roman" w:hAnsi="Times New Roman"/>
          <w:b/>
          <w:sz w:val="24"/>
          <w:szCs w:val="24"/>
          <w:lang w:val="en-US"/>
        </w:rPr>
        <w:lastRenderedPageBreak/>
        <w:t>Supplemental Figure 1. Representative chromatograms from HPLC</w:t>
      </w:r>
    </w:p>
    <w:p w14:paraId="5B826D52" w14:textId="77777777" w:rsidR="00FB687D" w:rsidRDefault="00FB687D" w:rsidP="00FB687D">
      <w:pPr>
        <w:spacing w:line="480" w:lineRule="auto"/>
        <w:rPr>
          <w:rFonts w:ascii="Times New Roman" w:hAnsi="Times New Roman"/>
          <w:sz w:val="24"/>
          <w:szCs w:val="24"/>
          <w:lang w:val="en-US"/>
        </w:rPr>
      </w:pPr>
      <w:r>
        <w:rPr>
          <w:rFonts w:ascii="Times New Roman" w:hAnsi="Times New Roman"/>
          <w:sz w:val="24"/>
          <w:szCs w:val="24"/>
          <w:lang w:val="en-US"/>
        </w:rPr>
        <w:t>Original signal values plotted in GraphPad Prism.</w:t>
      </w:r>
    </w:p>
    <w:p w14:paraId="24D2243E" w14:textId="390E3826" w:rsidR="00FB687D" w:rsidRDefault="007063FF" w:rsidP="00FB687D">
      <w:pPr>
        <w:spacing w:line="480" w:lineRule="auto"/>
        <w:rPr>
          <w:rFonts w:ascii="Times New Roman" w:hAnsi="Times New Roman"/>
          <w:b/>
          <w:sz w:val="24"/>
          <w:szCs w:val="24"/>
          <w:lang w:val="en-US"/>
        </w:rPr>
      </w:pPr>
      <w:r>
        <w:rPr>
          <w:rFonts w:ascii="Times New Roman" w:hAnsi="Times New Roman"/>
          <w:b/>
          <w:noProof/>
          <w:sz w:val="24"/>
          <w:szCs w:val="24"/>
          <w:lang w:val="en-US"/>
          <w14:ligatures w14:val="standardContextual"/>
        </w:rPr>
        <w:drawing>
          <wp:inline distT="0" distB="0" distL="0" distR="0" wp14:anchorId="718CDB66" wp14:editId="19A7397A">
            <wp:extent cx="5740400" cy="4470400"/>
            <wp:effectExtent l="0" t="0" r="0" b="6350"/>
            <wp:docPr id="200986800" name="Grafik 1" descr="Ein Bild, das Text, Diagramm, Reihe,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86800" name="Grafik 1" descr="Ein Bild, das Text, Diagramm, Reihe, Screenshot enthält.&#10;&#10;Automatisch generierte Beschreibu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40400" cy="4470400"/>
                    </a:xfrm>
                    <a:prstGeom prst="rect">
                      <a:avLst/>
                    </a:prstGeom>
                  </pic:spPr>
                </pic:pic>
              </a:graphicData>
            </a:graphic>
          </wp:inline>
        </w:drawing>
      </w:r>
    </w:p>
    <w:p w14:paraId="70D5C4A5" w14:textId="77777777" w:rsidR="00B26A0B" w:rsidRDefault="00B26A0B" w:rsidP="00FB687D">
      <w:pPr>
        <w:spacing w:line="480" w:lineRule="auto"/>
        <w:rPr>
          <w:rFonts w:ascii="Times New Roman" w:hAnsi="Times New Roman"/>
          <w:i/>
          <w:sz w:val="24"/>
          <w:szCs w:val="24"/>
          <w:lang w:val="en-US"/>
        </w:rPr>
      </w:pPr>
    </w:p>
    <w:p w14:paraId="114D7F11" w14:textId="77777777" w:rsidR="00B26A0B" w:rsidRDefault="00B26A0B">
      <w:pPr>
        <w:suppressAutoHyphens w:val="0"/>
        <w:spacing w:after="160" w:line="259" w:lineRule="auto"/>
        <w:jc w:val="left"/>
        <w:rPr>
          <w:rFonts w:ascii="Times New Roman" w:hAnsi="Times New Roman"/>
          <w:i/>
          <w:sz w:val="24"/>
          <w:szCs w:val="24"/>
          <w:lang w:val="en-US"/>
        </w:rPr>
      </w:pPr>
      <w:r>
        <w:rPr>
          <w:rFonts w:ascii="Times New Roman" w:hAnsi="Times New Roman"/>
          <w:i/>
          <w:sz w:val="24"/>
          <w:szCs w:val="24"/>
          <w:lang w:val="en-US"/>
        </w:rPr>
        <w:br w:type="page"/>
      </w:r>
    </w:p>
    <w:p w14:paraId="3565FCB6" w14:textId="3A5606BE" w:rsidR="00FB687D" w:rsidRDefault="00FB687D" w:rsidP="00FB687D">
      <w:pPr>
        <w:spacing w:line="480" w:lineRule="auto"/>
        <w:rPr>
          <w:rFonts w:ascii="Times New Roman" w:hAnsi="Times New Roman"/>
          <w:i/>
          <w:sz w:val="24"/>
          <w:szCs w:val="24"/>
          <w:lang w:val="en-US"/>
        </w:rPr>
      </w:pPr>
      <w:r>
        <w:rPr>
          <w:rFonts w:ascii="Times New Roman" w:hAnsi="Times New Roman"/>
          <w:i/>
          <w:sz w:val="24"/>
          <w:szCs w:val="24"/>
          <w:lang w:val="en-US"/>
        </w:rPr>
        <w:lastRenderedPageBreak/>
        <w:t>Determination of urinary serine protease activity using the peptide substrate Ac-FTGRKR-AMC</w:t>
      </w:r>
    </w:p>
    <w:p w14:paraId="249C963B" w14:textId="77777777" w:rsidR="00FB687D" w:rsidRDefault="00FB687D" w:rsidP="00FB687D">
      <w:pPr>
        <w:spacing w:line="480" w:lineRule="auto"/>
        <w:rPr>
          <w:rFonts w:ascii="Times New Roman" w:hAnsi="Times New Roman"/>
          <w:b/>
          <w:sz w:val="24"/>
          <w:szCs w:val="24"/>
          <w:lang w:val="en-US"/>
        </w:rPr>
      </w:pPr>
      <w:r>
        <w:rPr>
          <w:rFonts w:ascii="Times New Roman" w:hAnsi="Times New Roman"/>
          <w:sz w:val="24"/>
          <w:szCs w:val="24"/>
          <w:lang w:val="en-US"/>
        </w:rPr>
        <w:t xml:space="preserve">The used peptide substrate FTGRKR represents the polybasic tract of γ-ENaC which is the cleavage site for serine proteases. The peptide has a N-terminal acetylation and is coupled to C-terminal 7-amino-4-methyl-coumarin (AMC), which is fluorescent after release by the cleavage of the adjacent peptide bound. The substrate stock was dissolved in HPLC-grade water (2 mg/ml). Two different working solutions were prepared, with and without aprotinin, to determine the aprotinin-sensitive protease activity in each urine sample. 5 </w:t>
      </w:r>
      <w:proofErr w:type="spellStart"/>
      <w:r>
        <w:rPr>
          <w:rFonts w:ascii="Times New Roman" w:hAnsi="Times New Roman"/>
          <w:sz w:val="24"/>
          <w:szCs w:val="24"/>
          <w:lang w:val="en-US"/>
        </w:rPr>
        <w:t>μl</w:t>
      </w:r>
      <w:proofErr w:type="spellEnd"/>
      <w:r>
        <w:rPr>
          <w:rFonts w:ascii="Times New Roman" w:hAnsi="Times New Roman"/>
          <w:sz w:val="24"/>
          <w:szCs w:val="24"/>
          <w:lang w:val="en-US"/>
        </w:rPr>
        <w:t xml:space="preserve"> of aprotinin solution (2 mg/ml in phosphate-buffered saline [PBS]) or 5 µl PBS “without aprotinin” were added in the respective working solution, leading to a final concentration of 0.1 mg/ml. The remaining volume of the working solutions was filled up with PBS. Control samples were prepared using 20 </w:t>
      </w:r>
      <w:proofErr w:type="spellStart"/>
      <w:r>
        <w:rPr>
          <w:rFonts w:ascii="Times New Roman" w:hAnsi="Times New Roman"/>
          <w:sz w:val="24"/>
          <w:szCs w:val="24"/>
          <w:lang w:val="en-US"/>
        </w:rPr>
        <w:t>μl</w:t>
      </w:r>
      <w:proofErr w:type="spellEnd"/>
      <w:r>
        <w:rPr>
          <w:rFonts w:ascii="Times New Roman" w:hAnsi="Times New Roman"/>
          <w:sz w:val="24"/>
          <w:szCs w:val="24"/>
          <w:lang w:val="en-US"/>
        </w:rPr>
        <w:t xml:space="preserve"> of PBS instead of urine, both with and without the addition of aprotinin, and always with substrate. 80 µl of the working solutions were added to wells already filled with 20 µl urine samples to start the incubation, thereby achieving the assay's total volume of 100 </w:t>
      </w:r>
      <w:proofErr w:type="spellStart"/>
      <w:r>
        <w:rPr>
          <w:rFonts w:ascii="Times New Roman" w:hAnsi="Times New Roman"/>
          <w:sz w:val="24"/>
          <w:szCs w:val="24"/>
          <w:lang w:val="en-US"/>
        </w:rPr>
        <w:t>μl</w:t>
      </w:r>
      <w:proofErr w:type="spellEnd"/>
      <w:r>
        <w:rPr>
          <w:rFonts w:ascii="Times New Roman" w:hAnsi="Times New Roman"/>
          <w:sz w:val="24"/>
          <w:szCs w:val="24"/>
          <w:lang w:val="en-US"/>
        </w:rPr>
        <w:t xml:space="preserve"> per well. The assay mixtures were incubated for 24 hours protected from light at 37°C, after which the fluorescence was measured using an ELISA reader (380/460 nm).</w:t>
      </w:r>
      <w:r>
        <w:rPr>
          <w:rFonts w:ascii="Times New Roman" w:hAnsi="Times New Roman"/>
          <w:b/>
          <w:sz w:val="24"/>
          <w:szCs w:val="24"/>
          <w:lang w:val="en-US"/>
        </w:rPr>
        <w:br w:type="page"/>
      </w:r>
    </w:p>
    <w:p w14:paraId="7404FC31" w14:textId="14DA88D4" w:rsidR="00D450B0" w:rsidRDefault="00D450B0" w:rsidP="00D450B0">
      <w:pPr>
        <w:spacing w:line="480" w:lineRule="auto"/>
        <w:rPr>
          <w:rFonts w:ascii="Times New Roman" w:hAnsi="Times New Roman"/>
          <w:i/>
          <w:sz w:val="24"/>
          <w:szCs w:val="24"/>
          <w:lang w:val="en-US"/>
        </w:rPr>
      </w:pPr>
      <w:r>
        <w:rPr>
          <w:rFonts w:ascii="Times New Roman" w:hAnsi="Times New Roman"/>
          <w:i/>
          <w:sz w:val="24"/>
          <w:szCs w:val="24"/>
          <w:lang w:val="en-US"/>
        </w:rPr>
        <w:lastRenderedPageBreak/>
        <w:t>End p</w:t>
      </w:r>
      <w:r w:rsidR="00B26A0B">
        <w:rPr>
          <w:rFonts w:ascii="Times New Roman" w:hAnsi="Times New Roman"/>
          <w:i/>
          <w:sz w:val="24"/>
          <w:szCs w:val="24"/>
          <w:lang w:val="en-US"/>
        </w:rPr>
        <w:t>oints and</w:t>
      </w:r>
      <w:r>
        <w:rPr>
          <w:rFonts w:ascii="Times New Roman" w:hAnsi="Times New Roman"/>
          <w:i/>
          <w:sz w:val="24"/>
          <w:szCs w:val="24"/>
          <w:lang w:val="en-US"/>
        </w:rPr>
        <w:t xml:space="preserve"> sample size calculation </w:t>
      </w:r>
    </w:p>
    <w:p w14:paraId="7E4BE5B9" w14:textId="514D0C02" w:rsidR="00D450B0" w:rsidRDefault="00D450B0" w:rsidP="00D450B0">
      <w:pPr>
        <w:spacing w:line="480" w:lineRule="auto"/>
        <w:rPr>
          <w:rFonts w:ascii="Times New Roman" w:hAnsi="Times New Roman"/>
          <w:bCs/>
          <w:sz w:val="24"/>
          <w:szCs w:val="24"/>
          <w:lang w:val="en-US"/>
        </w:rPr>
      </w:pPr>
      <w:r>
        <w:rPr>
          <w:rFonts w:ascii="Times New Roman" w:hAnsi="Times New Roman"/>
          <w:sz w:val="24"/>
          <w:szCs w:val="24"/>
          <w:lang w:val="en-US"/>
        </w:rPr>
        <w:t xml:space="preserve">The primary endpoint was the decrease of OH on d8 compared to baseline, </w:t>
      </w:r>
      <w:r>
        <w:rPr>
          <w:rFonts w:ascii="Times New Roman" w:hAnsi="Times New Roman"/>
          <w:bCs/>
          <w:sz w:val="24"/>
          <w:szCs w:val="24"/>
          <w:lang w:val="en-US"/>
        </w:rPr>
        <w:t>expressed as percent of extracellular water (% ECW) to ensure inter-individual comparability. Secondary endpoints were decrease of overhydration after 16 days, decrease of body weight, systolic and diastolic blood pressure as well as oedema circumference after 8 and 16 days, increase of urine volume and natriuresis after 8 and 16 days, course of plasma renin activity and serum aldosterone concentration after 8 and 16 days, number of required changes of dose of study medication, need for co-medication with HCT after 8 days and occurrence of adverse events.</w:t>
      </w:r>
    </w:p>
    <w:p w14:paraId="40B8E936" w14:textId="77777777" w:rsidR="00D450B0" w:rsidRDefault="00D450B0" w:rsidP="00D450B0">
      <w:pPr>
        <w:spacing w:line="480" w:lineRule="auto"/>
        <w:rPr>
          <w:rFonts w:ascii="Times New Roman" w:hAnsi="Times New Roman"/>
          <w:bCs/>
          <w:sz w:val="24"/>
          <w:szCs w:val="24"/>
          <w:lang w:val="en-US"/>
        </w:rPr>
      </w:pPr>
      <w:r>
        <w:rPr>
          <w:rFonts w:ascii="Times New Roman" w:hAnsi="Times New Roman"/>
          <w:bCs/>
          <w:sz w:val="24"/>
          <w:szCs w:val="24"/>
          <w:lang w:val="en-US"/>
        </w:rPr>
        <w:t xml:space="preserve">Calculation of sample size was done based on data from previously </w:t>
      </w:r>
      <w:proofErr w:type="spellStart"/>
      <w:r>
        <w:rPr>
          <w:rFonts w:ascii="Times New Roman" w:hAnsi="Times New Roman"/>
          <w:bCs/>
          <w:sz w:val="24"/>
          <w:szCs w:val="24"/>
          <w:lang w:val="en-US"/>
        </w:rPr>
        <w:t>phenotyped</w:t>
      </w:r>
      <w:proofErr w:type="spellEnd"/>
      <w:r>
        <w:rPr>
          <w:rFonts w:ascii="Times New Roman" w:hAnsi="Times New Roman"/>
          <w:bCs/>
          <w:sz w:val="24"/>
          <w:szCs w:val="24"/>
          <w:lang w:val="en-US"/>
        </w:rPr>
        <w:t xml:space="preserve"> patients with nephrotic syndrome (n = 14) and the assumption that overhydration could be corrected by 0.5 kg/day. Further assumptions were a baseline overhydration of 26.5 % ECW (standard deviation 12.3; normal distribution assumed) and a reduction of OH by 90 % in the amiloride group and by 50 % in the furosemide group. For the final t-test for two groups, a one-tailed significance level of 0.05 and a power of 80 % was chosen. This resulted in a sample size of n = 18 patients per group (total n = 36; calculated for a t-test with the </w:t>
      </w:r>
      <w:proofErr w:type="spellStart"/>
      <w:r>
        <w:rPr>
          <w:rFonts w:ascii="Times New Roman" w:hAnsi="Times New Roman"/>
          <w:bCs/>
          <w:sz w:val="24"/>
          <w:szCs w:val="24"/>
          <w:lang w:val="en-US"/>
        </w:rPr>
        <w:t>nQuery</w:t>
      </w:r>
      <w:proofErr w:type="spellEnd"/>
      <w:r>
        <w:rPr>
          <w:rFonts w:ascii="Times New Roman" w:hAnsi="Times New Roman"/>
          <w:bCs/>
          <w:sz w:val="24"/>
          <w:szCs w:val="24"/>
          <w:lang w:val="en-US"/>
        </w:rPr>
        <w:t>® Advisor 7.0 program). Taking dropouts into account, the sample size was defined as n = 22 per group (total n = 44).</w:t>
      </w:r>
    </w:p>
    <w:p w14:paraId="10D791F7" w14:textId="77777777" w:rsidR="00D450B0" w:rsidRDefault="00D450B0" w:rsidP="00D450B0">
      <w:pPr>
        <w:spacing w:line="480" w:lineRule="auto"/>
        <w:rPr>
          <w:rFonts w:ascii="Times New Roman" w:hAnsi="Times New Roman"/>
          <w:sz w:val="24"/>
          <w:szCs w:val="24"/>
          <w:lang w:val="en-US"/>
        </w:rPr>
      </w:pPr>
      <w:r>
        <w:rPr>
          <w:rFonts w:ascii="Times New Roman" w:hAnsi="Times New Roman"/>
          <w:sz w:val="24"/>
          <w:szCs w:val="24"/>
          <w:lang w:val="en-US"/>
        </w:rPr>
        <w:t xml:space="preserve">The study was terminated after 34 months prematurely due to insufficient recruitment owing to the SARS-CoV2 pandemic and a lower actual statistical power due to a lower actual effect size than assumed. </w:t>
      </w:r>
    </w:p>
    <w:p w14:paraId="39075FF0" w14:textId="77777777" w:rsidR="00D450B0" w:rsidRDefault="00D450B0" w:rsidP="00D450B0">
      <w:pPr>
        <w:spacing w:line="480" w:lineRule="auto"/>
        <w:rPr>
          <w:rFonts w:ascii="Times New Roman" w:hAnsi="Times New Roman"/>
          <w:bCs/>
          <w:sz w:val="24"/>
          <w:szCs w:val="24"/>
          <w:lang w:val="en-US"/>
        </w:rPr>
      </w:pPr>
    </w:p>
    <w:p w14:paraId="6AF83E4C" w14:textId="77777777" w:rsidR="00D450B0" w:rsidRDefault="00D450B0" w:rsidP="00D450B0">
      <w:pPr>
        <w:spacing w:line="480" w:lineRule="auto"/>
        <w:rPr>
          <w:rFonts w:ascii="Times New Roman" w:hAnsi="Times New Roman"/>
          <w:i/>
          <w:sz w:val="24"/>
          <w:szCs w:val="24"/>
          <w:lang w:val="en-US"/>
        </w:rPr>
      </w:pPr>
      <w:r>
        <w:rPr>
          <w:rFonts w:ascii="Times New Roman" w:hAnsi="Times New Roman"/>
          <w:i/>
          <w:sz w:val="24"/>
          <w:szCs w:val="24"/>
          <w:lang w:val="en-US"/>
        </w:rPr>
        <w:t>Statistical analysis</w:t>
      </w:r>
    </w:p>
    <w:p w14:paraId="31E2E638" w14:textId="77777777" w:rsidR="005B2C9F" w:rsidRDefault="00D450B0" w:rsidP="00D450B0">
      <w:pPr>
        <w:spacing w:line="480" w:lineRule="auto"/>
        <w:rPr>
          <w:rFonts w:ascii="Times New Roman" w:hAnsi="Times New Roman"/>
          <w:sz w:val="24"/>
          <w:szCs w:val="24"/>
          <w:lang w:val="en-US"/>
        </w:rPr>
      </w:pPr>
      <w:r>
        <w:rPr>
          <w:rFonts w:ascii="Times New Roman" w:hAnsi="Times New Roman"/>
          <w:bCs/>
          <w:iCs/>
          <w:sz w:val="24"/>
          <w:szCs w:val="24"/>
          <w:lang w:val="en-US"/>
        </w:rPr>
        <w:t>The trial case report form (CRF) was the primary data collection instrument for the trial. Data were entered in a database as recorded in the CRF. To ensure data quality a double data entry was performed. Descriptive statistics are reported and illustrated as median and interquartile ranges for quantitative variables or absolute and percentage frequencies for categorical variables. All statistical analyses are based on the Intention-to-Treat Population.</w:t>
      </w:r>
      <w:r>
        <w:rPr>
          <w:rFonts w:ascii="Times New Roman" w:hAnsi="Times New Roman"/>
          <w:bCs/>
          <w:i/>
          <w:iCs/>
          <w:sz w:val="24"/>
          <w:szCs w:val="24"/>
          <w:lang w:val="en-US"/>
        </w:rPr>
        <w:t xml:space="preserve"> </w:t>
      </w:r>
      <w:r>
        <w:rPr>
          <w:rFonts w:ascii="Times New Roman" w:hAnsi="Times New Roman"/>
          <w:bCs/>
          <w:iCs/>
          <w:sz w:val="24"/>
          <w:szCs w:val="24"/>
          <w:lang w:val="en-US"/>
        </w:rPr>
        <w:t xml:space="preserve">Primary and </w:t>
      </w:r>
      <w:r>
        <w:rPr>
          <w:rFonts w:ascii="Times New Roman" w:hAnsi="Times New Roman"/>
          <w:bCs/>
          <w:iCs/>
          <w:sz w:val="24"/>
          <w:szCs w:val="24"/>
          <w:lang w:val="en-US"/>
        </w:rPr>
        <w:lastRenderedPageBreak/>
        <w:t xml:space="preserve">secondary endpoints were analyzed by the </w:t>
      </w:r>
      <w:r>
        <w:rPr>
          <w:rFonts w:ascii="Times New Roman" w:hAnsi="Times New Roman"/>
          <w:sz w:val="24"/>
          <w:szCs w:val="24"/>
          <w:lang w:val="en-US"/>
        </w:rPr>
        <w:t xml:space="preserve">Institute for Clinical Epidemiology and Applied Biometry of the University Hospital Tübingen. </w:t>
      </w:r>
    </w:p>
    <w:p w14:paraId="00AE05C7" w14:textId="77777777" w:rsidR="005B2C9F" w:rsidRDefault="00D450B0" w:rsidP="00D450B0">
      <w:pPr>
        <w:spacing w:line="480" w:lineRule="auto"/>
        <w:rPr>
          <w:rFonts w:ascii="Times New Roman" w:hAnsi="Times New Roman"/>
          <w:bCs/>
          <w:iCs/>
          <w:sz w:val="24"/>
          <w:szCs w:val="24"/>
          <w:lang w:val="en-US"/>
        </w:rPr>
      </w:pPr>
      <w:r>
        <w:rPr>
          <w:rFonts w:ascii="Times New Roman" w:hAnsi="Times New Roman"/>
          <w:bCs/>
          <w:iCs/>
          <w:sz w:val="24"/>
          <w:szCs w:val="24"/>
          <w:lang w:val="en-US"/>
        </w:rPr>
        <w:t xml:space="preserve">For efficacy analysis, the primary endpoint was analyzed as follows: </w:t>
      </w:r>
      <w:bookmarkStart w:id="0" w:name="_Hlk162293993"/>
      <w:r>
        <w:rPr>
          <w:rFonts w:ascii="Times New Roman" w:hAnsi="Times New Roman"/>
          <w:bCs/>
          <w:iCs/>
          <w:sz w:val="24"/>
          <w:szCs w:val="24"/>
          <w:lang w:val="en-US"/>
        </w:rPr>
        <w:t xml:space="preserve">The null hypothesis was that there is equal or greater decrease of OH (measured as % ECW) after 8 days in the group of patients with furosemide treatment compared to the group of patients with amiloride treatment. The alternative hypothesis was that there is a greater decrease of OH after 8 days in the group of patients with amiloride treatment compared to the group of patients with furosemide treatment. </w:t>
      </w:r>
      <w:bookmarkEnd w:id="0"/>
      <w:r>
        <w:rPr>
          <w:rFonts w:ascii="Times New Roman" w:hAnsi="Times New Roman"/>
          <w:bCs/>
          <w:iCs/>
          <w:sz w:val="24"/>
          <w:szCs w:val="24"/>
          <w:lang w:val="en-US"/>
        </w:rPr>
        <w:t xml:space="preserve">Normal distribution was assumed for OH in % ECW at baseline, after 8 days, and for the difference between baseline and day 8 (Shapiro-Wilk test p = 0.8181, p = 0.2553, p = 0.4196). For analysis of the primary endpoint variable a one-sided t-test for two groups was performed to test the null hypothesis against the alternative hypothesis. </w:t>
      </w:r>
    </w:p>
    <w:p w14:paraId="0DA485BB" w14:textId="77777777" w:rsidR="005B2C9F" w:rsidRDefault="00D450B0" w:rsidP="00D450B0">
      <w:pPr>
        <w:spacing w:line="480" w:lineRule="auto"/>
        <w:rPr>
          <w:rFonts w:ascii="Times New Roman" w:hAnsi="Times New Roman"/>
          <w:bCs/>
          <w:iCs/>
          <w:sz w:val="24"/>
          <w:szCs w:val="24"/>
          <w:lang w:val="en-US"/>
        </w:rPr>
      </w:pPr>
      <w:r>
        <w:rPr>
          <w:rFonts w:ascii="Times New Roman" w:hAnsi="Times New Roman"/>
          <w:bCs/>
          <w:iCs/>
          <w:sz w:val="24"/>
          <w:szCs w:val="24"/>
          <w:lang w:val="en-US"/>
        </w:rPr>
        <w:t xml:space="preserve">All secondary endpoints were compared and statistically assessed for descriptive purposes and not in a confirmatory sense. If adequate, secondary endpoints were compared and statistically assessed using t-tests or Wilcoxon tests for two groups or covariance techniques with baseline values as covariates in case of quantitative variables. Dichotomous data were compared and statistically assessed using Mantel-Haenszel chi-squared tests including relative risks and 95%-confidence intervals for relative risks. Safety was assessed by frequency tabulations and line listings for AEs and SAEs. </w:t>
      </w:r>
      <w:r>
        <w:rPr>
          <w:rFonts w:ascii="Times New Roman" w:hAnsi="Times New Roman"/>
          <w:sz w:val="24"/>
          <w:szCs w:val="24"/>
          <w:lang w:val="en-US"/>
        </w:rPr>
        <w:t>Analyses exceeding primary and secondary endpoints as defined in the study protocol included tests of differences between study groups at baseline (day 0) and differences to baseline at day 8 and 16 and were performed by the study investigators</w:t>
      </w:r>
      <w:r>
        <w:rPr>
          <w:rFonts w:ascii="Times New Roman" w:hAnsi="Times New Roman"/>
          <w:bCs/>
          <w:iCs/>
          <w:sz w:val="24"/>
          <w:szCs w:val="24"/>
          <w:lang w:val="en-US"/>
        </w:rPr>
        <w:t xml:space="preserve"> with non-parametric tests (Wilcoxon rank-sum test, Wilcoxon signed rank test and Bonferroni corrections for multiple comparisons)</w:t>
      </w:r>
      <w:r>
        <w:rPr>
          <w:rFonts w:ascii="Times New Roman" w:hAnsi="Times New Roman"/>
          <w:sz w:val="24"/>
          <w:szCs w:val="24"/>
          <w:lang w:val="en-US"/>
        </w:rPr>
        <w:t xml:space="preserve">. </w:t>
      </w:r>
      <w:r>
        <w:rPr>
          <w:rFonts w:ascii="Times New Roman" w:hAnsi="Times New Roman"/>
          <w:bCs/>
          <w:iCs/>
          <w:sz w:val="24"/>
          <w:szCs w:val="24"/>
          <w:lang w:val="en-US"/>
        </w:rPr>
        <w:t xml:space="preserve">Additional laboratory diagnostic included measurements of urinary excretion of diuretics and were documented and analyzed separately by the study investigators. </w:t>
      </w:r>
    </w:p>
    <w:p w14:paraId="13E8E363" w14:textId="77777777" w:rsidR="005B2C9F" w:rsidRDefault="005B2C9F" w:rsidP="00D450B0">
      <w:pPr>
        <w:spacing w:line="480" w:lineRule="auto"/>
        <w:rPr>
          <w:rFonts w:ascii="Times New Roman" w:hAnsi="Times New Roman"/>
          <w:bCs/>
          <w:iCs/>
          <w:sz w:val="24"/>
          <w:szCs w:val="24"/>
          <w:lang w:val="en-US"/>
        </w:rPr>
      </w:pPr>
    </w:p>
    <w:p w14:paraId="551687C5" w14:textId="1B3679BC" w:rsidR="00D450B0" w:rsidRPr="005B2C9F" w:rsidRDefault="00D450B0" w:rsidP="00D450B0">
      <w:pPr>
        <w:spacing w:line="480" w:lineRule="auto"/>
        <w:rPr>
          <w:rFonts w:ascii="Times New Roman" w:hAnsi="Times New Roman"/>
          <w:bCs/>
          <w:iCs/>
          <w:sz w:val="24"/>
          <w:szCs w:val="24"/>
          <w:lang w:val="en-US"/>
        </w:rPr>
      </w:pPr>
      <w:r>
        <w:rPr>
          <w:rFonts w:ascii="Times New Roman" w:hAnsi="Times New Roman"/>
          <w:bCs/>
          <w:sz w:val="24"/>
          <w:szCs w:val="24"/>
          <w:lang w:val="en-US"/>
        </w:rPr>
        <w:lastRenderedPageBreak/>
        <w:t xml:space="preserve">Statistical significance was defined as a significance threshold of p &lt; 0.05. Data analysis was performed using the statistical software packages SAS 9.4 </w:t>
      </w:r>
      <w:r>
        <w:rPr>
          <w:rFonts w:ascii="Times New Roman" w:hAnsi="Times New Roman"/>
          <w:bCs/>
          <w:iCs/>
          <w:sz w:val="24"/>
          <w:szCs w:val="24"/>
          <w:lang w:val="en-US"/>
        </w:rPr>
        <w:t xml:space="preserve">by the </w:t>
      </w:r>
      <w:r>
        <w:rPr>
          <w:rFonts w:ascii="Times New Roman" w:hAnsi="Times New Roman"/>
          <w:sz w:val="24"/>
          <w:szCs w:val="24"/>
          <w:lang w:val="en-US"/>
        </w:rPr>
        <w:t xml:space="preserve">Institute for Clinical Epidemiology and Applied Biometry. </w:t>
      </w:r>
      <w:r>
        <w:rPr>
          <w:rFonts w:ascii="Times New Roman" w:hAnsi="Times New Roman"/>
          <w:bCs/>
          <w:sz w:val="24"/>
          <w:szCs w:val="24"/>
          <w:lang w:val="en-US"/>
        </w:rPr>
        <w:t>Study investigator used R studio version 4.1.2, GraphPad Prism 10.2.1 and Microsoft Office Professional Plus 2019 Excel version 1808.</w:t>
      </w:r>
    </w:p>
    <w:p w14:paraId="6EA7F5EC" w14:textId="77777777" w:rsidR="00D450B0" w:rsidRDefault="00D450B0">
      <w:pPr>
        <w:suppressAutoHyphens w:val="0"/>
        <w:spacing w:after="160" w:line="259" w:lineRule="auto"/>
        <w:jc w:val="left"/>
        <w:rPr>
          <w:rFonts w:ascii="Times New Roman" w:hAnsi="Times New Roman"/>
          <w:bCs/>
          <w:sz w:val="24"/>
          <w:szCs w:val="24"/>
          <w:lang w:val="en-US"/>
        </w:rPr>
      </w:pPr>
      <w:r>
        <w:rPr>
          <w:rFonts w:ascii="Times New Roman" w:hAnsi="Times New Roman"/>
          <w:bCs/>
          <w:sz w:val="24"/>
          <w:szCs w:val="24"/>
          <w:lang w:val="en-US"/>
        </w:rPr>
        <w:br w:type="page"/>
      </w:r>
    </w:p>
    <w:p w14:paraId="67EE4901" w14:textId="77777777" w:rsidR="00FB687D" w:rsidRDefault="00FB687D" w:rsidP="00FB687D">
      <w:pPr>
        <w:spacing w:line="480" w:lineRule="auto"/>
        <w:rPr>
          <w:rFonts w:ascii="Times New Roman" w:hAnsi="Times New Roman"/>
          <w:b/>
          <w:sz w:val="24"/>
          <w:szCs w:val="24"/>
          <w:lang w:val="en-US"/>
        </w:rPr>
      </w:pPr>
      <w:r>
        <w:rPr>
          <w:rFonts w:ascii="Times New Roman" w:hAnsi="Times New Roman"/>
          <w:b/>
          <w:sz w:val="24"/>
          <w:szCs w:val="24"/>
          <w:lang w:val="en-US"/>
        </w:rPr>
        <w:lastRenderedPageBreak/>
        <w:t xml:space="preserve">Supplemental Table 1: Complete inclusion and exclusion criteria </w:t>
      </w:r>
    </w:p>
    <w:p w14:paraId="3B73A7F8" w14:textId="77777777" w:rsidR="00FB687D" w:rsidRDefault="00FB687D" w:rsidP="00FB687D">
      <w:pPr>
        <w:spacing w:line="480" w:lineRule="auto"/>
        <w:rPr>
          <w:rFonts w:ascii="Times New Roman" w:hAnsi="Times New Roman"/>
          <w:b/>
          <w:sz w:val="24"/>
          <w:szCs w:val="24"/>
          <w:lang w:val="en-US"/>
        </w:rPr>
      </w:pP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9071"/>
      </w:tblGrid>
      <w:tr w:rsidR="00FB687D" w14:paraId="124B73F9" w14:textId="77777777" w:rsidTr="00AB6FBD">
        <w:trPr>
          <w:cantSplit/>
        </w:trPr>
        <w:tc>
          <w:tcPr>
            <w:tcW w:w="9071" w:type="dxa"/>
            <w:shd w:val="clear" w:color="auto" w:fill="auto"/>
          </w:tcPr>
          <w:p w14:paraId="5EFFB18E" w14:textId="77777777" w:rsidR="00FB687D" w:rsidRDefault="00FB687D" w:rsidP="00AB6FBD">
            <w:pPr>
              <w:pStyle w:val="AufzhlungmitPunkt"/>
              <w:numPr>
                <w:ilvl w:val="0"/>
                <w:numId w:val="0"/>
              </w:numPr>
              <w:spacing w:after="0"/>
              <w:rPr>
                <w:rFonts w:ascii="Times New Roman" w:hAnsi="Times New Roman"/>
                <w:sz w:val="24"/>
                <w:szCs w:val="24"/>
                <w:lang w:val="en-US"/>
              </w:rPr>
            </w:pPr>
            <w:r>
              <w:rPr>
                <w:rFonts w:ascii="Times New Roman" w:hAnsi="Times New Roman"/>
                <w:sz w:val="24"/>
                <w:szCs w:val="24"/>
                <w:lang w:val="en-GB"/>
              </w:rPr>
              <w:t>Inclusion Criteria</w:t>
            </w:r>
          </w:p>
        </w:tc>
      </w:tr>
      <w:tr w:rsidR="00FB687D" w14:paraId="74D686C1" w14:textId="77777777" w:rsidTr="00AB6FBD">
        <w:trPr>
          <w:cantSplit/>
        </w:trPr>
        <w:tc>
          <w:tcPr>
            <w:tcW w:w="9071" w:type="dxa"/>
            <w:shd w:val="clear" w:color="auto" w:fill="auto"/>
          </w:tcPr>
          <w:p w14:paraId="73ACD3B2" w14:textId="77777777" w:rsidR="00FB687D" w:rsidRDefault="00FB687D" w:rsidP="00AB6FBD">
            <w:pPr>
              <w:pStyle w:val="AufzhlungmitPunkt"/>
              <w:numPr>
                <w:ilvl w:val="0"/>
                <w:numId w:val="4"/>
              </w:numPr>
              <w:spacing w:before="240" w:after="240" w:line="276" w:lineRule="auto"/>
              <w:ind w:left="714" w:hanging="357"/>
              <w:rPr>
                <w:rFonts w:ascii="Times New Roman" w:hAnsi="Times New Roman"/>
                <w:sz w:val="24"/>
                <w:szCs w:val="22"/>
                <w:lang w:val="en-US"/>
              </w:rPr>
            </w:pPr>
            <w:r>
              <w:rPr>
                <w:rFonts w:ascii="Times New Roman" w:hAnsi="Times New Roman"/>
                <w:sz w:val="24"/>
                <w:szCs w:val="22"/>
                <w:lang w:val="en-US"/>
              </w:rPr>
              <w:t>Acute nephrotic syndrome with proteinuria &gt; 3.0 g/day and formation of edema.</w:t>
            </w:r>
          </w:p>
          <w:p w14:paraId="4842555D" w14:textId="77777777" w:rsidR="00FB687D" w:rsidRDefault="00FB687D" w:rsidP="00AB6FBD">
            <w:pPr>
              <w:pStyle w:val="AufzhlungmitPunkt"/>
              <w:numPr>
                <w:ilvl w:val="0"/>
                <w:numId w:val="4"/>
              </w:numPr>
              <w:spacing w:before="240" w:after="240" w:line="276" w:lineRule="auto"/>
              <w:ind w:left="714" w:hanging="357"/>
              <w:rPr>
                <w:rFonts w:ascii="Times New Roman" w:hAnsi="Times New Roman"/>
                <w:sz w:val="24"/>
                <w:szCs w:val="22"/>
                <w:lang w:val="en-US"/>
              </w:rPr>
            </w:pPr>
            <w:r>
              <w:rPr>
                <w:rFonts w:ascii="Times New Roman" w:hAnsi="Times New Roman"/>
                <w:sz w:val="24"/>
                <w:szCs w:val="22"/>
                <w:lang w:val="en-US"/>
              </w:rPr>
              <w:t>Age ≥ 18 years at the time of signing the informed consent.</w:t>
            </w:r>
          </w:p>
          <w:p w14:paraId="33D1BACF" w14:textId="77777777" w:rsidR="00FB687D" w:rsidRDefault="00FB687D" w:rsidP="00AB6FBD">
            <w:pPr>
              <w:pStyle w:val="AufzhlungmitPunkt"/>
              <w:numPr>
                <w:ilvl w:val="0"/>
                <w:numId w:val="4"/>
              </w:numPr>
              <w:spacing w:before="240" w:after="240" w:line="276" w:lineRule="auto"/>
              <w:ind w:left="714" w:hanging="357"/>
              <w:rPr>
                <w:rFonts w:ascii="Times New Roman" w:hAnsi="Times New Roman"/>
                <w:sz w:val="24"/>
                <w:szCs w:val="22"/>
                <w:lang w:val="en-US"/>
              </w:rPr>
            </w:pPr>
            <w:r>
              <w:rPr>
                <w:rFonts w:ascii="Times New Roman" w:hAnsi="Times New Roman"/>
                <w:sz w:val="24"/>
                <w:szCs w:val="22"/>
                <w:lang w:val="en-US"/>
              </w:rPr>
              <w:t>Understand and voluntarily sign an informed consent document prior to any study related assessments/procedures.</w:t>
            </w:r>
          </w:p>
          <w:p w14:paraId="0FF871DE" w14:textId="77777777" w:rsidR="00FB687D" w:rsidRDefault="00FB687D" w:rsidP="00AB6FBD">
            <w:pPr>
              <w:pStyle w:val="AufzhlungmitPunkt"/>
              <w:numPr>
                <w:ilvl w:val="0"/>
                <w:numId w:val="4"/>
              </w:numPr>
              <w:spacing w:before="240" w:after="240" w:line="276" w:lineRule="auto"/>
              <w:ind w:left="714" w:hanging="357"/>
              <w:rPr>
                <w:rFonts w:ascii="Times New Roman" w:hAnsi="Times New Roman"/>
                <w:sz w:val="24"/>
                <w:szCs w:val="22"/>
                <w:lang w:val="en-US"/>
              </w:rPr>
            </w:pPr>
            <w:r>
              <w:rPr>
                <w:rFonts w:ascii="Times New Roman" w:hAnsi="Times New Roman"/>
                <w:sz w:val="24"/>
                <w:szCs w:val="22"/>
                <w:lang w:val="en-US"/>
              </w:rPr>
              <w:t xml:space="preserve">Ability to adhere to the study visit schedule and other protocol requirements. </w:t>
            </w:r>
          </w:p>
          <w:p w14:paraId="4934FCE2" w14:textId="77777777" w:rsidR="00FB687D" w:rsidRDefault="00FB687D" w:rsidP="00AB6FBD">
            <w:pPr>
              <w:pStyle w:val="AufzhlungmitPunkt"/>
              <w:numPr>
                <w:ilvl w:val="0"/>
                <w:numId w:val="4"/>
              </w:numPr>
              <w:spacing w:before="240" w:after="240" w:line="276" w:lineRule="auto"/>
              <w:ind w:left="714" w:hanging="357"/>
              <w:jc w:val="both"/>
              <w:rPr>
                <w:rFonts w:ascii="Times New Roman" w:hAnsi="Times New Roman"/>
                <w:sz w:val="24"/>
                <w:szCs w:val="22"/>
                <w:lang w:val="en-US"/>
              </w:rPr>
            </w:pPr>
            <w:r>
              <w:rPr>
                <w:rFonts w:ascii="Times New Roman" w:hAnsi="Times New Roman"/>
                <w:sz w:val="24"/>
                <w:szCs w:val="22"/>
                <w:lang w:val="en-US"/>
              </w:rPr>
              <w:t>Use of adequate thrombosis prophylaxis due to the increased risk of thrombosis in nephrotic syndrome and the expected fluctuations in volume balance during study participation</w:t>
            </w:r>
          </w:p>
          <w:p w14:paraId="10D63C87" w14:textId="77777777" w:rsidR="00FB687D" w:rsidRDefault="00FB687D" w:rsidP="00AB6FBD">
            <w:pPr>
              <w:pStyle w:val="AufzhlungmitPunkt"/>
              <w:numPr>
                <w:ilvl w:val="0"/>
                <w:numId w:val="4"/>
              </w:numPr>
              <w:spacing w:before="240" w:after="240" w:line="276" w:lineRule="auto"/>
              <w:ind w:left="714" w:hanging="357"/>
              <w:rPr>
                <w:rFonts w:ascii="Times New Roman" w:hAnsi="Times New Roman"/>
                <w:sz w:val="24"/>
                <w:szCs w:val="22"/>
                <w:lang w:val="en-US"/>
              </w:rPr>
            </w:pPr>
            <w:r>
              <w:rPr>
                <w:rFonts w:ascii="Times New Roman" w:hAnsi="Times New Roman"/>
                <w:sz w:val="24"/>
                <w:szCs w:val="22"/>
                <w:lang w:val="en-US"/>
              </w:rPr>
              <w:t xml:space="preserve">Subject (male or female) is willing to use highly effective methods of contraception </w:t>
            </w:r>
          </w:p>
          <w:p w14:paraId="05DCB308" w14:textId="77777777" w:rsidR="00FB687D" w:rsidRDefault="00FB687D" w:rsidP="00AB6FBD">
            <w:pPr>
              <w:pStyle w:val="AufzhlungmitPunkt"/>
              <w:numPr>
                <w:ilvl w:val="0"/>
                <w:numId w:val="4"/>
              </w:numPr>
              <w:spacing w:before="240" w:after="240" w:line="276" w:lineRule="auto"/>
              <w:ind w:left="714" w:hanging="357"/>
              <w:rPr>
                <w:rFonts w:ascii="Times New Roman" w:hAnsi="Times New Roman"/>
                <w:sz w:val="24"/>
                <w:szCs w:val="22"/>
                <w:lang w:val="en-US"/>
              </w:rPr>
            </w:pPr>
            <w:r>
              <w:rPr>
                <w:rFonts w:ascii="Times New Roman" w:hAnsi="Times New Roman"/>
                <w:sz w:val="24"/>
                <w:szCs w:val="22"/>
                <w:lang w:val="en-US"/>
              </w:rPr>
              <w:t>Female patients of childbearing potential (WOCBP) must agree to pregnancy testing before inclusion in the study.</w:t>
            </w:r>
          </w:p>
          <w:p w14:paraId="7ECCDEEB" w14:textId="77777777" w:rsidR="00FB687D" w:rsidRDefault="00FB687D" w:rsidP="00AB6FBD">
            <w:pPr>
              <w:pStyle w:val="AufzhlungmitPunkt"/>
              <w:numPr>
                <w:ilvl w:val="0"/>
                <w:numId w:val="4"/>
              </w:numPr>
              <w:spacing w:before="240" w:after="240" w:line="276" w:lineRule="auto"/>
              <w:ind w:left="714" w:hanging="357"/>
              <w:rPr>
                <w:rFonts w:ascii="Times New Roman" w:hAnsi="Times New Roman"/>
                <w:sz w:val="24"/>
                <w:szCs w:val="22"/>
                <w:lang w:val="en-US"/>
              </w:rPr>
            </w:pPr>
            <w:r>
              <w:rPr>
                <w:rFonts w:ascii="Times New Roman" w:hAnsi="Times New Roman"/>
                <w:sz w:val="24"/>
                <w:szCs w:val="22"/>
                <w:lang w:val="en-US"/>
              </w:rPr>
              <w:t>Female patients must agree to abstain from breastfeeding during study participation and 28 days after study drug discontinuation.</w:t>
            </w:r>
          </w:p>
          <w:p w14:paraId="1490D33C" w14:textId="77777777" w:rsidR="00FB687D" w:rsidRDefault="00FB687D" w:rsidP="00AB6FBD">
            <w:pPr>
              <w:pStyle w:val="AufzhlungmitPunkt"/>
              <w:numPr>
                <w:ilvl w:val="0"/>
                <w:numId w:val="4"/>
              </w:numPr>
              <w:spacing w:before="240" w:after="240" w:line="276" w:lineRule="auto"/>
              <w:ind w:left="714" w:hanging="357"/>
              <w:rPr>
                <w:rFonts w:ascii="Times New Roman" w:hAnsi="Times New Roman"/>
                <w:lang w:val="en-US"/>
              </w:rPr>
            </w:pPr>
            <w:r>
              <w:rPr>
                <w:rFonts w:ascii="Times New Roman" w:hAnsi="Times New Roman"/>
                <w:sz w:val="24"/>
                <w:szCs w:val="22"/>
                <w:lang w:val="en-US"/>
              </w:rPr>
              <w:t>All subjects must agree not to share medication.</w:t>
            </w:r>
          </w:p>
          <w:p w14:paraId="13047400" w14:textId="77777777" w:rsidR="00FB687D" w:rsidRDefault="00FB687D" w:rsidP="00AB6FBD">
            <w:pPr>
              <w:pStyle w:val="AufzhlungmitPunkt"/>
              <w:numPr>
                <w:ilvl w:val="0"/>
                <w:numId w:val="0"/>
              </w:numPr>
              <w:spacing w:before="240" w:after="240" w:line="276" w:lineRule="auto"/>
              <w:ind w:left="1080" w:hanging="720"/>
              <w:rPr>
                <w:rFonts w:ascii="Times New Roman" w:hAnsi="Times New Roman"/>
                <w:sz w:val="24"/>
                <w:szCs w:val="22"/>
                <w:lang w:val="en-US"/>
              </w:rPr>
            </w:pPr>
          </w:p>
          <w:p w14:paraId="2CE2D741" w14:textId="77777777" w:rsidR="00FB687D" w:rsidRDefault="00FB687D" w:rsidP="00AB6FBD">
            <w:pPr>
              <w:pStyle w:val="AufzhlungmitPunkt"/>
              <w:numPr>
                <w:ilvl w:val="0"/>
                <w:numId w:val="0"/>
              </w:numPr>
              <w:spacing w:before="240" w:after="240" w:line="276" w:lineRule="auto"/>
              <w:ind w:left="1080" w:hanging="720"/>
              <w:rPr>
                <w:rFonts w:ascii="Times New Roman" w:hAnsi="Times New Roman"/>
                <w:sz w:val="24"/>
                <w:szCs w:val="22"/>
                <w:lang w:val="en-US"/>
              </w:rPr>
            </w:pPr>
          </w:p>
          <w:p w14:paraId="15689562" w14:textId="77777777" w:rsidR="00FB687D" w:rsidRDefault="00FB687D" w:rsidP="00AB6FBD">
            <w:pPr>
              <w:pStyle w:val="AufzhlungmitPunkt"/>
              <w:numPr>
                <w:ilvl w:val="0"/>
                <w:numId w:val="0"/>
              </w:numPr>
              <w:spacing w:before="240" w:after="240" w:line="276" w:lineRule="auto"/>
              <w:ind w:left="1080" w:hanging="720"/>
              <w:rPr>
                <w:rFonts w:ascii="Times New Roman" w:hAnsi="Times New Roman"/>
                <w:sz w:val="24"/>
                <w:szCs w:val="22"/>
                <w:lang w:val="en-US"/>
              </w:rPr>
            </w:pPr>
          </w:p>
          <w:p w14:paraId="68378FFD" w14:textId="77777777" w:rsidR="00FB687D" w:rsidRDefault="00FB687D" w:rsidP="00AB6FBD">
            <w:pPr>
              <w:pStyle w:val="AufzhlungmitPunkt"/>
              <w:numPr>
                <w:ilvl w:val="0"/>
                <w:numId w:val="0"/>
              </w:numPr>
              <w:spacing w:before="240" w:after="240" w:line="276" w:lineRule="auto"/>
              <w:ind w:left="1080" w:hanging="720"/>
              <w:rPr>
                <w:rFonts w:ascii="Times New Roman" w:hAnsi="Times New Roman"/>
                <w:sz w:val="24"/>
                <w:szCs w:val="22"/>
                <w:lang w:val="en-US"/>
              </w:rPr>
            </w:pPr>
          </w:p>
          <w:p w14:paraId="369BD060" w14:textId="77777777" w:rsidR="00FB687D" w:rsidRDefault="00FB687D" w:rsidP="00AB6FBD">
            <w:pPr>
              <w:pStyle w:val="AufzhlungmitPunkt"/>
              <w:numPr>
                <w:ilvl w:val="0"/>
                <w:numId w:val="0"/>
              </w:numPr>
              <w:spacing w:before="240" w:after="240" w:line="276" w:lineRule="auto"/>
              <w:ind w:left="1080" w:hanging="720"/>
              <w:rPr>
                <w:rFonts w:ascii="Times New Roman" w:hAnsi="Times New Roman"/>
                <w:sz w:val="24"/>
                <w:szCs w:val="22"/>
                <w:lang w:val="en-US"/>
              </w:rPr>
            </w:pPr>
          </w:p>
          <w:p w14:paraId="1295C932" w14:textId="77777777" w:rsidR="00FB687D" w:rsidRDefault="00FB687D" w:rsidP="00AB6FBD">
            <w:pPr>
              <w:pStyle w:val="AufzhlungmitPunkt"/>
              <w:numPr>
                <w:ilvl w:val="0"/>
                <w:numId w:val="0"/>
              </w:numPr>
              <w:spacing w:before="240" w:after="240" w:line="276" w:lineRule="auto"/>
              <w:ind w:left="1080" w:hanging="720"/>
              <w:rPr>
                <w:rFonts w:ascii="Times New Roman" w:hAnsi="Times New Roman"/>
                <w:sz w:val="24"/>
                <w:szCs w:val="22"/>
                <w:lang w:val="en-US"/>
              </w:rPr>
            </w:pPr>
          </w:p>
          <w:p w14:paraId="1754403C" w14:textId="77777777" w:rsidR="00FB687D" w:rsidRDefault="00FB687D" w:rsidP="00AB6FBD">
            <w:pPr>
              <w:pStyle w:val="AufzhlungmitPunkt"/>
              <w:numPr>
                <w:ilvl w:val="0"/>
                <w:numId w:val="0"/>
              </w:numPr>
              <w:spacing w:before="240" w:after="240" w:line="276" w:lineRule="auto"/>
              <w:ind w:left="1080" w:hanging="720"/>
              <w:rPr>
                <w:rFonts w:ascii="Times New Roman" w:hAnsi="Times New Roman"/>
                <w:sz w:val="24"/>
                <w:szCs w:val="22"/>
                <w:lang w:val="en-US"/>
              </w:rPr>
            </w:pPr>
          </w:p>
          <w:p w14:paraId="1630F2B3" w14:textId="77777777" w:rsidR="00FB687D" w:rsidRDefault="00FB687D" w:rsidP="00AB6FBD">
            <w:pPr>
              <w:pStyle w:val="AufzhlungmitPunkt"/>
              <w:numPr>
                <w:ilvl w:val="0"/>
                <w:numId w:val="0"/>
              </w:numPr>
              <w:spacing w:before="240" w:after="240" w:line="276" w:lineRule="auto"/>
              <w:ind w:left="1080" w:hanging="720"/>
              <w:rPr>
                <w:rFonts w:ascii="Times New Roman" w:hAnsi="Times New Roman"/>
                <w:sz w:val="24"/>
                <w:szCs w:val="22"/>
                <w:lang w:val="en-US"/>
              </w:rPr>
            </w:pPr>
          </w:p>
          <w:p w14:paraId="6EDB79A4" w14:textId="77777777" w:rsidR="00FB687D" w:rsidRDefault="00FB687D" w:rsidP="00AB6FBD">
            <w:pPr>
              <w:pStyle w:val="AufzhlungmitPunkt"/>
              <w:numPr>
                <w:ilvl w:val="0"/>
                <w:numId w:val="0"/>
              </w:numPr>
              <w:spacing w:before="240" w:after="240" w:line="276" w:lineRule="auto"/>
              <w:ind w:left="1080" w:hanging="720"/>
              <w:rPr>
                <w:rFonts w:ascii="Times New Roman" w:hAnsi="Times New Roman"/>
                <w:lang w:val="en-US"/>
              </w:rPr>
            </w:pPr>
          </w:p>
        </w:tc>
      </w:tr>
      <w:tr w:rsidR="00FB687D" w14:paraId="490C6EEF" w14:textId="77777777" w:rsidTr="00AB6FBD">
        <w:trPr>
          <w:cantSplit/>
        </w:trPr>
        <w:tc>
          <w:tcPr>
            <w:tcW w:w="9071" w:type="dxa"/>
            <w:shd w:val="clear" w:color="auto" w:fill="auto"/>
          </w:tcPr>
          <w:p w14:paraId="64FC95D1" w14:textId="77777777" w:rsidR="00FB687D" w:rsidRDefault="00FB687D" w:rsidP="00AB6FBD">
            <w:pPr>
              <w:pStyle w:val="AufzhlungmitPunkt"/>
              <w:numPr>
                <w:ilvl w:val="0"/>
                <w:numId w:val="0"/>
              </w:numPr>
              <w:spacing w:after="0"/>
              <w:rPr>
                <w:rFonts w:ascii="Times New Roman" w:hAnsi="Times New Roman"/>
                <w:sz w:val="24"/>
                <w:szCs w:val="24"/>
                <w:lang w:val="en-US"/>
              </w:rPr>
            </w:pPr>
            <w:r>
              <w:rPr>
                <w:rFonts w:ascii="Times New Roman" w:hAnsi="Times New Roman"/>
                <w:sz w:val="24"/>
                <w:szCs w:val="24"/>
                <w:lang w:val="en-GB"/>
              </w:rPr>
              <w:lastRenderedPageBreak/>
              <w:t>Exclusion Criteria</w:t>
            </w:r>
          </w:p>
        </w:tc>
      </w:tr>
      <w:tr w:rsidR="00FB687D" w14:paraId="796F823A" w14:textId="77777777" w:rsidTr="00AB6FBD">
        <w:trPr>
          <w:cantSplit/>
        </w:trPr>
        <w:tc>
          <w:tcPr>
            <w:tcW w:w="9071" w:type="dxa"/>
            <w:shd w:val="clear" w:color="auto" w:fill="auto"/>
          </w:tcPr>
          <w:p w14:paraId="7D0891E6" w14:textId="77777777" w:rsidR="00FB687D" w:rsidRDefault="00FB687D" w:rsidP="00AB6FBD">
            <w:pPr>
              <w:pStyle w:val="AufzhlungmitPunkt"/>
              <w:numPr>
                <w:ilvl w:val="0"/>
                <w:numId w:val="2"/>
              </w:numPr>
              <w:spacing w:before="240" w:after="240" w:line="276" w:lineRule="auto"/>
              <w:ind w:left="714" w:hanging="357"/>
              <w:rPr>
                <w:rFonts w:ascii="Times New Roman" w:hAnsi="Times New Roman"/>
                <w:sz w:val="24"/>
                <w:szCs w:val="24"/>
                <w:lang w:val="en-US"/>
              </w:rPr>
            </w:pPr>
            <w:r>
              <w:rPr>
                <w:rFonts w:ascii="Times New Roman" w:hAnsi="Times New Roman"/>
                <w:sz w:val="24"/>
                <w:szCs w:val="24"/>
                <w:lang w:val="en-GB"/>
              </w:rPr>
              <w:t xml:space="preserve">Severe reduction of kidney function: Creatinine clearance or calculated GFR &lt; 30 ml/min/1.73m² </w:t>
            </w:r>
            <w:r>
              <w:rPr>
                <w:rFonts w:ascii="Times New Roman" w:hAnsi="Times New Roman"/>
                <w:sz w:val="24"/>
                <w:szCs w:val="24"/>
                <w:lang w:val="en-US"/>
              </w:rPr>
              <w:t>or acute kidney injury KDIGO stage 2 or 3 or anuria.</w:t>
            </w:r>
          </w:p>
          <w:p w14:paraId="4CD224E8" w14:textId="77777777" w:rsidR="00FB687D" w:rsidRDefault="00FB687D" w:rsidP="00AB6FBD">
            <w:pPr>
              <w:pStyle w:val="AufzhlungmitPunkt"/>
              <w:numPr>
                <w:ilvl w:val="0"/>
                <w:numId w:val="2"/>
              </w:numPr>
              <w:spacing w:before="240" w:after="240" w:line="276" w:lineRule="auto"/>
              <w:ind w:left="714" w:hanging="357"/>
              <w:jc w:val="both"/>
              <w:rPr>
                <w:rFonts w:ascii="Times New Roman" w:hAnsi="Times New Roman"/>
                <w:sz w:val="24"/>
                <w:szCs w:val="24"/>
                <w:lang w:val="en-US"/>
              </w:rPr>
            </w:pPr>
            <w:r>
              <w:rPr>
                <w:rFonts w:ascii="Times New Roman" w:hAnsi="Times New Roman"/>
                <w:sz w:val="24"/>
                <w:szCs w:val="24"/>
                <w:lang w:val="en-GB"/>
              </w:rPr>
              <w:t>Hypovolemia or dehydration</w:t>
            </w:r>
            <w:r>
              <w:rPr>
                <w:rFonts w:ascii="Times New Roman" w:hAnsi="Times New Roman"/>
                <w:sz w:val="24"/>
                <w:szCs w:val="24"/>
                <w:lang w:val="en-US"/>
              </w:rPr>
              <w:t>.</w:t>
            </w:r>
          </w:p>
          <w:p w14:paraId="34DEB7F7" w14:textId="77777777" w:rsidR="00FB687D" w:rsidRDefault="00FB687D" w:rsidP="00AB6FBD">
            <w:pPr>
              <w:pStyle w:val="AufzhlungmitPunkt"/>
              <w:numPr>
                <w:ilvl w:val="0"/>
                <w:numId w:val="2"/>
              </w:numPr>
              <w:spacing w:before="240" w:after="240" w:line="276" w:lineRule="auto"/>
              <w:ind w:left="714" w:hanging="357"/>
              <w:jc w:val="both"/>
              <w:rPr>
                <w:rFonts w:ascii="Times New Roman" w:hAnsi="Times New Roman"/>
                <w:sz w:val="24"/>
                <w:szCs w:val="24"/>
                <w:lang w:val="en-US"/>
              </w:rPr>
            </w:pPr>
            <w:r>
              <w:rPr>
                <w:rFonts w:ascii="Times New Roman" w:hAnsi="Times New Roman"/>
                <w:sz w:val="24"/>
                <w:szCs w:val="24"/>
                <w:lang w:val="en-US"/>
              </w:rPr>
              <w:t>Uncontrolled diabetes mellitus.</w:t>
            </w:r>
          </w:p>
          <w:p w14:paraId="5F4456D8" w14:textId="77777777" w:rsidR="00FB687D" w:rsidRDefault="00FB687D" w:rsidP="00AB6FBD">
            <w:pPr>
              <w:pStyle w:val="AufzhlungmitPunkt"/>
              <w:numPr>
                <w:ilvl w:val="0"/>
                <w:numId w:val="2"/>
              </w:numPr>
              <w:spacing w:before="240" w:after="240" w:line="276" w:lineRule="auto"/>
              <w:ind w:left="714" w:hanging="357"/>
              <w:rPr>
                <w:rFonts w:ascii="Times New Roman" w:hAnsi="Times New Roman"/>
                <w:sz w:val="24"/>
                <w:szCs w:val="24"/>
                <w:lang w:val="en-US"/>
              </w:rPr>
            </w:pPr>
            <w:r>
              <w:rPr>
                <w:rFonts w:ascii="Times New Roman" w:hAnsi="Times New Roman"/>
                <w:sz w:val="24"/>
                <w:szCs w:val="24"/>
                <w:lang w:val="en-US"/>
              </w:rPr>
              <w:t>Hypotension, systolic blood pressure &lt; 90 mmHg</w:t>
            </w:r>
          </w:p>
          <w:p w14:paraId="5BC48DAF" w14:textId="77777777" w:rsidR="00FB687D" w:rsidRDefault="00FB687D" w:rsidP="00AB6FBD">
            <w:pPr>
              <w:pStyle w:val="AufzhlungmitPunkt"/>
              <w:numPr>
                <w:ilvl w:val="0"/>
                <w:numId w:val="2"/>
              </w:numPr>
              <w:spacing w:before="240" w:after="240" w:line="276" w:lineRule="auto"/>
              <w:ind w:left="714" w:hanging="357"/>
              <w:rPr>
                <w:rFonts w:ascii="Times New Roman" w:hAnsi="Times New Roman"/>
                <w:sz w:val="24"/>
                <w:szCs w:val="24"/>
                <w:lang w:val="en-US"/>
              </w:rPr>
            </w:pPr>
            <w:r>
              <w:rPr>
                <w:rFonts w:ascii="Times New Roman" w:hAnsi="Times New Roman"/>
                <w:sz w:val="24"/>
                <w:szCs w:val="24"/>
                <w:lang w:val="en-US"/>
              </w:rPr>
              <w:t>Hyperkalemia, plasma potassium concentration &gt; 4.8 mmol/l</w:t>
            </w:r>
          </w:p>
          <w:p w14:paraId="1E7C5E06" w14:textId="77777777" w:rsidR="00FB687D" w:rsidRDefault="00FB687D" w:rsidP="00AB6FBD">
            <w:pPr>
              <w:pStyle w:val="AufzhlungmitPunkt"/>
              <w:numPr>
                <w:ilvl w:val="0"/>
                <w:numId w:val="2"/>
              </w:numPr>
              <w:spacing w:before="240" w:after="240" w:line="276" w:lineRule="auto"/>
              <w:ind w:left="714" w:hanging="357"/>
              <w:rPr>
                <w:rFonts w:ascii="Times New Roman" w:hAnsi="Times New Roman"/>
                <w:sz w:val="24"/>
                <w:szCs w:val="24"/>
                <w:lang w:val="en-US"/>
              </w:rPr>
            </w:pPr>
            <w:r>
              <w:rPr>
                <w:rFonts w:ascii="Times New Roman" w:hAnsi="Times New Roman"/>
                <w:sz w:val="24"/>
                <w:szCs w:val="24"/>
                <w:lang w:val="en-US"/>
              </w:rPr>
              <w:t>Hypokalemia, plasma potassium concentration &lt; 3.3 mmol/l</w:t>
            </w:r>
          </w:p>
          <w:p w14:paraId="242FD1CA" w14:textId="77777777" w:rsidR="00FB687D" w:rsidRDefault="00FB687D" w:rsidP="00AB6FBD">
            <w:pPr>
              <w:pStyle w:val="AufzhlungmitPunkt"/>
              <w:numPr>
                <w:ilvl w:val="0"/>
                <w:numId w:val="2"/>
              </w:numPr>
              <w:spacing w:before="240" w:after="240" w:line="276" w:lineRule="auto"/>
              <w:ind w:left="714" w:hanging="357"/>
              <w:rPr>
                <w:rFonts w:ascii="Times New Roman" w:hAnsi="Times New Roman"/>
                <w:sz w:val="24"/>
                <w:szCs w:val="24"/>
                <w:lang w:val="en-US"/>
              </w:rPr>
            </w:pPr>
            <w:r>
              <w:rPr>
                <w:rFonts w:ascii="Times New Roman" w:hAnsi="Times New Roman"/>
                <w:sz w:val="24"/>
                <w:szCs w:val="24"/>
                <w:lang w:val="en-US"/>
              </w:rPr>
              <w:t>Hyponatremia, plasma sodium concentration &lt; 128 mmol/l</w:t>
            </w:r>
          </w:p>
          <w:p w14:paraId="59900268" w14:textId="77777777" w:rsidR="00FB687D" w:rsidRDefault="00FB687D" w:rsidP="00AB6FBD">
            <w:pPr>
              <w:pStyle w:val="AufzhlungmitPunkt"/>
              <w:numPr>
                <w:ilvl w:val="0"/>
                <w:numId w:val="2"/>
              </w:numPr>
              <w:spacing w:before="240" w:after="240" w:line="276" w:lineRule="auto"/>
              <w:ind w:left="714" w:hanging="357"/>
              <w:rPr>
                <w:rFonts w:ascii="Times New Roman" w:hAnsi="Times New Roman"/>
                <w:sz w:val="24"/>
                <w:szCs w:val="24"/>
                <w:lang w:val="en-US"/>
              </w:rPr>
            </w:pPr>
            <w:r>
              <w:rPr>
                <w:rFonts w:ascii="Times New Roman" w:hAnsi="Times New Roman"/>
                <w:sz w:val="24"/>
                <w:szCs w:val="24"/>
                <w:lang w:val="en-US"/>
              </w:rPr>
              <w:t>Hypercalcemia, ionized calcium &gt; 2.0 mmol/l or total albumin corrected calcium &gt; 3.0 mmol/l</w:t>
            </w:r>
          </w:p>
          <w:p w14:paraId="04B92953" w14:textId="2431F3D9" w:rsidR="00FB687D" w:rsidRDefault="00FB687D" w:rsidP="00AB6FBD">
            <w:pPr>
              <w:pStyle w:val="AufzhlungmitPunkt"/>
              <w:numPr>
                <w:ilvl w:val="0"/>
                <w:numId w:val="2"/>
              </w:numPr>
              <w:spacing w:before="240" w:after="240" w:line="276" w:lineRule="auto"/>
              <w:ind w:left="714" w:hanging="357"/>
              <w:rPr>
                <w:rFonts w:ascii="Times New Roman" w:hAnsi="Times New Roman"/>
                <w:sz w:val="24"/>
                <w:szCs w:val="24"/>
                <w:lang w:val="en-US"/>
              </w:rPr>
            </w:pPr>
            <w:r>
              <w:rPr>
                <w:rFonts w:ascii="Times New Roman" w:hAnsi="Times New Roman"/>
                <w:sz w:val="24"/>
                <w:szCs w:val="24"/>
                <w:lang w:val="en-US"/>
              </w:rPr>
              <w:t>Signs of cardiac decompensation (orthopn</w:t>
            </w:r>
            <w:r w:rsidR="007F0889">
              <w:rPr>
                <w:rFonts w:ascii="Times New Roman" w:hAnsi="Times New Roman"/>
                <w:sz w:val="24"/>
                <w:szCs w:val="24"/>
                <w:lang w:val="en-US"/>
              </w:rPr>
              <w:t>ea</w:t>
            </w:r>
            <w:r>
              <w:rPr>
                <w:rFonts w:ascii="Times New Roman" w:hAnsi="Times New Roman"/>
                <w:sz w:val="24"/>
                <w:szCs w:val="24"/>
                <w:lang w:val="en-US"/>
              </w:rPr>
              <w:t>, dyspn</w:t>
            </w:r>
            <w:r w:rsidR="007F0889">
              <w:rPr>
                <w:rFonts w:ascii="Times New Roman" w:hAnsi="Times New Roman"/>
                <w:sz w:val="24"/>
                <w:szCs w:val="24"/>
                <w:lang w:val="en-US"/>
              </w:rPr>
              <w:t>ea</w:t>
            </w:r>
            <w:r>
              <w:rPr>
                <w:rFonts w:ascii="Times New Roman" w:hAnsi="Times New Roman"/>
                <w:sz w:val="24"/>
                <w:szCs w:val="24"/>
                <w:lang w:val="en-US"/>
              </w:rPr>
              <w:t xml:space="preserve"> NYHA IV)</w:t>
            </w:r>
          </w:p>
          <w:p w14:paraId="4E730AF3" w14:textId="77777777" w:rsidR="00FB687D" w:rsidRDefault="00FB687D" w:rsidP="00AB6FBD">
            <w:pPr>
              <w:pStyle w:val="AufzhlungmitPunkt"/>
              <w:numPr>
                <w:ilvl w:val="0"/>
                <w:numId w:val="2"/>
              </w:numPr>
              <w:spacing w:before="240" w:after="240" w:line="276" w:lineRule="auto"/>
              <w:ind w:left="714" w:hanging="357"/>
              <w:rPr>
                <w:rFonts w:ascii="Times New Roman" w:hAnsi="Times New Roman"/>
                <w:sz w:val="24"/>
                <w:szCs w:val="24"/>
                <w:lang w:val="en-US"/>
              </w:rPr>
            </w:pPr>
            <w:r>
              <w:rPr>
                <w:rFonts w:ascii="Times New Roman" w:hAnsi="Times New Roman"/>
                <w:sz w:val="24"/>
                <w:szCs w:val="24"/>
                <w:lang w:val="en-US"/>
              </w:rPr>
              <w:t>Hepatic coma or precoma</w:t>
            </w:r>
          </w:p>
          <w:p w14:paraId="2E77F627" w14:textId="77777777" w:rsidR="00FB687D" w:rsidRDefault="00FB687D" w:rsidP="00AB6FBD">
            <w:pPr>
              <w:pStyle w:val="AufzhlungmitPunkt"/>
              <w:numPr>
                <w:ilvl w:val="0"/>
                <w:numId w:val="2"/>
              </w:numPr>
              <w:spacing w:before="240" w:after="240" w:line="276" w:lineRule="auto"/>
              <w:ind w:left="714" w:hanging="357"/>
              <w:rPr>
                <w:rFonts w:ascii="Times New Roman" w:hAnsi="Times New Roman"/>
                <w:sz w:val="24"/>
                <w:szCs w:val="24"/>
                <w:lang w:val="en-US"/>
              </w:rPr>
            </w:pPr>
            <w:r>
              <w:rPr>
                <w:rFonts w:ascii="Times New Roman" w:hAnsi="Times New Roman"/>
                <w:sz w:val="24"/>
                <w:szCs w:val="24"/>
                <w:lang w:val="en-US"/>
              </w:rPr>
              <w:t>Symptoms of gout</w:t>
            </w:r>
          </w:p>
          <w:p w14:paraId="4B2B02E5" w14:textId="77777777" w:rsidR="00FB687D" w:rsidRDefault="00FB687D" w:rsidP="00AB6FBD">
            <w:pPr>
              <w:pStyle w:val="AufzhlungmitPunkt"/>
              <w:numPr>
                <w:ilvl w:val="0"/>
                <w:numId w:val="2"/>
              </w:numPr>
              <w:spacing w:before="240" w:after="240" w:line="276" w:lineRule="auto"/>
              <w:ind w:left="714" w:hanging="357"/>
              <w:rPr>
                <w:rFonts w:ascii="Times New Roman" w:hAnsi="Times New Roman"/>
                <w:sz w:val="24"/>
                <w:szCs w:val="24"/>
                <w:lang w:val="en-US"/>
              </w:rPr>
            </w:pPr>
            <w:r>
              <w:rPr>
                <w:rFonts w:ascii="Times New Roman" w:hAnsi="Times New Roman"/>
                <w:sz w:val="24"/>
                <w:szCs w:val="24"/>
                <w:lang w:val="en-US"/>
              </w:rPr>
              <w:t>Current therapy with potassium-sparing diuretics (e.g. spironolactone) or potassium supplements</w:t>
            </w:r>
          </w:p>
          <w:p w14:paraId="4C1AE508" w14:textId="77777777" w:rsidR="00FB687D" w:rsidRDefault="00FB687D" w:rsidP="00AB6FBD">
            <w:pPr>
              <w:pStyle w:val="AufzhlungmitPunkt"/>
              <w:numPr>
                <w:ilvl w:val="0"/>
                <w:numId w:val="2"/>
              </w:numPr>
              <w:spacing w:before="240" w:after="240" w:line="276" w:lineRule="auto"/>
              <w:ind w:left="714" w:hanging="357"/>
              <w:rPr>
                <w:rFonts w:ascii="Times New Roman" w:hAnsi="Times New Roman"/>
                <w:sz w:val="24"/>
                <w:szCs w:val="24"/>
                <w:lang w:val="en-US"/>
              </w:rPr>
            </w:pPr>
            <w:r>
              <w:rPr>
                <w:rFonts w:ascii="Times New Roman" w:hAnsi="Times New Roman"/>
                <w:sz w:val="24"/>
                <w:szCs w:val="24"/>
                <w:lang w:val="en-US"/>
              </w:rPr>
              <w:t>Women during pregnancy and lactation.</w:t>
            </w:r>
          </w:p>
          <w:p w14:paraId="3ED13594" w14:textId="77777777" w:rsidR="00FB687D" w:rsidRDefault="00FB687D" w:rsidP="00AB6FBD">
            <w:pPr>
              <w:pStyle w:val="AufzhlungmitPunkt"/>
              <w:numPr>
                <w:ilvl w:val="0"/>
                <w:numId w:val="2"/>
              </w:numPr>
              <w:spacing w:before="240" w:after="240" w:line="276" w:lineRule="auto"/>
              <w:ind w:left="714" w:hanging="357"/>
              <w:rPr>
                <w:rFonts w:ascii="Times New Roman" w:hAnsi="Times New Roman"/>
                <w:sz w:val="24"/>
                <w:szCs w:val="24"/>
                <w:lang w:val="en-US"/>
              </w:rPr>
            </w:pPr>
            <w:r>
              <w:rPr>
                <w:rFonts w:ascii="Times New Roman" w:hAnsi="Times New Roman"/>
                <w:sz w:val="24"/>
                <w:szCs w:val="24"/>
                <w:lang w:val="en-US"/>
              </w:rPr>
              <w:t>History of hypersensitivity to the investigational medicinal product, comparator or co-medication or to any drug with similar chemical structure or to any excipient present in the pharmaceutical form of the investigational medicinal product, comparator or co-medication.</w:t>
            </w:r>
          </w:p>
          <w:p w14:paraId="7B014827" w14:textId="77777777" w:rsidR="00FB687D" w:rsidRDefault="00FB687D" w:rsidP="00AB6FBD">
            <w:pPr>
              <w:pStyle w:val="AufzhlungmitPunkt"/>
              <w:numPr>
                <w:ilvl w:val="0"/>
                <w:numId w:val="2"/>
              </w:numPr>
              <w:spacing w:before="240" w:after="240" w:line="276" w:lineRule="auto"/>
              <w:ind w:left="714" w:hanging="357"/>
              <w:rPr>
                <w:rFonts w:ascii="Times New Roman" w:hAnsi="Times New Roman"/>
                <w:sz w:val="24"/>
                <w:szCs w:val="24"/>
                <w:lang w:val="en-US"/>
              </w:rPr>
            </w:pPr>
            <w:r>
              <w:rPr>
                <w:rFonts w:ascii="Times New Roman" w:hAnsi="Times New Roman"/>
                <w:sz w:val="24"/>
                <w:szCs w:val="24"/>
                <w:lang w:val="en-US"/>
              </w:rPr>
              <w:t>Any other clinical condition that would jeopardize the patient’s safety while participating in this clinical trial.</w:t>
            </w:r>
          </w:p>
          <w:p w14:paraId="7B39F4C1" w14:textId="77777777" w:rsidR="00FB687D" w:rsidRDefault="00FB687D" w:rsidP="00AB6FBD">
            <w:pPr>
              <w:pStyle w:val="AufzhlungmitPunkt"/>
              <w:numPr>
                <w:ilvl w:val="0"/>
                <w:numId w:val="2"/>
              </w:numPr>
              <w:spacing w:before="240" w:after="240" w:line="276" w:lineRule="auto"/>
              <w:ind w:left="714" w:hanging="357"/>
              <w:rPr>
                <w:rFonts w:ascii="Times New Roman" w:hAnsi="Times New Roman"/>
                <w:sz w:val="24"/>
                <w:szCs w:val="24"/>
                <w:lang w:val="en-US"/>
              </w:rPr>
            </w:pPr>
            <w:r>
              <w:rPr>
                <w:rFonts w:ascii="Times New Roman" w:hAnsi="Times New Roman"/>
                <w:sz w:val="24"/>
                <w:szCs w:val="24"/>
                <w:lang w:val="en-US"/>
              </w:rPr>
              <w:t>Active participation in other clinical trials or observation period of competing trials.</w:t>
            </w:r>
          </w:p>
        </w:tc>
      </w:tr>
    </w:tbl>
    <w:p w14:paraId="45E3DD7C" w14:textId="77777777" w:rsidR="00FB687D" w:rsidRDefault="00FB687D" w:rsidP="00FB687D">
      <w:pPr>
        <w:suppressAutoHyphens w:val="0"/>
        <w:jc w:val="left"/>
        <w:rPr>
          <w:rFonts w:ascii="Times New Roman" w:hAnsi="Times New Roman"/>
          <w:bCs/>
          <w:sz w:val="24"/>
          <w:szCs w:val="24"/>
          <w:lang w:val="en-US"/>
        </w:rPr>
      </w:pPr>
      <w:r>
        <w:rPr>
          <w:rFonts w:ascii="Times New Roman" w:hAnsi="Times New Roman"/>
          <w:bCs/>
          <w:sz w:val="24"/>
          <w:szCs w:val="24"/>
          <w:lang w:val="en-US"/>
        </w:rPr>
        <w:br w:type="page"/>
      </w:r>
    </w:p>
    <w:p w14:paraId="51B4C5F9" w14:textId="77777777" w:rsidR="00FB687D" w:rsidRDefault="00FB687D" w:rsidP="00FB687D">
      <w:pPr>
        <w:spacing w:line="480" w:lineRule="auto"/>
        <w:rPr>
          <w:rFonts w:ascii="Times New Roman" w:hAnsi="Times New Roman"/>
          <w:b/>
          <w:bCs/>
          <w:sz w:val="24"/>
          <w:szCs w:val="24"/>
          <w:lang w:val="en-US"/>
        </w:rPr>
      </w:pPr>
      <w:r>
        <w:rPr>
          <w:rFonts w:ascii="Times New Roman" w:hAnsi="Times New Roman"/>
          <w:b/>
          <w:bCs/>
          <w:sz w:val="24"/>
          <w:szCs w:val="24"/>
          <w:lang w:val="en-US"/>
        </w:rPr>
        <w:lastRenderedPageBreak/>
        <w:t>Supplemental Table 2: Dose Modification as defined in the study protocol</w:t>
      </w:r>
    </w:p>
    <w:tbl>
      <w:tblPr>
        <w:tblStyle w:val="Tabellenraster"/>
        <w:tblW w:w="9209" w:type="dxa"/>
        <w:tblLook w:val="04A0" w:firstRow="1" w:lastRow="0" w:firstColumn="1" w:lastColumn="0" w:noHBand="0" w:noVBand="1"/>
      </w:tblPr>
      <w:tblGrid>
        <w:gridCol w:w="3306"/>
        <w:gridCol w:w="3306"/>
        <w:gridCol w:w="2597"/>
      </w:tblGrid>
      <w:tr w:rsidR="00FB687D" w14:paraId="058E488E" w14:textId="77777777" w:rsidTr="00AB6FBD">
        <w:tc>
          <w:tcPr>
            <w:tcW w:w="9209" w:type="dxa"/>
            <w:gridSpan w:val="3"/>
          </w:tcPr>
          <w:p w14:paraId="1F1BB8D3" w14:textId="77777777" w:rsidR="00FB687D" w:rsidRDefault="00FB687D" w:rsidP="00AB6FBD">
            <w:pPr>
              <w:autoSpaceDE w:val="0"/>
              <w:autoSpaceDN w:val="0"/>
              <w:adjustRightInd w:val="0"/>
              <w:spacing w:before="240" w:after="240" w:line="276" w:lineRule="auto"/>
              <w:rPr>
                <w:rFonts w:ascii="Times New Roman" w:hAnsi="Times New Roman"/>
                <w:sz w:val="24"/>
                <w:szCs w:val="24"/>
                <w:lang w:val="en-GB"/>
              </w:rPr>
            </w:pPr>
            <w:r>
              <w:rPr>
                <w:rFonts w:ascii="Times New Roman" w:hAnsi="Times New Roman"/>
                <w:sz w:val="24"/>
                <w:szCs w:val="24"/>
                <w:lang w:val="en-GB"/>
              </w:rPr>
              <w:t xml:space="preserve">The following considerations were taken into account when determining the dose adjustments: </w:t>
            </w:r>
          </w:p>
        </w:tc>
      </w:tr>
      <w:tr w:rsidR="00FB687D" w14:paraId="36DAD941" w14:textId="77777777" w:rsidTr="00AB6FBD">
        <w:tc>
          <w:tcPr>
            <w:tcW w:w="9209" w:type="dxa"/>
            <w:gridSpan w:val="3"/>
          </w:tcPr>
          <w:p w14:paraId="3E821127" w14:textId="77777777" w:rsidR="00FB687D" w:rsidRDefault="00FB687D" w:rsidP="00AB6FBD">
            <w:pPr>
              <w:numPr>
                <w:ilvl w:val="0"/>
                <w:numId w:val="3"/>
              </w:numPr>
              <w:suppressAutoHyphens w:val="0"/>
              <w:autoSpaceDE w:val="0"/>
              <w:autoSpaceDN w:val="0"/>
              <w:adjustRightInd w:val="0"/>
              <w:spacing w:before="240" w:after="360" w:line="276" w:lineRule="auto"/>
              <w:rPr>
                <w:rFonts w:ascii="Times New Roman" w:hAnsi="Times New Roman"/>
                <w:sz w:val="24"/>
                <w:szCs w:val="24"/>
                <w:lang w:val="en-GB"/>
              </w:rPr>
            </w:pPr>
            <w:r>
              <w:rPr>
                <w:rFonts w:ascii="Times New Roman" w:hAnsi="Times New Roman"/>
                <w:sz w:val="24"/>
                <w:szCs w:val="24"/>
                <w:lang w:val="en-GB"/>
              </w:rPr>
              <w:t xml:space="preserve">The initial dosages determined </w:t>
            </w:r>
            <w:proofErr w:type="gramStart"/>
            <w:r>
              <w:rPr>
                <w:rFonts w:ascii="Times New Roman" w:hAnsi="Times New Roman"/>
                <w:sz w:val="24"/>
                <w:szCs w:val="24"/>
                <w:lang w:val="en-GB"/>
              </w:rPr>
              <w:t>on the basis of</w:t>
            </w:r>
            <w:proofErr w:type="gramEnd"/>
            <w:r>
              <w:rPr>
                <w:rFonts w:ascii="Times New Roman" w:hAnsi="Times New Roman"/>
                <w:sz w:val="24"/>
                <w:szCs w:val="24"/>
                <w:lang w:val="en-GB"/>
              </w:rPr>
              <w:t xml:space="preserve"> clinical experience and common clinical practice are amiloride 5 mg and furosemide 40 mg. The dose should be increased depending on the clinical effect. Dose should be increased by steps of one whole tablet of each, amiloride or furosemide. Maximum dose of amiloride is 15 mg and that of furosemide is 120 mg. </w:t>
            </w:r>
          </w:p>
          <w:p w14:paraId="1ED8ED65" w14:textId="77777777" w:rsidR="00FB687D" w:rsidRDefault="00FB687D" w:rsidP="00AB6FBD">
            <w:pPr>
              <w:numPr>
                <w:ilvl w:val="0"/>
                <w:numId w:val="3"/>
              </w:numPr>
              <w:suppressAutoHyphens w:val="0"/>
              <w:autoSpaceDE w:val="0"/>
              <w:autoSpaceDN w:val="0"/>
              <w:adjustRightInd w:val="0"/>
              <w:spacing w:before="240" w:after="360" w:line="276" w:lineRule="auto"/>
              <w:rPr>
                <w:rFonts w:ascii="Times New Roman" w:hAnsi="Times New Roman"/>
                <w:sz w:val="24"/>
                <w:szCs w:val="24"/>
                <w:lang w:val="en-GB"/>
              </w:rPr>
            </w:pPr>
            <w:r>
              <w:rPr>
                <w:rFonts w:ascii="Times New Roman" w:hAnsi="Times New Roman"/>
                <w:sz w:val="24"/>
                <w:szCs w:val="24"/>
                <w:lang w:val="en-US"/>
              </w:rPr>
              <w:t xml:space="preserve">Based on previous own data, an overhydration (OH) of 1 l corresponds to approximately 4.25 % of extracellular water (% ECW). </w:t>
            </w:r>
            <w:r>
              <w:rPr>
                <w:rFonts w:ascii="Times New Roman" w:hAnsi="Times New Roman"/>
                <w:sz w:val="24"/>
                <w:szCs w:val="24"/>
                <w:lang w:val="en-GB"/>
              </w:rPr>
              <w:t xml:space="preserve">The daily weight loss of water should not exceed 1 l (corresponding to 4.25 %ECW) according to usual recommendations (safety criterion). </w:t>
            </w:r>
          </w:p>
          <w:p w14:paraId="03180892" w14:textId="77777777" w:rsidR="00FB687D" w:rsidRDefault="00FB687D" w:rsidP="00AB6FBD">
            <w:pPr>
              <w:numPr>
                <w:ilvl w:val="0"/>
                <w:numId w:val="3"/>
              </w:numPr>
              <w:suppressAutoHyphens w:val="0"/>
              <w:autoSpaceDE w:val="0"/>
              <w:autoSpaceDN w:val="0"/>
              <w:adjustRightInd w:val="0"/>
              <w:spacing w:before="240" w:after="360" w:line="276" w:lineRule="auto"/>
              <w:rPr>
                <w:rFonts w:ascii="Times New Roman" w:hAnsi="Times New Roman"/>
                <w:sz w:val="24"/>
                <w:szCs w:val="24"/>
                <w:lang w:val="en-GB"/>
              </w:rPr>
            </w:pPr>
            <w:r>
              <w:rPr>
                <w:rFonts w:ascii="Times New Roman" w:hAnsi="Times New Roman"/>
                <w:sz w:val="24"/>
                <w:szCs w:val="24"/>
                <w:lang w:val="en-GB"/>
              </w:rPr>
              <w:t>With a decrease of overhydration of less than 0.4 l (corresponding to 1.7 %ECW) per day, the response to the therapy is too low and the diuretic therapy should be increased (efficacy criterion).</w:t>
            </w:r>
          </w:p>
          <w:p w14:paraId="4C0D8A73" w14:textId="77777777" w:rsidR="00FB687D" w:rsidRDefault="00FB687D" w:rsidP="00AB6FBD">
            <w:pPr>
              <w:numPr>
                <w:ilvl w:val="0"/>
                <w:numId w:val="3"/>
              </w:numPr>
              <w:suppressAutoHyphens w:val="0"/>
              <w:autoSpaceDE w:val="0"/>
              <w:autoSpaceDN w:val="0"/>
              <w:adjustRightInd w:val="0"/>
              <w:spacing w:before="240" w:after="360" w:line="276" w:lineRule="auto"/>
              <w:rPr>
                <w:rFonts w:ascii="Times New Roman" w:hAnsi="Times New Roman"/>
                <w:sz w:val="24"/>
                <w:szCs w:val="24"/>
                <w:lang w:val="en-GB"/>
              </w:rPr>
            </w:pPr>
            <w:r>
              <w:rPr>
                <w:rFonts w:ascii="Times New Roman" w:hAnsi="Times New Roman"/>
                <w:sz w:val="24"/>
                <w:szCs w:val="24"/>
                <w:lang w:val="en-GB"/>
              </w:rPr>
              <w:t>If decrease of overhydration under medication with amiloride or furosemide is treatment refractory, co-medication with HCT should be initiated after 8 days, with starting dose 12.5 mg and maximum dose 25 mg.</w:t>
            </w:r>
          </w:p>
          <w:p w14:paraId="3E854D93" w14:textId="77777777" w:rsidR="00FB687D" w:rsidRDefault="00FB687D" w:rsidP="00AB6FBD">
            <w:pPr>
              <w:numPr>
                <w:ilvl w:val="0"/>
                <w:numId w:val="3"/>
              </w:numPr>
              <w:suppressAutoHyphens w:val="0"/>
              <w:autoSpaceDE w:val="0"/>
              <w:autoSpaceDN w:val="0"/>
              <w:adjustRightInd w:val="0"/>
              <w:spacing w:before="240" w:after="360" w:line="276" w:lineRule="auto"/>
              <w:rPr>
                <w:rFonts w:ascii="Times New Roman" w:hAnsi="Times New Roman"/>
                <w:sz w:val="24"/>
                <w:szCs w:val="24"/>
                <w:lang w:val="en-GB"/>
              </w:rPr>
            </w:pPr>
            <w:r>
              <w:rPr>
                <w:rFonts w:ascii="Times New Roman" w:hAnsi="Times New Roman"/>
                <w:sz w:val="24"/>
                <w:szCs w:val="24"/>
                <w:lang w:val="en-GB"/>
              </w:rPr>
              <w:t>Electrolyte disorders should lead to dose adjustments in case of plasma potassium &lt; 3.3 mmol/l or &gt; 5.3 mmol/l and plasma sodium &lt; 125 mmol/l (safety criteria).</w:t>
            </w:r>
          </w:p>
          <w:p w14:paraId="1AFDCB2F" w14:textId="77777777" w:rsidR="00FB687D" w:rsidRDefault="00FB687D" w:rsidP="00AB6FBD">
            <w:pPr>
              <w:numPr>
                <w:ilvl w:val="0"/>
                <w:numId w:val="3"/>
              </w:numPr>
              <w:suppressAutoHyphens w:val="0"/>
              <w:autoSpaceDE w:val="0"/>
              <w:autoSpaceDN w:val="0"/>
              <w:adjustRightInd w:val="0"/>
              <w:spacing w:before="240" w:after="360" w:line="276" w:lineRule="auto"/>
              <w:rPr>
                <w:rFonts w:ascii="Times New Roman" w:hAnsi="Times New Roman"/>
                <w:sz w:val="24"/>
                <w:szCs w:val="24"/>
                <w:lang w:val="en-GB"/>
              </w:rPr>
            </w:pPr>
            <w:r>
              <w:rPr>
                <w:rFonts w:ascii="Times New Roman" w:hAnsi="Times New Roman"/>
                <w:sz w:val="24"/>
                <w:szCs w:val="24"/>
                <w:lang w:val="en-GB"/>
              </w:rPr>
              <w:t>Signs of acute kidney injury (increase of serum creatinine by ≥ 0.4 mg/dl) should lead to a dose reduction.</w:t>
            </w:r>
          </w:p>
          <w:p w14:paraId="15688831" w14:textId="77777777" w:rsidR="00FB687D" w:rsidRDefault="00FB687D" w:rsidP="00AB6FBD">
            <w:pPr>
              <w:numPr>
                <w:ilvl w:val="0"/>
                <w:numId w:val="3"/>
              </w:numPr>
              <w:suppressAutoHyphens w:val="0"/>
              <w:autoSpaceDE w:val="0"/>
              <w:autoSpaceDN w:val="0"/>
              <w:adjustRightInd w:val="0"/>
              <w:spacing w:before="240" w:after="360" w:line="276" w:lineRule="auto"/>
              <w:rPr>
                <w:rFonts w:ascii="Times New Roman" w:hAnsi="Times New Roman"/>
                <w:sz w:val="24"/>
                <w:szCs w:val="24"/>
                <w:lang w:val="en-GB"/>
              </w:rPr>
            </w:pPr>
            <w:r>
              <w:rPr>
                <w:rFonts w:ascii="Times New Roman" w:hAnsi="Times New Roman"/>
                <w:sz w:val="24"/>
                <w:szCs w:val="24"/>
                <w:lang w:val="en-GB"/>
              </w:rPr>
              <w:t>Low blood pressure (BP) should lead to a dose reduction.</w:t>
            </w:r>
          </w:p>
          <w:p w14:paraId="663D8987" w14:textId="77777777" w:rsidR="00FB687D" w:rsidRDefault="00FB687D" w:rsidP="00AB6FBD">
            <w:pPr>
              <w:numPr>
                <w:ilvl w:val="0"/>
                <w:numId w:val="3"/>
              </w:numPr>
              <w:suppressAutoHyphens w:val="0"/>
              <w:autoSpaceDE w:val="0"/>
              <w:autoSpaceDN w:val="0"/>
              <w:adjustRightInd w:val="0"/>
              <w:spacing w:before="240" w:after="360" w:line="276" w:lineRule="auto"/>
              <w:rPr>
                <w:rFonts w:ascii="Times New Roman" w:hAnsi="Times New Roman"/>
                <w:sz w:val="24"/>
                <w:szCs w:val="24"/>
                <w:lang w:val="en-GB"/>
              </w:rPr>
            </w:pPr>
            <w:r>
              <w:rPr>
                <w:rFonts w:ascii="Times New Roman" w:hAnsi="Times New Roman"/>
                <w:sz w:val="24"/>
                <w:szCs w:val="24"/>
                <w:lang w:val="en-GB"/>
              </w:rPr>
              <w:t>When overhydration is no longer present, a maintenance dose based on the previous dose should be continued. Overhydration is no longer present, if OH is within the normal range of -1 to +1 l, corresponding to -4.25 to +4.25 %ECW.</w:t>
            </w:r>
          </w:p>
          <w:p w14:paraId="61D1F60E" w14:textId="77777777" w:rsidR="00FB687D" w:rsidRDefault="00FB687D" w:rsidP="00AB6FBD">
            <w:pPr>
              <w:autoSpaceDE w:val="0"/>
              <w:autoSpaceDN w:val="0"/>
              <w:adjustRightInd w:val="0"/>
              <w:spacing w:before="240" w:after="360" w:line="276" w:lineRule="auto"/>
              <w:rPr>
                <w:rFonts w:ascii="Times New Roman" w:hAnsi="Times New Roman"/>
                <w:sz w:val="24"/>
                <w:szCs w:val="24"/>
                <w:lang w:val="en-GB"/>
              </w:rPr>
            </w:pPr>
            <w:r>
              <w:rPr>
                <w:rFonts w:ascii="Times New Roman" w:hAnsi="Times New Roman"/>
                <w:sz w:val="24"/>
                <w:szCs w:val="24"/>
                <w:lang w:val="en-GB"/>
              </w:rPr>
              <w:t xml:space="preserve">The dose after dose adjustment is valid until the next study visit. If a safety criterion and an efficacy criterion are both met, the dose adjustment shall be performed </w:t>
            </w:r>
            <w:proofErr w:type="gramStart"/>
            <w:r>
              <w:rPr>
                <w:rFonts w:ascii="Times New Roman" w:hAnsi="Times New Roman"/>
                <w:sz w:val="24"/>
                <w:szCs w:val="24"/>
                <w:lang w:val="en-GB"/>
              </w:rPr>
              <w:t>on the basis of</w:t>
            </w:r>
            <w:proofErr w:type="gramEnd"/>
            <w:r>
              <w:rPr>
                <w:rFonts w:ascii="Times New Roman" w:hAnsi="Times New Roman"/>
                <w:sz w:val="24"/>
                <w:szCs w:val="24"/>
                <w:lang w:val="en-GB"/>
              </w:rPr>
              <w:t xml:space="preserve"> the safety criterion.</w:t>
            </w:r>
          </w:p>
          <w:p w14:paraId="4ED95425" w14:textId="77777777" w:rsidR="00FB687D" w:rsidRDefault="00FB687D" w:rsidP="00AB6FBD">
            <w:pPr>
              <w:autoSpaceDE w:val="0"/>
              <w:autoSpaceDN w:val="0"/>
              <w:adjustRightInd w:val="0"/>
              <w:spacing w:before="240" w:after="360" w:line="276" w:lineRule="auto"/>
              <w:rPr>
                <w:rFonts w:ascii="Times New Roman" w:hAnsi="Times New Roman"/>
                <w:sz w:val="24"/>
                <w:szCs w:val="24"/>
                <w:lang w:val="en-GB"/>
              </w:rPr>
            </w:pPr>
          </w:p>
          <w:p w14:paraId="027E0036" w14:textId="77777777" w:rsidR="00FB687D" w:rsidRDefault="00FB687D" w:rsidP="00AB6FBD">
            <w:pPr>
              <w:autoSpaceDE w:val="0"/>
              <w:autoSpaceDN w:val="0"/>
              <w:adjustRightInd w:val="0"/>
              <w:spacing w:before="240" w:after="360" w:line="276" w:lineRule="auto"/>
              <w:rPr>
                <w:rFonts w:ascii="Times New Roman" w:hAnsi="Times New Roman"/>
                <w:sz w:val="24"/>
                <w:szCs w:val="24"/>
                <w:lang w:val="en-GB"/>
              </w:rPr>
            </w:pPr>
          </w:p>
        </w:tc>
      </w:tr>
      <w:tr w:rsidR="00FB687D" w14:paraId="5872FF0E" w14:textId="77777777" w:rsidTr="00AB6FBD">
        <w:tc>
          <w:tcPr>
            <w:tcW w:w="9209" w:type="dxa"/>
            <w:gridSpan w:val="3"/>
          </w:tcPr>
          <w:p w14:paraId="04CD70F4" w14:textId="77777777" w:rsidR="00FB687D" w:rsidRDefault="00FB687D" w:rsidP="00AB6FBD">
            <w:pPr>
              <w:spacing w:before="240" w:after="240" w:line="276" w:lineRule="auto"/>
              <w:rPr>
                <w:rFonts w:ascii="Times New Roman" w:hAnsi="Times New Roman"/>
                <w:sz w:val="24"/>
                <w:szCs w:val="24"/>
                <w:lang w:val="en-GB"/>
              </w:rPr>
            </w:pPr>
            <w:r>
              <w:rPr>
                <w:rFonts w:ascii="Times New Roman" w:hAnsi="Times New Roman"/>
                <w:sz w:val="24"/>
                <w:szCs w:val="24"/>
                <w:lang w:val="en-GB"/>
              </w:rPr>
              <w:lastRenderedPageBreak/>
              <w:t>Based on these considerations, dose adjustments are performed as follows:</w:t>
            </w:r>
          </w:p>
        </w:tc>
      </w:tr>
      <w:tr w:rsidR="00FB687D" w14:paraId="4ED10D3F" w14:textId="77777777" w:rsidTr="00AB6FBD">
        <w:trPr>
          <w:trHeight w:val="3568"/>
        </w:trPr>
        <w:tc>
          <w:tcPr>
            <w:tcW w:w="3306" w:type="dxa"/>
          </w:tcPr>
          <w:p w14:paraId="4EAFA1B0" w14:textId="77777777" w:rsidR="00FB687D" w:rsidRDefault="00FB687D" w:rsidP="00AB6FBD">
            <w:pPr>
              <w:spacing w:before="240" w:after="240" w:line="276" w:lineRule="auto"/>
              <w:rPr>
                <w:rFonts w:ascii="Times New Roman" w:hAnsi="Times New Roman"/>
                <w:sz w:val="24"/>
                <w:szCs w:val="24"/>
                <w:lang w:val="en-GB"/>
              </w:rPr>
            </w:pPr>
            <w:r>
              <w:rPr>
                <w:rFonts w:ascii="Times New Roman" w:hAnsi="Times New Roman"/>
                <w:sz w:val="24"/>
                <w:szCs w:val="24"/>
                <w:lang w:val="en-GB"/>
              </w:rPr>
              <w:t>Reasons for increase (efficacy criteria):</w:t>
            </w:r>
          </w:p>
          <w:p w14:paraId="42DAC277" w14:textId="77777777" w:rsidR="00FB687D" w:rsidRDefault="00FB687D" w:rsidP="00AB6FBD">
            <w:pPr>
              <w:numPr>
                <w:ilvl w:val="0"/>
                <w:numId w:val="3"/>
              </w:numPr>
              <w:suppressAutoHyphens w:val="0"/>
              <w:autoSpaceDE w:val="0"/>
              <w:autoSpaceDN w:val="0"/>
              <w:adjustRightInd w:val="0"/>
              <w:spacing w:before="240" w:after="240" w:line="276" w:lineRule="auto"/>
              <w:rPr>
                <w:rFonts w:ascii="Times New Roman" w:hAnsi="Times New Roman"/>
                <w:sz w:val="24"/>
                <w:szCs w:val="24"/>
                <w:lang w:val="en-GB"/>
              </w:rPr>
            </w:pPr>
            <w:r>
              <w:rPr>
                <w:rFonts w:ascii="Times New Roman" w:hAnsi="Times New Roman"/>
                <w:sz w:val="24"/>
                <w:szCs w:val="24"/>
                <w:lang w:val="en-GB"/>
              </w:rPr>
              <w:t xml:space="preserve">Decrease of OH is less than 1.7 %ECW per day </w:t>
            </w:r>
          </w:p>
        </w:tc>
        <w:tc>
          <w:tcPr>
            <w:tcW w:w="3306" w:type="dxa"/>
          </w:tcPr>
          <w:p w14:paraId="5D632DCA" w14:textId="77777777" w:rsidR="00FB687D" w:rsidRDefault="00FB687D" w:rsidP="00AB6FBD">
            <w:pPr>
              <w:spacing w:before="240" w:after="240" w:line="276" w:lineRule="auto"/>
              <w:rPr>
                <w:rFonts w:ascii="Times New Roman" w:hAnsi="Times New Roman"/>
                <w:sz w:val="24"/>
                <w:szCs w:val="24"/>
                <w:lang w:val="en-GB"/>
              </w:rPr>
            </w:pPr>
            <w:r>
              <w:rPr>
                <w:rFonts w:ascii="Times New Roman" w:hAnsi="Times New Roman"/>
                <w:sz w:val="24"/>
                <w:szCs w:val="24"/>
                <w:lang w:val="en-GB"/>
              </w:rPr>
              <w:t>Reasons for decrease (safety criteria):</w:t>
            </w:r>
          </w:p>
          <w:p w14:paraId="40E08110" w14:textId="77777777" w:rsidR="00FB687D" w:rsidRDefault="00FB687D" w:rsidP="00AB6FBD">
            <w:pPr>
              <w:numPr>
                <w:ilvl w:val="0"/>
                <w:numId w:val="3"/>
              </w:numPr>
              <w:suppressAutoHyphens w:val="0"/>
              <w:autoSpaceDE w:val="0"/>
              <w:autoSpaceDN w:val="0"/>
              <w:adjustRightInd w:val="0"/>
              <w:spacing w:before="240" w:after="240" w:line="276" w:lineRule="auto"/>
              <w:rPr>
                <w:rFonts w:ascii="Times New Roman" w:hAnsi="Times New Roman"/>
                <w:sz w:val="24"/>
                <w:szCs w:val="24"/>
                <w:lang w:val="en-GB"/>
              </w:rPr>
            </w:pPr>
            <w:r>
              <w:rPr>
                <w:rFonts w:ascii="Times New Roman" w:hAnsi="Times New Roman"/>
                <w:sz w:val="24"/>
                <w:szCs w:val="24"/>
                <w:lang w:val="en-GB"/>
              </w:rPr>
              <w:t>Decrease of OH is more than 4.25 %ECW per day</w:t>
            </w:r>
          </w:p>
          <w:p w14:paraId="7FC4251D" w14:textId="77777777" w:rsidR="00FB687D" w:rsidRDefault="00FB687D" w:rsidP="00AB6FBD">
            <w:pPr>
              <w:numPr>
                <w:ilvl w:val="0"/>
                <w:numId w:val="3"/>
              </w:numPr>
              <w:suppressAutoHyphens w:val="0"/>
              <w:autoSpaceDE w:val="0"/>
              <w:autoSpaceDN w:val="0"/>
              <w:adjustRightInd w:val="0"/>
              <w:spacing w:before="240" w:after="240" w:line="276" w:lineRule="auto"/>
              <w:rPr>
                <w:rFonts w:ascii="Times New Roman" w:hAnsi="Times New Roman"/>
                <w:sz w:val="24"/>
                <w:szCs w:val="24"/>
                <w:lang w:val="en-GB"/>
              </w:rPr>
            </w:pPr>
            <w:r>
              <w:rPr>
                <w:rFonts w:ascii="Times New Roman" w:hAnsi="Times New Roman"/>
                <w:sz w:val="24"/>
                <w:szCs w:val="24"/>
                <w:lang w:val="en-GB"/>
              </w:rPr>
              <w:t>K &gt;5.3 or &lt;3.3 mmol/l</w:t>
            </w:r>
          </w:p>
          <w:p w14:paraId="22D0D5BA" w14:textId="77777777" w:rsidR="00FB687D" w:rsidRDefault="00FB687D" w:rsidP="00AB6FBD">
            <w:pPr>
              <w:numPr>
                <w:ilvl w:val="0"/>
                <w:numId w:val="3"/>
              </w:numPr>
              <w:suppressAutoHyphens w:val="0"/>
              <w:autoSpaceDE w:val="0"/>
              <w:autoSpaceDN w:val="0"/>
              <w:adjustRightInd w:val="0"/>
              <w:spacing w:before="240" w:after="240" w:line="276" w:lineRule="auto"/>
              <w:rPr>
                <w:rFonts w:ascii="Times New Roman" w:hAnsi="Times New Roman"/>
                <w:sz w:val="24"/>
                <w:szCs w:val="24"/>
                <w:lang w:val="en-GB"/>
              </w:rPr>
            </w:pPr>
            <w:r>
              <w:rPr>
                <w:rFonts w:ascii="Times New Roman" w:hAnsi="Times New Roman"/>
                <w:sz w:val="24"/>
                <w:szCs w:val="24"/>
                <w:lang w:val="en-GB"/>
              </w:rPr>
              <w:t>Systolic BP &lt; 90 mmHg or diastolic BP &lt; 60 mmHg</w:t>
            </w:r>
          </w:p>
        </w:tc>
        <w:tc>
          <w:tcPr>
            <w:tcW w:w="2597" w:type="dxa"/>
          </w:tcPr>
          <w:p w14:paraId="40A414B7" w14:textId="77777777" w:rsidR="00FB687D" w:rsidRDefault="00FB687D" w:rsidP="00AB6FBD">
            <w:pPr>
              <w:suppressAutoHyphens w:val="0"/>
              <w:autoSpaceDE w:val="0"/>
              <w:autoSpaceDN w:val="0"/>
              <w:adjustRightInd w:val="0"/>
              <w:spacing w:before="240" w:after="240" w:line="276" w:lineRule="auto"/>
              <w:rPr>
                <w:rFonts w:ascii="Times New Roman" w:hAnsi="Times New Roman"/>
                <w:sz w:val="24"/>
                <w:szCs w:val="24"/>
                <w:lang w:val="en-GB"/>
              </w:rPr>
            </w:pPr>
            <w:r>
              <w:rPr>
                <w:rFonts w:ascii="Times New Roman" w:hAnsi="Times New Roman"/>
                <w:sz w:val="24"/>
                <w:szCs w:val="24"/>
                <w:lang w:val="en-GB"/>
              </w:rPr>
              <w:t>Reasons for pause of study medication (safety criteria):</w:t>
            </w:r>
          </w:p>
          <w:p w14:paraId="71BB89A4" w14:textId="77777777" w:rsidR="00FB687D" w:rsidRDefault="00FB687D" w:rsidP="00AB6FBD">
            <w:pPr>
              <w:pStyle w:val="Listenabsatz"/>
              <w:numPr>
                <w:ilvl w:val="0"/>
                <w:numId w:val="3"/>
              </w:numPr>
              <w:suppressAutoHyphens w:val="0"/>
              <w:autoSpaceDE w:val="0"/>
              <w:autoSpaceDN w:val="0"/>
              <w:adjustRightInd w:val="0"/>
              <w:spacing w:before="240" w:after="240" w:line="276" w:lineRule="auto"/>
              <w:rPr>
                <w:rFonts w:ascii="Times New Roman" w:hAnsi="Times New Roman"/>
                <w:sz w:val="24"/>
                <w:szCs w:val="24"/>
                <w:lang w:val="en-GB"/>
              </w:rPr>
            </w:pPr>
            <w:r>
              <w:rPr>
                <w:rFonts w:ascii="Times New Roman" w:hAnsi="Times New Roman"/>
                <w:sz w:val="24"/>
                <w:szCs w:val="24"/>
                <w:lang w:val="en-GB"/>
              </w:rPr>
              <w:t>Increase of creatinine by &gt;0.4 mg/dl since day 0</w:t>
            </w:r>
          </w:p>
          <w:p w14:paraId="429C5EA0" w14:textId="77777777" w:rsidR="00FB687D" w:rsidRDefault="00FB687D" w:rsidP="00AB6FBD">
            <w:pPr>
              <w:numPr>
                <w:ilvl w:val="0"/>
                <w:numId w:val="3"/>
              </w:numPr>
              <w:suppressAutoHyphens w:val="0"/>
              <w:autoSpaceDE w:val="0"/>
              <w:autoSpaceDN w:val="0"/>
              <w:adjustRightInd w:val="0"/>
              <w:spacing w:before="240" w:after="240" w:line="276" w:lineRule="auto"/>
              <w:rPr>
                <w:rFonts w:ascii="Times New Roman" w:hAnsi="Times New Roman"/>
                <w:sz w:val="24"/>
                <w:szCs w:val="24"/>
                <w:lang w:val="en-GB"/>
              </w:rPr>
            </w:pPr>
            <w:r>
              <w:rPr>
                <w:rFonts w:ascii="Times New Roman" w:hAnsi="Times New Roman"/>
                <w:sz w:val="24"/>
                <w:szCs w:val="24"/>
                <w:lang w:val="en-GB"/>
              </w:rPr>
              <w:t>K&gt;5.6 or &lt;3.0 mmol/l</w:t>
            </w:r>
          </w:p>
          <w:p w14:paraId="03E6F852" w14:textId="77777777" w:rsidR="00FB687D" w:rsidRDefault="00FB687D" w:rsidP="00AB6FBD">
            <w:pPr>
              <w:numPr>
                <w:ilvl w:val="0"/>
                <w:numId w:val="3"/>
              </w:numPr>
              <w:autoSpaceDE w:val="0"/>
              <w:autoSpaceDN w:val="0"/>
              <w:adjustRightInd w:val="0"/>
              <w:spacing w:before="240" w:after="240" w:line="276" w:lineRule="auto"/>
              <w:rPr>
                <w:rFonts w:ascii="Times New Roman" w:hAnsi="Times New Roman"/>
                <w:sz w:val="24"/>
                <w:szCs w:val="24"/>
                <w:lang w:val="en-GB"/>
              </w:rPr>
            </w:pPr>
            <w:r>
              <w:rPr>
                <w:rFonts w:ascii="Times New Roman" w:hAnsi="Times New Roman"/>
                <w:sz w:val="24"/>
                <w:szCs w:val="24"/>
                <w:lang w:val="en-GB"/>
              </w:rPr>
              <w:t xml:space="preserve">Na </w:t>
            </w:r>
            <w:r>
              <w:rPr>
                <w:rFonts w:ascii="Times New Roman" w:hAnsi="Times New Roman"/>
                <w:sz w:val="24"/>
                <w:szCs w:val="24"/>
              </w:rPr>
              <w:t>&lt;125 mmol/l</w:t>
            </w:r>
          </w:p>
        </w:tc>
      </w:tr>
      <w:tr w:rsidR="00FB687D" w14:paraId="562FF049" w14:textId="77777777" w:rsidTr="00AB6FBD">
        <w:tc>
          <w:tcPr>
            <w:tcW w:w="3306" w:type="dxa"/>
          </w:tcPr>
          <w:p w14:paraId="44F61136" w14:textId="77777777" w:rsidR="00FB687D" w:rsidRDefault="00FB687D" w:rsidP="00AB6FBD">
            <w:pPr>
              <w:autoSpaceDE w:val="0"/>
              <w:autoSpaceDN w:val="0"/>
              <w:adjustRightInd w:val="0"/>
              <w:spacing w:before="240" w:after="240" w:line="276" w:lineRule="auto"/>
              <w:rPr>
                <w:rFonts w:ascii="Times New Roman" w:hAnsi="Times New Roman"/>
                <w:sz w:val="24"/>
                <w:szCs w:val="24"/>
                <w:lang w:val="en-US"/>
              </w:rPr>
            </w:pPr>
            <w:r>
              <w:rPr>
                <w:rFonts w:ascii="Times New Roman" w:hAnsi="Times New Roman"/>
                <w:sz w:val="24"/>
                <w:szCs w:val="24"/>
                <w:lang w:val="en-US"/>
              </w:rPr>
              <w:t>Increase is defined as</w:t>
            </w:r>
          </w:p>
          <w:p w14:paraId="2EFF30F7" w14:textId="77777777" w:rsidR="00FB687D" w:rsidRDefault="00FB687D" w:rsidP="00AB6FBD">
            <w:pPr>
              <w:numPr>
                <w:ilvl w:val="0"/>
                <w:numId w:val="3"/>
              </w:numPr>
              <w:suppressAutoHyphens w:val="0"/>
              <w:autoSpaceDE w:val="0"/>
              <w:autoSpaceDN w:val="0"/>
              <w:adjustRightInd w:val="0"/>
              <w:spacing w:before="240" w:after="240" w:line="276" w:lineRule="auto"/>
              <w:rPr>
                <w:rFonts w:ascii="Times New Roman" w:hAnsi="Times New Roman"/>
                <w:sz w:val="24"/>
                <w:szCs w:val="24"/>
                <w:lang w:val="en-US"/>
              </w:rPr>
            </w:pPr>
            <w:r>
              <w:rPr>
                <w:rFonts w:ascii="Times New Roman" w:hAnsi="Times New Roman"/>
                <w:sz w:val="24"/>
                <w:szCs w:val="24"/>
                <w:lang w:val="en-US"/>
              </w:rPr>
              <w:t>Increase of study medication by amiloride 5 mg or furosemide 40 mg if current dose is amiloride 5 or 10 mg or furosemide 40 or 80 mg</w:t>
            </w:r>
          </w:p>
          <w:p w14:paraId="0F06403C" w14:textId="77777777" w:rsidR="00FB687D" w:rsidRDefault="00FB687D" w:rsidP="00AB6FBD">
            <w:pPr>
              <w:numPr>
                <w:ilvl w:val="0"/>
                <w:numId w:val="3"/>
              </w:numPr>
              <w:suppressAutoHyphens w:val="0"/>
              <w:autoSpaceDE w:val="0"/>
              <w:autoSpaceDN w:val="0"/>
              <w:adjustRightInd w:val="0"/>
              <w:spacing w:before="240" w:after="240" w:line="276" w:lineRule="auto"/>
              <w:rPr>
                <w:rFonts w:ascii="Times New Roman" w:hAnsi="Times New Roman"/>
                <w:sz w:val="24"/>
                <w:szCs w:val="24"/>
                <w:lang w:val="en-US"/>
              </w:rPr>
            </w:pPr>
            <w:r>
              <w:rPr>
                <w:rFonts w:ascii="Times New Roman" w:hAnsi="Times New Roman"/>
                <w:sz w:val="24"/>
                <w:szCs w:val="24"/>
                <w:lang w:val="en-US"/>
              </w:rPr>
              <w:t>Addition of HCT 12,5 mg at day 8 or 12 or increase of HCT to 25 mg at day 12 if current dose of amiloride or furosemide is the maximum dose</w:t>
            </w:r>
          </w:p>
        </w:tc>
        <w:tc>
          <w:tcPr>
            <w:tcW w:w="3306" w:type="dxa"/>
          </w:tcPr>
          <w:p w14:paraId="7DDB02BA" w14:textId="77777777" w:rsidR="00FB687D" w:rsidRDefault="00FB687D" w:rsidP="00AB6FBD">
            <w:pPr>
              <w:autoSpaceDE w:val="0"/>
              <w:autoSpaceDN w:val="0"/>
              <w:adjustRightInd w:val="0"/>
              <w:spacing w:before="240" w:after="240" w:line="276" w:lineRule="auto"/>
              <w:rPr>
                <w:rFonts w:ascii="Times New Roman" w:hAnsi="Times New Roman"/>
                <w:sz w:val="24"/>
                <w:szCs w:val="24"/>
                <w:lang w:val="en-US"/>
              </w:rPr>
            </w:pPr>
            <w:r>
              <w:rPr>
                <w:rFonts w:ascii="Times New Roman" w:hAnsi="Times New Roman"/>
                <w:sz w:val="24"/>
                <w:szCs w:val="24"/>
                <w:lang w:val="en-US"/>
              </w:rPr>
              <w:t xml:space="preserve">Decrease is defined as </w:t>
            </w:r>
          </w:p>
          <w:p w14:paraId="56049DF8" w14:textId="77777777" w:rsidR="00FB687D" w:rsidRDefault="00FB687D" w:rsidP="00AB6FBD">
            <w:pPr>
              <w:numPr>
                <w:ilvl w:val="0"/>
                <w:numId w:val="3"/>
              </w:numPr>
              <w:suppressAutoHyphens w:val="0"/>
              <w:autoSpaceDE w:val="0"/>
              <w:autoSpaceDN w:val="0"/>
              <w:adjustRightInd w:val="0"/>
              <w:spacing w:before="240" w:after="240" w:line="276" w:lineRule="auto"/>
              <w:rPr>
                <w:rFonts w:ascii="Times New Roman" w:hAnsi="Times New Roman"/>
                <w:sz w:val="24"/>
                <w:szCs w:val="24"/>
                <w:lang w:val="en-US"/>
              </w:rPr>
            </w:pPr>
            <w:r>
              <w:rPr>
                <w:rFonts w:ascii="Times New Roman" w:hAnsi="Times New Roman"/>
                <w:sz w:val="24"/>
                <w:szCs w:val="24"/>
                <w:lang w:val="en-US"/>
              </w:rPr>
              <w:t>pause of study medication for 1 day if current dose is amiloride 5 mg or furosemide 40 mg and then continue with amiloride 5 mg or furosemide 40mg</w:t>
            </w:r>
          </w:p>
          <w:p w14:paraId="0A2D0B70" w14:textId="77777777" w:rsidR="00FB687D" w:rsidRDefault="00FB687D" w:rsidP="00AB6FBD">
            <w:pPr>
              <w:numPr>
                <w:ilvl w:val="0"/>
                <w:numId w:val="3"/>
              </w:numPr>
              <w:suppressAutoHyphens w:val="0"/>
              <w:autoSpaceDE w:val="0"/>
              <w:autoSpaceDN w:val="0"/>
              <w:adjustRightInd w:val="0"/>
              <w:spacing w:before="240" w:after="240" w:line="276" w:lineRule="auto"/>
              <w:rPr>
                <w:rFonts w:ascii="Times New Roman" w:hAnsi="Times New Roman"/>
                <w:sz w:val="24"/>
                <w:szCs w:val="24"/>
                <w:lang w:val="en-US"/>
              </w:rPr>
            </w:pPr>
            <w:r>
              <w:rPr>
                <w:rFonts w:ascii="Times New Roman" w:hAnsi="Times New Roman"/>
                <w:sz w:val="24"/>
                <w:szCs w:val="24"/>
                <w:lang w:val="en-US"/>
              </w:rPr>
              <w:t xml:space="preserve">reduction by amiloride 5 mg or furosemide 40 mg if current dose is amiloride 10 or 15 mg or furosemide 80 or 120 mg </w:t>
            </w:r>
          </w:p>
          <w:p w14:paraId="7D1C8114" w14:textId="77777777" w:rsidR="00FB687D" w:rsidRDefault="00FB687D" w:rsidP="00AB6FBD">
            <w:pPr>
              <w:numPr>
                <w:ilvl w:val="0"/>
                <w:numId w:val="3"/>
              </w:numPr>
              <w:suppressAutoHyphens w:val="0"/>
              <w:autoSpaceDE w:val="0"/>
              <w:autoSpaceDN w:val="0"/>
              <w:adjustRightInd w:val="0"/>
              <w:spacing w:before="240" w:after="240" w:line="276" w:lineRule="auto"/>
              <w:rPr>
                <w:rFonts w:ascii="Times New Roman" w:hAnsi="Times New Roman"/>
                <w:sz w:val="24"/>
                <w:szCs w:val="24"/>
                <w:lang w:val="en-US"/>
              </w:rPr>
            </w:pPr>
            <w:r>
              <w:rPr>
                <w:rFonts w:ascii="Times New Roman" w:hAnsi="Times New Roman"/>
                <w:sz w:val="24"/>
                <w:szCs w:val="24"/>
                <w:lang w:val="en-US"/>
              </w:rPr>
              <w:t>pause of HCT at day 12 if present</w:t>
            </w:r>
          </w:p>
        </w:tc>
        <w:tc>
          <w:tcPr>
            <w:tcW w:w="2597" w:type="dxa"/>
          </w:tcPr>
          <w:p w14:paraId="4990E1B6" w14:textId="77777777" w:rsidR="00FB687D" w:rsidRDefault="00FB687D" w:rsidP="00AB6FBD">
            <w:pPr>
              <w:autoSpaceDE w:val="0"/>
              <w:autoSpaceDN w:val="0"/>
              <w:adjustRightInd w:val="0"/>
              <w:spacing w:before="240" w:after="240" w:line="276" w:lineRule="auto"/>
              <w:rPr>
                <w:rFonts w:ascii="Times New Roman" w:hAnsi="Times New Roman"/>
                <w:sz w:val="24"/>
                <w:szCs w:val="24"/>
                <w:lang w:val="en-US"/>
              </w:rPr>
            </w:pPr>
            <w:r>
              <w:rPr>
                <w:rFonts w:ascii="Times New Roman" w:hAnsi="Times New Roman"/>
                <w:sz w:val="24"/>
                <w:szCs w:val="24"/>
                <w:lang w:val="en-US"/>
              </w:rPr>
              <w:t xml:space="preserve">Pause of study medication is defined as pause of study medication until the next visit. </w:t>
            </w:r>
          </w:p>
        </w:tc>
      </w:tr>
    </w:tbl>
    <w:p w14:paraId="08221350" w14:textId="77777777" w:rsidR="00FB687D" w:rsidRDefault="00FB687D" w:rsidP="00FB687D">
      <w:pPr>
        <w:spacing w:line="480" w:lineRule="auto"/>
        <w:rPr>
          <w:rFonts w:ascii="Times New Roman" w:hAnsi="Times New Roman"/>
          <w:bCs/>
          <w:sz w:val="24"/>
          <w:szCs w:val="24"/>
          <w:lang w:val="en-US"/>
        </w:rPr>
      </w:pPr>
    </w:p>
    <w:p w14:paraId="1E4BA208" w14:textId="77777777" w:rsidR="00FB687D" w:rsidRDefault="00FB687D" w:rsidP="00FB687D">
      <w:pPr>
        <w:suppressAutoHyphens w:val="0"/>
        <w:jc w:val="left"/>
        <w:rPr>
          <w:rFonts w:ascii="Times New Roman" w:hAnsi="Times New Roman"/>
          <w:bCs/>
          <w:sz w:val="24"/>
          <w:szCs w:val="24"/>
          <w:lang w:val="en-US"/>
        </w:rPr>
      </w:pPr>
      <w:r>
        <w:rPr>
          <w:rFonts w:ascii="Times New Roman" w:hAnsi="Times New Roman"/>
          <w:bCs/>
          <w:sz w:val="24"/>
          <w:szCs w:val="24"/>
          <w:lang w:val="en-US"/>
        </w:rPr>
        <w:br w:type="page"/>
      </w:r>
    </w:p>
    <w:p w14:paraId="5693C8B3" w14:textId="77777777" w:rsidR="00FB687D" w:rsidRDefault="00FB687D" w:rsidP="00FB687D">
      <w:pPr>
        <w:suppressAutoHyphens w:val="0"/>
        <w:jc w:val="left"/>
        <w:rPr>
          <w:rFonts w:ascii="Times New Roman" w:hAnsi="Times New Roman"/>
          <w:b/>
          <w:sz w:val="24"/>
          <w:szCs w:val="24"/>
          <w:lang w:val="en-US"/>
        </w:rPr>
      </w:pPr>
      <w:r>
        <w:rPr>
          <w:rFonts w:ascii="Times New Roman" w:hAnsi="Times New Roman"/>
          <w:b/>
          <w:sz w:val="24"/>
          <w:szCs w:val="24"/>
          <w:lang w:val="en-US"/>
        </w:rPr>
        <w:lastRenderedPageBreak/>
        <w:t xml:space="preserve">Supplemental Table 3: Concomitant medication relevant for the study result </w:t>
      </w:r>
    </w:p>
    <w:p w14:paraId="7E8752EA" w14:textId="77777777" w:rsidR="00FB687D" w:rsidRDefault="00FB687D" w:rsidP="00FB687D">
      <w:pPr>
        <w:suppressAutoHyphens w:val="0"/>
        <w:jc w:val="left"/>
        <w:rPr>
          <w:rFonts w:ascii="Times New Roman" w:hAnsi="Times New Roman"/>
          <w:bCs/>
          <w:sz w:val="24"/>
          <w:szCs w:val="24"/>
          <w:lang w:val="en-US"/>
        </w:rPr>
      </w:pPr>
    </w:p>
    <w:tbl>
      <w:tblPr>
        <w:tblStyle w:val="Tabellenraster"/>
        <w:tblW w:w="0" w:type="auto"/>
        <w:tblLook w:val="04A0" w:firstRow="1" w:lastRow="0" w:firstColumn="1" w:lastColumn="0" w:noHBand="0" w:noVBand="1"/>
      </w:tblPr>
      <w:tblGrid>
        <w:gridCol w:w="4531"/>
        <w:gridCol w:w="4531"/>
      </w:tblGrid>
      <w:tr w:rsidR="00FB687D" w14:paraId="0E592EAB" w14:textId="77777777" w:rsidTr="00AB6FBD">
        <w:tc>
          <w:tcPr>
            <w:tcW w:w="4531" w:type="dxa"/>
          </w:tcPr>
          <w:p w14:paraId="2884DDAF" w14:textId="77777777" w:rsidR="00FB687D" w:rsidRDefault="00FB687D" w:rsidP="00AB6FBD">
            <w:pPr>
              <w:suppressAutoHyphens w:val="0"/>
              <w:spacing w:before="240" w:after="240" w:line="276" w:lineRule="auto"/>
              <w:jc w:val="left"/>
              <w:rPr>
                <w:rFonts w:ascii="Times New Roman" w:hAnsi="Times New Roman"/>
                <w:b/>
                <w:bCs/>
                <w:sz w:val="24"/>
                <w:szCs w:val="24"/>
                <w:lang w:val="en-US"/>
              </w:rPr>
            </w:pPr>
            <w:r>
              <w:rPr>
                <w:rFonts w:ascii="Times New Roman" w:hAnsi="Times New Roman"/>
                <w:b/>
                <w:bCs/>
                <w:sz w:val="24"/>
                <w:szCs w:val="24"/>
                <w:lang w:val="en-US"/>
              </w:rPr>
              <w:t>Concomitant medication at study entry</w:t>
            </w:r>
          </w:p>
        </w:tc>
        <w:tc>
          <w:tcPr>
            <w:tcW w:w="4531" w:type="dxa"/>
          </w:tcPr>
          <w:p w14:paraId="0C395406" w14:textId="77777777" w:rsidR="00FB687D" w:rsidRDefault="00FB687D" w:rsidP="00AB6FBD">
            <w:pPr>
              <w:suppressAutoHyphens w:val="0"/>
              <w:spacing w:before="240" w:after="240" w:line="276" w:lineRule="auto"/>
              <w:jc w:val="left"/>
              <w:rPr>
                <w:rFonts w:ascii="Times New Roman" w:hAnsi="Times New Roman"/>
                <w:b/>
                <w:bCs/>
                <w:sz w:val="24"/>
                <w:szCs w:val="24"/>
                <w:lang w:val="en-US"/>
              </w:rPr>
            </w:pPr>
            <w:r>
              <w:rPr>
                <w:rFonts w:ascii="Times New Roman" w:hAnsi="Times New Roman"/>
                <w:b/>
                <w:bCs/>
                <w:sz w:val="24"/>
                <w:szCs w:val="24"/>
                <w:lang w:val="en-US"/>
              </w:rPr>
              <w:t>Number of patients with medication</w:t>
            </w:r>
          </w:p>
        </w:tc>
      </w:tr>
      <w:tr w:rsidR="00FB687D" w14:paraId="7B392DE8" w14:textId="77777777" w:rsidTr="00AB6FBD">
        <w:tc>
          <w:tcPr>
            <w:tcW w:w="4531" w:type="dxa"/>
          </w:tcPr>
          <w:p w14:paraId="0E600A59" w14:textId="77777777" w:rsidR="00FB687D" w:rsidRDefault="00FB687D" w:rsidP="00AB6FBD">
            <w:pPr>
              <w:suppressAutoHyphens w:val="0"/>
              <w:spacing w:before="240" w:after="240" w:line="276" w:lineRule="auto"/>
              <w:jc w:val="left"/>
              <w:rPr>
                <w:rFonts w:ascii="Times New Roman" w:hAnsi="Times New Roman"/>
                <w:bCs/>
                <w:sz w:val="24"/>
                <w:szCs w:val="24"/>
                <w:lang w:val="en-US"/>
              </w:rPr>
            </w:pPr>
            <w:r>
              <w:rPr>
                <w:rFonts w:ascii="Times New Roman" w:hAnsi="Times New Roman"/>
                <w:bCs/>
                <w:sz w:val="24"/>
                <w:szCs w:val="24"/>
                <w:lang w:val="en-US"/>
              </w:rPr>
              <w:t>Ramipril</w:t>
            </w:r>
          </w:p>
        </w:tc>
        <w:tc>
          <w:tcPr>
            <w:tcW w:w="4531" w:type="dxa"/>
          </w:tcPr>
          <w:p w14:paraId="1579C2F7" w14:textId="77777777" w:rsidR="00FB687D" w:rsidRDefault="00FB687D" w:rsidP="00AB6FBD">
            <w:pPr>
              <w:suppressAutoHyphens w:val="0"/>
              <w:spacing w:before="240" w:after="240" w:line="276" w:lineRule="auto"/>
              <w:jc w:val="left"/>
              <w:rPr>
                <w:rFonts w:ascii="Times New Roman" w:hAnsi="Times New Roman"/>
                <w:bCs/>
                <w:sz w:val="24"/>
                <w:szCs w:val="24"/>
                <w:lang w:val="en-US"/>
              </w:rPr>
            </w:pPr>
            <w:r>
              <w:rPr>
                <w:rFonts w:ascii="Times New Roman" w:hAnsi="Times New Roman"/>
                <w:bCs/>
                <w:sz w:val="24"/>
                <w:szCs w:val="24"/>
                <w:lang w:val="en-US"/>
              </w:rPr>
              <w:t>n = 9 (10 mg n= 2; 7.5 mg n= 1; 5 mg n=4; 2.5 mg n = 1; 1.25 mg n = 1)</w:t>
            </w:r>
          </w:p>
        </w:tc>
      </w:tr>
      <w:tr w:rsidR="00FB687D" w14:paraId="66539074" w14:textId="77777777" w:rsidTr="00AB6FBD">
        <w:tc>
          <w:tcPr>
            <w:tcW w:w="4531" w:type="dxa"/>
          </w:tcPr>
          <w:p w14:paraId="5BA3159D" w14:textId="77777777" w:rsidR="00FB687D" w:rsidRDefault="00FB687D" w:rsidP="00AB6FBD">
            <w:pPr>
              <w:suppressAutoHyphens w:val="0"/>
              <w:spacing w:before="240" w:after="240" w:line="276" w:lineRule="auto"/>
              <w:jc w:val="left"/>
              <w:rPr>
                <w:rFonts w:ascii="Times New Roman" w:hAnsi="Times New Roman"/>
                <w:bCs/>
                <w:sz w:val="24"/>
                <w:szCs w:val="24"/>
                <w:lang w:val="en-US"/>
              </w:rPr>
            </w:pPr>
            <w:r>
              <w:rPr>
                <w:rFonts w:ascii="Times New Roman" w:hAnsi="Times New Roman"/>
                <w:bCs/>
                <w:sz w:val="24"/>
                <w:szCs w:val="24"/>
                <w:lang w:val="en-US"/>
              </w:rPr>
              <w:t>Candesartan</w:t>
            </w:r>
          </w:p>
        </w:tc>
        <w:tc>
          <w:tcPr>
            <w:tcW w:w="4531" w:type="dxa"/>
          </w:tcPr>
          <w:p w14:paraId="1A811D73" w14:textId="77777777" w:rsidR="00FB687D" w:rsidRDefault="00FB687D" w:rsidP="00AB6FBD">
            <w:pPr>
              <w:suppressAutoHyphens w:val="0"/>
              <w:spacing w:before="240" w:after="240" w:line="276" w:lineRule="auto"/>
              <w:jc w:val="left"/>
              <w:rPr>
                <w:rFonts w:ascii="Times New Roman" w:hAnsi="Times New Roman"/>
                <w:bCs/>
                <w:sz w:val="24"/>
                <w:szCs w:val="24"/>
                <w:lang w:val="en-US"/>
              </w:rPr>
            </w:pPr>
            <w:r>
              <w:rPr>
                <w:rFonts w:ascii="Times New Roman" w:hAnsi="Times New Roman"/>
                <w:bCs/>
                <w:sz w:val="24"/>
                <w:szCs w:val="24"/>
                <w:lang w:val="en-US"/>
              </w:rPr>
              <w:t>n = 1 (8 mg)</w:t>
            </w:r>
          </w:p>
        </w:tc>
      </w:tr>
      <w:tr w:rsidR="00FB687D" w14:paraId="5E9D8E5D" w14:textId="77777777" w:rsidTr="00AB6FBD">
        <w:tc>
          <w:tcPr>
            <w:tcW w:w="4531" w:type="dxa"/>
          </w:tcPr>
          <w:p w14:paraId="2ED99D84" w14:textId="77777777" w:rsidR="00FB687D" w:rsidRDefault="00FB687D" w:rsidP="00AB6FBD">
            <w:pPr>
              <w:suppressAutoHyphens w:val="0"/>
              <w:spacing w:before="240" w:after="240" w:line="276" w:lineRule="auto"/>
              <w:jc w:val="left"/>
              <w:rPr>
                <w:rFonts w:ascii="Times New Roman" w:hAnsi="Times New Roman"/>
                <w:bCs/>
                <w:sz w:val="24"/>
                <w:szCs w:val="24"/>
                <w:lang w:val="en-US"/>
              </w:rPr>
            </w:pPr>
            <w:r>
              <w:rPr>
                <w:rFonts w:ascii="Times New Roman" w:hAnsi="Times New Roman"/>
                <w:bCs/>
                <w:sz w:val="24"/>
                <w:szCs w:val="24"/>
                <w:lang w:val="en-US"/>
              </w:rPr>
              <w:t>Valsartan</w:t>
            </w:r>
          </w:p>
        </w:tc>
        <w:tc>
          <w:tcPr>
            <w:tcW w:w="4531" w:type="dxa"/>
          </w:tcPr>
          <w:p w14:paraId="6D7C8F97" w14:textId="77777777" w:rsidR="00FB687D" w:rsidRDefault="00FB687D" w:rsidP="00AB6FBD">
            <w:pPr>
              <w:suppressAutoHyphens w:val="0"/>
              <w:spacing w:before="240" w:after="240" w:line="276" w:lineRule="auto"/>
              <w:jc w:val="left"/>
              <w:rPr>
                <w:rFonts w:ascii="Times New Roman" w:hAnsi="Times New Roman"/>
                <w:bCs/>
                <w:sz w:val="24"/>
                <w:szCs w:val="24"/>
                <w:lang w:val="en-US"/>
              </w:rPr>
            </w:pPr>
            <w:r>
              <w:rPr>
                <w:rFonts w:ascii="Times New Roman" w:hAnsi="Times New Roman"/>
                <w:bCs/>
                <w:sz w:val="24"/>
                <w:szCs w:val="24"/>
                <w:lang w:val="en-US"/>
              </w:rPr>
              <w:t>n = 1 (80 mg)</w:t>
            </w:r>
          </w:p>
        </w:tc>
      </w:tr>
      <w:tr w:rsidR="00FB687D" w14:paraId="7AE8725F" w14:textId="77777777" w:rsidTr="00AB6FBD">
        <w:tc>
          <w:tcPr>
            <w:tcW w:w="4531" w:type="dxa"/>
          </w:tcPr>
          <w:p w14:paraId="5D6B5F06" w14:textId="77777777" w:rsidR="00FB687D" w:rsidRDefault="00FB687D" w:rsidP="00AB6FBD">
            <w:pPr>
              <w:suppressAutoHyphens w:val="0"/>
              <w:spacing w:before="240" w:after="240" w:line="276" w:lineRule="auto"/>
              <w:jc w:val="left"/>
              <w:rPr>
                <w:rFonts w:ascii="Times New Roman" w:hAnsi="Times New Roman"/>
                <w:bCs/>
                <w:sz w:val="24"/>
                <w:szCs w:val="24"/>
                <w:lang w:val="en-US"/>
              </w:rPr>
            </w:pPr>
            <w:r>
              <w:rPr>
                <w:rFonts w:ascii="Times New Roman" w:hAnsi="Times New Roman"/>
                <w:bCs/>
                <w:sz w:val="24"/>
                <w:szCs w:val="24"/>
                <w:lang w:val="en-US"/>
              </w:rPr>
              <w:t>Prednisolone</w:t>
            </w:r>
          </w:p>
        </w:tc>
        <w:tc>
          <w:tcPr>
            <w:tcW w:w="4531" w:type="dxa"/>
          </w:tcPr>
          <w:p w14:paraId="7B294FD4" w14:textId="77777777" w:rsidR="00FB687D" w:rsidRDefault="00FB687D" w:rsidP="00AB6FBD">
            <w:pPr>
              <w:suppressAutoHyphens w:val="0"/>
              <w:spacing w:before="240" w:after="240" w:line="276" w:lineRule="auto"/>
              <w:jc w:val="left"/>
              <w:rPr>
                <w:rFonts w:ascii="Times New Roman" w:hAnsi="Times New Roman"/>
                <w:bCs/>
                <w:sz w:val="24"/>
                <w:szCs w:val="24"/>
                <w:lang w:val="en-US"/>
              </w:rPr>
            </w:pPr>
            <w:r>
              <w:rPr>
                <w:rFonts w:ascii="Times New Roman" w:hAnsi="Times New Roman"/>
                <w:bCs/>
                <w:sz w:val="24"/>
                <w:szCs w:val="24"/>
                <w:lang w:val="en-US"/>
              </w:rPr>
              <w:t>n = 8 (4 mg n = 1, 5 mg n =2, 10 mg n = 1, 17.5 mg n = 1; 20 mg n = 1, 30 mg n = 1, 40 mg n = 1)</w:t>
            </w:r>
          </w:p>
        </w:tc>
      </w:tr>
      <w:tr w:rsidR="00FB687D" w14:paraId="7DD42EA3" w14:textId="77777777" w:rsidTr="00AB6FBD">
        <w:tc>
          <w:tcPr>
            <w:tcW w:w="4531" w:type="dxa"/>
          </w:tcPr>
          <w:p w14:paraId="4278982E" w14:textId="77777777" w:rsidR="00FB687D" w:rsidRDefault="00FB687D" w:rsidP="00AB6FBD">
            <w:pPr>
              <w:suppressAutoHyphens w:val="0"/>
              <w:spacing w:before="240" w:after="240" w:line="276" w:lineRule="auto"/>
              <w:jc w:val="left"/>
              <w:rPr>
                <w:rFonts w:ascii="Times New Roman" w:hAnsi="Times New Roman"/>
                <w:bCs/>
                <w:sz w:val="24"/>
                <w:szCs w:val="24"/>
                <w:lang w:val="en-US"/>
              </w:rPr>
            </w:pPr>
            <w:r>
              <w:rPr>
                <w:rFonts w:ascii="Times New Roman" w:hAnsi="Times New Roman"/>
                <w:bCs/>
                <w:sz w:val="24"/>
                <w:szCs w:val="24"/>
                <w:lang w:val="en-US"/>
              </w:rPr>
              <w:t>Tacrolimus</w:t>
            </w:r>
          </w:p>
        </w:tc>
        <w:tc>
          <w:tcPr>
            <w:tcW w:w="4531" w:type="dxa"/>
          </w:tcPr>
          <w:p w14:paraId="2772E551" w14:textId="77777777" w:rsidR="00FB687D" w:rsidRDefault="00FB687D" w:rsidP="00AB6FBD">
            <w:pPr>
              <w:suppressAutoHyphens w:val="0"/>
              <w:spacing w:before="240" w:after="240" w:line="276" w:lineRule="auto"/>
              <w:jc w:val="left"/>
              <w:rPr>
                <w:rFonts w:ascii="Times New Roman" w:hAnsi="Times New Roman"/>
                <w:bCs/>
                <w:sz w:val="24"/>
                <w:szCs w:val="24"/>
                <w:lang w:val="en-US"/>
              </w:rPr>
            </w:pPr>
            <w:r>
              <w:rPr>
                <w:rFonts w:ascii="Times New Roman" w:hAnsi="Times New Roman"/>
                <w:bCs/>
                <w:sz w:val="24"/>
                <w:szCs w:val="24"/>
                <w:lang w:val="en-US"/>
              </w:rPr>
              <w:t>n = 3 (2 mg n = 3)</w:t>
            </w:r>
          </w:p>
        </w:tc>
      </w:tr>
      <w:tr w:rsidR="00FB687D" w14:paraId="7203B3CF" w14:textId="77777777" w:rsidTr="00AB6FBD">
        <w:tc>
          <w:tcPr>
            <w:tcW w:w="4531" w:type="dxa"/>
          </w:tcPr>
          <w:p w14:paraId="500E17BA" w14:textId="77777777" w:rsidR="00FB687D" w:rsidRDefault="00FB687D" w:rsidP="00AB6FBD">
            <w:pPr>
              <w:suppressAutoHyphens w:val="0"/>
              <w:spacing w:before="240" w:after="240" w:line="276" w:lineRule="auto"/>
              <w:jc w:val="left"/>
              <w:rPr>
                <w:rFonts w:ascii="Times New Roman" w:hAnsi="Times New Roman"/>
                <w:b/>
                <w:bCs/>
                <w:sz w:val="24"/>
                <w:szCs w:val="24"/>
                <w:lang w:val="en-US"/>
              </w:rPr>
            </w:pPr>
            <w:r>
              <w:rPr>
                <w:rFonts w:ascii="Times New Roman" w:hAnsi="Times New Roman"/>
                <w:b/>
                <w:bCs/>
                <w:sz w:val="24"/>
                <w:szCs w:val="24"/>
                <w:lang w:val="en-US"/>
              </w:rPr>
              <w:t>Concomitant medication initiated during study treatment phase (day 0-16)</w:t>
            </w:r>
          </w:p>
        </w:tc>
        <w:tc>
          <w:tcPr>
            <w:tcW w:w="4531" w:type="dxa"/>
          </w:tcPr>
          <w:p w14:paraId="47B125CB" w14:textId="77777777" w:rsidR="00FB687D" w:rsidRDefault="00FB687D" w:rsidP="00AB6FBD">
            <w:pPr>
              <w:suppressAutoHyphens w:val="0"/>
              <w:spacing w:before="240" w:after="240" w:line="276" w:lineRule="auto"/>
              <w:jc w:val="left"/>
              <w:rPr>
                <w:rFonts w:ascii="Times New Roman" w:hAnsi="Times New Roman"/>
                <w:b/>
                <w:bCs/>
                <w:sz w:val="24"/>
                <w:szCs w:val="24"/>
                <w:lang w:val="en-US"/>
              </w:rPr>
            </w:pPr>
            <w:r>
              <w:rPr>
                <w:rFonts w:ascii="Times New Roman" w:hAnsi="Times New Roman"/>
                <w:b/>
                <w:bCs/>
                <w:sz w:val="24"/>
                <w:szCs w:val="24"/>
                <w:lang w:val="en-US"/>
              </w:rPr>
              <w:t>Number of patients with medication</w:t>
            </w:r>
          </w:p>
        </w:tc>
      </w:tr>
      <w:tr w:rsidR="00FB687D" w14:paraId="028244E7" w14:textId="77777777" w:rsidTr="00AB6FBD">
        <w:tc>
          <w:tcPr>
            <w:tcW w:w="4531" w:type="dxa"/>
          </w:tcPr>
          <w:p w14:paraId="13160EF4" w14:textId="77777777" w:rsidR="00FB687D" w:rsidRDefault="00FB687D" w:rsidP="00AB6FBD">
            <w:pPr>
              <w:suppressAutoHyphens w:val="0"/>
              <w:spacing w:before="240" w:after="240" w:line="276" w:lineRule="auto"/>
              <w:jc w:val="left"/>
              <w:rPr>
                <w:rFonts w:ascii="Times New Roman" w:hAnsi="Times New Roman"/>
                <w:bCs/>
                <w:sz w:val="24"/>
                <w:szCs w:val="24"/>
                <w:lang w:val="en-US"/>
              </w:rPr>
            </w:pPr>
            <w:r>
              <w:rPr>
                <w:rFonts w:ascii="Times New Roman" w:hAnsi="Times New Roman"/>
                <w:bCs/>
                <w:sz w:val="24"/>
                <w:szCs w:val="24"/>
                <w:lang w:val="en-US"/>
              </w:rPr>
              <w:t>Ramipril</w:t>
            </w:r>
          </w:p>
        </w:tc>
        <w:tc>
          <w:tcPr>
            <w:tcW w:w="4531" w:type="dxa"/>
          </w:tcPr>
          <w:p w14:paraId="504858C4" w14:textId="77777777" w:rsidR="00FB687D" w:rsidRDefault="00FB687D" w:rsidP="00AB6FBD">
            <w:pPr>
              <w:suppressAutoHyphens w:val="0"/>
              <w:spacing w:before="240" w:after="240" w:line="276" w:lineRule="auto"/>
              <w:jc w:val="left"/>
              <w:rPr>
                <w:rFonts w:ascii="Times New Roman" w:hAnsi="Times New Roman"/>
                <w:bCs/>
                <w:sz w:val="24"/>
                <w:szCs w:val="24"/>
                <w:lang w:val="en-US"/>
              </w:rPr>
            </w:pPr>
            <w:r>
              <w:rPr>
                <w:rFonts w:ascii="Times New Roman" w:hAnsi="Times New Roman"/>
                <w:bCs/>
                <w:sz w:val="24"/>
                <w:szCs w:val="24"/>
                <w:lang w:val="en-US"/>
              </w:rPr>
              <w:t>n = 1 (2.5 mg)</w:t>
            </w:r>
          </w:p>
        </w:tc>
      </w:tr>
      <w:tr w:rsidR="00FB687D" w14:paraId="7318E58C" w14:textId="77777777" w:rsidTr="00AB6FBD">
        <w:tc>
          <w:tcPr>
            <w:tcW w:w="4531" w:type="dxa"/>
          </w:tcPr>
          <w:p w14:paraId="5A9A0265" w14:textId="77777777" w:rsidR="00FB687D" w:rsidRDefault="00FB687D" w:rsidP="00AB6FBD">
            <w:pPr>
              <w:suppressAutoHyphens w:val="0"/>
              <w:spacing w:before="240" w:after="240" w:line="276" w:lineRule="auto"/>
              <w:jc w:val="left"/>
              <w:rPr>
                <w:rFonts w:ascii="Times New Roman" w:hAnsi="Times New Roman"/>
                <w:bCs/>
                <w:sz w:val="24"/>
                <w:szCs w:val="24"/>
                <w:lang w:val="en-US"/>
              </w:rPr>
            </w:pPr>
            <w:r>
              <w:rPr>
                <w:rFonts w:ascii="Times New Roman" w:hAnsi="Times New Roman"/>
                <w:bCs/>
                <w:sz w:val="24"/>
                <w:szCs w:val="24"/>
                <w:lang w:val="en-US"/>
              </w:rPr>
              <w:t>Candesartan</w:t>
            </w:r>
          </w:p>
        </w:tc>
        <w:tc>
          <w:tcPr>
            <w:tcW w:w="4531" w:type="dxa"/>
          </w:tcPr>
          <w:p w14:paraId="615ACA89" w14:textId="77777777" w:rsidR="00FB687D" w:rsidRDefault="00FB687D" w:rsidP="00AB6FBD">
            <w:pPr>
              <w:suppressAutoHyphens w:val="0"/>
              <w:spacing w:before="240" w:after="240" w:line="276" w:lineRule="auto"/>
              <w:jc w:val="left"/>
              <w:rPr>
                <w:rFonts w:ascii="Times New Roman" w:hAnsi="Times New Roman"/>
                <w:bCs/>
                <w:sz w:val="24"/>
                <w:szCs w:val="24"/>
                <w:lang w:val="en-US"/>
              </w:rPr>
            </w:pPr>
            <w:r>
              <w:rPr>
                <w:rFonts w:ascii="Times New Roman" w:hAnsi="Times New Roman"/>
                <w:bCs/>
                <w:sz w:val="24"/>
                <w:szCs w:val="24"/>
                <w:lang w:val="en-US"/>
              </w:rPr>
              <w:t>n = 5 (4 mg n = 2; 8 mg n = 3)</w:t>
            </w:r>
          </w:p>
        </w:tc>
      </w:tr>
      <w:tr w:rsidR="00FB687D" w14:paraId="4E1BB95F" w14:textId="77777777" w:rsidTr="00AB6FBD">
        <w:tc>
          <w:tcPr>
            <w:tcW w:w="4531" w:type="dxa"/>
          </w:tcPr>
          <w:p w14:paraId="1D2B2EC3" w14:textId="77777777" w:rsidR="00FB687D" w:rsidRDefault="00FB687D" w:rsidP="00AB6FBD">
            <w:pPr>
              <w:suppressAutoHyphens w:val="0"/>
              <w:spacing w:before="240" w:after="240" w:line="276" w:lineRule="auto"/>
              <w:jc w:val="left"/>
              <w:rPr>
                <w:rFonts w:ascii="Times New Roman" w:hAnsi="Times New Roman"/>
                <w:bCs/>
                <w:sz w:val="24"/>
                <w:szCs w:val="24"/>
                <w:lang w:val="en-US"/>
              </w:rPr>
            </w:pPr>
            <w:r>
              <w:rPr>
                <w:rFonts w:ascii="Times New Roman" w:hAnsi="Times New Roman"/>
                <w:bCs/>
                <w:sz w:val="24"/>
                <w:szCs w:val="24"/>
                <w:lang w:val="en-US"/>
              </w:rPr>
              <w:t>Prednisolone</w:t>
            </w:r>
          </w:p>
        </w:tc>
        <w:tc>
          <w:tcPr>
            <w:tcW w:w="4531" w:type="dxa"/>
          </w:tcPr>
          <w:p w14:paraId="1CADAEE8" w14:textId="77777777" w:rsidR="00FB687D" w:rsidRDefault="00FB687D" w:rsidP="00AB6FBD">
            <w:pPr>
              <w:suppressAutoHyphens w:val="0"/>
              <w:spacing w:before="240" w:after="240" w:line="276" w:lineRule="auto"/>
              <w:jc w:val="left"/>
              <w:rPr>
                <w:rFonts w:ascii="Times New Roman" w:hAnsi="Times New Roman"/>
                <w:bCs/>
                <w:sz w:val="24"/>
                <w:szCs w:val="24"/>
                <w:lang w:val="en-US"/>
              </w:rPr>
            </w:pPr>
            <w:r>
              <w:rPr>
                <w:rFonts w:ascii="Times New Roman" w:hAnsi="Times New Roman"/>
                <w:bCs/>
                <w:sz w:val="24"/>
                <w:szCs w:val="24"/>
                <w:lang w:val="en-US"/>
              </w:rPr>
              <w:t xml:space="preserve">n = 2 (70 mg n = 1 at day 8; 80 mg n =1 at day 12) </w:t>
            </w:r>
          </w:p>
        </w:tc>
      </w:tr>
    </w:tbl>
    <w:p w14:paraId="18A3491B" w14:textId="77777777" w:rsidR="00FB687D" w:rsidRDefault="00FB687D" w:rsidP="00FB687D">
      <w:pPr>
        <w:suppressAutoHyphens w:val="0"/>
        <w:jc w:val="left"/>
        <w:rPr>
          <w:rFonts w:ascii="Times New Roman" w:hAnsi="Times New Roman"/>
          <w:bCs/>
          <w:sz w:val="24"/>
          <w:szCs w:val="24"/>
          <w:lang w:val="en-US"/>
        </w:rPr>
      </w:pPr>
    </w:p>
    <w:p w14:paraId="4B38513F" w14:textId="77777777" w:rsidR="00FB687D" w:rsidRDefault="00FB687D" w:rsidP="00FB687D">
      <w:pPr>
        <w:suppressAutoHyphens w:val="0"/>
        <w:jc w:val="left"/>
        <w:rPr>
          <w:rFonts w:ascii="Times New Roman" w:hAnsi="Times New Roman"/>
          <w:b/>
          <w:bCs/>
          <w:sz w:val="24"/>
          <w:szCs w:val="24"/>
          <w:lang w:val="en-US"/>
        </w:rPr>
      </w:pPr>
    </w:p>
    <w:p w14:paraId="66A40AB2" w14:textId="07C163D2" w:rsidR="005B2C9F" w:rsidRDefault="005B2C9F">
      <w:pPr>
        <w:suppressAutoHyphens w:val="0"/>
        <w:spacing w:after="160" w:line="259" w:lineRule="auto"/>
        <w:jc w:val="left"/>
      </w:pPr>
      <w:r>
        <w:br w:type="page"/>
      </w:r>
    </w:p>
    <w:p w14:paraId="6CFFE541" w14:textId="50608729" w:rsidR="005B2C9F" w:rsidRDefault="005B2C9F" w:rsidP="005B2C9F">
      <w:pPr>
        <w:spacing w:line="480" w:lineRule="auto"/>
        <w:rPr>
          <w:rFonts w:ascii="Times New Roman" w:hAnsi="Times New Roman"/>
          <w:b/>
          <w:bCs/>
          <w:sz w:val="24"/>
          <w:szCs w:val="24"/>
          <w:lang w:val="en-US"/>
        </w:rPr>
      </w:pPr>
      <w:r>
        <w:rPr>
          <w:rFonts w:ascii="Times New Roman" w:hAnsi="Times New Roman"/>
          <w:b/>
          <w:bCs/>
          <w:sz w:val="24"/>
          <w:szCs w:val="24"/>
          <w:lang w:val="en-US"/>
        </w:rPr>
        <w:lastRenderedPageBreak/>
        <w:t>Supplementary Figure 2: Effect of amiloride and furosemide on fluid compartments</w:t>
      </w:r>
    </w:p>
    <w:p w14:paraId="300AD3B1" w14:textId="77777777" w:rsidR="005B2C9F" w:rsidRDefault="005B2C9F" w:rsidP="005B2C9F">
      <w:pPr>
        <w:tabs>
          <w:tab w:val="left" w:pos="567"/>
        </w:tabs>
        <w:rPr>
          <w:rFonts w:ascii="Times New Roman" w:hAnsi="Times New Roman"/>
          <w:sz w:val="24"/>
          <w:szCs w:val="24"/>
          <w:lang w:val="en-US"/>
        </w:rPr>
      </w:pPr>
      <w:r>
        <w:rPr>
          <w:rFonts w:ascii="Times New Roman" w:hAnsi="Times New Roman"/>
          <w:sz w:val="24"/>
          <w:szCs w:val="24"/>
          <w:lang w:val="en-US"/>
        </w:rPr>
        <w:t xml:space="preserve">(a-d) Course of extracellular (ECW), intracellular (ICW) and total body water (TBW) as well as the ECW/ICW ratio as assessed by bioimpedance spectroscopy. </w:t>
      </w:r>
    </w:p>
    <w:p w14:paraId="2A68087D" w14:textId="77777777" w:rsidR="005B2C9F" w:rsidRDefault="005B2C9F" w:rsidP="005B2C9F">
      <w:pPr>
        <w:tabs>
          <w:tab w:val="left" w:pos="567"/>
        </w:tabs>
        <w:rPr>
          <w:rFonts w:ascii="Times New Roman" w:hAnsi="Times New Roman"/>
          <w:sz w:val="24"/>
          <w:szCs w:val="24"/>
          <w:lang w:val="en-US"/>
        </w:rPr>
      </w:pPr>
      <w:r>
        <w:rPr>
          <w:rFonts w:ascii="Times New Roman" w:hAnsi="Times New Roman"/>
          <w:sz w:val="24"/>
          <w:szCs w:val="24"/>
          <w:lang w:val="en-US"/>
        </w:rPr>
        <w:t>(e-f) Course of the hemoglobin concentration and the hematocrit</w:t>
      </w:r>
    </w:p>
    <w:p w14:paraId="741A7F6B" w14:textId="77777777" w:rsidR="005B2C9F" w:rsidRDefault="005B2C9F" w:rsidP="005B2C9F">
      <w:pPr>
        <w:tabs>
          <w:tab w:val="left" w:pos="567"/>
        </w:tabs>
        <w:rPr>
          <w:rFonts w:ascii="Times New Roman" w:hAnsi="Times New Roman"/>
          <w:sz w:val="24"/>
          <w:szCs w:val="24"/>
          <w:lang w:val="en-US"/>
        </w:rPr>
      </w:pPr>
    </w:p>
    <w:p w14:paraId="37972E2C" w14:textId="77777777" w:rsidR="005B2C9F" w:rsidRDefault="005B2C9F" w:rsidP="005B2C9F">
      <w:pPr>
        <w:rPr>
          <w:rFonts w:ascii="Times New Roman" w:hAnsi="Times New Roman"/>
          <w:sz w:val="24"/>
          <w:szCs w:val="24"/>
          <w:lang w:val="en-US"/>
        </w:rPr>
      </w:pPr>
      <w:r>
        <w:rPr>
          <w:rFonts w:ascii="Times New Roman" w:hAnsi="Times New Roman"/>
          <w:sz w:val="24"/>
          <w:szCs w:val="24"/>
          <w:lang w:val="en-US"/>
        </w:rPr>
        <w:t xml:space="preserve">p values are from Wilcoxon tests: # p &lt; 0.05 vs. baseline, * p &lt; 0.05 between arms </w:t>
      </w:r>
    </w:p>
    <w:p w14:paraId="3DD32307" w14:textId="77777777" w:rsidR="005B2C9F" w:rsidRDefault="005B2C9F" w:rsidP="005B2C9F">
      <w:pPr>
        <w:tabs>
          <w:tab w:val="left" w:pos="567"/>
        </w:tabs>
        <w:rPr>
          <w:rFonts w:ascii="Times New Roman" w:hAnsi="Times New Roman"/>
          <w:sz w:val="24"/>
          <w:szCs w:val="24"/>
          <w:lang w:val="en-US"/>
        </w:rPr>
      </w:pPr>
    </w:p>
    <w:p w14:paraId="211F3559" w14:textId="64178E6A" w:rsidR="00A14451" w:rsidRPr="007063FF" w:rsidRDefault="007063FF" w:rsidP="007063FF">
      <w:pPr>
        <w:spacing w:line="480" w:lineRule="auto"/>
        <w:rPr>
          <w:rFonts w:ascii="Times New Roman" w:hAnsi="Times New Roman"/>
          <w:bCs/>
          <w:sz w:val="24"/>
          <w:szCs w:val="24"/>
          <w:lang w:val="en-US"/>
        </w:rPr>
      </w:pPr>
      <w:r>
        <w:rPr>
          <w:rFonts w:ascii="Times New Roman" w:hAnsi="Times New Roman"/>
          <w:bCs/>
          <w:noProof/>
          <w:sz w:val="24"/>
          <w:szCs w:val="24"/>
          <w:lang w:val="en-US"/>
          <w14:ligatures w14:val="standardContextual"/>
        </w:rPr>
        <w:drawing>
          <wp:inline distT="0" distB="0" distL="0" distR="0" wp14:anchorId="4A5FA49E" wp14:editId="12386C81">
            <wp:extent cx="5581650" cy="7483363"/>
            <wp:effectExtent l="0" t="0" r="0" b="3810"/>
            <wp:docPr id="497532587" name="Grafik 2" descr="Ein Bild, das Text, Diagramm, Reihe, parall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532587" name="Grafik 2" descr="Ein Bild, das Text, Diagramm, Reihe, parallel enthält.&#10;&#10;Automatisch generierte Beschreibu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584123" cy="7486679"/>
                    </a:xfrm>
                    <a:prstGeom prst="rect">
                      <a:avLst/>
                    </a:prstGeom>
                  </pic:spPr>
                </pic:pic>
              </a:graphicData>
            </a:graphic>
          </wp:inline>
        </w:drawing>
      </w:r>
    </w:p>
    <w:sectPr w:rsidR="00A14451" w:rsidRPr="007063FF" w:rsidSect="005A4F41">
      <w:headerReference w:type="default" r:id="rId9"/>
      <w:footerReference w:type="even" r:id="rId10"/>
      <w:footerReference w:type="default" r:id="rId11"/>
      <w:pgSz w:w="11906" w:h="16838"/>
      <w:pgMar w:top="1418" w:right="1417" w:bottom="1134" w:left="1417"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963548" w14:textId="77777777" w:rsidR="005A4F41" w:rsidRDefault="005A4F41">
      <w:r>
        <w:separator/>
      </w:r>
    </w:p>
  </w:endnote>
  <w:endnote w:type="continuationSeparator" w:id="0">
    <w:p w14:paraId="763296B4" w14:textId="77777777" w:rsidR="005A4F41" w:rsidRDefault="005A4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82A17" w14:textId="77777777" w:rsidR="007F1B82" w:rsidRDefault="00E03CD3">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4133995C" w14:textId="77777777" w:rsidR="007F1B82" w:rsidRDefault="007F1B8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93BDD7" w14:textId="77777777" w:rsidR="007F1B82" w:rsidRDefault="007F1B8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FB44AA" w14:textId="77777777" w:rsidR="005A4F41" w:rsidRDefault="005A4F41">
      <w:r>
        <w:separator/>
      </w:r>
    </w:p>
  </w:footnote>
  <w:footnote w:type="continuationSeparator" w:id="0">
    <w:p w14:paraId="6BA1ECF8" w14:textId="77777777" w:rsidR="005A4F41" w:rsidRDefault="005A4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61245193"/>
      <w:docPartObj>
        <w:docPartGallery w:val="Page Numbers (Top of Page)"/>
        <w:docPartUnique/>
      </w:docPartObj>
    </w:sdtPr>
    <w:sdtContent>
      <w:p w14:paraId="3251FF67" w14:textId="3597504D" w:rsidR="007F1B82" w:rsidRDefault="00E03CD3">
        <w:pPr>
          <w:pStyle w:val="Kopfzeile"/>
          <w:jc w:val="right"/>
        </w:pPr>
        <w:r>
          <w:fldChar w:fldCharType="begin"/>
        </w:r>
        <w:r>
          <w:instrText>PAGE   \* MERGEFORMAT</w:instrText>
        </w:r>
        <w:r>
          <w:fldChar w:fldCharType="separate"/>
        </w:r>
        <w:r w:rsidR="00B26A0B" w:rsidRPr="00B26A0B">
          <w:rPr>
            <w:noProof/>
            <w:lang w:val="de-DE"/>
          </w:rPr>
          <w:t>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35043D"/>
    <w:multiLevelType w:val="hybridMultilevel"/>
    <w:tmpl w:val="351262A0"/>
    <w:lvl w:ilvl="0" w:tplc="0407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DF05EA2"/>
    <w:multiLevelType w:val="singleLevel"/>
    <w:tmpl w:val="5AC4AB44"/>
    <w:lvl w:ilvl="0">
      <w:numFmt w:val="bullet"/>
      <w:lvlText w:val="-"/>
      <w:lvlJc w:val="left"/>
      <w:pPr>
        <w:tabs>
          <w:tab w:val="num" w:pos="360"/>
        </w:tabs>
        <w:ind w:left="357" w:hanging="357"/>
      </w:pPr>
      <w:rPr>
        <w:rFonts w:hint="default"/>
      </w:rPr>
    </w:lvl>
  </w:abstractNum>
  <w:abstractNum w:abstractNumId="2" w15:restartNumberingAfterBreak="0">
    <w:nsid w:val="407F1590"/>
    <w:multiLevelType w:val="hybridMultilevel"/>
    <w:tmpl w:val="BDFE472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D0671AF"/>
    <w:multiLevelType w:val="hybridMultilevel"/>
    <w:tmpl w:val="42C4C74E"/>
    <w:lvl w:ilvl="0" w:tplc="3AF2D4CA">
      <w:numFmt w:val="bullet"/>
      <w:pStyle w:val="AufzhlungmitPunkt"/>
      <w:lvlText w:val=""/>
      <w:lvlJc w:val="left"/>
      <w:pPr>
        <w:tabs>
          <w:tab w:val="num" w:pos="1080"/>
        </w:tabs>
        <w:ind w:left="1080" w:hanging="720"/>
      </w:pPr>
      <w:rPr>
        <w:rFonts w:ascii="Symbol" w:eastAsia="Times New Roman" w:hAnsi="Symbol" w:cs="Times New Roman" w:hint="default"/>
        <w:color w:val="auto"/>
      </w:rPr>
    </w:lvl>
    <w:lvl w:ilvl="1" w:tplc="04070003">
      <w:start w:val="1"/>
      <w:numFmt w:val="bullet"/>
      <w:lvlText w:val="o"/>
      <w:lvlJc w:val="left"/>
      <w:pPr>
        <w:tabs>
          <w:tab w:val="num" w:pos="1440"/>
        </w:tabs>
        <w:ind w:left="1440" w:hanging="360"/>
      </w:pPr>
      <w:rPr>
        <w:rFonts w:ascii="Courier New" w:hAnsi="Courier New" w:cs="Arial"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305160973">
    <w:abstractNumId w:val="3"/>
  </w:num>
  <w:num w:numId="2" w16cid:durableId="1918904357">
    <w:abstractNumId w:val="2"/>
  </w:num>
  <w:num w:numId="3" w16cid:durableId="831525459">
    <w:abstractNumId w:val="1"/>
  </w:num>
  <w:num w:numId="4" w16cid:durableId="5234480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687D"/>
    <w:rsid w:val="00247193"/>
    <w:rsid w:val="00295836"/>
    <w:rsid w:val="002B082C"/>
    <w:rsid w:val="002C42C4"/>
    <w:rsid w:val="002F0AD1"/>
    <w:rsid w:val="002F0E7A"/>
    <w:rsid w:val="00326A30"/>
    <w:rsid w:val="00364FB7"/>
    <w:rsid w:val="00397539"/>
    <w:rsid w:val="00465D67"/>
    <w:rsid w:val="00564836"/>
    <w:rsid w:val="005A4F41"/>
    <w:rsid w:val="005B2C9F"/>
    <w:rsid w:val="007063FF"/>
    <w:rsid w:val="007257E7"/>
    <w:rsid w:val="007F0889"/>
    <w:rsid w:val="007F1B82"/>
    <w:rsid w:val="00A14451"/>
    <w:rsid w:val="00B26A0B"/>
    <w:rsid w:val="00BB583D"/>
    <w:rsid w:val="00C60CEB"/>
    <w:rsid w:val="00D450B0"/>
    <w:rsid w:val="00D70365"/>
    <w:rsid w:val="00DF62A6"/>
    <w:rsid w:val="00E03CD3"/>
    <w:rsid w:val="00FB68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68EE9"/>
  <w15:chartTrackingRefBased/>
  <w15:docId w15:val="{166FBC4F-E065-4542-9345-5CAB4A5F1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B687D"/>
    <w:pPr>
      <w:suppressAutoHyphens/>
      <w:spacing w:after="0" w:line="240" w:lineRule="auto"/>
      <w:jc w:val="both"/>
    </w:pPr>
    <w:rPr>
      <w:rFonts w:ascii="Arial" w:eastAsia="Times New Roman" w:hAnsi="Arial" w:cs="Times New Roman"/>
      <w:kern w:val="0"/>
      <w:szCs w:val="20"/>
      <w:lang w:eastAsia="ar-SA"/>
      <w14:ligatures w14:val="none"/>
    </w:rPr>
  </w:style>
  <w:style w:type="paragraph" w:styleId="berschrift1">
    <w:name w:val="heading 1"/>
    <w:basedOn w:val="Standard"/>
    <w:next w:val="Standard"/>
    <w:link w:val="berschrift1Zchn"/>
    <w:uiPriority w:val="9"/>
    <w:qFormat/>
    <w:rsid w:val="00FB68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FB68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FB687D"/>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FB687D"/>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FB687D"/>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FB687D"/>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B687D"/>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FB687D"/>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B687D"/>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B687D"/>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FB687D"/>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FB687D"/>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FB687D"/>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FB687D"/>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FB687D"/>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B687D"/>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FB687D"/>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B687D"/>
    <w:rPr>
      <w:rFonts w:eastAsiaTheme="majorEastAsia" w:cstheme="majorBidi"/>
      <w:color w:val="272727" w:themeColor="text1" w:themeTint="D8"/>
    </w:rPr>
  </w:style>
  <w:style w:type="paragraph" w:styleId="Titel">
    <w:name w:val="Title"/>
    <w:basedOn w:val="Standard"/>
    <w:next w:val="Standard"/>
    <w:link w:val="TitelZchn"/>
    <w:uiPriority w:val="10"/>
    <w:qFormat/>
    <w:rsid w:val="00FB687D"/>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FB687D"/>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B687D"/>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B687D"/>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FB687D"/>
    <w:pPr>
      <w:spacing w:before="160"/>
      <w:jc w:val="center"/>
    </w:pPr>
    <w:rPr>
      <w:i/>
      <w:iCs/>
      <w:color w:val="404040" w:themeColor="text1" w:themeTint="BF"/>
    </w:rPr>
  </w:style>
  <w:style w:type="character" w:customStyle="1" w:styleId="ZitatZchn">
    <w:name w:val="Zitat Zchn"/>
    <w:basedOn w:val="Absatz-Standardschriftart"/>
    <w:link w:val="Zitat"/>
    <w:uiPriority w:val="29"/>
    <w:rsid w:val="00FB687D"/>
    <w:rPr>
      <w:i/>
      <w:iCs/>
      <w:color w:val="404040" w:themeColor="text1" w:themeTint="BF"/>
    </w:rPr>
  </w:style>
  <w:style w:type="paragraph" w:styleId="Listenabsatz">
    <w:name w:val="List Paragraph"/>
    <w:basedOn w:val="Standard"/>
    <w:uiPriority w:val="34"/>
    <w:qFormat/>
    <w:rsid w:val="00FB687D"/>
    <w:pPr>
      <w:ind w:left="720"/>
      <w:contextualSpacing/>
    </w:pPr>
  </w:style>
  <w:style w:type="character" w:styleId="IntensiveHervorhebung">
    <w:name w:val="Intense Emphasis"/>
    <w:basedOn w:val="Absatz-Standardschriftart"/>
    <w:uiPriority w:val="21"/>
    <w:qFormat/>
    <w:rsid w:val="00FB687D"/>
    <w:rPr>
      <w:i/>
      <w:iCs/>
      <w:color w:val="0F4761" w:themeColor="accent1" w:themeShade="BF"/>
    </w:rPr>
  </w:style>
  <w:style w:type="paragraph" w:styleId="IntensivesZitat">
    <w:name w:val="Intense Quote"/>
    <w:basedOn w:val="Standard"/>
    <w:next w:val="Standard"/>
    <w:link w:val="IntensivesZitatZchn"/>
    <w:uiPriority w:val="30"/>
    <w:qFormat/>
    <w:rsid w:val="00FB68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FB687D"/>
    <w:rPr>
      <w:i/>
      <w:iCs/>
      <w:color w:val="0F4761" w:themeColor="accent1" w:themeShade="BF"/>
    </w:rPr>
  </w:style>
  <w:style w:type="character" w:styleId="IntensiverVerweis">
    <w:name w:val="Intense Reference"/>
    <w:basedOn w:val="Absatz-Standardschriftart"/>
    <w:uiPriority w:val="32"/>
    <w:qFormat/>
    <w:rsid w:val="00FB687D"/>
    <w:rPr>
      <w:b/>
      <w:bCs/>
      <w:smallCaps/>
      <w:color w:val="0F4761" w:themeColor="accent1" w:themeShade="BF"/>
      <w:spacing w:val="5"/>
    </w:rPr>
  </w:style>
  <w:style w:type="paragraph" w:styleId="Fuzeile">
    <w:name w:val="footer"/>
    <w:basedOn w:val="Standard"/>
    <w:link w:val="FuzeileZchn"/>
    <w:rsid w:val="00FB687D"/>
    <w:pPr>
      <w:tabs>
        <w:tab w:val="center" w:pos="4536"/>
        <w:tab w:val="right" w:pos="9072"/>
      </w:tabs>
    </w:pPr>
  </w:style>
  <w:style w:type="character" w:customStyle="1" w:styleId="FuzeileZchn">
    <w:name w:val="Fußzeile Zchn"/>
    <w:basedOn w:val="Absatz-Standardschriftart"/>
    <w:link w:val="Fuzeile"/>
    <w:rsid w:val="00FB687D"/>
    <w:rPr>
      <w:rFonts w:ascii="Arial" w:eastAsia="Times New Roman" w:hAnsi="Arial" w:cs="Times New Roman"/>
      <w:kern w:val="0"/>
      <w:szCs w:val="20"/>
      <w:lang w:eastAsia="ar-SA"/>
      <w14:ligatures w14:val="none"/>
    </w:rPr>
  </w:style>
  <w:style w:type="character" w:styleId="Seitenzahl">
    <w:name w:val="page number"/>
    <w:basedOn w:val="Absatz-Standardschriftart"/>
    <w:rsid w:val="00FB687D"/>
  </w:style>
  <w:style w:type="table" w:styleId="Tabellenraster">
    <w:name w:val="Table Grid"/>
    <w:basedOn w:val="NormaleTabelle"/>
    <w:uiPriority w:val="39"/>
    <w:rsid w:val="00FB687D"/>
    <w:pPr>
      <w:spacing w:after="0" w:line="240" w:lineRule="auto"/>
    </w:pPr>
    <w:rPr>
      <w:rFonts w:ascii="Times New Roman" w:eastAsia="Times New Roman" w:hAnsi="Times New Roman" w:cs="Times New Roman"/>
      <w:kern w:val="0"/>
      <w:sz w:val="20"/>
      <w:szCs w:val="20"/>
      <w:lang w:eastAsia="de-DE"/>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opfzeile">
    <w:name w:val="header"/>
    <w:basedOn w:val="Standard"/>
    <w:link w:val="KopfzeileZchn"/>
    <w:uiPriority w:val="99"/>
    <w:rsid w:val="00FB687D"/>
    <w:pPr>
      <w:tabs>
        <w:tab w:val="center" w:pos="4536"/>
        <w:tab w:val="right" w:pos="9072"/>
      </w:tabs>
      <w:suppressAutoHyphens w:val="0"/>
      <w:jc w:val="left"/>
    </w:pPr>
    <w:rPr>
      <w:lang w:val="x-none" w:eastAsia="x-none"/>
    </w:rPr>
  </w:style>
  <w:style w:type="character" w:customStyle="1" w:styleId="KopfzeileZchn">
    <w:name w:val="Kopfzeile Zchn"/>
    <w:basedOn w:val="Absatz-Standardschriftart"/>
    <w:link w:val="Kopfzeile"/>
    <w:uiPriority w:val="99"/>
    <w:rsid w:val="00FB687D"/>
    <w:rPr>
      <w:rFonts w:ascii="Arial" w:eastAsia="Times New Roman" w:hAnsi="Arial" w:cs="Times New Roman"/>
      <w:kern w:val="0"/>
      <w:szCs w:val="20"/>
      <w:lang w:val="x-none" w:eastAsia="x-none"/>
      <w14:ligatures w14:val="none"/>
    </w:rPr>
  </w:style>
  <w:style w:type="paragraph" w:customStyle="1" w:styleId="AufzhlungmitPunkt">
    <w:name w:val="Aufzählung mit Punkt"/>
    <w:basedOn w:val="Standard"/>
    <w:rsid w:val="00FB687D"/>
    <w:pPr>
      <w:numPr>
        <w:numId w:val="1"/>
      </w:numPr>
      <w:suppressAutoHyphens w:val="0"/>
      <w:spacing w:after="120" w:line="360" w:lineRule="auto"/>
      <w:jc w:val="left"/>
    </w:pPr>
    <w:rPr>
      <w:rFonts w:eastAsia="Times"/>
      <w:lang w:eastAsia="de-DE"/>
    </w:rPr>
  </w:style>
  <w:style w:type="character" w:styleId="Zeilennummer">
    <w:name w:val="line number"/>
    <w:basedOn w:val="Absatz-Standardschriftart"/>
    <w:uiPriority w:val="99"/>
    <w:semiHidden/>
    <w:unhideWhenUsed/>
    <w:rsid w:val="00FB6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if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tif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2170</Words>
  <Characters>13674</Characters>
  <Application>Microsoft Office Word</Application>
  <DocSecurity>0</DocSecurity>
  <Lines>113</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Ferruh Artunc</dc:creator>
  <cp:keywords/>
  <dc:description/>
  <cp:lastModifiedBy>Ferruh Artunc</cp:lastModifiedBy>
  <cp:revision>4</cp:revision>
  <dcterms:created xsi:type="dcterms:W3CDTF">2024-05-01T17:46:00Z</dcterms:created>
  <dcterms:modified xsi:type="dcterms:W3CDTF">2024-05-09T14:04:00Z</dcterms:modified>
</cp:coreProperties>
</file>