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9E8C1" w14:textId="77777777" w:rsidR="00466AC4" w:rsidRPr="001507B5" w:rsidRDefault="00466AC4">
      <w:pPr>
        <w:rPr>
          <w:rFonts w:ascii="Times New Roman" w:hAnsi="Times New Roman" w:cs="Times New Roman"/>
          <w:b/>
          <w:sz w:val="20"/>
          <w:szCs w:val="20"/>
          <w:lang w:val="en-GB"/>
        </w:rPr>
      </w:pPr>
      <w:r w:rsidRPr="001507B5">
        <w:rPr>
          <w:rFonts w:ascii="Times New Roman" w:hAnsi="Times New Roman" w:cs="Times New Roman"/>
          <w:b/>
          <w:sz w:val="20"/>
          <w:szCs w:val="20"/>
          <w:lang w:val="en-GB"/>
        </w:rPr>
        <w:t>DATA SUPPLEMENT</w:t>
      </w:r>
    </w:p>
    <w:p w14:paraId="25964694" w14:textId="4CEC8896" w:rsidR="00466AC4" w:rsidRPr="001507B5" w:rsidRDefault="00466AC4" w:rsidP="00086271">
      <w:pPr>
        <w:spacing w:line="480" w:lineRule="auto"/>
        <w:jc w:val="both"/>
        <w:rPr>
          <w:rFonts w:ascii="Times New Roman" w:hAnsi="Times New Roman" w:cs="Times New Roman"/>
          <w:b/>
          <w:sz w:val="20"/>
          <w:szCs w:val="20"/>
          <w:lang w:val="en-US"/>
        </w:rPr>
      </w:pPr>
      <w:r w:rsidRPr="001507B5">
        <w:rPr>
          <w:rFonts w:ascii="Times New Roman" w:hAnsi="Times New Roman" w:cs="Times New Roman"/>
          <w:b/>
          <w:sz w:val="20"/>
          <w:szCs w:val="20"/>
          <w:lang w:val="en-GB"/>
        </w:rPr>
        <w:t>„</w:t>
      </w:r>
      <w:r w:rsidR="00086271" w:rsidRPr="001507B5">
        <w:rPr>
          <w:rFonts w:ascii="Times New Roman" w:hAnsi="Times New Roman" w:cs="Times New Roman"/>
          <w:b/>
          <w:sz w:val="20"/>
          <w:szCs w:val="20"/>
          <w:lang w:val="en-US"/>
        </w:rPr>
        <w:t xml:space="preserve"> Endothelial </w:t>
      </w:r>
      <w:proofErr w:type="spellStart"/>
      <w:r w:rsidR="00086271" w:rsidRPr="001507B5">
        <w:rPr>
          <w:rFonts w:ascii="Times New Roman" w:hAnsi="Times New Roman" w:cs="Times New Roman"/>
          <w:b/>
          <w:sz w:val="20"/>
          <w:szCs w:val="20"/>
          <w:lang w:val="en-US"/>
        </w:rPr>
        <w:t>epoxyeicosatrienoic</w:t>
      </w:r>
      <w:proofErr w:type="spellEnd"/>
      <w:r w:rsidR="00086271" w:rsidRPr="001507B5">
        <w:rPr>
          <w:rFonts w:ascii="Times New Roman" w:hAnsi="Times New Roman" w:cs="Times New Roman"/>
          <w:b/>
          <w:sz w:val="20"/>
          <w:szCs w:val="20"/>
          <w:lang w:val="en-US"/>
        </w:rPr>
        <w:t xml:space="preserve"> acid release is intact in aldosterone excess</w:t>
      </w:r>
      <w:r w:rsidRPr="001507B5">
        <w:rPr>
          <w:rFonts w:ascii="Times New Roman" w:hAnsi="Times New Roman" w:cs="Times New Roman"/>
          <w:b/>
          <w:sz w:val="20"/>
          <w:szCs w:val="20"/>
          <w:lang w:val="en-GB"/>
        </w:rPr>
        <w:t>”</w:t>
      </w:r>
      <w:r w:rsidRPr="001507B5">
        <w:rPr>
          <w:rFonts w:ascii="Times New Roman" w:hAnsi="Times New Roman" w:cs="Times New Roman"/>
          <w:b/>
          <w:sz w:val="20"/>
          <w:szCs w:val="20"/>
          <w:lang w:val="en-GB"/>
        </w:rPr>
        <w:br w:type="page"/>
      </w:r>
    </w:p>
    <w:p w14:paraId="57D271E6" w14:textId="25B3F496" w:rsidR="00190C2E" w:rsidRPr="001507B5" w:rsidRDefault="00190C2E" w:rsidP="00E16D72">
      <w:pPr>
        <w:spacing w:line="240" w:lineRule="auto"/>
        <w:rPr>
          <w:rFonts w:ascii="Times New Roman" w:hAnsi="Times New Roman" w:cs="Times New Roman"/>
          <w:b/>
          <w:sz w:val="20"/>
          <w:szCs w:val="20"/>
          <w:lang w:val="en-GB"/>
        </w:rPr>
      </w:pPr>
      <w:r w:rsidRPr="001507B5">
        <w:rPr>
          <w:rFonts w:ascii="Times New Roman" w:hAnsi="Times New Roman" w:cs="Times New Roman"/>
          <w:b/>
          <w:sz w:val="20"/>
          <w:szCs w:val="20"/>
          <w:lang w:val="en-GB"/>
        </w:rPr>
        <w:lastRenderedPageBreak/>
        <w:t>Supplemental Materials and Methods:</w:t>
      </w:r>
    </w:p>
    <w:p w14:paraId="1C69357A" w14:textId="0BF9E8F5" w:rsidR="00102B2B" w:rsidRPr="00102B2B" w:rsidRDefault="00102B2B" w:rsidP="00102B2B">
      <w:pPr>
        <w:spacing w:line="240" w:lineRule="auto"/>
        <w:rPr>
          <w:rFonts w:ascii="Times New Roman" w:hAnsi="Times New Roman" w:cs="Times New Roman"/>
          <w:b/>
          <w:sz w:val="20"/>
          <w:szCs w:val="20"/>
          <w:lang w:val="en-GB"/>
        </w:rPr>
      </w:pPr>
      <w:r w:rsidRPr="00102B2B">
        <w:rPr>
          <w:rFonts w:ascii="Times New Roman" w:hAnsi="Times New Roman" w:cs="Times New Roman"/>
          <w:b/>
          <w:sz w:val="20"/>
          <w:szCs w:val="20"/>
          <w:lang w:val="en-GB"/>
        </w:rPr>
        <w:t>Patient</w:t>
      </w:r>
      <w:r w:rsidR="003E233E">
        <w:rPr>
          <w:rFonts w:ascii="Times New Roman" w:hAnsi="Times New Roman" w:cs="Times New Roman"/>
          <w:b/>
          <w:sz w:val="20"/>
          <w:szCs w:val="20"/>
          <w:lang w:val="en-GB"/>
        </w:rPr>
        <w:t xml:space="preserve"> cohort</w:t>
      </w:r>
    </w:p>
    <w:p w14:paraId="0B354112" w14:textId="77777777" w:rsidR="00102B2B" w:rsidRP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Case definition of primary aldosteronism:</w:t>
      </w:r>
    </w:p>
    <w:p w14:paraId="150E086A" w14:textId="77777777" w:rsidR="00102B2B" w:rsidRP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Patients were recruited at the day of confirmatory testing for workup of arterial hypertension when results were still pending.</w:t>
      </w:r>
    </w:p>
    <w:p w14:paraId="566578D0" w14:textId="77777777" w:rsidR="00102B2B" w:rsidRP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 xml:space="preserve">Patients underwent saline infusion test (SIT, 2 L NaCl 0.9 % administered </w:t>
      </w:r>
      <w:proofErr w:type="spellStart"/>
      <w:r w:rsidRPr="00102B2B">
        <w:rPr>
          <w:rFonts w:ascii="Times New Roman" w:hAnsi="Times New Roman" w:cs="Times New Roman"/>
          <w:bCs/>
          <w:sz w:val="20"/>
          <w:szCs w:val="20"/>
          <w:lang w:val="en-GB"/>
        </w:rPr>
        <w:t>i.v.</w:t>
      </w:r>
      <w:proofErr w:type="spellEnd"/>
      <w:r w:rsidRPr="00102B2B">
        <w:rPr>
          <w:rFonts w:ascii="Times New Roman" w:hAnsi="Times New Roman" w:cs="Times New Roman"/>
          <w:bCs/>
          <w:sz w:val="20"/>
          <w:szCs w:val="20"/>
          <w:lang w:val="en-GB"/>
        </w:rPr>
        <w:t xml:space="preserve"> in 4 hours) and/or 2 h captopril challenge test (CCT, 50 mg captopril administered orally) under non-interfering medication (usually doxazosin ± verapamil). PA criteria were the following: </w:t>
      </w:r>
    </w:p>
    <w:p w14:paraId="0DD8A725" w14:textId="77777777" w:rsidR="00102B2B" w:rsidRP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1.</w:t>
      </w:r>
      <w:r w:rsidRPr="00102B2B">
        <w:rPr>
          <w:rFonts w:ascii="Times New Roman" w:hAnsi="Times New Roman" w:cs="Times New Roman"/>
          <w:bCs/>
          <w:sz w:val="20"/>
          <w:szCs w:val="20"/>
          <w:lang w:val="en-GB"/>
        </w:rPr>
        <w:tab/>
        <w:t xml:space="preserve">plasma aldosterone baseline ≥50 </w:t>
      </w:r>
      <w:proofErr w:type="spellStart"/>
      <w:r w:rsidRPr="00102B2B">
        <w:rPr>
          <w:rFonts w:ascii="Times New Roman" w:hAnsi="Times New Roman" w:cs="Times New Roman"/>
          <w:bCs/>
          <w:sz w:val="20"/>
          <w:szCs w:val="20"/>
          <w:lang w:val="en-GB"/>
        </w:rPr>
        <w:t>pg</w:t>
      </w:r>
      <w:proofErr w:type="spellEnd"/>
      <w:r w:rsidRPr="00102B2B">
        <w:rPr>
          <w:rFonts w:ascii="Times New Roman" w:hAnsi="Times New Roman" w:cs="Times New Roman"/>
          <w:bCs/>
          <w:sz w:val="20"/>
          <w:szCs w:val="20"/>
          <w:lang w:val="en-GB"/>
        </w:rPr>
        <w:t xml:space="preserve">/mL AND suppressed direct renin concentration (&lt;12 µU/mL) AND aldosterone/renin ratio (ARR) ≥12 </w:t>
      </w:r>
      <w:proofErr w:type="spellStart"/>
      <w:r w:rsidRPr="00102B2B">
        <w:rPr>
          <w:rFonts w:ascii="Times New Roman" w:hAnsi="Times New Roman" w:cs="Times New Roman"/>
          <w:bCs/>
          <w:sz w:val="20"/>
          <w:szCs w:val="20"/>
          <w:lang w:val="en-GB"/>
        </w:rPr>
        <w:t>pg</w:t>
      </w:r>
      <w:proofErr w:type="spellEnd"/>
      <w:r w:rsidRPr="00102B2B">
        <w:rPr>
          <w:rFonts w:ascii="Times New Roman" w:hAnsi="Times New Roman" w:cs="Times New Roman"/>
          <w:bCs/>
          <w:sz w:val="20"/>
          <w:szCs w:val="20"/>
          <w:lang w:val="en-GB"/>
        </w:rPr>
        <w:t>/</w:t>
      </w:r>
      <w:proofErr w:type="gramStart"/>
      <w:r w:rsidRPr="00102B2B">
        <w:rPr>
          <w:rFonts w:ascii="Times New Roman" w:hAnsi="Times New Roman" w:cs="Times New Roman"/>
          <w:bCs/>
          <w:sz w:val="20"/>
          <w:szCs w:val="20"/>
          <w:lang w:val="en-GB"/>
        </w:rPr>
        <w:t>mL:µ</w:t>
      </w:r>
      <w:proofErr w:type="gramEnd"/>
      <w:r w:rsidRPr="00102B2B">
        <w:rPr>
          <w:rFonts w:ascii="Times New Roman" w:hAnsi="Times New Roman" w:cs="Times New Roman"/>
          <w:bCs/>
          <w:sz w:val="20"/>
          <w:szCs w:val="20"/>
          <w:lang w:val="en-GB"/>
        </w:rPr>
        <w:t xml:space="preserve">U/mL </w:t>
      </w:r>
    </w:p>
    <w:p w14:paraId="4B90F947" w14:textId="77777777" w:rsidR="00102B2B" w:rsidRP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2.</w:t>
      </w:r>
      <w:r w:rsidRPr="00102B2B">
        <w:rPr>
          <w:rFonts w:ascii="Times New Roman" w:hAnsi="Times New Roman" w:cs="Times New Roman"/>
          <w:bCs/>
          <w:sz w:val="20"/>
          <w:szCs w:val="20"/>
          <w:lang w:val="en-GB"/>
        </w:rPr>
        <w:tab/>
        <w:t xml:space="preserve">AND post SIT aldosterone ≥50 </w:t>
      </w:r>
      <w:proofErr w:type="spellStart"/>
      <w:r w:rsidRPr="00102B2B">
        <w:rPr>
          <w:rFonts w:ascii="Times New Roman" w:hAnsi="Times New Roman" w:cs="Times New Roman"/>
          <w:bCs/>
          <w:sz w:val="20"/>
          <w:szCs w:val="20"/>
          <w:lang w:val="en-GB"/>
        </w:rPr>
        <w:t>pg</w:t>
      </w:r>
      <w:proofErr w:type="spellEnd"/>
      <w:r w:rsidRPr="00102B2B">
        <w:rPr>
          <w:rFonts w:ascii="Times New Roman" w:hAnsi="Times New Roman" w:cs="Times New Roman"/>
          <w:bCs/>
          <w:sz w:val="20"/>
          <w:szCs w:val="20"/>
          <w:lang w:val="en-GB"/>
        </w:rPr>
        <w:t>/mL AND DRC &lt;12 µU/mL</w:t>
      </w:r>
    </w:p>
    <w:p w14:paraId="13B7F389" w14:textId="77777777" w:rsidR="00102B2B" w:rsidRP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3.</w:t>
      </w:r>
      <w:r w:rsidRPr="00102B2B">
        <w:rPr>
          <w:rFonts w:ascii="Times New Roman" w:hAnsi="Times New Roman" w:cs="Times New Roman"/>
          <w:bCs/>
          <w:sz w:val="20"/>
          <w:szCs w:val="20"/>
          <w:lang w:val="en-GB"/>
        </w:rPr>
        <w:tab/>
        <w:t xml:space="preserve">OR post CCT aldosterone ≥70 % of baseline aldosterone AND DRC &lt;12 µU/mL OR ARR ≥12 </w:t>
      </w:r>
      <w:proofErr w:type="spellStart"/>
      <w:r w:rsidRPr="00102B2B">
        <w:rPr>
          <w:rFonts w:ascii="Times New Roman" w:hAnsi="Times New Roman" w:cs="Times New Roman"/>
          <w:bCs/>
          <w:sz w:val="20"/>
          <w:szCs w:val="20"/>
          <w:lang w:val="en-GB"/>
        </w:rPr>
        <w:t>pg</w:t>
      </w:r>
      <w:proofErr w:type="spellEnd"/>
      <w:r w:rsidRPr="00102B2B">
        <w:rPr>
          <w:rFonts w:ascii="Times New Roman" w:hAnsi="Times New Roman" w:cs="Times New Roman"/>
          <w:bCs/>
          <w:sz w:val="20"/>
          <w:szCs w:val="20"/>
          <w:lang w:val="en-GB"/>
        </w:rPr>
        <w:t>/</w:t>
      </w:r>
      <w:proofErr w:type="gramStart"/>
      <w:r w:rsidRPr="00102B2B">
        <w:rPr>
          <w:rFonts w:ascii="Times New Roman" w:hAnsi="Times New Roman" w:cs="Times New Roman"/>
          <w:bCs/>
          <w:sz w:val="20"/>
          <w:szCs w:val="20"/>
          <w:lang w:val="en-GB"/>
        </w:rPr>
        <w:t>mL:µ</w:t>
      </w:r>
      <w:proofErr w:type="gramEnd"/>
      <w:r w:rsidRPr="00102B2B">
        <w:rPr>
          <w:rFonts w:ascii="Times New Roman" w:hAnsi="Times New Roman" w:cs="Times New Roman"/>
          <w:bCs/>
          <w:sz w:val="20"/>
          <w:szCs w:val="20"/>
          <w:lang w:val="en-GB"/>
        </w:rPr>
        <w:t>U/mL</w:t>
      </w:r>
    </w:p>
    <w:p w14:paraId="130680F9" w14:textId="77777777" w:rsidR="00102B2B" w:rsidRP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 xml:space="preserve">In case of equivocal results in both tests, the SIT result was regarded as definitive. Information about lateralization was obtained by adrenal venous sampling. When DRC was below 2 µU/mL, the lower limit of quantification (LLQ), the LLQ value was used to compute ARR. All patients with excluded primary aldosteronism were classified as essential hypertension (EH). </w:t>
      </w:r>
    </w:p>
    <w:p w14:paraId="38282FC8" w14:textId="277C91D1" w:rsid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 xml:space="preserve">PROCAM risk score was calculated via an excel sheet using the original formula </w:t>
      </w:r>
      <w:r>
        <w:rPr>
          <w:rFonts w:ascii="Times New Roman" w:hAnsi="Times New Roman" w:cs="Times New Roman"/>
          <w:bCs/>
          <w:sz w:val="20"/>
          <w:szCs w:val="20"/>
          <w:lang w:val="en-GB"/>
        </w:rPr>
        <w:fldChar w:fldCharType="begin" w:fldLock="1"/>
      </w:r>
      <w:r>
        <w:rPr>
          <w:rFonts w:ascii="Times New Roman" w:hAnsi="Times New Roman" w:cs="Times New Roman"/>
          <w:bCs/>
          <w:sz w:val="20"/>
          <w:szCs w:val="20"/>
          <w:lang w:val="en-GB"/>
        </w:rPr>
        <w:instrText>ADDIN CSL_CITATION {"citationItems":[{"id":"ITEM-1","itemData":{"DOI":"10.1161/hc0302.102575","ISSN":"00097322","PMID":"11804985","abstract":"Background - The absolute risk of an acute coronary event depends on the totality of risk factors exhibited by an individual, the so-called global risk profile. Although several scoring schemes have been suggested to calculate this profile, many omit information on important variables such as family history of coronary heart disease or LDL cholesterol. Methods and Results - Based on 325 acute coronary events occurring within 10 years of follow-up among 5389 men 35 to 65 years of age at recruitment into the Prospective Cardiovascular Münster (PROCAM) study, we developed a Cox proportional hazards model using the following 8 independent risk variables, ranked in order of importance: age, LDL cholesterol, smoking, HDL cholesterol, systolic blood pressure, family history of premature myocardial infarction, diabetes mellitus, and triglycerides. We then derived a simple point scoring system based on the β-coefficients of this model. The accuracy of this point scoring scheme was comparable to coronary event prediction when the continuous variables themselves were used. The scoring system accurately predicted observed coronary events with an area under the receiver-operating characteristics curve of 82.4% compared with 82.9% for the Cox model with continuous variables. Conclusions - Our scoring system is a simple and accurate way of predicting global risk of myocardial infarction in clinical practice and will therefore allow more accurate targeting of preventive therapy.","author":[{"dropping-particle":"","family":"Assmann","given":"Gerd","non-dropping-particle":"","parse-names":false,"suffix":""},{"dropping-particle":"","family":"Cullen","given":"Paul","non-dropping-particle":"","parse-names":false,"suffix":""},{"dropping-particle":"","family":"Schulte","given":"Helmut","non-dropping-particle":"","parse-names":false,"suffix":""}],"container-title":"Circulation","id":"ITEM-1","issue":"3","issued":{"date-parts":[["2002"]]},"page":"310-315","title":"Simple scoring scheme for calculating the risk of acute coronary events based on the 10-year follow-up of the Prospective Cardiovascular Münster (PROCAM) study","type":"article-journal","volume":"105"},"uris":["http://www.mendeley.com/documents/?uuid=fff75a37-cb67-40c2-aa07-95418ac4f831"]}],"mendeley":{"formattedCitation":"[1]","plainTextFormattedCitation":"[1]"},"properties":{"noteIndex":0},"schema":"https://github.com/citation-style-language/schema/raw/master/csl-citation.json"}</w:instrText>
      </w:r>
      <w:r>
        <w:rPr>
          <w:rFonts w:ascii="Times New Roman" w:hAnsi="Times New Roman" w:cs="Times New Roman"/>
          <w:bCs/>
          <w:sz w:val="20"/>
          <w:szCs w:val="20"/>
          <w:lang w:val="en-GB"/>
        </w:rPr>
        <w:fldChar w:fldCharType="separate"/>
      </w:r>
      <w:r w:rsidRPr="00102B2B">
        <w:rPr>
          <w:rFonts w:ascii="Times New Roman" w:hAnsi="Times New Roman" w:cs="Times New Roman"/>
          <w:bCs/>
          <w:noProof/>
          <w:sz w:val="20"/>
          <w:szCs w:val="20"/>
          <w:lang w:val="en-GB"/>
        </w:rPr>
        <w:t>[1]</w:t>
      </w:r>
      <w:r>
        <w:rPr>
          <w:rFonts w:ascii="Times New Roman" w:hAnsi="Times New Roman" w:cs="Times New Roman"/>
          <w:bCs/>
          <w:sz w:val="20"/>
          <w:szCs w:val="20"/>
          <w:lang w:val="en-GB"/>
        </w:rPr>
        <w:fldChar w:fldCharType="end"/>
      </w:r>
      <w:r w:rsidRPr="00102B2B">
        <w:rPr>
          <w:rFonts w:ascii="Times New Roman" w:hAnsi="Times New Roman" w:cs="Times New Roman"/>
          <w:bCs/>
          <w:sz w:val="20"/>
          <w:szCs w:val="20"/>
          <w:lang w:val="en-GB"/>
        </w:rPr>
        <w:t>.</w:t>
      </w:r>
    </w:p>
    <w:p w14:paraId="10379EF7" w14:textId="349F9863" w:rsidR="00102B2B" w:rsidRPr="00102B2B" w:rsidRDefault="00102B2B" w:rsidP="00102B2B">
      <w:pPr>
        <w:spacing w:line="240" w:lineRule="auto"/>
        <w:rPr>
          <w:rFonts w:ascii="Times New Roman" w:hAnsi="Times New Roman" w:cs="Times New Roman"/>
          <w:bCs/>
          <w:sz w:val="20"/>
          <w:szCs w:val="20"/>
          <w:lang w:val="en-GB"/>
        </w:rPr>
      </w:pPr>
      <w:r w:rsidRPr="00102B2B">
        <w:rPr>
          <w:rFonts w:ascii="Times New Roman" w:hAnsi="Times New Roman" w:cs="Times New Roman"/>
          <w:bCs/>
          <w:sz w:val="20"/>
          <w:szCs w:val="20"/>
          <w:lang w:val="en-GB"/>
        </w:rPr>
        <w:t>The study protocol conforms to the ethical guidelines of the 1975 Declaration of Helsinki. LMU Munich ethics committee approved the study protocol. Written informed consent was obtained from all participants included in the study. Data protection and privacy laws were adhered to.</w:t>
      </w:r>
    </w:p>
    <w:p w14:paraId="5CB3B629" w14:textId="043D2103" w:rsidR="00A74D80" w:rsidRPr="001507B5" w:rsidRDefault="00A74D80" w:rsidP="00E16D72">
      <w:pPr>
        <w:spacing w:line="240" w:lineRule="auto"/>
        <w:rPr>
          <w:rFonts w:ascii="Times New Roman" w:hAnsi="Times New Roman" w:cs="Times New Roman"/>
          <w:b/>
          <w:sz w:val="20"/>
          <w:szCs w:val="20"/>
          <w:lang w:val="en-GB"/>
        </w:rPr>
      </w:pPr>
      <w:r w:rsidRPr="001507B5">
        <w:rPr>
          <w:rFonts w:ascii="Times New Roman" w:hAnsi="Times New Roman" w:cs="Times New Roman"/>
          <w:b/>
          <w:sz w:val="20"/>
          <w:szCs w:val="20"/>
          <w:lang w:val="en-GB"/>
        </w:rPr>
        <w:t>Cell culture and stimulation</w:t>
      </w:r>
    </w:p>
    <w:p w14:paraId="5FC4660E" w14:textId="71668895" w:rsidR="00574D78" w:rsidRPr="001507B5" w:rsidRDefault="00E16601" w:rsidP="00E16D72">
      <w:pPr>
        <w:spacing w:line="240" w:lineRule="auto"/>
        <w:jc w:val="both"/>
        <w:rPr>
          <w:rFonts w:ascii="Times New Roman" w:hAnsi="Times New Roman" w:cs="Times New Roman"/>
          <w:sz w:val="20"/>
          <w:szCs w:val="20"/>
          <w:lang w:val="en-GB"/>
        </w:rPr>
      </w:pPr>
      <w:r w:rsidRPr="001507B5">
        <w:rPr>
          <w:rFonts w:ascii="Times New Roman" w:hAnsi="Times New Roman" w:cs="Times New Roman"/>
          <w:sz w:val="20"/>
          <w:szCs w:val="20"/>
          <w:lang w:val="en-GB"/>
        </w:rPr>
        <w:t>Human coronary artery endothelial were purchased from Lonza (Basel, CH) together with their specific growth media and growth factors</w:t>
      </w:r>
      <w:r w:rsidR="00574D78" w:rsidRPr="001507B5">
        <w:rPr>
          <w:rFonts w:ascii="Times New Roman" w:hAnsi="Times New Roman" w:cs="Times New Roman"/>
          <w:sz w:val="20"/>
          <w:szCs w:val="20"/>
          <w:lang w:val="en-GB"/>
        </w:rPr>
        <w:t xml:space="preserve"> and were cultured in specific growth-medium with supplements according to the manufacturer’s recommendations (details see below in section Drugs, buffer compositions, chemicals). All experiments were conducted between passages 5-9 and both cell lines were maintained at 37°C, 5% CO</w:t>
      </w:r>
      <w:r w:rsidR="00574D78" w:rsidRPr="001507B5">
        <w:rPr>
          <w:rFonts w:ascii="Times New Roman" w:hAnsi="Times New Roman" w:cs="Times New Roman"/>
          <w:sz w:val="20"/>
          <w:szCs w:val="20"/>
          <w:vertAlign w:val="subscript"/>
          <w:lang w:val="en-GB"/>
        </w:rPr>
        <w:t>2</w:t>
      </w:r>
      <w:r w:rsidR="00574D78" w:rsidRPr="001507B5">
        <w:rPr>
          <w:rFonts w:ascii="Times New Roman" w:hAnsi="Times New Roman" w:cs="Times New Roman"/>
          <w:sz w:val="20"/>
          <w:szCs w:val="20"/>
          <w:lang w:val="en-GB"/>
        </w:rPr>
        <w:t xml:space="preserve"> and 95% O</w:t>
      </w:r>
      <w:r w:rsidR="00574D78" w:rsidRPr="001507B5">
        <w:rPr>
          <w:rFonts w:ascii="Times New Roman" w:hAnsi="Times New Roman" w:cs="Times New Roman"/>
          <w:sz w:val="20"/>
          <w:szCs w:val="20"/>
          <w:vertAlign w:val="subscript"/>
          <w:lang w:val="en-GB"/>
        </w:rPr>
        <w:t>2</w:t>
      </w:r>
      <w:r w:rsidR="00574D78" w:rsidRPr="001507B5">
        <w:rPr>
          <w:rFonts w:ascii="Times New Roman" w:hAnsi="Times New Roman" w:cs="Times New Roman"/>
          <w:sz w:val="20"/>
          <w:szCs w:val="20"/>
          <w:lang w:val="en-GB"/>
        </w:rPr>
        <w:t xml:space="preserve"> in a humidified incubator. Cells were serum starved over night before treatment in EBM-2 </w:t>
      </w:r>
      <w:r w:rsidR="00555ECF" w:rsidRPr="001507B5">
        <w:rPr>
          <w:rFonts w:ascii="Times New Roman" w:hAnsi="Times New Roman" w:cs="Times New Roman"/>
          <w:sz w:val="20"/>
          <w:szCs w:val="20"/>
          <w:lang w:val="en-GB"/>
        </w:rPr>
        <w:t xml:space="preserve">medium </w:t>
      </w:r>
      <w:r w:rsidR="00574D78" w:rsidRPr="001507B5">
        <w:rPr>
          <w:rFonts w:ascii="Times New Roman" w:hAnsi="Times New Roman" w:cs="Times New Roman"/>
          <w:sz w:val="20"/>
          <w:szCs w:val="20"/>
          <w:lang w:val="en-GB"/>
        </w:rPr>
        <w:t>as the confluence reached 85-90%. Pharmacological treatment was performed in serum-free medium for an additional 48 hours.</w:t>
      </w:r>
    </w:p>
    <w:p w14:paraId="0F88A576" w14:textId="203E2BE5" w:rsidR="00A74D80" w:rsidRPr="001507B5" w:rsidRDefault="00A74D80" w:rsidP="00E16D72">
      <w:pPr>
        <w:spacing w:line="240" w:lineRule="auto"/>
        <w:jc w:val="both"/>
        <w:rPr>
          <w:rFonts w:ascii="Times New Roman" w:hAnsi="Times New Roman" w:cs="Times New Roman"/>
          <w:b/>
          <w:sz w:val="20"/>
          <w:szCs w:val="20"/>
          <w:lang w:val="en-GB"/>
        </w:rPr>
      </w:pPr>
      <w:r w:rsidRPr="001507B5">
        <w:rPr>
          <w:rFonts w:ascii="Times New Roman" w:hAnsi="Times New Roman" w:cs="Times New Roman"/>
          <w:b/>
          <w:sz w:val="20"/>
          <w:szCs w:val="20"/>
          <w:lang w:val="en-GB"/>
        </w:rPr>
        <w:t>RNA extraction, reverse transcription and qPCR</w:t>
      </w:r>
    </w:p>
    <w:p w14:paraId="6A64F384" w14:textId="3ECCFADA" w:rsidR="00AA1112" w:rsidRPr="001507B5" w:rsidRDefault="00AA1112" w:rsidP="00E16D72">
      <w:pPr>
        <w:spacing w:line="240" w:lineRule="auto"/>
        <w:jc w:val="both"/>
        <w:rPr>
          <w:rFonts w:ascii="Times New Roman" w:hAnsi="Times New Roman" w:cs="Times New Roman"/>
          <w:sz w:val="20"/>
          <w:szCs w:val="20"/>
          <w:lang w:val="en-GB"/>
        </w:rPr>
      </w:pPr>
      <w:r w:rsidRPr="001507B5">
        <w:rPr>
          <w:rFonts w:ascii="Times New Roman" w:hAnsi="Times New Roman" w:cs="Times New Roman"/>
          <w:sz w:val="20"/>
          <w:szCs w:val="20"/>
          <w:lang w:val="en-GB"/>
        </w:rPr>
        <w:t>Total RNA was extracted with a cartridge-based Maxwell 16 LEV simply RNA cells kit (Promega, Walldorf, Germany) following to manufacturer’s protocol.</w:t>
      </w:r>
      <w:r w:rsidR="00CB4F9B" w:rsidRPr="001507B5">
        <w:rPr>
          <w:rFonts w:ascii="Times New Roman" w:hAnsi="Times New Roman" w:cs="Times New Roman"/>
          <w:sz w:val="20"/>
          <w:szCs w:val="20"/>
          <w:lang w:val="en-GB"/>
        </w:rPr>
        <w:t xml:space="preserve"> This protocol includes treatment of the lysates with </w:t>
      </w:r>
      <w:proofErr w:type="spellStart"/>
      <w:r w:rsidR="00CB4F9B" w:rsidRPr="001507B5">
        <w:rPr>
          <w:rFonts w:ascii="Times New Roman" w:hAnsi="Times New Roman" w:cs="Times New Roman"/>
          <w:sz w:val="20"/>
          <w:szCs w:val="20"/>
          <w:lang w:val="en-GB"/>
        </w:rPr>
        <w:t>DNAs</w:t>
      </w:r>
      <w:r w:rsidR="006F3338" w:rsidRPr="001507B5">
        <w:rPr>
          <w:rFonts w:ascii="Times New Roman" w:hAnsi="Times New Roman" w:cs="Times New Roman"/>
          <w:sz w:val="20"/>
          <w:szCs w:val="20"/>
          <w:lang w:val="en-GB"/>
        </w:rPr>
        <w:t>e</w:t>
      </w:r>
      <w:proofErr w:type="spellEnd"/>
      <w:r w:rsidR="006F3338" w:rsidRPr="001507B5">
        <w:rPr>
          <w:rFonts w:ascii="Times New Roman" w:hAnsi="Times New Roman" w:cs="Times New Roman"/>
          <w:sz w:val="20"/>
          <w:szCs w:val="20"/>
          <w:lang w:val="en-GB"/>
        </w:rPr>
        <w:t xml:space="preserve"> I</w:t>
      </w:r>
      <w:r w:rsidRPr="001507B5">
        <w:rPr>
          <w:rFonts w:ascii="Times New Roman" w:hAnsi="Times New Roman" w:cs="Times New Roman"/>
          <w:sz w:val="20"/>
          <w:szCs w:val="20"/>
          <w:lang w:val="en-GB"/>
        </w:rPr>
        <w:t xml:space="preserve"> </w:t>
      </w:r>
      <w:r w:rsidR="00CB4F9B" w:rsidRPr="001507B5">
        <w:rPr>
          <w:rFonts w:ascii="Times New Roman" w:hAnsi="Times New Roman" w:cs="Times New Roman"/>
          <w:sz w:val="20"/>
          <w:szCs w:val="20"/>
          <w:lang w:val="en-GB"/>
        </w:rPr>
        <w:t xml:space="preserve">to remove possible contamination with genomic DNA. </w:t>
      </w:r>
      <w:r w:rsidRPr="001507B5">
        <w:rPr>
          <w:rFonts w:ascii="Times New Roman" w:hAnsi="Times New Roman" w:cs="Times New Roman"/>
          <w:sz w:val="20"/>
          <w:szCs w:val="20"/>
          <w:lang w:val="en-GB"/>
        </w:rPr>
        <w:t>RNA concentration was measured with a Nanodrop 1000 Spectrophotometer (</w:t>
      </w:r>
      <w:proofErr w:type="spellStart"/>
      <w:r w:rsidRPr="001507B5">
        <w:rPr>
          <w:rFonts w:ascii="Times New Roman" w:hAnsi="Times New Roman" w:cs="Times New Roman"/>
          <w:sz w:val="20"/>
          <w:szCs w:val="20"/>
          <w:lang w:val="en-GB"/>
        </w:rPr>
        <w:t>Thermo</w:t>
      </w:r>
      <w:proofErr w:type="spellEnd"/>
      <w:r w:rsidRPr="001507B5">
        <w:rPr>
          <w:rFonts w:ascii="Times New Roman" w:hAnsi="Times New Roman" w:cs="Times New Roman"/>
          <w:sz w:val="20"/>
          <w:szCs w:val="20"/>
          <w:lang w:val="en-GB"/>
        </w:rPr>
        <w:t xml:space="preserve"> Fisher Scientific, Munich, Germany). For cDNA synthesis, RNA was reversed transcribed via the </w:t>
      </w:r>
      <w:proofErr w:type="spellStart"/>
      <w:r w:rsidRPr="001507B5">
        <w:rPr>
          <w:rFonts w:ascii="Times New Roman" w:hAnsi="Times New Roman" w:cs="Times New Roman"/>
          <w:sz w:val="20"/>
          <w:szCs w:val="20"/>
          <w:lang w:val="en-GB"/>
        </w:rPr>
        <w:t>GoScript</w:t>
      </w:r>
      <w:proofErr w:type="spellEnd"/>
      <w:r w:rsidRPr="001507B5">
        <w:rPr>
          <w:rFonts w:ascii="Times New Roman" w:hAnsi="Times New Roman" w:cs="Times New Roman"/>
          <w:sz w:val="20"/>
          <w:szCs w:val="20"/>
          <w:lang w:val="en-GB"/>
        </w:rPr>
        <w:t xml:space="preserve">™ Reverse Transcriptase Kit (Promega,). </w:t>
      </w:r>
      <w:r w:rsidR="00545287" w:rsidRPr="001507B5">
        <w:rPr>
          <w:rFonts w:ascii="Times New Roman" w:hAnsi="Times New Roman" w:cs="Times New Roman"/>
          <w:sz w:val="20"/>
          <w:szCs w:val="20"/>
          <w:lang w:val="en-GB"/>
        </w:rPr>
        <w:t>Q</w:t>
      </w:r>
      <w:r w:rsidRPr="001507B5">
        <w:rPr>
          <w:rFonts w:ascii="Times New Roman" w:hAnsi="Times New Roman" w:cs="Times New Roman"/>
          <w:sz w:val="20"/>
          <w:szCs w:val="20"/>
          <w:lang w:val="en-GB"/>
        </w:rPr>
        <w:t>uantitative real-time PCR (</w:t>
      </w:r>
      <w:proofErr w:type="spellStart"/>
      <w:r w:rsidRPr="001507B5">
        <w:rPr>
          <w:rFonts w:ascii="Times New Roman" w:hAnsi="Times New Roman" w:cs="Times New Roman"/>
          <w:sz w:val="20"/>
          <w:szCs w:val="20"/>
          <w:lang w:val="en-GB"/>
        </w:rPr>
        <w:t>qRT</w:t>
      </w:r>
      <w:proofErr w:type="spellEnd"/>
      <w:r w:rsidRPr="001507B5">
        <w:rPr>
          <w:rFonts w:ascii="Times New Roman" w:hAnsi="Times New Roman" w:cs="Times New Roman"/>
          <w:sz w:val="20"/>
          <w:szCs w:val="20"/>
          <w:lang w:val="en-GB"/>
        </w:rPr>
        <w:t xml:space="preserve">-PCR) was conducted on the </w:t>
      </w:r>
      <w:proofErr w:type="spellStart"/>
      <w:r w:rsidRPr="001507B5">
        <w:rPr>
          <w:rFonts w:ascii="Times New Roman" w:hAnsi="Times New Roman" w:cs="Times New Roman"/>
          <w:sz w:val="20"/>
          <w:szCs w:val="20"/>
          <w:lang w:val="en-GB"/>
        </w:rPr>
        <w:t>QuantStudio</w:t>
      </w:r>
      <w:proofErr w:type="spellEnd"/>
      <w:r w:rsidRPr="001507B5">
        <w:rPr>
          <w:rFonts w:ascii="Times New Roman" w:hAnsi="Times New Roman" w:cs="Times New Roman"/>
          <w:sz w:val="20"/>
          <w:szCs w:val="20"/>
          <w:lang w:val="en-GB"/>
        </w:rPr>
        <w:t xml:space="preserve"> 5 </w:t>
      </w:r>
      <w:proofErr w:type="spellStart"/>
      <w:r w:rsidRPr="001507B5">
        <w:rPr>
          <w:rFonts w:ascii="Times New Roman" w:hAnsi="Times New Roman" w:cs="Times New Roman"/>
          <w:sz w:val="20"/>
          <w:szCs w:val="20"/>
          <w:lang w:val="en-GB"/>
        </w:rPr>
        <w:t>systerm</w:t>
      </w:r>
      <w:proofErr w:type="spellEnd"/>
      <w:r w:rsidRPr="001507B5">
        <w:rPr>
          <w:rFonts w:ascii="Times New Roman" w:hAnsi="Times New Roman" w:cs="Times New Roman"/>
          <w:sz w:val="20"/>
          <w:szCs w:val="20"/>
          <w:lang w:val="en-GB"/>
        </w:rPr>
        <w:t xml:space="preserve"> (</w:t>
      </w:r>
      <w:proofErr w:type="spellStart"/>
      <w:r w:rsidRPr="001507B5">
        <w:rPr>
          <w:rFonts w:ascii="Times New Roman" w:hAnsi="Times New Roman" w:cs="Times New Roman"/>
          <w:sz w:val="20"/>
          <w:szCs w:val="20"/>
          <w:lang w:val="en-GB"/>
        </w:rPr>
        <w:t>Thermo</w:t>
      </w:r>
      <w:proofErr w:type="spellEnd"/>
      <w:r w:rsidRPr="001507B5">
        <w:rPr>
          <w:rFonts w:ascii="Times New Roman" w:hAnsi="Times New Roman" w:cs="Times New Roman"/>
          <w:sz w:val="20"/>
          <w:szCs w:val="20"/>
          <w:lang w:val="en-GB"/>
        </w:rPr>
        <w:t xml:space="preserve"> Fisher Scientific) using specific </w:t>
      </w:r>
      <w:proofErr w:type="spellStart"/>
      <w:r w:rsidRPr="001507B5">
        <w:rPr>
          <w:rFonts w:ascii="Times New Roman" w:hAnsi="Times New Roman" w:cs="Times New Roman"/>
          <w:sz w:val="20"/>
          <w:szCs w:val="20"/>
          <w:lang w:val="en-GB"/>
        </w:rPr>
        <w:t>Taqman</w:t>
      </w:r>
      <w:proofErr w:type="spellEnd"/>
      <w:r w:rsidRPr="001507B5">
        <w:rPr>
          <w:rFonts w:ascii="Times New Roman" w:hAnsi="Times New Roman" w:cs="Times New Roman"/>
          <w:sz w:val="20"/>
          <w:szCs w:val="20"/>
          <w:lang w:val="en-GB"/>
        </w:rPr>
        <w:t xml:space="preserve"> probes (see </w:t>
      </w:r>
      <w:r w:rsidR="00330439" w:rsidRPr="001507B5">
        <w:rPr>
          <w:rFonts w:ascii="Times New Roman" w:hAnsi="Times New Roman" w:cs="Times New Roman"/>
          <w:sz w:val="20"/>
          <w:szCs w:val="20"/>
          <w:lang w:val="en-GB"/>
        </w:rPr>
        <w:t>Supplementary T</w:t>
      </w:r>
      <w:r w:rsidRPr="001507B5">
        <w:rPr>
          <w:rFonts w:ascii="Times New Roman" w:hAnsi="Times New Roman" w:cs="Times New Roman"/>
          <w:sz w:val="20"/>
          <w:szCs w:val="20"/>
          <w:lang w:val="en-GB"/>
        </w:rPr>
        <w:t>able</w:t>
      </w:r>
      <w:r w:rsidR="00330439" w:rsidRPr="001507B5">
        <w:rPr>
          <w:rFonts w:ascii="Times New Roman" w:hAnsi="Times New Roman" w:cs="Times New Roman"/>
          <w:sz w:val="20"/>
          <w:szCs w:val="20"/>
          <w:lang w:val="en-GB"/>
        </w:rPr>
        <w:t xml:space="preserve"> S1</w:t>
      </w:r>
      <w:r w:rsidRPr="001507B5">
        <w:rPr>
          <w:rFonts w:ascii="Times New Roman" w:hAnsi="Times New Roman" w:cs="Times New Roman"/>
          <w:sz w:val="20"/>
          <w:szCs w:val="20"/>
          <w:lang w:val="en-GB"/>
        </w:rPr>
        <w:t xml:space="preserve"> below). Relative expression levels of each gene of interest were normalized to the geometric mean of two housekeeping genes (</w:t>
      </w:r>
      <w:r w:rsidR="009B4071" w:rsidRPr="001507B5">
        <w:rPr>
          <w:rFonts w:ascii="Times New Roman" w:hAnsi="Times New Roman" w:cs="Times New Roman"/>
          <w:sz w:val="20"/>
          <w:szCs w:val="20"/>
          <w:lang w:val="en-GB"/>
        </w:rPr>
        <w:t>EIF2B1 and HPRT1</w:t>
      </w:r>
      <w:r w:rsidRPr="001507B5">
        <w:rPr>
          <w:rFonts w:ascii="Times New Roman" w:hAnsi="Times New Roman" w:cs="Times New Roman"/>
          <w:sz w:val="20"/>
          <w:szCs w:val="20"/>
          <w:lang w:val="en-GB"/>
        </w:rPr>
        <w:t>)</w:t>
      </w:r>
      <w:r w:rsidR="00AA33BD" w:rsidRPr="001507B5">
        <w:rPr>
          <w:rFonts w:ascii="Times New Roman" w:hAnsi="Times New Roman" w:cs="Times New Roman"/>
          <w:sz w:val="20"/>
          <w:szCs w:val="20"/>
          <w:lang w:val="en-GB"/>
        </w:rPr>
        <w:t>.</w:t>
      </w:r>
    </w:p>
    <w:tbl>
      <w:tblPr>
        <w:tblStyle w:val="Tabellenraster"/>
        <w:tblW w:w="0" w:type="auto"/>
        <w:tblLook w:val="04A0" w:firstRow="1" w:lastRow="0" w:firstColumn="1" w:lastColumn="0" w:noHBand="0" w:noVBand="1"/>
      </w:tblPr>
      <w:tblGrid>
        <w:gridCol w:w="1696"/>
        <w:gridCol w:w="1892"/>
      </w:tblGrid>
      <w:tr w:rsidR="006A4C7A" w:rsidRPr="001507B5" w14:paraId="7E82B0CA" w14:textId="77777777" w:rsidTr="009620D3">
        <w:tc>
          <w:tcPr>
            <w:tcW w:w="1696" w:type="dxa"/>
          </w:tcPr>
          <w:p w14:paraId="0FBB914A" w14:textId="78A2DAE3" w:rsidR="006A4C7A" w:rsidRPr="001507B5" w:rsidRDefault="006A4C7A" w:rsidP="00E16D72">
            <w:pPr>
              <w:jc w:val="center"/>
              <w:rPr>
                <w:rFonts w:ascii="Times New Roman" w:hAnsi="Times New Roman" w:cs="Times New Roman"/>
                <w:b/>
                <w:bCs/>
                <w:sz w:val="20"/>
                <w:szCs w:val="20"/>
                <w:lang w:val="en-GB"/>
              </w:rPr>
            </w:pPr>
            <w:r w:rsidRPr="001507B5">
              <w:rPr>
                <w:rFonts w:ascii="Times New Roman" w:hAnsi="Times New Roman" w:cs="Times New Roman"/>
                <w:b/>
                <w:bCs/>
                <w:sz w:val="20"/>
                <w:szCs w:val="20"/>
                <w:lang w:val="en-GB"/>
              </w:rPr>
              <w:t>Gene</w:t>
            </w:r>
            <w:r w:rsidR="00545287" w:rsidRPr="001507B5">
              <w:rPr>
                <w:rFonts w:ascii="Times New Roman" w:hAnsi="Times New Roman" w:cs="Times New Roman"/>
                <w:b/>
                <w:bCs/>
                <w:sz w:val="20"/>
                <w:szCs w:val="20"/>
                <w:lang w:val="en-GB"/>
              </w:rPr>
              <w:t xml:space="preserve"> of interest</w:t>
            </w:r>
          </w:p>
        </w:tc>
        <w:tc>
          <w:tcPr>
            <w:tcW w:w="1892" w:type="dxa"/>
          </w:tcPr>
          <w:p w14:paraId="29C17A6F" w14:textId="24457C4B" w:rsidR="006A4C7A" w:rsidRPr="001507B5" w:rsidRDefault="006A4C7A" w:rsidP="00E16D72">
            <w:pPr>
              <w:jc w:val="center"/>
              <w:rPr>
                <w:rFonts w:ascii="Times New Roman" w:hAnsi="Times New Roman" w:cs="Times New Roman"/>
                <w:b/>
                <w:bCs/>
                <w:sz w:val="20"/>
                <w:szCs w:val="20"/>
                <w:lang w:val="en-GB"/>
              </w:rPr>
            </w:pPr>
            <w:proofErr w:type="spellStart"/>
            <w:r w:rsidRPr="001507B5">
              <w:rPr>
                <w:rFonts w:ascii="Times New Roman" w:hAnsi="Times New Roman" w:cs="Times New Roman"/>
                <w:b/>
                <w:bCs/>
                <w:sz w:val="20"/>
                <w:szCs w:val="20"/>
                <w:lang w:val="en-GB"/>
              </w:rPr>
              <w:t>Taqman</w:t>
            </w:r>
            <w:proofErr w:type="spellEnd"/>
            <w:r w:rsidRPr="001507B5">
              <w:rPr>
                <w:rFonts w:ascii="Times New Roman" w:hAnsi="Times New Roman" w:cs="Times New Roman"/>
                <w:b/>
                <w:bCs/>
                <w:sz w:val="20"/>
                <w:szCs w:val="20"/>
                <w:lang w:val="en-GB"/>
              </w:rPr>
              <w:t xml:space="preserve"> probe</w:t>
            </w:r>
            <w:r w:rsidR="00545287" w:rsidRPr="001507B5">
              <w:rPr>
                <w:rFonts w:ascii="Times New Roman" w:hAnsi="Times New Roman" w:cs="Times New Roman"/>
                <w:b/>
                <w:bCs/>
                <w:sz w:val="20"/>
                <w:szCs w:val="20"/>
                <w:lang w:val="en-GB"/>
              </w:rPr>
              <w:t xml:space="preserve"> ID</w:t>
            </w:r>
          </w:p>
        </w:tc>
      </w:tr>
      <w:tr w:rsidR="00545287" w:rsidRPr="001507B5" w14:paraId="7AB50CBD" w14:textId="77777777" w:rsidTr="009620D3">
        <w:tc>
          <w:tcPr>
            <w:tcW w:w="1696" w:type="dxa"/>
          </w:tcPr>
          <w:p w14:paraId="0A976FFF" w14:textId="68832A38"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CYP2C8</w:t>
            </w:r>
          </w:p>
        </w:tc>
        <w:tc>
          <w:tcPr>
            <w:tcW w:w="1892" w:type="dxa"/>
          </w:tcPr>
          <w:p w14:paraId="6EB040DB" w14:textId="0AF7A62D"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Hs00946140_g1</w:t>
            </w:r>
          </w:p>
        </w:tc>
      </w:tr>
      <w:tr w:rsidR="00545287" w:rsidRPr="001507B5" w14:paraId="1C59CEB2" w14:textId="77777777" w:rsidTr="009620D3">
        <w:tc>
          <w:tcPr>
            <w:tcW w:w="1696" w:type="dxa"/>
          </w:tcPr>
          <w:p w14:paraId="0EB6A02E" w14:textId="59AEBB2D"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CYP2C9</w:t>
            </w:r>
          </w:p>
        </w:tc>
        <w:tc>
          <w:tcPr>
            <w:tcW w:w="1892" w:type="dxa"/>
          </w:tcPr>
          <w:p w14:paraId="0F2BBF62" w14:textId="1F4F9B58"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Hs04260376_m1</w:t>
            </w:r>
          </w:p>
        </w:tc>
      </w:tr>
      <w:tr w:rsidR="00545287" w:rsidRPr="001507B5" w14:paraId="3471C14F" w14:textId="77777777" w:rsidTr="009620D3">
        <w:tc>
          <w:tcPr>
            <w:tcW w:w="1696" w:type="dxa"/>
          </w:tcPr>
          <w:p w14:paraId="3C5B5011" w14:textId="4C074B52"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CYP2J2</w:t>
            </w:r>
          </w:p>
        </w:tc>
        <w:tc>
          <w:tcPr>
            <w:tcW w:w="1892" w:type="dxa"/>
          </w:tcPr>
          <w:p w14:paraId="161B6802" w14:textId="4EE16626"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Hs00559374_m1</w:t>
            </w:r>
          </w:p>
        </w:tc>
      </w:tr>
      <w:tr w:rsidR="00545287" w:rsidRPr="001507B5" w14:paraId="043DF1F7" w14:textId="77777777" w:rsidTr="009620D3">
        <w:tc>
          <w:tcPr>
            <w:tcW w:w="1696" w:type="dxa"/>
          </w:tcPr>
          <w:p w14:paraId="0B11D077" w14:textId="3818A615"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EPHX1</w:t>
            </w:r>
          </w:p>
        </w:tc>
        <w:tc>
          <w:tcPr>
            <w:tcW w:w="1892" w:type="dxa"/>
          </w:tcPr>
          <w:p w14:paraId="457713C3" w14:textId="24A84B26"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Hs01116806_m1</w:t>
            </w:r>
          </w:p>
        </w:tc>
      </w:tr>
      <w:tr w:rsidR="00545287" w:rsidRPr="001507B5" w14:paraId="7528C71C" w14:textId="77777777" w:rsidTr="009620D3">
        <w:tc>
          <w:tcPr>
            <w:tcW w:w="1696" w:type="dxa"/>
          </w:tcPr>
          <w:p w14:paraId="57784734" w14:textId="6757AA46"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EPHX2</w:t>
            </w:r>
          </w:p>
        </w:tc>
        <w:tc>
          <w:tcPr>
            <w:tcW w:w="1892" w:type="dxa"/>
          </w:tcPr>
          <w:p w14:paraId="3C5071C1" w14:textId="292C257C"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Hs00932316_m1</w:t>
            </w:r>
          </w:p>
        </w:tc>
      </w:tr>
      <w:tr w:rsidR="00545287" w:rsidRPr="001507B5" w14:paraId="37248D06" w14:textId="77777777" w:rsidTr="009620D3">
        <w:tc>
          <w:tcPr>
            <w:tcW w:w="1696" w:type="dxa"/>
          </w:tcPr>
          <w:p w14:paraId="26A50821" w14:textId="413DB300"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EIF2B1</w:t>
            </w:r>
          </w:p>
        </w:tc>
        <w:tc>
          <w:tcPr>
            <w:tcW w:w="1892" w:type="dxa"/>
          </w:tcPr>
          <w:p w14:paraId="24359868" w14:textId="7708D42C"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Hs00426752_m1</w:t>
            </w:r>
          </w:p>
        </w:tc>
      </w:tr>
      <w:tr w:rsidR="00545287" w:rsidRPr="001507B5" w14:paraId="14104B07" w14:textId="77777777" w:rsidTr="009620D3">
        <w:tc>
          <w:tcPr>
            <w:tcW w:w="1696" w:type="dxa"/>
          </w:tcPr>
          <w:p w14:paraId="4E9B848F" w14:textId="50D88567"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HPRT1</w:t>
            </w:r>
          </w:p>
        </w:tc>
        <w:tc>
          <w:tcPr>
            <w:tcW w:w="1892" w:type="dxa"/>
          </w:tcPr>
          <w:p w14:paraId="3F394B73" w14:textId="1D829BC2"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Hs99999909_m1</w:t>
            </w:r>
          </w:p>
        </w:tc>
      </w:tr>
      <w:tr w:rsidR="00545287" w:rsidRPr="001507B5" w14:paraId="5CE0DF54" w14:textId="77777777" w:rsidTr="009620D3">
        <w:tc>
          <w:tcPr>
            <w:tcW w:w="1696" w:type="dxa"/>
          </w:tcPr>
          <w:p w14:paraId="7CAC38BB" w14:textId="369E3087"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HSD11B1</w:t>
            </w:r>
          </w:p>
        </w:tc>
        <w:tc>
          <w:tcPr>
            <w:tcW w:w="1892" w:type="dxa"/>
          </w:tcPr>
          <w:p w14:paraId="76094675" w14:textId="6DB876B8"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Hs01547870_m1</w:t>
            </w:r>
          </w:p>
        </w:tc>
      </w:tr>
      <w:tr w:rsidR="00545287" w:rsidRPr="001507B5" w14:paraId="7CD29321" w14:textId="77777777" w:rsidTr="009620D3">
        <w:tc>
          <w:tcPr>
            <w:tcW w:w="1696" w:type="dxa"/>
          </w:tcPr>
          <w:p w14:paraId="23C31FC4" w14:textId="58AF5C37"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HSD11B2</w:t>
            </w:r>
          </w:p>
        </w:tc>
        <w:tc>
          <w:tcPr>
            <w:tcW w:w="1892" w:type="dxa"/>
          </w:tcPr>
          <w:p w14:paraId="0FA6608C" w14:textId="5A718F0F"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Hs00388669_m1</w:t>
            </w:r>
          </w:p>
        </w:tc>
      </w:tr>
      <w:tr w:rsidR="00545287" w:rsidRPr="001507B5" w14:paraId="1D775931" w14:textId="77777777" w:rsidTr="009620D3">
        <w:tc>
          <w:tcPr>
            <w:tcW w:w="1696" w:type="dxa"/>
          </w:tcPr>
          <w:p w14:paraId="584E5935" w14:textId="4BE86A62"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lastRenderedPageBreak/>
              <w:t>SCNN1A</w:t>
            </w:r>
          </w:p>
        </w:tc>
        <w:tc>
          <w:tcPr>
            <w:tcW w:w="1892" w:type="dxa"/>
          </w:tcPr>
          <w:p w14:paraId="50C12A0F" w14:textId="2E461EEC" w:rsidR="00545287" w:rsidRPr="001507B5" w:rsidRDefault="00545287" w:rsidP="00E16D72">
            <w:pPr>
              <w:rPr>
                <w:rFonts w:ascii="Times New Roman" w:hAnsi="Times New Roman" w:cs="Times New Roman"/>
                <w:sz w:val="20"/>
                <w:szCs w:val="20"/>
                <w:lang w:val="en-GB"/>
              </w:rPr>
            </w:pPr>
            <w:r w:rsidRPr="001507B5">
              <w:rPr>
                <w:rFonts w:ascii="Times New Roman" w:hAnsi="Times New Roman" w:cs="Times New Roman"/>
                <w:sz w:val="20"/>
                <w:szCs w:val="20"/>
              </w:rPr>
              <w:t>Hs00168906_m1</w:t>
            </w:r>
          </w:p>
        </w:tc>
      </w:tr>
    </w:tbl>
    <w:p w14:paraId="0CB69B18" w14:textId="73023151" w:rsidR="006A4C7A" w:rsidRPr="001507B5" w:rsidRDefault="008C7172" w:rsidP="00E16D72">
      <w:pPr>
        <w:spacing w:line="240" w:lineRule="auto"/>
        <w:rPr>
          <w:rFonts w:ascii="Times New Roman" w:hAnsi="Times New Roman" w:cs="Times New Roman"/>
          <w:sz w:val="20"/>
          <w:szCs w:val="20"/>
          <w:lang w:val="en-GB"/>
        </w:rPr>
      </w:pPr>
      <w:r w:rsidRPr="001507B5">
        <w:rPr>
          <w:rFonts w:ascii="Times New Roman" w:hAnsi="Times New Roman" w:cs="Times New Roman"/>
          <w:b/>
          <w:sz w:val="20"/>
          <w:szCs w:val="20"/>
          <w:lang w:val="en-GB"/>
        </w:rPr>
        <w:t xml:space="preserve">Supplementary Table </w:t>
      </w:r>
      <w:r w:rsidR="00B329A9" w:rsidRPr="001507B5">
        <w:rPr>
          <w:rFonts w:ascii="Times New Roman" w:hAnsi="Times New Roman" w:cs="Times New Roman"/>
          <w:b/>
          <w:sz w:val="20"/>
          <w:szCs w:val="20"/>
          <w:lang w:val="en-GB"/>
        </w:rPr>
        <w:t>S</w:t>
      </w:r>
      <w:r w:rsidRPr="001507B5">
        <w:rPr>
          <w:rFonts w:ascii="Times New Roman" w:hAnsi="Times New Roman" w:cs="Times New Roman"/>
          <w:b/>
          <w:sz w:val="20"/>
          <w:szCs w:val="20"/>
          <w:lang w:val="en-GB"/>
        </w:rPr>
        <w:t>1</w:t>
      </w:r>
      <w:r w:rsidRPr="001507B5">
        <w:rPr>
          <w:rFonts w:ascii="Times New Roman" w:hAnsi="Times New Roman" w:cs="Times New Roman"/>
          <w:sz w:val="20"/>
          <w:szCs w:val="20"/>
          <w:lang w:val="en-GB"/>
        </w:rPr>
        <w:t xml:space="preserve">: Genes of interest and corresponding </w:t>
      </w:r>
      <w:proofErr w:type="spellStart"/>
      <w:r w:rsidRPr="001507B5">
        <w:rPr>
          <w:rFonts w:ascii="Times New Roman" w:hAnsi="Times New Roman" w:cs="Times New Roman"/>
          <w:sz w:val="20"/>
          <w:szCs w:val="20"/>
          <w:lang w:val="en-GB"/>
        </w:rPr>
        <w:t>Taqman</w:t>
      </w:r>
      <w:proofErr w:type="spellEnd"/>
      <w:r w:rsidRPr="001507B5">
        <w:rPr>
          <w:rFonts w:ascii="Times New Roman" w:hAnsi="Times New Roman" w:cs="Times New Roman"/>
          <w:sz w:val="20"/>
          <w:szCs w:val="20"/>
          <w:lang w:val="en-GB"/>
        </w:rPr>
        <w:t xml:space="preserve"> probes used in the qPCR experiments.</w:t>
      </w:r>
    </w:p>
    <w:p w14:paraId="6E0D685F" w14:textId="12BC05B2" w:rsidR="0060360D" w:rsidRPr="001507B5" w:rsidRDefault="0060360D" w:rsidP="00E16D72">
      <w:pPr>
        <w:spacing w:line="240" w:lineRule="auto"/>
        <w:rPr>
          <w:rFonts w:ascii="Times New Roman" w:hAnsi="Times New Roman" w:cs="Times New Roman"/>
          <w:b/>
          <w:bCs/>
          <w:sz w:val="20"/>
          <w:szCs w:val="20"/>
          <w:lang w:val="en-GB"/>
        </w:rPr>
      </w:pPr>
      <w:proofErr w:type="spellStart"/>
      <w:r w:rsidRPr="001507B5">
        <w:rPr>
          <w:rFonts w:ascii="Times New Roman" w:hAnsi="Times New Roman" w:cs="Times New Roman"/>
          <w:b/>
          <w:bCs/>
          <w:sz w:val="20"/>
          <w:szCs w:val="20"/>
          <w:lang w:val="en-GB"/>
        </w:rPr>
        <w:t>RNAseq</w:t>
      </w:r>
      <w:proofErr w:type="spellEnd"/>
      <w:r w:rsidR="006B3D37" w:rsidRPr="001507B5">
        <w:rPr>
          <w:rFonts w:ascii="Times New Roman" w:hAnsi="Times New Roman" w:cs="Times New Roman"/>
          <w:b/>
          <w:bCs/>
          <w:sz w:val="20"/>
          <w:szCs w:val="20"/>
          <w:lang w:val="en-GB"/>
        </w:rPr>
        <w:t xml:space="preserve"> and bioinformatics</w:t>
      </w:r>
    </w:p>
    <w:p w14:paraId="37AE9262" w14:textId="15889B88" w:rsidR="006B3D37" w:rsidRPr="001507B5" w:rsidRDefault="006B3D37" w:rsidP="00E11B96">
      <w:pPr>
        <w:spacing w:line="240" w:lineRule="auto"/>
        <w:jc w:val="both"/>
        <w:rPr>
          <w:rFonts w:ascii="Times New Roman" w:hAnsi="Times New Roman" w:cs="Times New Roman"/>
          <w:sz w:val="20"/>
          <w:szCs w:val="20"/>
          <w:lang w:val="en-GB"/>
        </w:rPr>
      </w:pPr>
      <w:proofErr w:type="spellStart"/>
      <w:r w:rsidRPr="001507B5">
        <w:rPr>
          <w:rFonts w:ascii="Times New Roman" w:hAnsi="Times New Roman" w:cs="Times New Roman"/>
          <w:sz w:val="20"/>
          <w:szCs w:val="20"/>
          <w:lang w:val="en-GB"/>
        </w:rPr>
        <w:t>RNAseq</w:t>
      </w:r>
      <w:proofErr w:type="spellEnd"/>
      <w:r w:rsidRPr="001507B5">
        <w:rPr>
          <w:rFonts w:ascii="Times New Roman" w:hAnsi="Times New Roman" w:cs="Times New Roman"/>
          <w:sz w:val="20"/>
          <w:szCs w:val="20"/>
          <w:lang w:val="en-GB"/>
        </w:rPr>
        <w:t xml:space="preserve"> </w:t>
      </w:r>
      <w:r w:rsidR="00E6627B" w:rsidRPr="001507B5">
        <w:rPr>
          <w:rFonts w:ascii="Times New Roman" w:hAnsi="Times New Roman" w:cs="Times New Roman"/>
          <w:sz w:val="20"/>
          <w:szCs w:val="20"/>
          <w:lang w:val="en-GB"/>
        </w:rPr>
        <w:t xml:space="preserve">and downstream bioinformatics were </w:t>
      </w:r>
      <w:r w:rsidRPr="001507B5">
        <w:rPr>
          <w:rFonts w:ascii="Times New Roman" w:hAnsi="Times New Roman" w:cs="Times New Roman"/>
          <w:sz w:val="20"/>
          <w:szCs w:val="20"/>
          <w:lang w:val="en-GB"/>
        </w:rPr>
        <w:t xml:space="preserve">performed by a commercial partner (Eurofins Genomics, </w:t>
      </w:r>
      <w:proofErr w:type="spellStart"/>
      <w:r w:rsidRPr="001507B5">
        <w:rPr>
          <w:rFonts w:ascii="Times New Roman" w:hAnsi="Times New Roman" w:cs="Times New Roman"/>
          <w:sz w:val="20"/>
          <w:szCs w:val="20"/>
          <w:lang w:val="en-GB"/>
        </w:rPr>
        <w:t>Ebersberg</w:t>
      </w:r>
      <w:proofErr w:type="spellEnd"/>
      <w:r w:rsidRPr="001507B5">
        <w:rPr>
          <w:rFonts w:ascii="Times New Roman" w:hAnsi="Times New Roman" w:cs="Times New Roman"/>
          <w:sz w:val="20"/>
          <w:szCs w:val="20"/>
          <w:lang w:val="en-GB"/>
        </w:rPr>
        <w:t>, Germany).</w:t>
      </w:r>
      <w:r w:rsidR="00A13471" w:rsidRPr="001507B5">
        <w:rPr>
          <w:rFonts w:ascii="Times New Roman" w:hAnsi="Times New Roman" w:cs="Times New Roman"/>
          <w:sz w:val="20"/>
          <w:szCs w:val="20"/>
          <w:lang w:val="en-GB"/>
        </w:rPr>
        <w:t xml:space="preserve"> Raw </w:t>
      </w:r>
      <w:r w:rsidR="00710D51" w:rsidRPr="001507B5">
        <w:rPr>
          <w:rFonts w:ascii="Times New Roman" w:hAnsi="Times New Roman" w:cs="Times New Roman"/>
          <w:sz w:val="20"/>
          <w:szCs w:val="20"/>
          <w:lang w:val="en-GB"/>
        </w:rPr>
        <w:t>FASTQ files</w:t>
      </w:r>
      <w:r w:rsidR="00A13471" w:rsidRPr="001507B5">
        <w:rPr>
          <w:rFonts w:ascii="Times New Roman" w:hAnsi="Times New Roman" w:cs="Times New Roman"/>
          <w:sz w:val="20"/>
          <w:szCs w:val="20"/>
          <w:lang w:val="en-GB"/>
        </w:rPr>
        <w:t xml:space="preserve"> were depleted of rRNA reads using </w:t>
      </w:r>
      <w:proofErr w:type="spellStart"/>
      <w:r w:rsidR="00A13471" w:rsidRPr="001507B5">
        <w:rPr>
          <w:rFonts w:ascii="Times New Roman" w:hAnsi="Times New Roman" w:cs="Times New Roman"/>
          <w:sz w:val="20"/>
          <w:szCs w:val="20"/>
          <w:lang w:val="en-GB"/>
        </w:rPr>
        <w:t>RiboDetector</w:t>
      </w:r>
      <w:proofErr w:type="spellEnd"/>
      <w:r w:rsidR="00A13471" w:rsidRPr="001507B5">
        <w:rPr>
          <w:rFonts w:ascii="Times New Roman" w:hAnsi="Times New Roman" w:cs="Times New Roman"/>
          <w:sz w:val="20"/>
          <w:szCs w:val="20"/>
          <w:lang w:val="en-GB"/>
        </w:rPr>
        <w:t xml:space="preserve"> </w:t>
      </w:r>
      <w:r w:rsidR="00A13471" w:rsidRPr="001507B5">
        <w:rPr>
          <w:rFonts w:ascii="Times New Roman" w:hAnsi="Times New Roman" w:cs="Times New Roman"/>
          <w:sz w:val="20"/>
          <w:szCs w:val="20"/>
          <w:lang w:val="en-GB"/>
        </w:rPr>
        <w:fldChar w:fldCharType="begin" w:fldLock="1"/>
      </w:r>
      <w:r w:rsidR="00102B2B">
        <w:rPr>
          <w:rFonts w:ascii="Times New Roman" w:hAnsi="Times New Roman" w:cs="Times New Roman"/>
          <w:sz w:val="20"/>
          <w:szCs w:val="20"/>
          <w:lang w:val="en-GB"/>
        </w:rPr>
        <w:instrText xml:space="preserve">ADDIN CSL_CITATION {"citationItems":[{"id":"ITEM-1","itemData":{"DOI":"10.1093/nar/gkac112","ISSN":"13624962","PMID":"35188571","abstract":"Advances in transcriptomic and translatomic techniques enable in-depth studies of RNA activity profiles and RNA-based regulatory mechanisms. Ribosomal RNA (rRNA) sequences are highly abundant among cellular RNA, but if the target sequences do not include polyadenylation, these cannot be easily removed in library preparation, requiring their post-hoc removal with computational techniques to accelerate and improve downstream analyses. Here, we describe RiboDetector, a novel software based on a Bi-directional Long Short-Term Memory (BiLSTM) neural network, which rapidly and accurately identifies rRNA reads from transcriptomic, metagenomic, metatranscriptomic, noncoding RNA, and ribosome profiling sequence data. Compared with state-of-the-art approaches, RiboDetector produced at least six times fewer misclassifications on the benchmark datasets. Importantly, the few false positives of RiboDetector were not enriched in certain Gene Ontology (GO) terms, suggesting a low bias for downstream functional profiling. RiboDetector also demonstrated a remarkable generalizability for detecting novel rRNA sequences that are divergent from the training data with sequence identities of &lt;90%. On a personal computer, RiboDetector processed 40M reads in less than 6 min, which was </w:instrText>
      </w:r>
      <w:r w:rsidR="00102B2B">
        <w:rPr>
          <w:rFonts w:ascii="Cambria Math" w:hAnsi="Cambria Math" w:cs="Cambria Math"/>
          <w:sz w:val="20"/>
          <w:szCs w:val="20"/>
          <w:lang w:val="en-GB"/>
        </w:rPr>
        <w:instrText>∼</w:instrText>
      </w:r>
      <w:r w:rsidR="00102B2B">
        <w:rPr>
          <w:rFonts w:ascii="Times New Roman" w:hAnsi="Times New Roman" w:cs="Times New Roman"/>
          <w:sz w:val="20"/>
          <w:szCs w:val="20"/>
          <w:lang w:val="en-GB"/>
        </w:rPr>
        <w:instrText xml:space="preserve">50 times faster in GPU mode and </w:instrText>
      </w:r>
      <w:r w:rsidR="00102B2B">
        <w:rPr>
          <w:rFonts w:ascii="Cambria Math" w:hAnsi="Cambria Math" w:cs="Cambria Math"/>
          <w:sz w:val="20"/>
          <w:szCs w:val="20"/>
          <w:lang w:val="en-GB"/>
        </w:rPr>
        <w:instrText>∼</w:instrText>
      </w:r>
      <w:r w:rsidR="00102B2B">
        <w:rPr>
          <w:rFonts w:ascii="Times New Roman" w:hAnsi="Times New Roman" w:cs="Times New Roman"/>
          <w:sz w:val="20"/>
          <w:szCs w:val="20"/>
          <w:lang w:val="en-GB"/>
        </w:rPr>
        <w:instrText>15 times in CPU mode than other methods. RiboDetector is available under a GPL v3.0 license at https://github.com/hzi-bifo/RiboDetector.","author":[{"dropping-particle":"","family":"Deng","given":"Zhi Luo","non-dropping-particle":"","parse-names":false,"suffix":""},{"dropping-particle":"","family":"Münch","given":"Philipp C.","non-dropping-particle":"","parse-names":false,"suffix":""},{"dropping-particle":"","family":"Mreches","given":"René","non-dropping-particle":"","parse-names":false,"suffix":""},{"dropping-particle":"","family":"McHardy","given":"Alice C.","non-dropping-particle":"","parse-names":false,"suffix":""}],"container-title":"Nucleic Acids Research","id":"ITEM-1","issue":"10","issued":{"date-parts":[["2022"]]},"page":"E60","title":"Rapid and accurate identification of ribosomal RNA sequences via deep learning","type":"article-journal","volume":"50"},"uris":["http://www.mendeley.com/documents/?uuid=eab2bb10-fee9-41a9-a78c-89265313e6dd"]}],"mendeley":{"formattedCitation":"[3]","plainTextFormattedCitation":"[3]","previouslyFormattedCitation":"[2]"},"properties":{"noteIndex":0},"schema":"https://github.com/citation-style-language/schema/raw/master/csl-citation.json"}</w:instrText>
      </w:r>
      <w:r w:rsidR="00A13471" w:rsidRPr="001507B5">
        <w:rPr>
          <w:rFonts w:ascii="Times New Roman" w:hAnsi="Times New Roman" w:cs="Times New Roman"/>
          <w:sz w:val="20"/>
          <w:szCs w:val="20"/>
          <w:lang w:val="en-GB"/>
        </w:rPr>
        <w:fldChar w:fldCharType="separate"/>
      </w:r>
      <w:r w:rsidR="00102B2B" w:rsidRPr="00102B2B">
        <w:rPr>
          <w:rFonts w:ascii="Times New Roman" w:hAnsi="Times New Roman" w:cs="Times New Roman"/>
          <w:noProof/>
          <w:sz w:val="20"/>
          <w:szCs w:val="20"/>
          <w:lang w:val="en-GB"/>
        </w:rPr>
        <w:t>[3]</w:t>
      </w:r>
      <w:r w:rsidR="00A13471" w:rsidRPr="001507B5">
        <w:rPr>
          <w:rFonts w:ascii="Times New Roman" w:hAnsi="Times New Roman" w:cs="Times New Roman"/>
          <w:sz w:val="20"/>
          <w:szCs w:val="20"/>
          <w:lang w:val="en-GB"/>
        </w:rPr>
        <w:fldChar w:fldCharType="end"/>
      </w:r>
      <w:r w:rsidR="00710D51" w:rsidRPr="001507B5">
        <w:rPr>
          <w:rFonts w:ascii="Times New Roman" w:hAnsi="Times New Roman" w:cs="Times New Roman"/>
          <w:sz w:val="20"/>
          <w:szCs w:val="20"/>
          <w:lang w:val="en-GB"/>
        </w:rPr>
        <w:t xml:space="preserve"> and underwent adapter trimming, quality filtering</w:t>
      </w:r>
      <w:r w:rsidR="0078024E" w:rsidRPr="001507B5">
        <w:rPr>
          <w:rFonts w:ascii="Times New Roman" w:hAnsi="Times New Roman" w:cs="Times New Roman"/>
          <w:sz w:val="20"/>
          <w:szCs w:val="20"/>
          <w:lang w:val="en-GB"/>
        </w:rPr>
        <w:t xml:space="preserve">, </w:t>
      </w:r>
      <w:r w:rsidR="00710D51" w:rsidRPr="001507B5">
        <w:rPr>
          <w:rFonts w:ascii="Times New Roman" w:hAnsi="Times New Roman" w:cs="Times New Roman"/>
          <w:sz w:val="20"/>
          <w:szCs w:val="20"/>
          <w:lang w:val="en-GB"/>
        </w:rPr>
        <w:t>per-read quality pruning</w:t>
      </w:r>
      <w:r w:rsidR="0078024E" w:rsidRPr="001507B5">
        <w:rPr>
          <w:rFonts w:ascii="Times New Roman" w:hAnsi="Times New Roman" w:cs="Times New Roman"/>
          <w:sz w:val="20"/>
          <w:szCs w:val="20"/>
          <w:lang w:val="en-GB"/>
        </w:rPr>
        <w:t xml:space="preserve"> and removal of</w:t>
      </w:r>
      <w:r w:rsidR="00710D51" w:rsidRPr="001507B5">
        <w:rPr>
          <w:rFonts w:ascii="Times New Roman" w:hAnsi="Times New Roman" w:cs="Times New Roman"/>
          <w:sz w:val="20"/>
          <w:szCs w:val="20"/>
          <w:lang w:val="en-GB"/>
        </w:rPr>
        <w:t xml:space="preserve"> </w:t>
      </w:r>
      <w:r w:rsidR="0078024E" w:rsidRPr="001507B5">
        <w:rPr>
          <w:rFonts w:ascii="Times New Roman" w:hAnsi="Times New Roman" w:cs="Times New Roman"/>
          <w:sz w:val="20"/>
          <w:szCs w:val="20"/>
          <w:lang w:val="en-GB"/>
        </w:rPr>
        <w:t>p</w:t>
      </w:r>
      <w:r w:rsidR="00710D51" w:rsidRPr="001507B5">
        <w:rPr>
          <w:rFonts w:ascii="Times New Roman" w:hAnsi="Times New Roman" w:cs="Times New Roman"/>
          <w:sz w:val="20"/>
          <w:szCs w:val="20"/>
          <w:lang w:val="en-GB"/>
        </w:rPr>
        <w:t xml:space="preserve">oor quality bases using </w:t>
      </w:r>
      <w:proofErr w:type="spellStart"/>
      <w:r w:rsidR="00710D51" w:rsidRPr="001507B5">
        <w:rPr>
          <w:rFonts w:ascii="Times New Roman" w:hAnsi="Times New Roman" w:cs="Times New Roman"/>
          <w:sz w:val="20"/>
          <w:szCs w:val="20"/>
          <w:lang w:val="en-GB"/>
        </w:rPr>
        <w:t>fastp</w:t>
      </w:r>
      <w:proofErr w:type="spellEnd"/>
      <w:r w:rsidR="00710D51" w:rsidRPr="001507B5">
        <w:rPr>
          <w:rFonts w:ascii="Times New Roman" w:hAnsi="Times New Roman" w:cs="Times New Roman"/>
          <w:sz w:val="20"/>
          <w:szCs w:val="20"/>
          <w:lang w:val="en-GB"/>
        </w:rPr>
        <w:t xml:space="preserve"> software </w:t>
      </w:r>
      <w:r w:rsidR="00710D51" w:rsidRPr="001507B5">
        <w:rPr>
          <w:rFonts w:ascii="Times New Roman" w:hAnsi="Times New Roman" w:cs="Times New Roman"/>
          <w:sz w:val="20"/>
          <w:szCs w:val="20"/>
          <w:lang w:val="en-GB"/>
        </w:rPr>
        <w:fldChar w:fldCharType="begin" w:fldLock="1"/>
      </w:r>
      <w:r w:rsidR="00102B2B">
        <w:rPr>
          <w:rFonts w:ascii="Times New Roman" w:hAnsi="Times New Roman" w:cs="Times New Roman"/>
          <w:sz w:val="20"/>
          <w:szCs w:val="20"/>
          <w:lang w:val="en-GB"/>
        </w:rPr>
        <w:instrText>ADDIN CSL_CITATION {"citationItems":[{"id":"ITEM-1","itemData":{"DOI":"10.1093/bioinformatics/bty560","ISSN":"14602059","PMID":"30423086","abstract":"Motivation Quality control and preprocessing of FASTQ files are essential to providing clean data for downstream analysis. Traditionally, a different tool is used for each operation, such as quality control, adapter trimming and quality filtering. These tools are often insufficiently fast as most are developed using high-level programming languages (e.g. Python and Java) and provide limited multi-threading support. Reading and loading data multiple times also renders preprocessing slow and I/O inefficient. Results We developed fastp as an ultra-fast FASTQ preprocessor with useful quality control and data-filtering features. It can perform quality control, adapter trimming, quality filtering, per-read quality pruning and many other operations with a single scan of the FASTQ data. This tool is developed in C++ and has multi-threading support. Based on our evaluation, fastp is 2-5 times faster than other FASTQ preprocessing tools such as Trimmomatic or Cutadapt despite performing far more operations than similar tools. Availability and implementation The open-source code and corresponding instructions are available at https://github.com/OpenGene/fastp.","author":[{"dropping-particle":"","family":"Chen","given":"Shifu","non-dropping-particle":"","parse-names":false,"suffix":""},{"dropping-particle":"","family":"Zhou","given":"Yanqing","non-dropping-particle":"","parse-names":false,"suffix":""},{"dropping-particle":"","family":"Chen","given":"Yaru","non-dropping-particle":"","parse-names":false,"suffix":""},{"dropping-particle":"","family":"Gu","given":"Jia","non-dropping-particle":"","parse-names":false,"suffix":""}],"container-title":"Bioinformatics","id":"ITEM-1","issue":"17","issued":{"date-parts":[["2018"]]},"page":"i884-i890","title":"Fastp: An ultra-fast all-in-one FASTQ preprocessor","type":"article-journal","volume":"34"},"uris":["http://www.mendeley.com/documents/?uuid=e2468c79-e9f1-44fe-b482-d153bebdd135"]}],"mendeley":{"formattedCitation":"[2]","plainTextFormattedCitation":"[2]","previouslyFormattedCitation":"[1]"},"properties":{"noteIndex":0},"schema":"https://github.com/citation-style-language/schema/raw/master/csl-citation.json"}</w:instrText>
      </w:r>
      <w:r w:rsidR="00710D51" w:rsidRPr="001507B5">
        <w:rPr>
          <w:rFonts w:ascii="Times New Roman" w:hAnsi="Times New Roman" w:cs="Times New Roman"/>
          <w:sz w:val="20"/>
          <w:szCs w:val="20"/>
          <w:lang w:val="en-GB"/>
        </w:rPr>
        <w:fldChar w:fldCharType="separate"/>
      </w:r>
      <w:r w:rsidR="00102B2B" w:rsidRPr="00102B2B">
        <w:rPr>
          <w:rFonts w:ascii="Times New Roman" w:hAnsi="Times New Roman" w:cs="Times New Roman"/>
          <w:noProof/>
          <w:sz w:val="20"/>
          <w:szCs w:val="20"/>
          <w:lang w:val="en-GB"/>
        </w:rPr>
        <w:t>[2]</w:t>
      </w:r>
      <w:r w:rsidR="00710D51" w:rsidRPr="001507B5">
        <w:rPr>
          <w:rFonts w:ascii="Times New Roman" w:hAnsi="Times New Roman" w:cs="Times New Roman"/>
          <w:sz w:val="20"/>
          <w:szCs w:val="20"/>
          <w:lang w:val="en-GB"/>
        </w:rPr>
        <w:fldChar w:fldCharType="end"/>
      </w:r>
      <w:r w:rsidR="00710D51" w:rsidRPr="001507B5">
        <w:rPr>
          <w:rFonts w:ascii="Times New Roman" w:hAnsi="Times New Roman" w:cs="Times New Roman"/>
          <w:sz w:val="20"/>
          <w:szCs w:val="20"/>
          <w:lang w:val="en-GB"/>
        </w:rPr>
        <w:t>.</w:t>
      </w:r>
      <w:r w:rsidR="003A67B9" w:rsidRPr="001507B5">
        <w:rPr>
          <w:rFonts w:ascii="Times New Roman" w:hAnsi="Times New Roman" w:cs="Times New Roman"/>
          <w:sz w:val="20"/>
          <w:szCs w:val="20"/>
          <w:lang w:val="en-GB"/>
        </w:rPr>
        <w:t xml:space="preserve"> Sequences were then aligned </w:t>
      </w:r>
      <w:r w:rsidR="000A5259" w:rsidRPr="001507B5">
        <w:rPr>
          <w:rFonts w:ascii="Times New Roman" w:hAnsi="Times New Roman" w:cs="Times New Roman"/>
          <w:sz w:val="20"/>
          <w:szCs w:val="20"/>
          <w:lang w:val="en-GB"/>
        </w:rPr>
        <w:t xml:space="preserve">and mapped </w:t>
      </w:r>
      <w:r w:rsidR="003A67B9" w:rsidRPr="001507B5">
        <w:rPr>
          <w:rFonts w:ascii="Times New Roman" w:hAnsi="Times New Roman" w:cs="Times New Roman"/>
          <w:sz w:val="20"/>
          <w:szCs w:val="20"/>
          <w:lang w:val="en-GB"/>
        </w:rPr>
        <w:t xml:space="preserve">to hg38 using STAR software </w:t>
      </w:r>
      <w:r w:rsidR="003A67B9" w:rsidRPr="001507B5">
        <w:rPr>
          <w:rFonts w:ascii="Times New Roman" w:hAnsi="Times New Roman" w:cs="Times New Roman"/>
          <w:sz w:val="20"/>
          <w:szCs w:val="20"/>
          <w:lang w:val="en-GB"/>
        </w:rPr>
        <w:fldChar w:fldCharType="begin" w:fldLock="1"/>
      </w:r>
      <w:r w:rsidR="00102B2B">
        <w:rPr>
          <w:rFonts w:ascii="Times New Roman" w:hAnsi="Times New Roman" w:cs="Times New Roman"/>
          <w:sz w:val="20"/>
          <w:szCs w:val="20"/>
          <w:lang w:val="en-GB"/>
        </w:rPr>
        <w:instrText>ADDIN CSL_CITATION {"citationItems":[{"id":"ITEM-1","itemData":{"DOI":"10.1093/bioinformatics/bts635","ISSN":"13674803","PMID":"23104886","abstract":"Motivation: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 © The Author(s) 2012. Published by Oxford University Press.","author":[{"dropping-particle":"","family":"Dobin","given":"Alexander","non-dropping-particle":"","parse-names":false,"suffix":""},{"dropping-particle":"","family":"Davis","given":"Carrie A.","non-dropping-particle":"","parse-names":false,"suffix":""},{"dropping-particle":"","family":"Schlesinger","given":"Felix","non-dropping-particle":"","parse-names":false,"suffix":""},{"dropping-particle":"","family":"Drenkow","given":"Jorg","non-dropping-particle":"","parse-names":false,"suffix":""},{"dropping-particle":"","family":"Zaleski","given":"Chris","non-dropping-particle":"","parse-names":false,"suffix":""},{"dropping-particle":"","family":"Jha","given":"Sonali","non-dropping-particle":"","parse-names":false,"suffix":""},{"dropping-particle":"","family":"Batut","given":"Philippe","non-dropping-particle":"","parse-names":false,"suffix":""},{"dropping-particle":"","family":"Chaisson","given":"Mark","non-dropping-particle":"","parse-names":false,"suffix":""},{"dropping-particle":"","family":"Gingeras","given":"Thomas R.","non-dropping-particle":"","parse-names":false,"suffix":""}],"container-title":"Bioinformatics","id":"ITEM-1","issue":"1","issued":{"date-parts":[["2013"]]},"page":"15-21","title":"STAR: Ultrafast universal RNA-seq aligner","type":"article-journal","volume":"29"},"uris":["http://www.mendeley.com/documents/?uuid=b141435a-a8cc-4d6b-b195-dd70cfc905b3"]}],"mendeley":{"formattedCitation":"[5]","plainTextFormattedCitation":"[5]","previouslyFormattedCitation":"[4]"},"properties":{"noteIndex":0},"schema":"https://github.com/citation-style-language/schema/raw/master/csl-citation.json"}</w:instrText>
      </w:r>
      <w:r w:rsidR="003A67B9" w:rsidRPr="001507B5">
        <w:rPr>
          <w:rFonts w:ascii="Times New Roman" w:hAnsi="Times New Roman" w:cs="Times New Roman"/>
          <w:sz w:val="20"/>
          <w:szCs w:val="20"/>
          <w:lang w:val="en-GB"/>
        </w:rPr>
        <w:fldChar w:fldCharType="separate"/>
      </w:r>
      <w:r w:rsidR="00102B2B" w:rsidRPr="00102B2B">
        <w:rPr>
          <w:rFonts w:ascii="Times New Roman" w:hAnsi="Times New Roman" w:cs="Times New Roman"/>
          <w:noProof/>
          <w:sz w:val="20"/>
          <w:szCs w:val="20"/>
          <w:lang w:val="en-GB"/>
        </w:rPr>
        <w:t>[5]</w:t>
      </w:r>
      <w:r w:rsidR="003A67B9" w:rsidRPr="001507B5">
        <w:rPr>
          <w:rFonts w:ascii="Times New Roman" w:hAnsi="Times New Roman" w:cs="Times New Roman"/>
          <w:sz w:val="20"/>
          <w:szCs w:val="20"/>
          <w:lang w:val="en-GB"/>
        </w:rPr>
        <w:fldChar w:fldCharType="end"/>
      </w:r>
      <w:r w:rsidR="000A5259" w:rsidRPr="001507B5">
        <w:rPr>
          <w:rFonts w:ascii="Times New Roman" w:hAnsi="Times New Roman" w:cs="Times New Roman"/>
          <w:sz w:val="20"/>
          <w:szCs w:val="20"/>
          <w:lang w:val="en-GB"/>
        </w:rPr>
        <w:t xml:space="preserve"> followed by transcript quantification by RSEM </w:t>
      </w:r>
      <w:r w:rsidR="000A5259" w:rsidRPr="001507B5">
        <w:rPr>
          <w:rFonts w:ascii="Times New Roman" w:hAnsi="Times New Roman" w:cs="Times New Roman"/>
          <w:sz w:val="20"/>
          <w:szCs w:val="20"/>
          <w:lang w:val="en-GB"/>
        </w:rPr>
        <w:fldChar w:fldCharType="begin" w:fldLock="1"/>
      </w:r>
      <w:r w:rsidR="00102B2B">
        <w:rPr>
          <w:rFonts w:ascii="Times New Roman" w:hAnsi="Times New Roman" w:cs="Times New Roman"/>
          <w:sz w:val="20"/>
          <w:szCs w:val="20"/>
          <w:lang w:val="en-GB"/>
        </w:rPr>
        <w:instrText>ADDIN CSL_CITATION {"citationItems":[{"id":"ITEM-1","itemData":{"DOI":"10.1186/1471-2105-12-323","ISBN":"9781482246629","ISSN":"1471-2105","abstract":"The genetic variation between two individuals may total as much as 8 Mb of sequence content [1]. These variations can vary in size, from single nucleotides up to entire Mb-sized segments of the genome. Variations at the nucleotide level are referred to as single-nucleotide polymorphisms (SNPs), while larger differences spanning an entire segment of the genome are called structural variations (SVs). Structural variations may include instances where a segment of genome is inserted, deleted or inverted in an individual genome. Identifying the variation between two individuals is an essential part of genetic studies. Knowing the content of these variations can help us answer questions such as whether an individual is susceptible to a disease, or why a drug may affect individuals differently. Numerous studies have shown a high correlation between SV and genetic disorders among individuals [2-4]. The variation between one individual (the donor) and another (the reference) is computed by collecting sequence data from the donor, then comparing this sequence to that of the reference. In practice, the reference is typically the NCBI human reference genome (hg17, hg18).","author":[{"dropping-particle":"","family":"Li","given":"Bo","non-dropping-particle":"","parse-names":false,"suffix":""},{"dropping-particle":"","family":"Dewey","given":"Colin N","non-dropping-particle":"","parse-names":false,"suffix":""}],"container-title":"BMC Bioinformatics","id":"ITEM-1","issue":"1","issued":{"date-parts":[["2011","12","4"]]},"page":"323","title":"RSEM: accurate transcript quantification from RNA-Seq data with or without a reference genome","type":"article-journal","volume":"12"},"uris":["http://www.mendeley.com/documents/?uuid=20dee554-20b8-4a35-bee6-ef8bf1fb846d"]}],"mendeley":{"formattedCitation":"[6]","plainTextFormattedCitation":"[6]","previouslyFormattedCitation":"[5]"},"properties":{"noteIndex":0},"schema":"https://github.com/citation-style-language/schema/raw/master/csl-citation.json"}</w:instrText>
      </w:r>
      <w:r w:rsidR="000A5259" w:rsidRPr="001507B5">
        <w:rPr>
          <w:rFonts w:ascii="Times New Roman" w:hAnsi="Times New Roman" w:cs="Times New Roman"/>
          <w:sz w:val="20"/>
          <w:szCs w:val="20"/>
          <w:lang w:val="en-GB"/>
        </w:rPr>
        <w:fldChar w:fldCharType="separate"/>
      </w:r>
      <w:r w:rsidR="00102B2B" w:rsidRPr="00102B2B">
        <w:rPr>
          <w:rFonts w:ascii="Times New Roman" w:hAnsi="Times New Roman" w:cs="Times New Roman"/>
          <w:noProof/>
          <w:sz w:val="20"/>
          <w:szCs w:val="20"/>
          <w:lang w:val="en-GB"/>
        </w:rPr>
        <w:t>[6]</w:t>
      </w:r>
      <w:r w:rsidR="000A5259" w:rsidRPr="001507B5">
        <w:rPr>
          <w:rFonts w:ascii="Times New Roman" w:hAnsi="Times New Roman" w:cs="Times New Roman"/>
          <w:sz w:val="20"/>
          <w:szCs w:val="20"/>
          <w:lang w:val="en-GB"/>
        </w:rPr>
        <w:fldChar w:fldCharType="end"/>
      </w:r>
      <w:r w:rsidR="00376B03" w:rsidRPr="001507B5">
        <w:rPr>
          <w:rFonts w:ascii="Times New Roman" w:hAnsi="Times New Roman" w:cs="Times New Roman"/>
          <w:sz w:val="20"/>
          <w:szCs w:val="20"/>
          <w:lang w:val="en-GB"/>
        </w:rPr>
        <w:t>. Differential gene expression was analysed using the DESeq2 package in R/Bioconductor with the Benjamini-Hochberg method to correct for multiple testing</w:t>
      </w:r>
      <w:r w:rsidR="008D183C" w:rsidRPr="001507B5">
        <w:rPr>
          <w:rFonts w:ascii="Times New Roman" w:hAnsi="Times New Roman" w:cs="Times New Roman"/>
          <w:sz w:val="20"/>
          <w:szCs w:val="20"/>
          <w:lang w:val="en-GB"/>
        </w:rPr>
        <w:t xml:space="preserve"> </w:t>
      </w:r>
      <w:r w:rsidR="008D183C" w:rsidRPr="001507B5">
        <w:rPr>
          <w:rFonts w:ascii="Times New Roman" w:hAnsi="Times New Roman" w:cs="Times New Roman"/>
          <w:sz w:val="20"/>
          <w:szCs w:val="20"/>
          <w:lang w:val="en-GB"/>
        </w:rPr>
        <w:fldChar w:fldCharType="begin" w:fldLock="1"/>
      </w:r>
      <w:r w:rsidR="00102B2B">
        <w:rPr>
          <w:rFonts w:ascii="Times New Roman" w:hAnsi="Times New Roman" w:cs="Times New Roman"/>
          <w:sz w:val="20"/>
          <w:szCs w:val="20"/>
          <w:lang w:val="en-GB"/>
        </w:rPr>
        <w:instrText>ADDIN CSL_CITATION {"citationItems":[{"id":"ITEM-1","itemData":{"DOI":"10.1186/s13059-014-0550-8","ISSN":"1474760X","PMID":"25516281","abstract":"In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Biology","id":"ITEM-1","issue":"12","issued":{"date-parts":[["2014"]]},"page":"1-21","title":"Moderated estimation of fold change and dispersion for RNA-seq data with DESeq2","type":"article-journal","volume":"15"},"uris":["http://www.mendeley.com/documents/?uuid=329f6faa-c7fd-4430-b091-0240f50f38ee"]}],"mendeley":{"formattedCitation":"[7]","plainTextFormattedCitation":"[7]","previouslyFormattedCitation":"[6]"},"properties":{"noteIndex":0},"schema":"https://github.com/citation-style-language/schema/raw/master/csl-citation.json"}</w:instrText>
      </w:r>
      <w:r w:rsidR="008D183C" w:rsidRPr="001507B5">
        <w:rPr>
          <w:rFonts w:ascii="Times New Roman" w:hAnsi="Times New Roman" w:cs="Times New Roman"/>
          <w:sz w:val="20"/>
          <w:szCs w:val="20"/>
          <w:lang w:val="en-GB"/>
        </w:rPr>
        <w:fldChar w:fldCharType="separate"/>
      </w:r>
      <w:r w:rsidR="00102B2B" w:rsidRPr="00102B2B">
        <w:rPr>
          <w:rFonts w:ascii="Times New Roman" w:hAnsi="Times New Roman" w:cs="Times New Roman"/>
          <w:noProof/>
          <w:sz w:val="20"/>
          <w:szCs w:val="20"/>
          <w:lang w:val="en-GB"/>
        </w:rPr>
        <w:t>[7]</w:t>
      </w:r>
      <w:r w:rsidR="008D183C" w:rsidRPr="001507B5">
        <w:rPr>
          <w:rFonts w:ascii="Times New Roman" w:hAnsi="Times New Roman" w:cs="Times New Roman"/>
          <w:sz w:val="20"/>
          <w:szCs w:val="20"/>
          <w:lang w:val="en-GB"/>
        </w:rPr>
        <w:fldChar w:fldCharType="end"/>
      </w:r>
      <w:r w:rsidR="008D183C" w:rsidRPr="001507B5">
        <w:rPr>
          <w:rFonts w:ascii="Times New Roman" w:hAnsi="Times New Roman" w:cs="Times New Roman"/>
          <w:sz w:val="20"/>
          <w:szCs w:val="20"/>
          <w:lang w:val="en-GB"/>
        </w:rPr>
        <w:t>.</w:t>
      </w:r>
    </w:p>
    <w:p w14:paraId="28B93E5F" w14:textId="5F78C871" w:rsidR="0060360D" w:rsidRPr="001507B5" w:rsidRDefault="0060360D" w:rsidP="00E11B96">
      <w:pPr>
        <w:spacing w:line="240" w:lineRule="auto"/>
        <w:jc w:val="both"/>
        <w:rPr>
          <w:rFonts w:ascii="Times New Roman" w:hAnsi="Times New Roman" w:cs="Times New Roman"/>
          <w:sz w:val="20"/>
          <w:szCs w:val="20"/>
          <w:lang w:val="en-GB"/>
        </w:rPr>
      </w:pPr>
      <w:r w:rsidRPr="001507B5">
        <w:rPr>
          <w:rFonts w:ascii="Times New Roman" w:hAnsi="Times New Roman" w:cs="Times New Roman"/>
          <w:sz w:val="20"/>
          <w:szCs w:val="20"/>
          <w:lang w:val="en-GB"/>
        </w:rPr>
        <w:t xml:space="preserve">Read counts of </w:t>
      </w:r>
      <w:r w:rsidRPr="001507B5">
        <w:rPr>
          <w:rFonts w:ascii="Times New Roman" w:hAnsi="Times New Roman" w:cs="Times New Roman"/>
          <w:i/>
          <w:iCs/>
          <w:sz w:val="20"/>
          <w:szCs w:val="20"/>
          <w:lang w:val="en-GB"/>
        </w:rPr>
        <w:t>VCAM1</w:t>
      </w:r>
      <w:r w:rsidRPr="001507B5">
        <w:rPr>
          <w:rFonts w:ascii="Times New Roman" w:hAnsi="Times New Roman" w:cs="Times New Roman"/>
          <w:sz w:val="20"/>
          <w:szCs w:val="20"/>
          <w:lang w:val="en-GB"/>
        </w:rPr>
        <w:t xml:space="preserve"> and </w:t>
      </w:r>
      <w:r w:rsidRPr="001507B5">
        <w:rPr>
          <w:rFonts w:ascii="Times New Roman" w:hAnsi="Times New Roman" w:cs="Times New Roman"/>
          <w:i/>
          <w:iCs/>
          <w:sz w:val="20"/>
          <w:szCs w:val="20"/>
          <w:lang w:val="en-GB"/>
        </w:rPr>
        <w:t>CHRNE</w:t>
      </w:r>
      <w:r w:rsidRPr="001507B5">
        <w:rPr>
          <w:rFonts w:ascii="Times New Roman" w:hAnsi="Times New Roman" w:cs="Times New Roman"/>
          <w:sz w:val="20"/>
          <w:szCs w:val="20"/>
          <w:lang w:val="en-GB"/>
        </w:rPr>
        <w:t xml:space="preserve"> were normalized to the geometric mean of the read counts of </w:t>
      </w:r>
      <w:r w:rsidRPr="001507B5">
        <w:rPr>
          <w:rFonts w:ascii="Times New Roman" w:hAnsi="Times New Roman" w:cs="Times New Roman"/>
          <w:i/>
          <w:iCs/>
          <w:sz w:val="20"/>
          <w:szCs w:val="20"/>
          <w:lang w:val="en-GB"/>
        </w:rPr>
        <w:t>EIF2B1</w:t>
      </w:r>
      <w:r w:rsidRPr="001507B5">
        <w:rPr>
          <w:rFonts w:ascii="Times New Roman" w:hAnsi="Times New Roman" w:cs="Times New Roman"/>
          <w:sz w:val="20"/>
          <w:szCs w:val="20"/>
          <w:lang w:val="en-GB"/>
        </w:rPr>
        <w:t xml:space="preserve"> and </w:t>
      </w:r>
      <w:r w:rsidRPr="001507B5">
        <w:rPr>
          <w:rFonts w:ascii="Times New Roman" w:hAnsi="Times New Roman" w:cs="Times New Roman"/>
          <w:i/>
          <w:iCs/>
          <w:sz w:val="20"/>
          <w:szCs w:val="20"/>
          <w:lang w:val="en-GB"/>
        </w:rPr>
        <w:t>HPRT1</w:t>
      </w:r>
      <w:r w:rsidRPr="001507B5">
        <w:rPr>
          <w:rFonts w:ascii="Times New Roman" w:hAnsi="Times New Roman" w:cs="Times New Roman"/>
          <w:sz w:val="20"/>
          <w:szCs w:val="20"/>
          <w:lang w:val="en-GB"/>
        </w:rPr>
        <w:t>.</w:t>
      </w:r>
    </w:p>
    <w:p w14:paraId="2E936001" w14:textId="11A2174B" w:rsidR="00A74D80" w:rsidRPr="001507B5" w:rsidRDefault="00A74D80" w:rsidP="00E16D72">
      <w:pPr>
        <w:spacing w:line="240" w:lineRule="auto"/>
        <w:rPr>
          <w:rFonts w:ascii="Times New Roman" w:hAnsi="Times New Roman" w:cs="Times New Roman"/>
          <w:b/>
          <w:sz w:val="20"/>
          <w:szCs w:val="20"/>
          <w:lang w:val="en-GB"/>
        </w:rPr>
      </w:pPr>
      <w:r w:rsidRPr="001507B5">
        <w:rPr>
          <w:rFonts w:ascii="Times New Roman" w:hAnsi="Times New Roman" w:cs="Times New Roman"/>
          <w:b/>
          <w:sz w:val="20"/>
          <w:szCs w:val="20"/>
          <w:lang w:val="en-GB"/>
        </w:rPr>
        <w:t>Fluo4-based calcium imaging</w:t>
      </w:r>
    </w:p>
    <w:p w14:paraId="60B93C88" w14:textId="3AFF0996" w:rsidR="00FF7074" w:rsidRPr="001507B5" w:rsidRDefault="00AB444A" w:rsidP="00E16D72">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ECs</w:t>
      </w:r>
      <w:r w:rsidR="00FF7074" w:rsidRPr="001507B5">
        <w:rPr>
          <w:rFonts w:ascii="Times New Roman" w:hAnsi="Times New Roman" w:cs="Times New Roman"/>
          <w:bCs/>
          <w:sz w:val="20"/>
          <w:szCs w:val="20"/>
          <w:lang w:val="en-GB"/>
        </w:rPr>
        <w:t xml:space="preserve"> were treated as described above in a 96-well plate (Corning® 96 Well </w:t>
      </w:r>
      <w:proofErr w:type="spellStart"/>
      <w:r w:rsidR="00FF7074" w:rsidRPr="001507B5">
        <w:rPr>
          <w:rFonts w:ascii="Times New Roman" w:hAnsi="Times New Roman" w:cs="Times New Roman"/>
          <w:bCs/>
          <w:sz w:val="20"/>
          <w:szCs w:val="20"/>
          <w:lang w:val="en-GB"/>
        </w:rPr>
        <w:t>CellBIND</w:t>
      </w:r>
      <w:proofErr w:type="spellEnd"/>
      <w:r w:rsidR="00FF7074" w:rsidRPr="001507B5">
        <w:rPr>
          <w:rFonts w:ascii="Times New Roman" w:hAnsi="Times New Roman" w:cs="Times New Roman"/>
          <w:bCs/>
          <w:sz w:val="20"/>
          <w:szCs w:val="20"/>
          <w:lang w:val="en-GB"/>
        </w:rPr>
        <w:t xml:space="preserve">® Microplates, Sigma Aldrich), loaded with Fluo-4 (5 µM) in HEPES buffer supplemented with 0.1 % </w:t>
      </w:r>
      <w:proofErr w:type="spellStart"/>
      <w:r w:rsidR="00FF7074" w:rsidRPr="001507B5">
        <w:rPr>
          <w:rFonts w:ascii="Times New Roman" w:hAnsi="Times New Roman" w:cs="Times New Roman"/>
          <w:bCs/>
          <w:sz w:val="20"/>
          <w:szCs w:val="20"/>
          <w:lang w:val="en-GB"/>
        </w:rPr>
        <w:t>pluronic</w:t>
      </w:r>
      <w:proofErr w:type="spellEnd"/>
      <w:r w:rsidR="00FF7074" w:rsidRPr="001507B5">
        <w:rPr>
          <w:rFonts w:ascii="Times New Roman" w:hAnsi="Times New Roman" w:cs="Times New Roman"/>
          <w:bCs/>
          <w:sz w:val="20"/>
          <w:szCs w:val="20"/>
          <w:lang w:val="en-GB"/>
        </w:rPr>
        <w:t xml:space="preserve"> (v/v) </w:t>
      </w:r>
      <w:r w:rsidR="00671EB0" w:rsidRPr="001507B5">
        <w:rPr>
          <w:rFonts w:ascii="Times New Roman" w:hAnsi="Times New Roman" w:cs="Times New Roman"/>
          <w:bCs/>
          <w:sz w:val="20"/>
          <w:szCs w:val="20"/>
          <w:lang w:val="en-GB"/>
        </w:rPr>
        <w:t>(</w:t>
      </w:r>
      <w:proofErr w:type="spellStart"/>
      <w:r w:rsidR="00671EB0" w:rsidRPr="001507B5">
        <w:rPr>
          <w:rFonts w:ascii="Times New Roman" w:hAnsi="Times New Roman" w:cs="Times New Roman"/>
          <w:bCs/>
          <w:sz w:val="20"/>
          <w:szCs w:val="20"/>
          <w:lang w:val="en-GB"/>
        </w:rPr>
        <w:t>Thermo</w:t>
      </w:r>
      <w:proofErr w:type="spellEnd"/>
      <w:r w:rsidR="00671EB0" w:rsidRPr="001507B5">
        <w:rPr>
          <w:rFonts w:ascii="Times New Roman" w:hAnsi="Times New Roman" w:cs="Times New Roman"/>
          <w:bCs/>
          <w:sz w:val="20"/>
          <w:szCs w:val="20"/>
          <w:lang w:val="en-GB"/>
        </w:rPr>
        <w:t xml:space="preserve"> Fisher Scientific) </w:t>
      </w:r>
      <w:r w:rsidR="00FF7074" w:rsidRPr="001507B5">
        <w:rPr>
          <w:rFonts w:ascii="Times New Roman" w:hAnsi="Times New Roman" w:cs="Times New Roman"/>
          <w:bCs/>
          <w:sz w:val="20"/>
          <w:szCs w:val="20"/>
          <w:lang w:val="en-GB"/>
        </w:rPr>
        <w:t xml:space="preserve">for 1 hour at 37 °C. Fluo-4 fluorescence signals were acquired with a victor X4 plate reader (PerkinElmer, </w:t>
      </w:r>
      <w:proofErr w:type="spellStart"/>
      <w:r w:rsidR="00671EB0" w:rsidRPr="001507B5">
        <w:rPr>
          <w:rFonts w:ascii="Times New Roman" w:hAnsi="Times New Roman" w:cs="Times New Roman"/>
          <w:bCs/>
          <w:sz w:val="20"/>
          <w:szCs w:val="20"/>
          <w:lang w:val="en-GB"/>
        </w:rPr>
        <w:t>Walluf</w:t>
      </w:r>
      <w:proofErr w:type="spellEnd"/>
      <w:r w:rsidR="00671EB0" w:rsidRPr="001507B5">
        <w:rPr>
          <w:rFonts w:ascii="Times New Roman" w:hAnsi="Times New Roman" w:cs="Times New Roman"/>
          <w:bCs/>
          <w:sz w:val="20"/>
          <w:szCs w:val="20"/>
          <w:lang w:val="en-GB"/>
        </w:rPr>
        <w:t>, Germany</w:t>
      </w:r>
      <w:r w:rsidR="00FF7074" w:rsidRPr="001507B5">
        <w:rPr>
          <w:rFonts w:ascii="Times New Roman" w:hAnsi="Times New Roman" w:cs="Times New Roman"/>
          <w:bCs/>
          <w:sz w:val="20"/>
          <w:szCs w:val="20"/>
          <w:lang w:val="en-GB"/>
        </w:rPr>
        <w:t>) equipped with injectors</w:t>
      </w:r>
      <w:r w:rsidR="00671EB0" w:rsidRPr="001507B5">
        <w:rPr>
          <w:rFonts w:ascii="Times New Roman" w:hAnsi="Times New Roman" w:cs="Times New Roman"/>
          <w:bCs/>
          <w:sz w:val="20"/>
          <w:szCs w:val="20"/>
          <w:lang w:val="en-GB"/>
        </w:rPr>
        <w:t xml:space="preserve"> to register time-resolved fluorescence after injection.</w:t>
      </w:r>
      <w:r w:rsidR="00FF7074" w:rsidRPr="001507B5">
        <w:rPr>
          <w:rFonts w:ascii="Times New Roman" w:hAnsi="Times New Roman" w:cs="Times New Roman"/>
          <w:bCs/>
          <w:sz w:val="20"/>
          <w:szCs w:val="20"/>
          <w:lang w:val="en-GB"/>
        </w:rPr>
        <w:t xml:space="preserve"> Cells which </w:t>
      </w:r>
      <w:r w:rsidR="00671EB0" w:rsidRPr="001507B5">
        <w:rPr>
          <w:rFonts w:ascii="Times New Roman" w:hAnsi="Times New Roman" w:cs="Times New Roman"/>
          <w:bCs/>
          <w:sz w:val="20"/>
          <w:szCs w:val="20"/>
          <w:lang w:val="en-GB"/>
        </w:rPr>
        <w:t xml:space="preserve">had undergone </w:t>
      </w:r>
      <w:r w:rsidR="00FF7074" w:rsidRPr="001507B5">
        <w:rPr>
          <w:rFonts w:ascii="Times New Roman" w:hAnsi="Times New Roman" w:cs="Times New Roman"/>
          <w:bCs/>
          <w:sz w:val="20"/>
          <w:szCs w:val="20"/>
          <w:lang w:val="en-GB"/>
        </w:rPr>
        <w:t>the same treatment</w:t>
      </w:r>
      <w:r w:rsidR="00671EB0" w:rsidRPr="001507B5">
        <w:rPr>
          <w:rFonts w:ascii="Times New Roman" w:hAnsi="Times New Roman" w:cs="Times New Roman"/>
          <w:bCs/>
          <w:sz w:val="20"/>
          <w:szCs w:val="20"/>
          <w:lang w:val="en-GB"/>
        </w:rPr>
        <w:t xml:space="preserve"> </w:t>
      </w:r>
      <w:proofErr w:type="gramStart"/>
      <w:r w:rsidR="00FF7074" w:rsidRPr="001507B5">
        <w:rPr>
          <w:rFonts w:ascii="Times New Roman" w:hAnsi="Times New Roman" w:cs="Times New Roman"/>
          <w:bCs/>
          <w:sz w:val="20"/>
          <w:szCs w:val="20"/>
          <w:lang w:val="en-GB"/>
        </w:rPr>
        <w:t>regime</w:t>
      </w:r>
      <w:r w:rsidRPr="001507B5">
        <w:rPr>
          <w:rFonts w:ascii="Times New Roman" w:hAnsi="Times New Roman" w:cs="Times New Roman"/>
          <w:bCs/>
          <w:sz w:val="20"/>
          <w:szCs w:val="20"/>
          <w:lang w:val="en-GB"/>
        </w:rPr>
        <w:t>n</w:t>
      </w:r>
      <w:r w:rsidR="00FF7074" w:rsidRPr="001507B5">
        <w:rPr>
          <w:rFonts w:ascii="Times New Roman" w:hAnsi="Times New Roman" w:cs="Times New Roman"/>
          <w:bCs/>
          <w:sz w:val="20"/>
          <w:szCs w:val="20"/>
          <w:lang w:val="en-GB"/>
        </w:rPr>
        <w:t>s</w:t>
      </w:r>
      <w:proofErr w:type="gramEnd"/>
      <w:r w:rsidR="00FF7074" w:rsidRPr="001507B5">
        <w:rPr>
          <w:rFonts w:ascii="Times New Roman" w:hAnsi="Times New Roman" w:cs="Times New Roman"/>
          <w:bCs/>
          <w:sz w:val="20"/>
          <w:szCs w:val="20"/>
          <w:lang w:val="en-GB"/>
        </w:rPr>
        <w:t xml:space="preserve"> but</w:t>
      </w:r>
      <w:r w:rsidR="00671EB0" w:rsidRPr="001507B5">
        <w:rPr>
          <w:rFonts w:ascii="Times New Roman" w:hAnsi="Times New Roman" w:cs="Times New Roman"/>
          <w:bCs/>
          <w:sz w:val="20"/>
          <w:szCs w:val="20"/>
          <w:lang w:val="en-GB"/>
        </w:rPr>
        <w:t xml:space="preserve"> which had</w:t>
      </w:r>
      <w:r w:rsidR="00FF7074" w:rsidRPr="001507B5">
        <w:rPr>
          <w:rFonts w:ascii="Times New Roman" w:hAnsi="Times New Roman" w:cs="Times New Roman"/>
          <w:bCs/>
          <w:sz w:val="20"/>
          <w:szCs w:val="20"/>
          <w:lang w:val="en-GB"/>
        </w:rPr>
        <w:t xml:space="preserve"> not</w:t>
      </w:r>
      <w:r w:rsidR="00671EB0" w:rsidRPr="001507B5">
        <w:rPr>
          <w:rFonts w:ascii="Times New Roman" w:hAnsi="Times New Roman" w:cs="Times New Roman"/>
          <w:bCs/>
          <w:sz w:val="20"/>
          <w:szCs w:val="20"/>
          <w:lang w:val="en-GB"/>
        </w:rPr>
        <w:t xml:space="preserve"> been</w:t>
      </w:r>
      <w:r w:rsidR="00FF7074" w:rsidRPr="001507B5">
        <w:rPr>
          <w:rFonts w:ascii="Times New Roman" w:hAnsi="Times New Roman" w:cs="Times New Roman"/>
          <w:bCs/>
          <w:sz w:val="20"/>
          <w:szCs w:val="20"/>
          <w:lang w:val="en-GB"/>
        </w:rPr>
        <w:t xml:space="preserve"> loaded with Fluo4 were included in each run and stimulated with the same </w:t>
      </w:r>
      <w:r w:rsidR="006F1381" w:rsidRPr="001507B5">
        <w:rPr>
          <w:rFonts w:ascii="Times New Roman" w:hAnsi="Times New Roman" w:cs="Times New Roman"/>
          <w:bCs/>
          <w:sz w:val="20"/>
          <w:szCs w:val="20"/>
          <w:lang w:val="en-GB"/>
        </w:rPr>
        <w:t>acetylcholine</w:t>
      </w:r>
      <w:r w:rsidR="00FF7074" w:rsidRPr="001507B5">
        <w:rPr>
          <w:rFonts w:ascii="Times New Roman" w:hAnsi="Times New Roman" w:cs="Times New Roman"/>
          <w:bCs/>
          <w:sz w:val="20"/>
          <w:szCs w:val="20"/>
          <w:lang w:val="en-GB"/>
        </w:rPr>
        <w:t xml:space="preserve"> concentrations to determine non-specific background fluorescence for each </w:t>
      </w:r>
      <w:r w:rsidRPr="001507B5">
        <w:rPr>
          <w:rFonts w:ascii="Times New Roman" w:hAnsi="Times New Roman" w:cs="Times New Roman"/>
          <w:bCs/>
          <w:sz w:val="20"/>
          <w:szCs w:val="20"/>
          <w:lang w:val="en-GB"/>
        </w:rPr>
        <w:t>acetylcholine</w:t>
      </w:r>
      <w:r w:rsidR="00FF7074" w:rsidRPr="001507B5">
        <w:rPr>
          <w:rFonts w:ascii="Times New Roman" w:hAnsi="Times New Roman" w:cs="Times New Roman"/>
          <w:bCs/>
          <w:sz w:val="20"/>
          <w:szCs w:val="20"/>
          <w:lang w:val="en-GB"/>
        </w:rPr>
        <w:t xml:space="preserve"> concentration and treatment. These values were subtracted from the raw fluorescence readings. Background-corrected fluorescence (F) at each timepoint was then normalized to the initial background-corrected fluorescence (F0) to yield F/F</w:t>
      </w:r>
      <w:r w:rsidR="00FF7074" w:rsidRPr="001507B5">
        <w:rPr>
          <w:rFonts w:ascii="Times New Roman" w:hAnsi="Times New Roman" w:cs="Times New Roman"/>
          <w:bCs/>
          <w:sz w:val="20"/>
          <w:szCs w:val="20"/>
          <w:vertAlign w:val="subscript"/>
          <w:lang w:val="en-GB"/>
        </w:rPr>
        <w:t>0</w:t>
      </w:r>
      <w:r w:rsidR="00FF7074" w:rsidRPr="001507B5">
        <w:rPr>
          <w:rFonts w:ascii="Times New Roman" w:hAnsi="Times New Roman" w:cs="Times New Roman"/>
          <w:bCs/>
          <w:sz w:val="20"/>
          <w:szCs w:val="20"/>
          <w:lang w:val="en-GB"/>
        </w:rPr>
        <w:t>.</w:t>
      </w:r>
    </w:p>
    <w:p w14:paraId="1EA77B24" w14:textId="13ADDC84" w:rsidR="000E4637" w:rsidRPr="001507B5" w:rsidRDefault="000E4637" w:rsidP="00E16D72">
      <w:pPr>
        <w:spacing w:line="240" w:lineRule="auto"/>
        <w:jc w:val="both"/>
        <w:rPr>
          <w:rFonts w:ascii="Times New Roman" w:hAnsi="Times New Roman" w:cs="Times New Roman"/>
          <w:b/>
          <w:sz w:val="20"/>
          <w:szCs w:val="20"/>
          <w:lang w:val="en-GB"/>
        </w:rPr>
      </w:pPr>
      <w:r w:rsidRPr="001507B5">
        <w:rPr>
          <w:rFonts w:ascii="Times New Roman" w:hAnsi="Times New Roman" w:cs="Times New Roman"/>
          <w:b/>
          <w:sz w:val="20"/>
          <w:szCs w:val="20"/>
          <w:lang w:val="en-GB"/>
        </w:rPr>
        <w:t>Drugs, chemicals, cells, buffer compositions</w:t>
      </w:r>
    </w:p>
    <w:p w14:paraId="2127F589" w14:textId="2C860C35" w:rsidR="006F52AD" w:rsidRPr="001507B5" w:rsidRDefault="006F52AD" w:rsidP="00E16D72">
      <w:pPr>
        <w:spacing w:line="240" w:lineRule="auto"/>
        <w:jc w:val="both"/>
        <w:rPr>
          <w:rFonts w:ascii="Times New Roman" w:hAnsi="Times New Roman" w:cs="Times New Roman"/>
          <w:bCs/>
          <w:sz w:val="20"/>
          <w:szCs w:val="20"/>
          <w:u w:val="single"/>
          <w:lang w:val="en-GB"/>
        </w:rPr>
      </w:pPr>
      <w:r w:rsidRPr="001507B5">
        <w:rPr>
          <w:rFonts w:ascii="Times New Roman" w:hAnsi="Times New Roman" w:cs="Times New Roman"/>
          <w:bCs/>
          <w:sz w:val="20"/>
          <w:szCs w:val="20"/>
          <w:u w:val="single"/>
          <w:lang w:val="en-GB"/>
        </w:rPr>
        <w:t>Drugs and chemicals</w:t>
      </w:r>
    </w:p>
    <w:p w14:paraId="1FBDFFCA" w14:textId="76129C37" w:rsidR="000E4637" w:rsidRPr="001507B5" w:rsidRDefault="000E4637" w:rsidP="00E16D72">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Acetylcholine</w:t>
      </w:r>
      <w:r w:rsidR="0068624B" w:rsidRPr="001507B5">
        <w:rPr>
          <w:rFonts w:ascii="Times New Roman" w:hAnsi="Times New Roman" w:cs="Times New Roman"/>
          <w:bCs/>
          <w:sz w:val="20"/>
          <w:szCs w:val="20"/>
          <w:lang w:val="en-GB"/>
        </w:rPr>
        <w:t>:</w:t>
      </w:r>
      <w:r w:rsidRPr="001507B5">
        <w:rPr>
          <w:rFonts w:ascii="Times New Roman" w:hAnsi="Times New Roman" w:cs="Times New Roman"/>
          <w:bCs/>
          <w:sz w:val="20"/>
          <w:szCs w:val="20"/>
          <w:lang w:val="en-GB"/>
        </w:rPr>
        <w:t xml:space="preserve"> A2661</w:t>
      </w:r>
      <w:r w:rsidR="003F1D45" w:rsidRPr="001507B5">
        <w:rPr>
          <w:rFonts w:ascii="Times New Roman" w:hAnsi="Times New Roman" w:cs="Times New Roman"/>
          <w:bCs/>
          <w:sz w:val="20"/>
          <w:szCs w:val="20"/>
          <w:lang w:val="en-GB"/>
        </w:rPr>
        <w:t xml:space="preserve">, </w:t>
      </w:r>
      <w:r w:rsidRPr="001507B5">
        <w:rPr>
          <w:rFonts w:ascii="Times New Roman" w:hAnsi="Times New Roman" w:cs="Times New Roman"/>
          <w:bCs/>
          <w:sz w:val="20"/>
          <w:szCs w:val="20"/>
          <w:lang w:val="en-GB"/>
        </w:rPr>
        <w:t>Sigma Aldrich</w:t>
      </w:r>
      <w:r w:rsidR="004F0903" w:rsidRPr="001507B5">
        <w:rPr>
          <w:rFonts w:ascii="Times New Roman" w:hAnsi="Times New Roman" w:cs="Times New Roman"/>
          <w:bCs/>
          <w:sz w:val="20"/>
          <w:szCs w:val="20"/>
          <w:lang w:val="en-GB"/>
        </w:rPr>
        <w:t xml:space="preserve">, </w:t>
      </w:r>
      <w:proofErr w:type="spellStart"/>
      <w:r w:rsidR="004F0903" w:rsidRPr="001507B5">
        <w:rPr>
          <w:rFonts w:ascii="Times New Roman" w:hAnsi="Times New Roman" w:cs="Times New Roman"/>
          <w:bCs/>
          <w:sz w:val="20"/>
          <w:szCs w:val="20"/>
          <w:lang w:val="en-GB"/>
        </w:rPr>
        <w:t>Taufkirchen</w:t>
      </w:r>
      <w:proofErr w:type="spellEnd"/>
      <w:r w:rsidR="004F0903" w:rsidRPr="001507B5">
        <w:rPr>
          <w:rFonts w:ascii="Times New Roman" w:hAnsi="Times New Roman" w:cs="Times New Roman"/>
          <w:bCs/>
          <w:sz w:val="20"/>
          <w:szCs w:val="20"/>
          <w:lang w:val="en-GB"/>
        </w:rPr>
        <w:t>, Germany</w:t>
      </w:r>
    </w:p>
    <w:p w14:paraId="21FB7583" w14:textId="5572C07E" w:rsidR="00AA70CB" w:rsidRPr="001507B5" w:rsidRDefault="000E4637" w:rsidP="00E16D72">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 xml:space="preserve">Aldosterone: A9477, Sigma Aldrich, </w:t>
      </w:r>
      <w:proofErr w:type="spellStart"/>
      <w:r w:rsidR="004F0903" w:rsidRPr="001507B5">
        <w:rPr>
          <w:rFonts w:ascii="Times New Roman" w:hAnsi="Times New Roman" w:cs="Times New Roman"/>
          <w:bCs/>
          <w:sz w:val="20"/>
          <w:szCs w:val="20"/>
          <w:lang w:val="en-GB"/>
        </w:rPr>
        <w:t>Taufkirchen</w:t>
      </w:r>
      <w:proofErr w:type="spellEnd"/>
      <w:r w:rsidR="004F0903" w:rsidRPr="001507B5">
        <w:rPr>
          <w:rFonts w:ascii="Times New Roman" w:hAnsi="Times New Roman" w:cs="Times New Roman"/>
          <w:bCs/>
          <w:sz w:val="20"/>
          <w:szCs w:val="20"/>
          <w:lang w:val="en-GB"/>
        </w:rPr>
        <w:t>, Germany</w:t>
      </w:r>
    </w:p>
    <w:p w14:paraId="561A75F7" w14:textId="77777777" w:rsidR="00F17EEE" w:rsidRPr="001507B5" w:rsidRDefault="00F17EEE" w:rsidP="00F17EEE">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 xml:space="preserve">Eplerenone: 2397, </w:t>
      </w:r>
      <w:proofErr w:type="spellStart"/>
      <w:r w:rsidRPr="001507B5">
        <w:rPr>
          <w:rFonts w:ascii="Times New Roman" w:hAnsi="Times New Roman" w:cs="Times New Roman"/>
          <w:bCs/>
          <w:sz w:val="20"/>
          <w:szCs w:val="20"/>
          <w:lang w:val="en-GB"/>
        </w:rPr>
        <w:t>Tocris</w:t>
      </w:r>
      <w:proofErr w:type="spellEnd"/>
      <w:r w:rsidRPr="001507B5">
        <w:rPr>
          <w:rFonts w:ascii="Times New Roman" w:hAnsi="Times New Roman" w:cs="Times New Roman"/>
          <w:bCs/>
          <w:sz w:val="20"/>
          <w:szCs w:val="20"/>
          <w:lang w:val="en-GB"/>
        </w:rPr>
        <w:t>, Bristol, UK</w:t>
      </w:r>
    </w:p>
    <w:p w14:paraId="77385FA2" w14:textId="77777777" w:rsidR="00F17EEE" w:rsidRPr="001507B5" w:rsidRDefault="00F17EEE" w:rsidP="00F17EEE">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 xml:space="preserve">Fluo-4: 6255, </w:t>
      </w:r>
      <w:proofErr w:type="spellStart"/>
      <w:r w:rsidRPr="001507B5">
        <w:rPr>
          <w:rFonts w:ascii="Times New Roman" w:hAnsi="Times New Roman" w:cs="Times New Roman"/>
          <w:bCs/>
          <w:sz w:val="20"/>
          <w:szCs w:val="20"/>
          <w:lang w:val="en-GB"/>
        </w:rPr>
        <w:t>Tocris</w:t>
      </w:r>
      <w:proofErr w:type="spellEnd"/>
      <w:r w:rsidRPr="001507B5">
        <w:rPr>
          <w:rFonts w:ascii="Times New Roman" w:hAnsi="Times New Roman" w:cs="Times New Roman"/>
          <w:bCs/>
          <w:sz w:val="20"/>
          <w:szCs w:val="20"/>
          <w:lang w:val="en-GB"/>
        </w:rPr>
        <w:t>, Bristol, UK</w:t>
      </w:r>
    </w:p>
    <w:p w14:paraId="724181B8" w14:textId="1716D477" w:rsidR="00F17EEE" w:rsidRPr="001507B5" w:rsidRDefault="00F17EEE" w:rsidP="00E16D72">
      <w:pPr>
        <w:spacing w:line="240" w:lineRule="auto"/>
        <w:jc w:val="both"/>
        <w:rPr>
          <w:rFonts w:ascii="Times New Roman" w:hAnsi="Times New Roman" w:cs="Times New Roman"/>
          <w:bCs/>
          <w:sz w:val="20"/>
          <w:szCs w:val="20"/>
          <w:lang w:val="en-GB"/>
        </w:rPr>
      </w:pPr>
      <w:bookmarkStart w:id="0" w:name="_Hlk166358100"/>
      <w:r w:rsidRPr="001507B5">
        <w:rPr>
          <w:rFonts w:ascii="Times New Roman" w:hAnsi="Times New Roman" w:cs="Times New Roman"/>
          <w:bCs/>
          <w:sz w:val="20"/>
          <w:szCs w:val="20"/>
          <w:lang w:val="en-GB"/>
        </w:rPr>
        <w:t>GSK2256294</w:t>
      </w:r>
      <w:bookmarkEnd w:id="0"/>
      <w:r w:rsidRPr="001507B5">
        <w:rPr>
          <w:rFonts w:ascii="Times New Roman" w:hAnsi="Times New Roman" w:cs="Times New Roman"/>
          <w:bCs/>
          <w:sz w:val="20"/>
          <w:szCs w:val="20"/>
          <w:lang w:val="en-GB"/>
        </w:rPr>
        <w:t xml:space="preserve">: 2220, Axon </w:t>
      </w:r>
      <w:proofErr w:type="spellStart"/>
      <w:r w:rsidRPr="001507B5">
        <w:rPr>
          <w:rFonts w:ascii="Times New Roman" w:hAnsi="Times New Roman" w:cs="Times New Roman"/>
          <w:bCs/>
          <w:sz w:val="20"/>
          <w:szCs w:val="20"/>
          <w:lang w:val="en-GB"/>
        </w:rPr>
        <w:t>Medchem</w:t>
      </w:r>
      <w:proofErr w:type="spellEnd"/>
      <w:r w:rsidRPr="001507B5">
        <w:rPr>
          <w:rFonts w:ascii="Times New Roman" w:hAnsi="Times New Roman" w:cs="Times New Roman"/>
          <w:bCs/>
          <w:sz w:val="20"/>
          <w:szCs w:val="20"/>
          <w:lang w:val="en-GB"/>
        </w:rPr>
        <w:t xml:space="preserve"> BV, Groningen, The Netherlands</w:t>
      </w:r>
    </w:p>
    <w:p w14:paraId="714999AE" w14:textId="7F09C4B9" w:rsidR="000E4637" w:rsidRPr="001507B5" w:rsidRDefault="000E4637" w:rsidP="00E16D72">
      <w:pPr>
        <w:spacing w:line="240" w:lineRule="auto"/>
        <w:jc w:val="both"/>
        <w:rPr>
          <w:rFonts w:ascii="Times New Roman" w:hAnsi="Times New Roman" w:cs="Times New Roman"/>
          <w:bCs/>
          <w:sz w:val="20"/>
          <w:szCs w:val="20"/>
        </w:rPr>
      </w:pPr>
      <w:r w:rsidRPr="001507B5">
        <w:rPr>
          <w:rFonts w:ascii="Times New Roman" w:hAnsi="Times New Roman" w:cs="Times New Roman"/>
          <w:bCs/>
          <w:sz w:val="20"/>
          <w:szCs w:val="20"/>
        </w:rPr>
        <w:t>Hydrocortisone: H0888, Sigma</w:t>
      </w:r>
      <w:r w:rsidR="006E2E3E" w:rsidRPr="001507B5">
        <w:rPr>
          <w:rFonts w:ascii="Times New Roman" w:hAnsi="Times New Roman" w:cs="Times New Roman"/>
          <w:bCs/>
          <w:sz w:val="20"/>
          <w:szCs w:val="20"/>
        </w:rPr>
        <w:t xml:space="preserve"> </w:t>
      </w:r>
      <w:r w:rsidRPr="001507B5">
        <w:rPr>
          <w:rFonts w:ascii="Times New Roman" w:hAnsi="Times New Roman" w:cs="Times New Roman"/>
          <w:bCs/>
          <w:sz w:val="20"/>
          <w:szCs w:val="20"/>
        </w:rPr>
        <w:t>Aldrich</w:t>
      </w:r>
      <w:r w:rsidR="004F0903" w:rsidRPr="001507B5">
        <w:rPr>
          <w:rFonts w:ascii="Times New Roman" w:hAnsi="Times New Roman" w:cs="Times New Roman"/>
          <w:bCs/>
          <w:sz w:val="20"/>
          <w:szCs w:val="20"/>
        </w:rPr>
        <w:t>, Taufkirchen, Germany</w:t>
      </w:r>
    </w:p>
    <w:p w14:paraId="68611A26" w14:textId="12644A60" w:rsidR="006F52AD" w:rsidRPr="001507B5" w:rsidRDefault="006F52AD" w:rsidP="00E16D72">
      <w:pPr>
        <w:spacing w:line="240" w:lineRule="auto"/>
        <w:jc w:val="both"/>
        <w:rPr>
          <w:rFonts w:ascii="Times New Roman" w:hAnsi="Times New Roman" w:cs="Times New Roman"/>
          <w:bCs/>
          <w:sz w:val="20"/>
          <w:szCs w:val="20"/>
          <w:u w:val="single"/>
          <w:lang w:val="en-GB"/>
        </w:rPr>
      </w:pPr>
      <w:r w:rsidRPr="001507B5">
        <w:rPr>
          <w:rFonts w:ascii="Times New Roman" w:hAnsi="Times New Roman" w:cs="Times New Roman"/>
          <w:bCs/>
          <w:sz w:val="20"/>
          <w:szCs w:val="20"/>
          <w:u w:val="single"/>
          <w:lang w:val="en-GB"/>
        </w:rPr>
        <w:t>Cells, culture media, growth factors</w:t>
      </w:r>
    </w:p>
    <w:p w14:paraId="53E3F9CF" w14:textId="2AE10DD7" w:rsidR="000E4637" w:rsidRPr="001507B5" w:rsidRDefault="000E4637" w:rsidP="00E16D72">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 xml:space="preserve">Endothelial cells: </w:t>
      </w:r>
      <w:proofErr w:type="spellStart"/>
      <w:r w:rsidRPr="001507B5">
        <w:rPr>
          <w:rFonts w:ascii="Times New Roman" w:hAnsi="Times New Roman" w:cs="Times New Roman"/>
          <w:bCs/>
          <w:sz w:val="20"/>
          <w:szCs w:val="20"/>
          <w:lang w:val="en-GB"/>
        </w:rPr>
        <w:t>Clonetics</w:t>
      </w:r>
      <w:proofErr w:type="spellEnd"/>
      <w:r w:rsidRPr="001507B5">
        <w:rPr>
          <w:rFonts w:ascii="Times New Roman" w:hAnsi="Times New Roman" w:cs="Times New Roman"/>
          <w:bCs/>
          <w:sz w:val="20"/>
          <w:szCs w:val="20"/>
          <w:lang w:val="en-GB"/>
        </w:rPr>
        <w:t>™ coronary artery endothelial cells, Lonza, Basel, CH</w:t>
      </w:r>
    </w:p>
    <w:p w14:paraId="553BAD35" w14:textId="001C40D2" w:rsidR="000E4637" w:rsidRPr="001507B5" w:rsidRDefault="000E4637" w:rsidP="00E16D72">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Endothelial medium: 1xEBM™ 2 Basal Medium</w:t>
      </w:r>
      <w:r w:rsidRPr="001507B5">
        <w:rPr>
          <w:rFonts w:ascii="Times New Roman" w:eastAsia="MS Gothic" w:hAnsi="Times New Roman" w:cs="Times New Roman"/>
          <w:bCs/>
          <w:sz w:val="20"/>
          <w:szCs w:val="20"/>
          <w:lang w:val="en-GB"/>
        </w:rPr>
        <w:t>（</w:t>
      </w:r>
      <w:r w:rsidRPr="001507B5">
        <w:rPr>
          <w:rFonts w:ascii="Times New Roman" w:hAnsi="Times New Roman" w:cs="Times New Roman"/>
          <w:bCs/>
          <w:sz w:val="20"/>
          <w:szCs w:val="20"/>
          <w:lang w:val="en-GB"/>
        </w:rPr>
        <w:t>CC-3156, Lonza)</w:t>
      </w:r>
    </w:p>
    <w:p w14:paraId="6BF36857" w14:textId="04D2BDFA" w:rsidR="000E4637" w:rsidRPr="001507B5" w:rsidRDefault="000E4637" w:rsidP="00E16D72">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 xml:space="preserve">Endothelial growth factors: 1xEGM™-2 MV </w:t>
      </w:r>
      <w:proofErr w:type="spellStart"/>
      <w:r w:rsidRPr="001507B5">
        <w:rPr>
          <w:rFonts w:ascii="Times New Roman" w:hAnsi="Times New Roman" w:cs="Times New Roman"/>
          <w:bCs/>
          <w:sz w:val="20"/>
          <w:szCs w:val="20"/>
          <w:lang w:val="en-GB"/>
        </w:rPr>
        <w:t>SingleQuots</w:t>
      </w:r>
      <w:proofErr w:type="spellEnd"/>
      <w:r w:rsidRPr="001507B5">
        <w:rPr>
          <w:rFonts w:ascii="Times New Roman" w:hAnsi="Times New Roman" w:cs="Times New Roman"/>
          <w:bCs/>
          <w:sz w:val="20"/>
          <w:szCs w:val="20"/>
          <w:lang w:val="en-GB"/>
        </w:rPr>
        <w:t>™ Supplement Pack (CC-4147</w:t>
      </w:r>
      <w:r w:rsidR="006F52AD" w:rsidRPr="001507B5">
        <w:rPr>
          <w:rFonts w:ascii="Times New Roman" w:hAnsi="Times New Roman" w:cs="Times New Roman"/>
          <w:bCs/>
          <w:sz w:val="20"/>
          <w:szCs w:val="20"/>
          <w:lang w:val="en-GB"/>
        </w:rPr>
        <w:t>, Lonza</w:t>
      </w:r>
      <w:r w:rsidRPr="001507B5">
        <w:rPr>
          <w:rFonts w:ascii="Times New Roman" w:hAnsi="Times New Roman" w:cs="Times New Roman"/>
          <w:bCs/>
          <w:sz w:val="20"/>
          <w:szCs w:val="20"/>
          <w:lang w:val="en-GB"/>
        </w:rPr>
        <w:t>)</w:t>
      </w:r>
      <w:r w:rsidR="006F52AD" w:rsidRPr="001507B5">
        <w:rPr>
          <w:rFonts w:ascii="Times New Roman" w:hAnsi="Times New Roman" w:cs="Times New Roman"/>
          <w:bCs/>
          <w:sz w:val="20"/>
          <w:szCs w:val="20"/>
          <w:lang w:val="en-GB"/>
        </w:rPr>
        <w:t xml:space="preserve"> </w:t>
      </w:r>
      <w:r w:rsidRPr="001507B5">
        <w:rPr>
          <w:rFonts w:ascii="Times New Roman" w:hAnsi="Times New Roman" w:cs="Times New Roman"/>
          <w:bCs/>
          <w:sz w:val="20"/>
          <w:szCs w:val="20"/>
          <w:lang w:val="en-GB"/>
        </w:rPr>
        <w:t xml:space="preserve">containing: FBS 25ml, Hydrocortisone 0.2ml, </w:t>
      </w:r>
      <w:proofErr w:type="spellStart"/>
      <w:r w:rsidRPr="001507B5">
        <w:rPr>
          <w:rFonts w:ascii="Times New Roman" w:hAnsi="Times New Roman" w:cs="Times New Roman"/>
          <w:bCs/>
          <w:sz w:val="20"/>
          <w:szCs w:val="20"/>
          <w:lang w:val="en-GB"/>
        </w:rPr>
        <w:t>hFGF</w:t>
      </w:r>
      <w:proofErr w:type="spellEnd"/>
      <w:r w:rsidRPr="001507B5">
        <w:rPr>
          <w:rFonts w:ascii="Times New Roman" w:hAnsi="Times New Roman" w:cs="Times New Roman"/>
          <w:bCs/>
          <w:sz w:val="20"/>
          <w:szCs w:val="20"/>
          <w:lang w:val="en-GB"/>
        </w:rPr>
        <w:t xml:space="preserve">-B 2ml, VEGF 0.5ml, R3-IGF-1 0.5ml, Ascorbic Acid 0.5ml, </w:t>
      </w:r>
      <w:proofErr w:type="spellStart"/>
      <w:r w:rsidRPr="001507B5">
        <w:rPr>
          <w:rFonts w:ascii="Times New Roman" w:hAnsi="Times New Roman" w:cs="Times New Roman"/>
          <w:bCs/>
          <w:sz w:val="20"/>
          <w:szCs w:val="20"/>
          <w:lang w:val="en-GB"/>
        </w:rPr>
        <w:t>hEGF</w:t>
      </w:r>
      <w:proofErr w:type="spellEnd"/>
      <w:r w:rsidRPr="001507B5">
        <w:rPr>
          <w:rFonts w:ascii="Times New Roman" w:hAnsi="Times New Roman" w:cs="Times New Roman"/>
          <w:bCs/>
          <w:sz w:val="20"/>
          <w:szCs w:val="20"/>
          <w:lang w:val="en-GB"/>
        </w:rPr>
        <w:t xml:space="preserve">  0.5ml, GA 1000 (=gentamicin + amphotericin B) 0.5ml.</w:t>
      </w:r>
    </w:p>
    <w:p w14:paraId="459F76B1" w14:textId="32FE6B18" w:rsidR="000E4637" w:rsidRPr="001507B5" w:rsidRDefault="000E4637" w:rsidP="00E16D72">
      <w:pPr>
        <w:spacing w:line="240" w:lineRule="auto"/>
        <w:jc w:val="both"/>
        <w:rPr>
          <w:rFonts w:ascii="Times New Roman" w:hAnsi="Times New Roman" w:cs="Times New Roman"/>
          <w:bCs/>
          <w:sz w:val="20"/>
          <w:szCs w:val="20"/>
          <w:u w:val="single"/>
          <w:lang w:val="en-GB"/>
        </w:rPr>
      </w:pPr>
      <w:r w:rsidRPr="001507B5">
        <w:rPr>
          <w:rFonts w:ascii="Times New Roman" w:hAnsi="Times New Roman" w:cs="Times New Roman"/>
          <w:bCs/>
          <w:sz w:val="20"/>
          <w:szCs w:val="20"/>
          <w:u w:val="single"/>
          <w:lang w:val="en-GB"/>
        </w:rPr>
        <w:t>Buffer</w:t>
      </w:r>
      <w:r w:rsidR="006F52AD" w:rsidRPr="001507B5">
        <w:rPr>
          <w:rFonts w:ascii="Times New Roman" w:hAnsi="Times New Roman" w:cs="Times New Roman"/>
          <w:bCs/>
          <w:sz w:val="20"/>
          <w:szCs w:val="20"/>
          <w:u w:val="single"/>
          <w:lang w:val="en-GB"/>
        </w:rPr>
        <w:t>s</w:t>
      </w:r>
    </w:p>
    <w:p w14:paraId="05050525" w14:textId="528DDB49" w:rsidR="000E4637" w:rsidRPr="001507B5" w:rsidRDefault="000E4637" w:rsidP="00E16D72">
      <w:pPr>
        <w:spacing w:line="240" w:lineRule="auto"/>
        <w:jc w:val="both"/>
        <w:rPr>
          <w:rFonts w:ascii="Times New Roman" w:hAnsi="Times New Roman" w:cs="Times New Roman"/>
          <w:bCs/>
          <w:sz w:val="20"/>
          <w:szCs w:val="20"/>
          <w:lang w:val="en-GB"/>
        </w:rPr>
      </w:pPr>
      <w:r w:rsidRPr="001507B5">
        <w:rPr>
          <w:rFonts w:ascii="Times New Roman" w:hAnsi="Times New Roman" w:cs="Times New Roman"/>
          <w:bCs/>
          <w:sz w:val="20"/>
          <w:szCs w:val="20"/>
          <w:lang w:val="en-GB"/>
        </w:rPr>
        <w:t>HEPES</w:t>
      </w:r>
      <w:r w:rsidR="006F52AD" w:rsidRPr="001507B5">
        <w:rPr>
          <w:rFonts w:ascii="Times New Roman" w:hAnsi="Times New Roman" w:cs="Times New Roman"/>
          <w:bCs/>
          <w:sz w:val="20"/>
          <w:szCs w:val="20"/>
          <w:lang w:val="en-GB"/>
        </w:rPr>
        <w:t xml:space="preserve"> buffer (in mM): </w:t>
      </w:r>
      <w:r w:rsidRPr="001507B5">
        <w:rPr>
          <w:rFonts w:ascii="Times New Roman" w:hAnsi="Times New Roman" w:cs="Times New Roman"/>
          <w:bCs/>
          <w:sz w:val="20"/>
          <w:szCs w:val="20"/>
          <w:lang w:val="en-GB"/>
        </w:rPr>
        <w:t>NaCl 140</w:t>
      </w:r>
      <w:r w:rsidR="006F52AD" w:rsidRPr="001507B5">
        <w:rPr>
          <w:rFonts w:ascii="Times New Roman" w:hAnsi="Times New Roman" w:cs="Times New Roman"/>
          <w:bCs/>
          <w:sz w:val="20"/>
          <w:szCs w:val="20"/>
          <w:lang w:val="en-GB"/>
        </w:rPr>
        <w:t xml:space="preserve">, </w:t>
      </w:r>
      <w:proofErr w:type="spellStart"/>
      <w:r w:rsidRPr="001507B5">
        <w:rPr>
          <w:rFonts w:ascii="Times New Roman" w:hAnsi="Times New Roman" w:cs="Times New Roman"/>
          <w:bCs/>
          <w:sz w:val="20"/>
          <w:szCs w:val="20"/>
          <w:lang w:val="en-GB"/>
        </w:rPr>
        <w:t>KCl</w:t>
      </w:r>
      <w:proofErr w:type="spellEnd"/>
      <w:r w:rsidRPr="001507B5">
        <w:rPr>
          <w:rFonts w:ascii="Times New Roman" w:hAnsi="Times New Roman" w:cs="Times New Roman"/>
          <w:bCs/>
          <w:sz w:val="20"/>
          <w:szCs w:val="20"/>
          <w:lang w:val="en-GB"/>
        </w:rPr>
        <w:t xml:space="preserve"> 5,4</w:t>
      </w:r>
      <w:r w:rsidR="006F52AD" w:rsidRPr="001507B5">
        <w:rPr>
          <w:rFonts w:ascii="Times New Roman" w:hAnsi="Times New Roman" w:cs="Times New Roman"/>
          <w:bCs/>
          <w:sz w:val="20"/>
          <w:szCs w:val="20"/>
          <w:lang w:val="en-GB"/>
        </w:rPr>
        <w:t xml:space="preserve">, </w:t>
      </w:r>
      <w:r w:rsidRPr="001507B5">
        <w:rPr>
          <w:rFonts w:ascii="Times New Roman" w:hAnsi="Times New Roman" w:cs="Times New Roman"/>
          <w:bCs/>
          <w:sz w:val="20"/>
          <w:szCs w:val="20"/>
          <w:lang w:val="en-GB"/>
        </w:rPr>
        <w:t>MgCl</w:t>
      </w:r>
      <w:r w:rsidRPr="001507B5">
        <w:rPr>
          <w:rFonts w:ascii="Times New Roman" w:hAnsi="Times New Roman" w:cs="Times New Roman"/>
          <w:bCs/>
          <w:sz w:val="20"/>
          <w:szCs w:val="20"/>
          <w:vertAlign w:val="subscript"/>
          <w:lang w:val="en-GB"/>
        </w:rPr>
        <w:t>2</w:t>
      </w:r>
      <w:r w:rsidRPr="001507B5">
        <w:rPr>
          <w:rFonts w:ascii="Times New Roman" w:hAnsi="Times New Roman" w:cs="Times New Roman"/>
          <w:bCs/>
          <w:sz w:val="20"/>
          <w:szCs w:val="20"/>
          <w:lang w:val="en-GB"/>
        </w:rPr>
        <w:t xml:space="preserve"> </w:t>
      </w:r>
      <w:r w:rsidR="006F52AD" w:rsidRPr="001507B5">
        <w:rPr>
          <w:rFonts w:ascii="Times New Roman" w:hAnsi="Times New Roman" w:cs="Times New Roman"/>
          <w:bCs/>
          <w:sz w:val="20"/>
          <w:szCs w:val="20"/>
          <w:lang w:val="en-GB"/>
        </w:rPr>
        <w:t xml:space="preserve">1, </w:t>
      </w:r>
      <w:r w:rsidRPr="001507B5">
        <w:rPr>
          <w:rFonts w:ascii="Times New Roman" w:hAnsi="Times New Roman" w:cs="Times New Roman"/>
          <w:bCs/>
          <w:sz w:val="20"/>
          <w:szCs w:val="20"/>
          <w:lang w:val="en-GB"/>
        </w:rPr>
        <w:t>HEPES 10, Glucose 10</w:t>
      </w:r>
      <w:r w:rsidR="006F52AD" w:rsidRPr="001507B5">
        <w:rPr>
          <w:rFonts w:ascii="Times New Roman" w:hAnsi="Times New Roman" w:cs="Times New Roman"/>
          <w:bCs/>
          <w:sz w:val="20"/>
          <w:szCs w:val="20"/>
          <w:lang w:val="en-GB"/>
        </w:rPr>
        <w:t xml:space="preserve">, </w:t>
      </w:r>
      <w:r w:rsidRPr="001507B5">
        <w:rPr>
          <w:rFonts w:ascii="Times New Roman" w:hAnsi="Times New Roman" w:cs="Times New Roman"/>
          <w:bCs/>
          <w:sz w:val="20"/>
          <w:szCs w:val="20"/>
          <w:lang w:val="en-GB"/>
        </w:rPr>
        <w:t>CaCl</w:t>
      </w:r>
      <w:r w:rsidRPr="001507B5">
        <w:rPr>
          <w:rFonts w:ascii="Times New Roman" w:hAnsi="Times New Roman" w:cs="Times New Roman"/>
          <w:bCs/>
          <w:sz w:val="20"/>
          <w:szCs w:val="20"/>
          <w:vertAlign w:val="subscript"/>
          <w:lang w:val="en-GB"/>
        </w:rPr>
        <w:t>2</w:t>
      </w:r>
      <w:r w:rsidRPr="001507B5">
        <w:rPr>
          <w:rFonts w:ascii="Times New Roman" w:hAnsi="Times New Roman" w:cs="Times New Roman"/>
          <w:bCs/>
          <w:sz w:val="20"/>
          <w:szCs w:val="20"/>
          <w:lang w:val="en-GB"/>
        </w:rPr>
        <w:t xml:space="preserve"> x 2H</w:t>
      </w:r>
      <w:r w:rsidRPr="001507B5">
        <w:rPr>
          <w:rFonts w:ascii="Times New Roman" w:hAnsi="Times New Roman" w:cs="Times New Roman"/>
          <w:bCs/>
          <w:sz w:val="20"/>
          <w:szCs w:val="20"/>
          <w:vertAlign w:val="subscript"/>
          <w:lang w:val="en-GB"/>
        </w:rPr>
        <w:t>2</w:t>
      </w:r>
      <w:r w:rsidRPr="001507B5">
        <w:rPr>
          <w:rFonts w:ascii="Times New Roman" w:hAnsi="Times New Roman" w:cs="Times New Roman"/>
          <w:bCs/>
          <w:sz w:val="20"/>
          <w:szCs w:val="20"/>
          <w:lang w:val="en-GB"/>
        </w:rPr>
        <w:t>O 2</w:t>
      </w:r>
      <w:r w:rsidR="006F52AD" w:rsidRPr="001507B5">
        <w:rPr>
          <w:rFonts w:ascii="Times New Roman" w:hAnsi="Times New Roman" w:cs="Times New Roman"/>
          <w:bCs/>
          <w:sz w:val="20"/>
          <w:szCs w:val="20"/>
          <w:lang w:val="en-GB"/>
        </w:rPr>
        <w:t xml:space="preserve">; </w:t>
      </w:r>
      <w:r w:rsidRPr="001507B5">
        <w:rPr>
          <w:rFonts w:ascii="Times New Roman" w:hAnsi="Times New Roman" w:cs="Times New Roman"/>
          <w:bCs/>
          <w:sz w:val="20"/>
          <w:szCs w:val="20"/>
          <w:lang w:val="en-GB"/>
        </w:rPr>
        <w:t xml:space="preserve">pH </w:t>
      </w:r>
      <w:r w:rsidR="006F52AD" w:rsidRPr="001507B5">
        <w:rPr>
          <w:rFonts w:ascii="Times New Roman" w:hAnsi="Times New Roman" w:cs="Times New Roman"/>
          <w:bCs/>
          <w:sz w:val="20"/>
          <w:szCs w:val="20"/>
          <w:lang w:val="en-GB"/>
        </w:rPr>
        <w:t xml:space="preserve">ad </w:t>
      </w:r>
      <w:r w:rsidRPr="001507B5">
        <w:rPr>
          <w:rFonts w:ascii="Times New Roman" w:hAnsi="Times New Roman" w:cs="Times New Roman"/>
          <w:bCs/>
          <w:sz w:val="20"/>
          <w:szCs w:val="20"/>
          <w:lang w:val="en-GB"/>
        </w:rPr>
        <w:t>7,4 with NaOH</w:t>
      </w:r>
    </w:p>
    <w:p w14:paraId="273009E0" w14:textId="77777777" w:rsidR="00B8525D" w:rsidRDefault="00B8525D" w:rsidP="00E16D72">
      <w:pPr>
        <w:spacing w:line="240" w:lineRule="auto"/>
        <w:jc w:val="both"/>
        <w:rPr>
          <w:rFonts w:ascii="Times New Roman" w:hAnsi="Times New Roman" w:cs="Times New Roman"/>
          <w:b/>
          <w:sz w:val="20"/>
          <w:szCs w:val="20"/>
          <w:lang w:val="en-GB"/>
        </w:rPr>
      </w:pPr>
    </w:p>
    <w:p w14:paraId="528F6657" w14:textId="7844347C" w:rsidR="00B8525D" w:rsidRDefault="00B8525D" w:rsidP="00E16D72">
      <w:pPr>
        <w:spacing w:line="24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Targeted LC-MS/MS analysis of oxylipins</w:t>
      </w:r>
    </w:p>
    <w:p w14:paraId="377D4AC0" w14:textId="77777777" w:rsidR="00CD7295" w:rsidRPr="00CD7295" w:rsidRDefault="00CD7295" w:rsidP="00CD7295">
      <w:pPr>
        <w:spacing w:line="240" w:lineRule="auto"/>
        <w:jc w:val="both"/>
        <w:rPr>
          <w:rFonts w:ascii="Times New Roman" w:hAnsi="Times New Roman" w:cs="Times New Roman"/>
          <w:bCs/>
          <w:sz w:val="20"/>
          <w:szCs w:val="20"/>
          <w:u w:val="single"/>
          <w:lang w:val="en-GB"/>
        </w:rPr>
      </w:pPr>
      <w:r w:rsidRPr="00CD7295">
        <w:rPr>
          <w:rFonts w:ascii="Times New Roman" w:hAnsi="Times New Roman" w:cs="Times New Roman"/>
          <w:sz w:val="20"/>
          <w:szCs w:val="20"/>
          <w:u w:val="single"/>
          <w:lang w:val="en-GB"/>
        </w:rPr>
        <w:t>Compounds</w:t>
      </w:r>
      <w:r w:rsidRPr="00CD7295">
        <w:rPr>
          <w:rFonts w:ascii="Times New Roman" w:hAnsi="Times New Roman" w:cs="Times New Roman"/>
          <w:bCs/>
          <w:sz w:val="20"/>
          <w:szCs w:val="20"/>
          <w:u w:val="single"/>
          <w:lang w:val="en-GB"/>
        </w:rPr>
        <w:t> </w:t>
      </w:r>
    </w:p>
    <w:p w14:paraId="0175B971" w14:textId="41BACC0F" w:rsidR="00CD7295" w:rsidRPr="00CD7295" w:rsidRDefault="00CD7295" w:rsidP="00CD7295">
      <w:pPr>
        <w:pStyle w:val="paragraph"/>
        <w:spacing w:before="0" w:after="0"/>
        <w:textAlignment w:val="baseline"/>
        <w:rPr>
          <w:rFonts w:eastAsiaTheme="minorHAnsi"/>
          <w:sz w:val="20"/>
          <w:szCs w:val="20"/>
          <w:lang w:val="en-GB" w:eastAsia="en-US"/>
        </w:rPr>
      </w:pPr>
      <w:r w:rsidRPr="00CD7295">
        <w:rPr>
          <w:rFonts w:eastAsiaTheme="minorHAnsi"/>
          <w:sz w:val="20"/>
          <w:szCs w:val="20"/>
          <w:lang w:val="en-GB" w:eastAsia="en-US"/>
        </w:rPr>
        <w:lastRenderedPageBreak/>
        <w:t>All compounds were purchased from Cayman Chemicals.</w:t>
      </w:r>
    </w:p>
    <w:p w14:paraId="1C57D595" w14:textId="36332674" w:rsidR="00CD7295" w:rsidRPr="00CD7295" w:rsidRDefault="00CD7295" w:rsidP="00CD7295">
      <w:pPr>
        <w:spacing w:line="240" w:lineRule="auto"/>
        <w:jc w:val="both"/>
        <w:rPr>
          <w:rFonts w:ascii="Times New Roman" w:hAnsi="Times New Roman" w:cs="Times New Roman"/>
          <w:sz w:val="20"/>
          <w:szCs w:val="20"/>
          <w:u w:val="single"/>
          <w:lang w:val="en-GB"/>
        </w:rPr>
      </w:pPr>
      <w:r w:rsidRPr="00CD7295">
        <w:rPr>
          <w:rFonts w:ascii="Times New Roman" w:hAnsi="Times New Roman" w:cs="Times New Roman"/>
          <w:sz w:val="20"/>
          <w:szCs w:val="20"/>
          <w:u w:val="single"/>
          <w:lang w:val="en-GB"/>
        </w:rPr>
        <w:t>Sample preparation for LC-MS/MS</w:t>
      </w:r>
    </w:p>
    <w:p w14:paraId="34FA8F1C" w14:textId="671D6670" w:rsidR="00AD5121" w:rsidRDefault="00200036" w:rsidP="00CD7295">
      <w:pPr>
        <w:pStyle w:val="paragraph"/>
        <w:spacing w:before="0" w:after="0"/>
        <w:textAlignment w:val="baseline"/>
        <w:rPr>
          <w:rFonts w:eastAsiaTheme="minorHAnsi"/>
          <w:sz w:val="20"/>
          <w:szCs w:val="20"/>
          <w:lang w:val="en-GB" w:eastAsia="en-US"/>
        </w:rPr>
      </w:pPr>
      <w:r>
        <w:rPr>
          <w:rFonts w:eastAsiaTheme="minorHAnsi"/>
          <w:sz w:val="20"/>
          <w:szCs w:val="20"/>
          <w:lang w:val="en-GB" w:eastAsia="en-US"/>
        </w:rPr>
        <w:t>All</w:t>
      </w:r>
      <w:r w:rsidR="00AD5121">
        <w:rPr>
          <w:rFonts w:eastAsiaTheme="minorHAnsi"/>
          <w:sz w:val="20"/>
          <w:szCs w:val="20"/>
          <w:lang w:val="en-GB" w:eastAsia="en-US"/>
        </w:rPr>
        <w:t xml:space="preserve"> step</w:t>
      </w:r>
      <w:r>
        <w:rPr>
          <w:rFonts w:eastAsiaTheme="minorHAnsi"/>
          <w:sz w:val="20"/>
          <w:szCs w:val="20"/>
          <w:lang w:val="en-GB" w:eastAsia="en-US"/>
        </w:rPr>
        <w:t>s</w:t>
      </w:r>
      <w:r w:rsidR="00AD5121">
        <w:rPr>
          <w:rFonts w:eastAsiaTheme="minorHAnsi"/>
          <w:sz w:val="20"/>
          <w:szCs w:val="20"/>
          <w:lang w:val="en-GB" w:eastAsia="en-US"/>
        </w:rPr>
        <w:t xml:space="preserve"> of the </w:t>
      </w:r>
      <w:r w:rsidR="00DD5B31">
        <w:rPr>
          <w:rFonts w:eastAsiaTheme="minorHAnsi"/>
          <w:sz w:val="20"/>
          <w:szCs w:val="20"/>
          <w:lang w:val="en-GB" w:eastAsia="en-US"/>
        </w:rPr>
        <w:t xml:space="preserve">extraction </w:t>
      </w:r>
      <w:r w:rsidR="00AD5121">
        <w:rPr>
          <w:rFonts w:eastAsiaTheme="minorHAnsi"/>
          <w:sz w:val="20"/>
          <w:szCs w:val="20"/>
          <w:lang w:val="en-GB" w:eastAsia="en-US"/>
        </w:rPr>
        <w:t xml:space="preserve">procedure </w:t>
      </w:r>
      <w:r>
        <w:rPr>
          <w:rFonts w:eastAsiaTheme="minorHAnsi"/>
          <w:sz w:val="20"/>
          <w:szCs w:val="20"/>
          <w:lang w:val="en-GB" w:eastAsia="en-US"/>
        </w:rPr>
        <w:t>were</w:t>
      </w:r>
      <w:r w:rsidR="00AD5121">
        <w:rPr>
          <w:rFonts w:eastAsiaTheme="minorHAnsi"/>
          <w:sz w:val="20"/>
          <w:szCs w:val="20"/>
          <w:lang w:val="en-GB" w:eastAsia="en-US"/>
        </w:rPr>
        <w:t xml:space="preserve"> conducted at pre-cooled temperature</w:t>
      </w:r>
      <w:r w:rsidR="00DD5B31">
        <w:rPr>
          <w:rFonts w:eastAsiaTheme="minorHAnsi"/>
          <w:sz w:val="20"/>
          <w:szCs w:val="20"/>
          <w:lang w:val="en-GB" w:eastAsia="en-US"/>
        </w:rPr>
        <w:t xml:space="preserve"> with tubes or plates</w:t>
      </w:r>
      <w:r w:rsidR="00AD5121">
        <w:rPr>
          <w:rFonts w:eastAsiaTheme="minorHAnsi"/>
          <w:sz w:val="20"/>
          <w:szCs w:val="20"/>
          <w:lang w:val="en-GB" w:eastAsia="en-US"/>
        </w:rPr>
        <w:t xml:space="preserve"> </w:t>
      </w:r>
      <w:r w:rsidR="00DD5B31">
        <w:rPr>
          <w:rFonts w:eastAsiaTheme="minorHAnsi"/>
          <w:sz w:val="20"/>
          <w:szCs w:val="20"/>
          <w:lang w:val="en-GB" w:eastAsia="en-US"/>
        </w:rPr>
        <w:t>i</w:t>
      </w:r>
      <w:r w:rsidR="00AD5121">
        <w:rPr>
          <w:rFonts w:eastAsiaTheme="minorHAnsi"/>
          <w:sz w:val="20"/>
          <w:szCs w:val="20"/>
          <w:lang w:val="en-GB" w:eastAsia="en-US"/>
        </w:rPr>
        <w:t xml:space="preserve">n wet ice, </w:t>
      </w:r>
      <w:r w:rsidR="00DD5B31">
        <w:rPr>
          <w:rFonts w:eastAsiaTheme="minorHAnsi"/>
          <w:sz w:val="20"/>
          <w:szCs w:val="20"/>
          <w:lang w:val="en-GB" w:eastAsia="en-US"/>
        </w:rPr>
        <w:t>except</w:t>
      </w:r>
      <w:r w:rsidR="00AD5121">
        <w:rPr>
          <w:rFonts w:eastAsiaTheme="minorHAnsi"/>
          <w:sz w:val="20"/>
          <w:szCs w:val="20"/>
          <w:lang w:val="en-GB" w:eastAsia="en-US"/>
        </w:rPr>
        <w:t xml:space="preserve"> solid phase extraction (SPE).</w:t>
      </w:r>
    </w:p>
    <w:p w14:paraId="70A96B13" w14:textId="6DEFC73A" w:rsidR="00CD7295" w:rsidRPr="00CD7295" w:rsidRDefault="00CD7295" w:rsidP="00CD7295">
      <w:pPr>
        <w:pStyle w:val="paragraph"/>
        <w:spacing w:before="0" w:after="0"/>
        <w:textAlignment w:val="baseline"/>
        <w:rPr>
          <w:rFonts w:eastAsiaTheme="minorHAnsi"/>
          <w:sz w:val="20"/>
          <w:szCs w:val="20"/>
          <w:lang w:val="en-GB" w:eastAsia="en-US"/>
        </w:rPr>
      </w:pPr>
      <w:r w:rsidRPr="00CD7295">
        <w:rPr>
          <w:rFonts w:eastAsiaTheme="minorHAnsi"/>
          <w:sz w:val="20"/>
          <w:szCs w:val="20"/>
          <w:lang w:val="en-GB" w:eastAsia="en-US"/>
        </w:rPr>
        <w:t>Preparation of tissue samples and quality controls:</w:t>
      </w:r>
    </w:p>
    <w:p w14:paraId="2E7DBB37" w14:textId="785FF38B" w:rsidR="00CD7295" w:rsidRPr="00CD7295" w:rsidRDefault="00305247" w:rsidP="00CD7295">
      <w:pPr>
        <w:pStyle w:val="paragraph"/>
        <w:spacing w:before="0" w:after="0" w:afterAutospacing="0"/>
        <w:textAlignment w:val="baseline"/>
        <w:rPr>
          <w:rFonts w:eastAsiaTheme="minorHAnsi"/>
          <w:sz w:val="20"/>
          <w:szCs w:val="20"/>
          <w:lang w:val="en-GB" w:eastAsia="en-US"/>
        </w:rPr>
      </w:pPr>
      <w:r>
        <w:rPr>
          <w:rFonts w:eastAsiaTheme="minorHAnsi"/>
          <w:sz w:val="20"/>
          <w:szCs w:val="20"/>
          <w:lang w:val="en-GB" w:eastAsia="en-US"/>
        </w:rPr>
        <w:t>100 µL of c</w:t>
      </w:r>
      <w:r w:rsidR="000F3AC6">
        <w:rPr>
          <w:rFonts w:eastAsiaTheme="minorHAnsi"/>
          <w:sz w:val="20"/>
          <w:szCs w:val="20"/>
          <w:lang w:val="en-GB" w:eastAsia="en-US"/>
        </w:rPr>
        <w:t>ell culture supernatant</w:t>
      </w:r>
      <w:r w:rsidR="00CD7295" w:rsidRPr="00CD7295">
        <w:rPr>
          <w:rFonts w:eastAsiaTheme="minorHAnsi"/>
          <w:sz w:val="20"/>
          <w:szCs w:val="20"/>
          <w:lang w:val="en-GB" w:eastAsia="en-US"/>
        </w:rPr>
        <w:t xml:space="preserve"> </w:t>
      </w:r>
      <w:r w:rsidR="00AD5121">
        <w:rPr>
          <w:rFonts w:eastAsiaTheme="minorHAnsi"/>
          <w:sz w:val="20"/>
          <w:szCs w:val="20"/>
          <w:lang w:val="en-GB" w:eastAsia="en-US"/>
        </w:rPr>
        <w:t xml:space="preserve">or </w:t>
      </w:r>
      <w:r w:rsidR="00D26B72">
        <w:rPr>
          <w:rFonts w:eastAsiaTheme="minorHAnsi"/>
          <w:sz w:val="20"/>
          <w:szCs w:val="20"/>
          <w:lang w:val="en-GB" w:eastAsia="en-US"/>
        </w:rPr>
        <w:t xml:space="preserve">50 µL of </w:t>
      </w:r>
      <w:r w:rsidR="003D05D8">
        <w:rPr>
          <w:rFonts w:eastAsiaTheme="minorHAnsi"/>
          <w:sz w:val="20"/>
          <w:szCs w:val="20"/>
          <w:lang w:val="en-GB" w:eastAsia="en-US"/>
        </w:rPr>
        <w:t xml:space="preserve">human plasma </w:t>
      </w:r>
      <w:r w:rsidR="00CD7295" w:rsidRPr="00CD7295">
        <w:rPr>
          <w:rFonts w:eastAsiaTheme="minorHAnsi"/>
          <w:sz w:val="20"/>
          <w:szCs w:val="20"/>
          <w:lang w:val="en-GB" w:eastAsia="en-US"/>
        </w:rPr>
        <w:t xml:space="preserve">samples were transferred into a 1.5 mL Eppendorf tube. QC pool samples were prepared in triplicates by taking out </w:t>
      </w:r>
      <w:r w:rsidR="003C4F44">
        <w:rPr>
          <w:rFonts w:eastAsiaTheme="minorHAnsi"/>
          <w:sz w:val="20"/>
          <w:szCs w:val="20"/>
          <w:lang w:val="en-GB" w:eastAsia="en-US"/>
        </w:rPr>
        <w:t>5</w:t>
      </w:r>
      <w:r w:rsidR="00CD7295" w:rsidRPr="00CD7295">
        <w:rPr>
          <w:rFonts w:eastAsiaTheme="minorHAnsi"/>
          <w:sz w:val="20"/>
          <w:szCs w:val="20"/>
          <w:lang w:val="en-GB" w:eastAsia="en-US"/>
        </w:rPr>
        <w:t xml:space="preserve">0 </w:t>
      </w:r>
      <w:r w:rsidR="009F4CE2">
        <w:rPr>
          <w:rFonts w:eastAsiaTheme="minorHAnsi"/>
          <w:sz w:val="20"/>
          <w:szCs w:val="20"/>
          <w:lang w:val="en-GB" w:eastAsia="en-US"/>
        </w:rPr>
        <w:t>µL</w:t>
      </w:r>
      <w:r w:rsidR="00CD7295" w:rsidRPr="00CD7295">
        <w:rPr>
          <w:rFonts w:eastAsiaTheme="minorHAnsi"/>
          <w:sz w:val="20"/>
          <w:szCs w:val="20"/>
          <w:lang w:val="en-GB" w:eastAsia="en-US"/>
        </w:rPr>
        <w:t xml:space="preserve"> from each study sample. The pool sample was subsequently mixed and </w:t>
      </w:r>
      <w:r w:rsidR="00D96A07">
        <w:rPr>
          <w:rFonts w:eastAsiaTheme="minorHAnsi"/>
          <w:sz w:val="20"/>
          <w:szCs w:val="20"/>
          <w:lang w:val="en-GB" w:eastAsia="en-US"/>
        </w:rPr>
        <w:t>5</w:t>
      </w:r>
      <w:r w:rsidR="00CD7295" w:rsidRPr="00CD7295">
        <w:rPr>
          <w:rFonts w:eastAsiaTheme="minorHAnsi"/>
          <w:sz w:val="20"/>
          <w:szCs w:val="20"/>
          <w:lang w:val="en-GB" w:eastAsia="en-US"/>
        </w:rPr>
        <w:t>0 µL</w:t>
      </w:r>
      <w:r w:rsidR="009F4CE2">
        <w:rPr>
          <w:rFonts w:eastAsiaTheme="minorHAnsi"/>
          <w:sz w:val="20"/>
          <w:szCs w:val="20"/>
          <w:lang w:val="en-GB" w:eastAsia="en-US"/>
        </w:rPr>
        <w:t xml:space="preserve"> (plasma) or 100 µL (cell supernatant)</w:t>
      </w:r>
      <w:r w:rsidR="00CD7295" w:rsidRPr="00CD7295">
        <w:rPr>
          <w:rFonts w:eastAsiaTheme="minorHAnsi"/>
          <w:sz w:val="20"/>
          <w:szCs w:val="20"/>
          <w:lang w:val="en-GB" w:eastAsia="en-US"/>
        </w:rPr>
        <w:t xml:space="preserve"> were transferred into 1.5 mL Eppendorf tubes. </w:t>
      </w:r>
    </w:p>
    <w:p w14:paraId="2884003A" w14:textId="6F0F54F7" w:rsidR="00CD7295" w:rsidRPr="00CD7295" w:rsidRDefault="00CD7295" w:rsidP="00CD7295">
      <w:pPr>
        <w:pStyle w:val="paragraph"/>
        <w:spacing w:before="0" w:beforeAutospacing="0" w:after="0" w:afterAutospacing="0"/>
        <w:textAlignment w:val="baseline"/>
        <w:rPr>
          <w:rFonts w:eastAsiaTheme="minorHAnsi"/>
          <w:sz w:val="20"/>
          <w:szCs w:val="20"/>
          <w:lang w:val="en-GB" w:eastAsia="en-US"/>
        </w:rPr>
      </w:pPr>
      <w:r w:rsidRPr="00CD7295">
        <w:rPr>
          <w:rFonts w:eastAsiaTheme="minorHAnsi"/>
          <w:sz w:val="20"/>
          <w:szCs w:val="20"/>
          <w:lang w:val="en-GB" w:eastAsia="en-US"/>
        </w:rPr>
        <w:t xml:space="preserve">QC reference samples were prepared in triplicates in 1.5 mL Eppendorf tubes by mixing 5 µL of the standard mixture (30 ng/mL for oxylipins and 300 ng/mL for PUFAs) with 45 µL of water. Blank (triplicate) and zero (single) samples were prepared by transferring </w:t>
      </w:r>
      <w:r w:rsidR="00551F40">
        <w:rPr>
          <w:rFonts w:eastAsiaTheme="minorHAnsi"/>
          <w:sz w:val="20"/>
          <w:szCs w:val="20"/>
          <w:lang w:val="en-GB" w:eastAsia="en-US"/>
        </w:rPr>
        <w:t>5</w:t>
      </w:r>
      <w:r w:rsidRPr="00CD7295">
        <w:rPr>
          <w:rFonts w:eastAsiaTheme="minorHAnsi"/>
          <w:sz w:val="20"/>
          <w:szCs w:val="20"/>
          <w:lang w:val="en-GB" w:eastAsia="en-US"/>
        </w:rPr>
        <w:t xml:space="preserve">0 µL of </w:t>
      </w:r>
      <w:r w:rsidR="00551F40" w:rsidRPr="00551F40">
        <w:rPr>
          <w:rFonts w:eastAsiaTheme="minorHAnsi"/>
          <w:sz w:val="20"/>
          <w:szCs w:val="20"/>
          <w:lang w:val="en-GB" w:eastAsia="en-US"/>
        </w:rPr>
        <w:t>H</w:t>
      </w:r>
      <w:r w:rsidR="00551F40" w:rsidRPr="00200036">
        <w:rPr>
          <w:rFonts w:eastAsiaTheme="minorHAnsi"/>
          <w:sz w:val="20"/>
          <w:szCs w:val="20"/>
          <w:vertAlign w:val="subscript"/>
          <w:lang w:val="en-GB" w:eastAsia="en-US"/>
        </w:rPr>
        <w:t>2</w:t>
      </w:r>
      <w:r w:rsidR="00551F40" w:rsidRPr="00551F40">
        <w:rPr>
          <w:rFonts w:eastAsiaTheme="minorHAnsi"/>
          <w:sz w:val="20"/>
          <w:szCs w:val="20"/>
          <w:lang w:val="en-GB" w:eastAsia="en-US"/>
        </w:rPr>
        <w:t xml:space="preserve">O </w:t>
      </w:r>
      <w:r w:rsidR="00551F40">
        <w:rPr>
          <w:rFonts w:eastAsiaTheme="minorHAnsi"/>
          <w:sz w:val="20"/>
          <w:szCs w:val="20"/>
          <w:lang w:val="en-GB" w:eastAsia="en-US"/>
        </w:rPr>
        <w:t>(</w:t>
      </w:r>
      <w:proofErr w:type="spellStart"/>
      <w:r w:rsidR="00551F40" w:rsidRPr="00551F40">
        <w:rPr>
          <w:rFonts w:eastAsiaTheme="minorHAnsi"/>
          <w:sz w:val="20"/>
          <w:szCs w:val="20"/>
          <w:lang w:val="en-GB" w:eastAsia="en-US"/>
        </w:rPr>
        <w:t>milliQ</w:t>
      </w:r>
      <w:proofErr w:type="spellEnd"/>
      <w:r w:rsidRPr="00CD7295">
        <w:rPr>
          <w:rFonts w:eastAsiaTheme="minorHAnsi"/>
          <w:sz w:val="20"/>
          <w:szCs w:val="20"/>
          <w:lang w:val="en-GB" w:eastAsia="en-US"/>
        </w:rPr>
        <w:t>) into 1.5 mL Eppendorf tubes. Calibrators were prepared in 1.5 mL Eppendorf tubes by successive dilutions (factor 3) in water/MeOH (50:50, v/v) of the calibration mixture (200 ng/mL for oxylipins and 2000 ng/mL for PUFAs) to reach 9 calibrator points (cal.): 66.67 ng/mL (cal. 09) to 0.010 ng/mL (cal. 01). 30 µL of each cal. was then transferred to a new 1.5 mL Eppendorf tube. </w:t>
      </w:r>
    </w:p>
    <w:p w14:paraId="67008B60" w14:textId="46CDA9FA" w:rsidR="00CD7295" w:rsidRPr="00CD7295" w:rsidRDefault="00CD7295" w:rsidP="00CD7295">
      <w:pPr>
        <w:pStyle w:val="paragraph"/>
        <w:spacing w:before="0" w:beforeAutospacing="0" w:after="0" w:afterAutospacing="0"/>
        <w:textAlignment w:val="baseline"/>
        <w:rPr>
          <w:rFonts w:eastAsiaTheme="minorHAnsi"/>
          <w:sz w:val="20"/>
          <w:szCs w:val="20"/>
          <w:lang w:val="en-GB" w:eastAsia="en-US"/>
        </w:rPr>
      </w:pPr>
      <w:r w:rsidRPr="00CD7295">
        <w:rPr>
          <w:rFonts w:eastAsiaTheme="minorHAnsi"/>
          <w:sz w:val="20"/>
          <w:szCs w:val="20"/>
          <w:lang w:val="en-GB" w:eastAsia="en-US"/>
        </w:rPr>
        <w:t>For accurate quantification, 10 µL of 5 ng/mL (50 ng/mL for PUFAs) ISTD mixture were added to the samples, except zero sample. </w:t>
      </w:r>
    </w:p>
    <w:p w14:paraId="7F7F3E9C" w14:textId="77777777" w:rsidR="00793EB8" w:rsidRDefault="00CD7295" w:rsidP="00CD7295">
      <w:pPr>
        <w:pStyle w:val="paragraph"/>
        <w:spacing w:before="0" w:after="0"/>
        <w:textAlignment w:val="baseline"/>
        <w:rPr>
          <w:rFonts w:eastAsiaTheme="minorHAnsi"/>
          <w:sz w:val="20"/>
          <w:szCs w:val="20"/>
          <w:lang w:val="en-GB" w:eastAsia="en-US"/>
        </w:rPr>
      </w:pPr>
      <w:r w:rsidRPr="00CD7295">
        <w:rPr>
          <w:rFonts w:eastAsiaTheme="minorHAnsi"/>
          <w:sz w:val="20"/>
          <w:szCs w:val="20"/>
          <w:lang w:val="en-GB" w:eastAsia="en-US"/>
        </w:rPr>
        <w:t>Extraction procedure: </w:t>
      </w:r>
    </w:p>
    <w:p w14:paraId="7ED5358A" w14:textId="79DC36EF" w:rsidR="00CD7295" w:rsidRPr="00CD7295" w:rsidRDefault="00CD7295" w:rsidP="00CD7295">
      <w:pPr>
        <w:pStyle w:val="paragraph"/>
        <w:spacing w:before="0" w:after="0"/>
        <w:textAlignment w:val="baseline"/>
        <w:rPr>
          <w:rFonts w:eastAsiaTheme="minorHAnsi"/>
          <w:sz w:val="20"/>
          <w:szCs w:val="20"/>
          <w:lang w:val="en-GB" w:eastAsia="en-US"/>
        </w:rPr>
      </w:pPr>
      <w:r w:rsidRPr="00CD7295">
        <w:rPr>
          <w:rFonts w:eastAsiaTheme="minorHAnsi"/>
          <w:sz w:val="20"/>
          <w:szCs w:val="20"/>
          <w:lang w:val="en-GB" w:eastAsia="en-US"/>
        </w:rPr>
        <w:t xml:space="preserve">For lipid extraction, 150 µL of cold MeOH (-20 °C) were added to the samples followed by incubation for 10 min with </w:t>
      </w:r>
      <w:proofErr w:type="spellStart"/>
      <w:r w:rsidRPr="00CD7295">
        <w:rPr>
          <w:rFonts w:eastAsiaTheme="minorHAnsi"/>
          <w:sz w:val="20"/>
          <w:szCs w:val="20"/>
          <w:lang w:val="en-GB" w:eastAsia="en-US"/>
        </w:rPr>
        <w:t>vortexing</w:t>
      </w:r>
      <w:proofErr w:type="spellEnd"/>
      <w:r w:rsidRPr="00CD7295">
        <w:rPr>
          <w:rFonts w:eastAsiaTheme="minorHAnsi"/>
          <w:sz w:val="20"/>
          <w:szCs w:val="20"/>
          <w:lang w:val="en-GB" w:eastAsia="en-US"/>
        </w:rPr>
        <w:t xml:space="preserve"> every 3 min. Protein precipitation was performed by centrifugation of the samples at 10,000 x g for 15 min at 4 °C. The supernatant (around </w:t>
      </w:r>
      <w:r w:rsidR="00DD5B31">
        <w:rPr>
          <w:rFonts w:eastAsiaTheme="minorHAnsi"/>
          <w:sz w:val="20"/>
          <w:szCs w:val="20"/>
          <w:lang w:val="en-GB" w:eastAsia="en-US"/>
        </w:rPr>
        <w:t>250</w:t>
      </w:r>
      <w:r w:rsidR="00DD5B31" w:rsidRPr="00CD7295">
        <w:rPr>
          <w:rFonts w:eastAsiaTheme="minorHAnsi"/>
          <w:sz w:val="20"/>
          <w:szCs w:val="20"/>
          <w:lang w:val="en-GB" w:eastAsia="en-US"/>
        </w:rPr>
        <w:t xml:space="preserve"> </w:t>
      </w:r>
      <w:r w:rsidRPr="00CD7295">
        <w:rPr>
          <w:rFonts w:eastAsiaTheme="minorHAnsi"/>
          <w:sz w:val="20"/>
          <w:szCs w:val="20"/>
          <w:lang w:val="en-GB" w:eastAsia="en-US"/>
        </w:rPr>
        <w:t xml:space="preserve">µL) was transferred to a 1 mL </w:t>
      </w:r>
      <w:proofErr w:type="spellStart"/>
      <w:r w:rsidRPr="00CD7295">
        <w:rPr>
          <w:rFonts w:eastAsiaTheme="minorHAnsi"/>
          <w:sz w:val="20"/>
          <w:szCs w:val="20"/>
          <w:lang w:val="en-GB" w:eastAsia="en-US"/>
        </w:rPr>
        <w:t>NuncTM</w:t>
      </w:r>
      <w:proofErr w:type="spellEnd"/>
      <w:r w:rsidRPr="00CD7295">
        <w:rPr>
          <w:rFonts w:eastAsiaTheme="minorHAnsi"/>
          <w:sz w:val="20"/>
          <w:szCs w:val="20"/>
          <w:lang w:val="en-GB" w:eastAsia="en-US"/>
        </w:rPr>
        <w:t xml:space="preserve"> 96-well polypropylene plate (</w:t>
      </w:r>
      <w:proofErr w:type="spellStart"/>
      <w:r w:rsidRPr="00CD7295">
        <w:rPr>
          <w:rFonts w:eastAsiaTheme="minorHAnsi"/>
          <w:sz w:val="20"/>
          <w:szCs w:val="20"/>
          <w:lang w:val="en-GB" w:eastAsia="en-US"/>
        </w:rPr>
        <w:t>ThermoFisher</w:t>
      </w:r>
      <w:proofErr w:type="spellEnd"/>
      <w:r w:rsidRPr="00CD7295">
        <w:rPr>
          <w:rFonts w:eastAsiaTheme="minorHAnsi"/>
          <w:sz w:val="20"/>
          <w:szCs w:val="20"/>
          <w:lang w:val="en-GB" w:eastAsia="en-US"/>
        </w:rPr>
        <w:t xml:space="preserve">), and the volume was adjusted with water to reach 1 ml (final MeOH concentration of 15%) and mixed up. </w:t>
      </w:r>
      <w:r w:rsidR="00AD5121">
        <w:rPr>
          <w:rFonts w:eastAsiaTheme="minorHAnsi"/>
          <w:sz w:val="20"/>
          <w:szCs w:val="20"/>
          <w:lang w:val="en-GB" w:eastAsia="en-US"/>
        </w:rPr>
        <w:t>SPE</w:t>
      </w:r>
      <w:r w:rsidRPr="00CD7295">
        <w:rPr>
          <w:rFonts w:eastAsiaTheme="minorHAnsi"/>
          <w:sz w:val="20"/>
          <w:szCs w:val="20"/>
          <w:lang w:val="en-GB" w:eastAsia="en-US"/>
        </w:rPr>
        <w:t xml:space="preserve"> was then performed with a Strata-X Micro 96-well plate, 33 µm, 2 mL (Phenomenex) using a positive pressure-96 processor (Waters). After SPE plate conditioning with 2 x 0.5 mL MeOH and then 2 x 0.5 mL water, 2 x 0.5 mL of each sample were loaded on the SPE plate. After rinsing with 2 x 0.5 mL 10% MeOH in water (v/v) the analytes were eluted with 2 x 100 µL MeOH into a new 1 mL 96-well plate. Samples were transferred to a select-a-vial 96-well plate with 300 µL glass inserts (Analytical Services) and evaporated to dryness at 30 °C with nitrogen gas. Analytes were resuspended with 30 µL 50% MeOH in water (v/v), vortexed, and centrifuged for some seconds at 1000 x g before direct injection into the analytical system. </w:t>
      </w:r>
    </w:p>
    <w:p w14:paraId="5473E78B" w14:textId="77777777" w:rsidR="00CD7295" w:rsidRPr="00CD7295" w:rsidRDefault="00CD7295" w:rsidP="00CD7295">
      <w:pPr>
        <w:pStyle w:val="paragraph"/>
        <w:spacing w:before="0" w:after="0"/>
        <w:textAlignment w:val="baseline"/>
        <w:rPr>
          <w:rFonts w:eastAsiaTheme="minorHAnsi"/>
          <w:sz w:val="20"/>
          <w:szCs w:val="20"/>
          <w:lang w:val="en-GB" w:eastAsia="en-US"/>
        </w:rPr>
      </w:pPr>
      <w:r w:rsidRPr="00CD7295">
        <w:rPr>
          <w:rFonts w:eastAsiaTheme="minorHAnsi"/>
          <w:sz w:val="20"/>
          <w:szCs w:val="20"/>
          <w:lang w:val="en-GB" w:eastAsia="en-US"/>
        </w:rPr>
        <w:t> </w:t>
      </w:r>
    </w:p>
    <w:p w14:paraId="7D86956F" w14:textId="77777777" w:rsidR="00CD7295" w:rsidRPr="00CD7295" w:rsidRDefault="00CD7295" w:rsidP="00CD7295">
      <w:pPr>
        <w:spacing w:line="240" w:lineRule="auto"/>
        <w:jc w:val="both"/>
        <w:rPr>
          <w:rFonts w:ascii="Times New Roman" w:hAnsi="Times New Roman" w:cs="Times New Roman"/>
          <w:sz w:val="20"/>
          <w:szCs w:val="20"/>
          <w:u w:val="single"/>
          <w:lang w:val="en-GB"/>
        </w:rPr>
      </w:pPr>
      <w:r w:rsidRPr="00CD7295">
        <w:rPr>
          <w:rFonts w:ascii="Times New Roman" w:hAnsi="Times New Roman" w:cs="Times New Roman"/>
          <w:sz w:val="20"/>
          <w:szCs w:val="20"/>
          <w:u w:val="single"/>
          <w:lang w:val="en-GB"/>
        </w:rPr>
        <w:t>LC-MS/MS lipid mediator analysis </w:t>
      </w:r>
    </w:p>
    <w:p w14:paraId="2F1FD0A4" w14:textId="3793A937" w:rsidR="00CD7295" w:rsidRPr="00CD7295" w:rsidRDefault="00CD7295" w:rsidP="00CD7295">
      <w:pPr>
        <w:pStyle w:val="paragraph"/>
        <w:spacing w:before="0" w:after="0"/>
        <w:textAlignment w:val="baseline"/>
        <w:rPr>
          <w:rFonts w:eastAsiaTheme="minorHAnsi"/>
          <w:sz w:val="20"/>
          <w:szCs w:val="20"/>
          <w:lang w:val="en-GB" w:eastAsia="en-US"/>
        </w:rPr>
      </w:pPr>
      <w:r w:rsidRPr="00CD7295">
        <w:rPr>
          <w:rFonts w:eastAsiaTheme="minorHAnsi"/>
          <w:sz w:val="20"/>
          <w:szCs w:val="20"/>
          <w:lang w:val="en-GB" w:eastAsia="en-US"/>
        </w:rPr>
        <w:t>All samples were measured with an </w:t>
      </w:r>
      <w:proofErr w:type="spellStart"/>
      <w:r w:rsidRPr="00CD7295">
        <w:rPr>
          <w:rFonts w:eastAsiaTheme="minorHAnsi"/>
          <w:sz w:val="20"/>
          <w:szCs w:val="20"/>
          <w:lang w:val="en-GB" w:eastAsia="en-US"/>
        </w:rPr>
        <w:t>Exion</w:t>
      </w:r>
      <w:proofErr w:type="spellEnd"/>
      <w:r w:rsidRPr="00CD7295">
        <w:rPr>
          <w:rFonts w:eastAsiaTheme="minorHAnsi"/>
          <w:sz w:val="20"/>
          <w:szCs w:val="20"/>
          <w:lang w:val="en-GB" w:eastAsia="en-US"/>
        </w:rPr>
        <w:t xml:space="preserve"> UHPLC-system coupled to a QTRAP 6500+ mass spectrometer (SCIEX, Darmstadt, Germany) operated with Analyst 1.6.3. Chromatographic separation was achieved using a </w:t>
      </w:r>
      <w:proofErr w:type="spellStart"/>
      <w:r w:rsidRPr="00CD7295">
        <w:rPr>
          <w:rFonts w:eastAsiaTheme="minorHAnsi"/>
          <w:sz w:val="20"/>
          <w:szCs w:val="20"/>
          <w:lang w:val="en-GB" w:eastAsia="en-US"/>
        </w:rPr>
        <w:t>Kinetex</w:t>
      </w:r>
      <w:proofErr w:type="spellEnd"/>
      <w:r w:rsidRPr="00CD7295">
        <w:rPr>
          <w:rFonts w:eastAsiaTheme="minorHAnsi"/>
          <w:sz w:val="20"/>
          <w:szCs w:val="20"/>
          <w:lang w:val="en-GB" w:eastAsia="en-US"/>
        </w:rPr>
        <w:t xml:space="preserve"> C18 reversed phase column (1.7 </w:t>
      </w:r>
      <w:proofErr w:type="spellStart"/>
      <w:r w:rsidRPr="00CD7295">
        <w:rPr>
          <w:rFonts w:eastAsiaTheme="minorHAnsi"/>
          <w:sz w:val="20"/>
          <w:szCs w:val="20"/>
          <w:lang w:val="en-GB" w:eastAsia="en-US"/>
        </w:rPr>
        <w:t>μm</w:t>
      </w:r>
      <w:proofErr w:type="spellEnd"/>
      <w:r w:rsidRPr="00CD7295">
        <w:rPr>
          <w:rFonts w:eastAsiaTheme="minorHAnsi"/>
          <w:sz w:val="20"/>
          <w:szCs w:val="20"/>
          <w:lang w:val="en-GB" w:eastAsia="en-US"/>
        </w:rPr>
        <w:t xml:space="preserve">, 100 × 2.1 mm, Phenomenex) with a </w:t>
      </w:r>
      <w:proofErr w:type="spellStart"/>
      <w:r w:rsidRPr="00CD7295">
        <w:rPr>
          <w:rFonts w:eastAsiaTheme="minorHAnsi"/>
          <w:sz w:val="20"/>
          <w:szCs w:val="20"/>
          <w:lang w:val="en-GB" w:eastAsia="en-US"/>
        </w:rPr>
        <w:t>SecurityGuard</w:t>
      </w:r>
      <w:proofErr w:type="spellEnd"/>
      <w:r w:rsidRPr="00CD7295">
        <w:rPr>
          <w:rFonts w:eastAsiaTheme="minorHAnsi"/>
          <w:sz w:val="20"/>
          <w:szCs w:val="20"/>
          <w:lang w:val="en-GB" w:eastAsia="en-US"/>
        </w:rPr>
        <w:t xml:space="preserve"> Ultra Cartridge C18 (Phenomenex) precolumn, heated at 40 °C. Mobile phases A, </w:t>
      </w:r>
      <w:proofErr w:type="spellStart"/>
      <w:r w:rsidRPr="00CD7295">
        <w:rPr>
          <w:rFonts w:eastAsiaTheme="minorHAnsi"/>
          <w:sz w:val="20"/>
          <w:szCs w:val="20"/>
          <w:lang w:val="en-GB" w:eastAsia="en-US"/>
        </w:rPr>
        <w:t>water:</w:t>
      </w:r>
      <w:r w:rsidR="00DD5B31">
        <w:rPr>
          <w:rFonts w:eastAsiaTheme="minorHAnsi"/>
          <w:sz w:val="20"/>
          <w:szCs w:val="20"/>
          <w:lang w:val="en-GB" w:eastAsia="en-US"/>
        </w:rPr>
        <w:t>acetonitrile</w:t>
      </w:r>
      <w:proofErr w:type="spellEnd"/>
      <w:r w:rsidRPr="00CD7295">
        <w:rPr>
          <w:rFonts w:eastAsiaTheme="minorHAnsi"/>
          <w:sz w:val="20"/>
          <w:szCs w:val="20"/>
          <w:lang w:val="en-GB" w:eastAsia="en-US"/>
        </w:rPr>
        <w:t xml:space="preserve"> (70:30, v/v) + 100 µL </w:t>
      </w:r>
      <w:r w:rsidR="00DD5B31">
        <w:rPr>
          <w:rFonts w:eastAsiaTheme="minorHAnsi"/>
          <w:sz w:val="20"/>
          <w:szCs w:val="20"/>
          <w:lang w:val="en-GB" w:eastAsia="en-US"/>
        </w:rPr>
        <w:t>acetic acid</w:t>
      </w:r>
      <w:r w:rsidRPr="00CD7295">
        <w:rPr>
          <w:rFonts w:eastAsiaTheme="minorHAnsi"/>
          <w:sz w:val="20"/>
          <w:szCs w:val="20"/>
          <w:lang w:val="en-GB" w:eastAsia="en-US"/>
        </w:rPr>
        <w:t xml:space="preserve"> and B, </w:t>
      </w:r>
      <w:r w:rsidR="00DD5B31">
        <w:rPr>
          <w:rFonts w:eastAsiaTheme="minorHAnsi"/>
          <w:sz w:val="20"/>
          <w:szCs w:val="20"/>
          <w:lang w:val="en-GB" w:eastAsia="en-US"/>
        </w:rPr>
        <w:t>acetonitrile</w:t>
      </w:r>
      <w:r w:rsidR="004C2DAA">
        <w:rPr>
          <w:rFonts w:eastAsiaTheme="minorHAnsi"/>
          <w:sz w:val="20"/>
          <w:szCs w:val="20"/>
          <w:lang w:val="en-GB" w:eastAsia="en-US"/>
        </w:rPr>
        <w:t>:</w:t>
      </w:r>
      <w:r w:rsidR="00DD5B31">
        <w:rPr>
          <w:rFonts w:eastAsiaTheme="minorHAnsi"/>
          <w:sz w:val="20"/>
          <w:szCs w:val="20"/>
          <w:lang w:val="en-GB" w:eastAsia="en-US"/>
        </w:rPr>
        <w:t>2-propanol</w:t>
      </w:r>
      <w:r w:rsidRPr="00CD7295">
        <w:rPr>
          <w:rFonts w:eastAsiaTheme="minorHAnsi"/>
          <w:sz w:val="20"/>
          <w:szCs w:val="20"/>
          <w:lang w:val="en-GB" w:eastAsia="en-US"/>
        </w:rPr>
        <w:t xml:space="preserve"> (50:50, v/v) were used with gradient program with a flow rate of 500 µL/min as follow: 0% B at 0 min, 70% B at 6.5 min, 100% B at 7.8 min, 100% B at 9.5 min, and 0% B at 11 min. The autosampler was operated at 4 °C with an injection volume of 10 µL of sample. </w:t>
      </w:r>
    </w:p>
    <w:p w14:paraId="7293ED3B" w14:textId="77A11D4B" w:rsidR="00CD7295" w:rsidRPr="00CD7295" w:rsidRDefault="00CD7295" w:rsidP="00CD7295">
      <w:pPr>
        <w:pStyle w:val="paragraph"/>
        <w:spacing w:before="0" w:after="0"/>
        <w:textAlignment w:val="baseline"/>
        <w:rPr>
          <w:rFonts w:eastAsiaTheme="minorHAnsi"/>
          <w:sz w:val="20"/>
          <w:szCs w:val="20"/>
          <w:lang w:val="en-GB" w:eastAsia="en-US"/>
        </w:rPr>
      </w:pPr>
      <w:r w:rsidRPr="00CD7295">
        <w:rPr>
          <w:rFonts w:eastAsiaTheme="minorHAnsi"/>
          <w:sz w:val="20"/>
          <w:szCs w:val="20"/>
          <w:lang w:val="en-GB" w:eastAsia="en-US"/>
        </w:rPr>
        <w:t xml:space="preserve">The coupled mass spectrometer was equipped with an electrospray ionization (ESI) Turbo-VTM source set to negative mode. Source parameters were optimized to the following values: source temperature 500 °C, curtain gas flow </w:t>
      </w:r>
      <w:r w:rsidR="004C2DAA">
        <w:rPr>
          <w:rFonts w:eastAsiaTheme="minorHAnsi"/>
          <w:sz w:val="20"/>
          <w:szCs w:val="20"/>
          <w:lang w:val="en-GB" w:eastAsia="en-US"/>
        </w:rPr>
        <w:t>3</w:t>
      </w:r>
      <w:r w:rsidRPr="00CD7295">
        <w:rPr>
          <w:rFonts w:eastAsiaTheme="minorHAnsi"/>
          <w:sz w:val="20"/>
          <w:szCs w:val="20"/>
          <w:lang w:val="en-GB" w:eastAsia="en-US"/>
        </w:rPr>
        <w:t xml:space="preserve">0 psi, </w:t>
      </w:r>
      <w:proofErr w:type="spellStart"/>
      <w:r w:rsidRPr="00CD7295">
        <w:rPr>
          <w:rFonts w:eastAsiaTheme="minorHAnsi"/>
          <w:sz w:val="20"/>
          <w:szCs w:val="20"/>
          <w:lang w:val="en-GB" w:eastAsia="en-US"/>
        </w:rPr>
        <w:t>ionspray</w:t>
      </w:r>
      <w:proofErr w:type="spellEnd"/>
      <w:r w:rsidRPr="00CD7295">
        <w:rPr>
          <w:rFonts w:eastAsiaTheme="minorHAnsi"/>
          <w:sz w:val="20"/>
          <w:szCs w:val="20"/>
          <w:lang w:val="en-GB" w:eastAsia="en-US"/>
        </w:rPr>
        <w:t xml:space="preserve"> voltage –4</w:t>
      </w:r>
      <w:r w:rsidR="004C2DAA">
        <w:rPr>
          <w:rFonts w:eastAsiaTheme="minorHAnsi"/>
          <w:sz w:val="20"/>
          <w:szCs w:val="20"/>
          <w:lang w:val="en-GB" w:eastAsia="en-US"/>
        </w:rPr>
        <w:t>5</w:t>
      </w:r>
      <w:r w:rsidRPr="00CD7295">
        <w:rPr>
          <w:rFonts w:eastAsiaTheme="minorHAnsi"/>
          <w:sz w:val="20"/>
          <w:szCs w:val="20"/>
          <w:lang w:val="en-GB" w:eastAsia="en-US"/>
        </w:rPr>
        <w:t xml:space="preserve">00 V, ion source gas 1 </w:t>
      </w:r>
      <w:r w:rsidR="004C2DAA">
        <w:rPr>
          <w:rFonts w:eastAsiaTheme="minorHAnsi"/>
          <w:sz w:val="20"/>
          <w:szCs w:val="20"/>
          <w:lang w:val="en-GB" w:eastAsia="en-US"/>
        </w:rPr>
        <w:t>4</w:t>
      </w:r>
      <w:r w:rsidRPr="00CD7295">
        <w:rPr>
          <w:rFonts w:eastAsiaTheme="minorHAnsi"/>
          <w:sz w:val="20"/>
          <w:szCs w:val="20"/>
          <w:lang w:val="en-GB" w:eastAsia="en-US"/>
        </w:rPr>
        <w:t xml:space="preserve">0 psi, ion source gas 2 40 psi. Metabolites were </w:t>
      </w:r>
      <w:proofErr w:type="spellStart"/>
      <w:r w:rsidRPr="00CD7295">
        <w:rPr>
          <w:rFonts w:eastAsiaTheme="minorHAnsi"/>
          <w:sz w:val="20"/>
          <w:szCs w:val="20"/>
          <w:lang w:val="en-GB" w:eastAsia="en-US"/>
        </w:rPr>
        <w:t>analyzed</w:t>
      </w:r>
      <w:proofErr w:type="spellEnd"/>
      <w:r w:rsidRPr="00CD7295">
        <w:rPr>
          <w:rFonts w:eastAsiaTheme="minorHAnsi"/>
          <w:sz w:val="20"/>
          <w:szCs w:val="20"/>
          <w:lang w:val="en-GB" w:eastAsia="en-US"/>
        </w:rPr>
        <w:t xml:space="preserve"> via scheduled multiple reaction monitoring (</w:t>
      </w:r>
      <w:proofErr w:type="spellStart"/>
      <w:r w:rsidRPr="00CD7295">
        <w:rPr>
          <w:rFonts w:eastAsiaTheme="minorHAnsi"/>
          <w:sz w:val="20"/>
          <w:szCs w:val="20"/>
          <w:lang w:val="en-GB" w:eastAsia="en-US"/>
        </w:rPr>
        <w:t>sMRM</w:t>
      </w:r>
      <w:proofErr w:type="spellEnd"/>
      <w:r w:rsidRPr="00CD7295">
        <w:rPr>
          <w:rFonts w:eastAsiaTheme="minorHAnsi"/>
          <w:sz w:val="20"/>
          <w:szCs w:val="20"/>
          <w:lang w:val="en-GB" w:eastAsia="en-US"/>
        </w:rPr>
        <w:t xml:space="preserve">) with nitrogen as collision gas. All MRM transitions were optimized for each compound, as well as the source parameters such as </w:t>
      </w:r>
      <w:proofErr w:type="spellStart"/>
      <w:r w:rsidRPr="00CD7295">
        <w:rPr>
          <w:rFonts w:eastAsiaTheme="minorHAnsi"/>
          <w:sz w:val="20"/>
          <w:szCs w:val="20"/>
          <w:lang w:val="en-GB" w:eastAsia="en-US"/>
        </w:rPr>
        <w:t>declustering</w:t>
      </w:r>
      <w:proofErr w:type="spellEnd"/>
      <w:r w:rsidRPr="00CD7295">
        <w:rPr>
          <w:rFonts w:eastAsiaTheme="minorHAnsi"/>
          <w:sz w:val="20"/>
          <w:szCs w:val="20"/>
          <w:lang w:val="en-GB" w:eastAsia="en-US"/>
        </w:rPr>
        <w:t xml:space="preserve"> potential, collision energy, cell exit potential and entrance potential. The </w:t>
      </w:r>
      <w:proofErr w:type="spellStart"/>
      <w:r w:rsidRPr="00CD7295">
        <w:rPr>
          <w:rFonts w:eastAsiaTheme="minorHAnsi"/>
          <w:sz w:val="20"/>
          <w:szCs w:val="20"/>
          <w:lang w:val="en-GB" w:eastAsia="en-US"/>
        </w:rPr>
        <w:t>sMRM</w:t>
      </w:r>
      <w:proofErr w:type="spellEnd"/>
      <w:r w:rsidRPr="00CD7295">
        <w:rPr>
          <w:rFonts w:eastAsiaTheme="minorHAnsi"/>
          <w:sz w:val="20"/>
          <w:szCs w:val="20"/>
          <w:lang w:val="en-GB" w:eastAsia="en-US"/>
        </w:rPr>
        <w:t xml:space="preserve"> detection window was set to 60 s. Acquisition time was about 8.5 min. </w:t>
      </w:r>
    </w:p>
    <w:p w14:paraId="3000DF7B" w14:textId="77777777" w:rsidR="00CD7295" w:rsidRPr="00CD7295" w:rsidRDefault="00CD7295" w:rsidP="00CD7295">
      <w:pPr>
        <w:pStyle w:val="paragraph"/>
        <w:spacing w:before="0" w:after="0"/>
        <w:textAlignment w:val="baseline"/>
        <w:rPr>
          <w:rFonts w:eastAsiaTheme="minorHAnsi"/>
          <w:sz w:val="20"/>
          <w:szCs w:val="20"/>
          <w:lang w:val="en-GB" w:eastAsia="en-US"/>
        </w:rPr>
      </w:pPr>
      <w:proofErr w:type="spellStart"/>
      <w:r w:rsidRPr="00CD7295">
        <w:rPr>
          <w:rFonts w:eastAsiaTheme="minorHAnsi"/>
          <w:sz w:val="20"/>
          <w:szCs w:val="20"/>
          <w:lang w:val="en-GB" w:eastAsia="en-US"/>
        </w:rPr>
        <w:lastRenderedPageBreak/>
        <w:t>SciexOS</w:t>
      </w:r>
      <w:proofErr w:type="spellEnd"/>
      <w:r w:rsidRPr="00CD7295">
        <w:rPr>
          <w:rFonts w:eastAsiaTheme="minorHAnsi"/>
          <w:sz w:val="20"/>
          <w:szCs w:val="20"/>
          <w:lang w:val="en-GB" w:eastAsia="en-US"/>
        </w:rPr>
        <w:t xml:space="preserve"> software (</w:t>
      </w:r>
      <w:proofErr w:type="spellStart"/>
      <w:r w:rsidRPr="00CD7295">
        <w:rPr>
          <w:rFonts w:eastAsiaTheme="minorHAnsi"/>
          <w:sz w:val="20"/>
          <w:szCs w:val="20"/>
          <w:lang w:val="en-GB" w:eastAsia="en-US"/>
        </w:rPr>
        <w:t>Sciex</w:t>
      </w:r>
      <w:proofErr w:type="spellEnd"/>
      <w:r w:rsidRPr="00CD7295">
        <w:rPr>
          <w:rFonts w:eastAsiaTheme="minorHAnsi"/>
          <w:sz w:val="20"/>
          <w:szCs w:val="20"/>
          <w:lang w:val="en-GB" w:eastAsia="en-US"/>
        </w:rPr>
        <w:t>) was finally used for peak detection, integration and for quantitation of compounds (MQ4 algorithm). For quantification, linear calibration curves were generated from extracted calibrator samples for every compound via the IS method using the area ratio between the analyte and its ISTD, with a weighting factor of 1/x. </w:t>
      </w:r>
    </w:p>
    <w:p w14:paraId="4BDFDAA2" w14:textId="2CCF4F62" w:rsidR="00CD7295" w:rsidRPr="00CD7295" w:rsidRDefault="00CD7295" w:rsidP="00CD7295">
      <w:pPr>
        <w:pStyle w:val="paragraph"/>
        <w:spacing w:before="0" w:after="0"/>
        <w:textAlignment w:val="baseline"/>
        <w:rPr>
          <w:rFonts w:eastAsiaTheme="minorHAnsi"/>
          <w:sz w:val="20"/>
          <w:szCs w:val="20"/>
          <w:u w:val="single"/>
          <w:lang w:val="en-GB" w:eastAsia="en-US"/>
        </w:rPr>
      </w:pPr>
      <w:r w:rsidRPr="00CD7295">
        <w:rPr>
          <w:rFonts w:eastAsiaTheme="minorHAnsi"/>
          <w:sz w:val="20"/>
          <w:szCs w:val="20"/>
          <w:u w:val="single"/>
          <w:lang w:val="en-GB" w:eastAsia="en-US"/>
        </w:rPr>
        <w:t xml:space="preserve">Data </w:t>
      </w:r>
      <w:r w:rsidR="008C690C">
        <w:rPr>
          <w:rFonts w:eastAsiaTheme="minorHAnsi"/>
          <w:sz w:val="20"/>
          <w:szCs w:val="20"/>
          <w:u w:val="single"/>
          <w:lang w:val="en-GB" w:eastAsia="en-US"/>
        </w:rPr>
        <w:t>processing</w:t>
      </w:r>
    </w:p>
    <w:p w14:paraId="7693B47A" w14:textId="01527939" w:rsidR="00EF2F33" w:rsidRDefault="008C690C" w:rsidP="00EF2F33">
      <w:pPr>
        <w:pStyle w:val="paragraph"/>
        <w:spacing w:after="0"/>
        <w:textAlignment w:val="baseline"/>
        <w:rPr>
          <w:rFonts w:eastAsiaTheme="minorHAnsi"/>
          <w:sz w:val="20"/>
          <w:szCs w:val="20"/>
          <w:lang w:val="en-GB" w:eastAsia="en-US"/>
        </w:rPr>
      </w:pPr>
      <w:r>
        <w:rPr>
          <w:rFonts w:eastAsiaTheme="minorHAnsi"/>
          <w:sz w:val="20"/>
          <w:szCs w:val="20"/>
          <w:lang w:val="en-GB" w:eastAsia="en-US"/>
        </w:rPr>
        <w:t>Data</w:t>
      </w:r>
      <w:r w:rsidR="00CD7295" w:rsidRPr="00CD7295">
        <w:rPr>
          <w:rFonts w:eastAsiaTheme="minorHAnsi"/>
          <w:sz w:val="20"/>
          <w:szCs w:val="20"/>
          <w:lang w:val="en-GB" w:eastAsia="en-US"/>
        </w:rPr>
        <w:t xml:space="preserve"> </w:t>
      </w:r>
      <w:r>
        <w:rPr>
          <w:rFonts w:eastAsiaTheme="minorHAnsi"/>
          <w:sz w:val="20"/>
          <w:szCs w:val="20"/>
          <w:lang w:val="en-GB" w:eastAsia="en-US"/>
        </w:rPr>
        <w:t xml:space="preserve">were processed </w:t>
      </w:r>
      <w:r w:rsidR="00074BE6">
        <w:rPr>
          <w:rFonts w:eastAsiaTheme="minorHAnsi"/>
          <w:sz w:val="20"/>
          <w:szCs w:val="20"/>
          <w:lang w:val="en-GB" w:eastAsia="en-US"/>
        </w:rPr>
        <w:t xml:space="preserve">using </w:t>
      </w:r>
      <w:r w:rsidR="00CD7295" w:rsidRPr="00CD7295">
        <w:rPr>
          <w:rFonts w:eastAsiaTheme="minorHAnsi"/>
          <w:sz w:val="20"/>
          <w:szCs w:val="20"/>
          <w:lang w:val="en-GB" w:eastAsia="en-US"/>
        </w:rPr>
        <w:t xml:space="preserve">R </w:t>
      </w:r>
      <w:r w:rsidR="007B7B47">
        <w:rPr>
          <w:rFonts w:eastAsiaTheme="minorHAnsi"/>
          <w:sz w:val="20"/>
          <w:szCs w:val="20"/>
          <w:lang w:val="en-GB" w:eastAsia="en-US"/>
        </w:rPr>
        <w:t xml:space="preserve">version 4.2.1 for the clinical study and R version </w:t>
      </w:r>
      <w:r w:rsidR="001B390A">
        <w:rPr>
          <w:rFonts w:eastAsiaTheme="minorHAnsi"/>
          <w:sz w:val="20"/>
          <w:szCs w:val="20"/>
          <w:lang w:val="en-GB" w:eastAsia="en-US"/>
        </w:rPr>
        <w:t>4.3.1</w:t>
      </w:r>
      <w:r w:rsidR="007B7B47">
        <w:rPr>
          <w:rFonts w:eastAsiaTheme="minorHAnsi"/>
          <w:sz w:val="20"/>
          <w:szCs w:val="20"/>
          <w:lang w:val="en-GB" w:eastAsia="en-US"/>
        </w:rPr>
        <w:t xml:space="preserve"> for cell culture experiment</w:t>
      </w:r>
      <w:r w:rsidR="009B742C">
        <w:rPr>
          <w:rFonts w:eastAsiaTheme="minorHAnsi"/>
          <w:sz w:val="20"/>
          <w:szCs w:val="20"/>
          <w:lang w:val="en-GB" w:eastAsia="en-US"/>
        </w:rPr>
        <w:t>s.</w:t>
      </w:r>
      <w:r w:rsidR="00E94695">
        <w:rPr>
          <w:rFonts w:eastAsiaTheme="minorHAnsi"/>
          <w:sz w:val="20"/>
          <w:szCs w:val="20"/>
          <w:lang w:val="en-GB" w:eastAsia="en-US"/>
        </w:rPr>
        <w:t xml:space="preserve"> </w:t>
      </w:r>
      <w:r w:rsidR="00F15CFF">
        <w:rPr>
          <w:rFonts w:eastAsiaTheme="minorHAnsi"/>
          <w:sz w:val="20"/>
          <w:szCs w:val="20"/>
          <w:lang w:val="en-GB" w:eastAsia="en-US"/>
        </w:rPr>
        <w:t xml:space="preserve">A multistep procedure was used to ensure high data quality: First, lipids </w:t>
      </w:r>
      <w:r w:rsidR="00E94695" w:rsidRPr="00E94695">
        <w:rPr>
          <w:rFonts w:eastAsiaTheme="minorHAnsi"/>
          <w:sz w:val="20"/>
          <w:szCs w:val="20"/>
          <w:lang w:val="en-GB" w:eastAsia="en-US"/>
        </w:rPr>
        <w:t xml:space="preserve">with a coefficient of variation </w:t>
      </w:r>
      <w:r w:rsidR="00B216F1">
        <w:rPr>
          <w:rFonts w:eastAsiaTheme="minorHAnsi"/>
          <w:sz w:val="20"/>
          <w:szCs w:val="20"/>
          <w:lang w:val="en-GB" w:eastAsia="en-US"/>
        </w:rPr>
        <w:t xml:space="preserve">of 25% </w:t>
      </w:r>
      <w:r w:rsidR="00F15CFF">
        <w:rPr>
          <w:rFonts w:eastAsiaTheme="minorHAnsi"/>
          <w:sz w:val="20"/>
          <w:szCs w:val="20"/>
          <w:lang w:val="en-GB" w:eastAsia="en-US"/>
        </w:rPr>
        <w:t>in the QC-pool samples were discarded (</w:t>
      </w:r>
      <w:r w:rsidR="00B216F1">
        <w:rPr>
          <w:rFonts w:eastAsiaTheme="minorHAnsi"/>
          <w:sz w:val="20"/>
          <w:szCs w:val="20"/>
          <w:lang w:val="en-GB" w:eastAsia="en-US"/>
        </w:rPr>
        <w:t>cell culture: n=</w:t>
      </w:r>
      <w:r w:rsidR="00E94695" w:rsidRPr="00E94695">
        <w:rPr>
          <w:rFonts w:eastAsiaTheme="minorHAnsi"/>
          <w:sz w:val="20"/>
          <w:szCs w:val="20"/>
          <w:lang w:val="en-GB" w:eastAsia="en-US"/>
        </w:rPr>
        <w:t xml:space="preserve"> </w:t>
      </w:r>
      <w:r w:rsidR="005B1181">
        <w:rPr>
          <w:rFonts w:eastAsiaTheme="minorHAnsi"/>
          <w:sz w:val="20"/>
          <w:szCs w:val="20"/>
          <w:lang w:val="en-GB" w:eastAsia="en-US"/>
        </w:rPr>
        <w:t xml:space="preserve">4, clinical study: n = </w:t>
      </w:r>
      <w:r w:rsidR="00090F97">
        <w:rPr>
          <w:rFonts w:eastAsiaTheme="minorHAnsi"/>
          <w:sz w:val="20"/>
          <w:szCs w:val="20"/>
          <w:lang w:val="en-GB" w:eastAsia="en-US"/>
        </w:rPr>
        <w:t xml:space="preserve">4). </w:t>
      </w:r>
      <w:r w:rsidR="00902B44">
        <w:rPr>
          <w:rFonts w:eastAsiaTheme="minorHAnsi"/>
          <w:sz w:val="20"/>
          <w:szCs w:val="20"/>
          <w:lang w:val="en-GB" w:eastAsia="en-US"/>
        </w:rPr>
        <w:t xml:space="preserve">We then discarded lipids </w:t>
      </w:r>
      <w:r w:rsidR="007E6272">
        <w:rPr>
          <w:rFonts w:eastAsiaTheme="minorHAnsi"/>
          <w:sz w:val="20"/>
          <w:szCs w:val="20"/>
          <w:lang w:val="en-GB" w:eastAsia="en-US"/>
        </w:rPr>
        <w:t xml:space="preserve">where </w:t>
      </w:r>
      <w:r w:rsidR="007E6272" w:rsidRPr="002360E9">
        <w:rPr>
          <w:rFonts w:eastAsiaTheme="minorHAnsi"/>
          <w:sz w:val="20"/>
          <w:szCs w:val="20"/>
          <w:lang w:val="en-GB" w:eastAsia="en-US"/>
        </w:rPr>
        <w:t>missing</w:t>
      </w:r>
      <w:r w:rsidR="002360E9">
        <w:rPr>
          <w:rFonts w:eastAsiaTheme="minorHAnsi"/>
          <w:sz w:val="20"/>
          <w:szCs w:val="20"/>
          <w:lang w:val="en-GB" w:eastAsia="en-US"/>
        </w:rPr>
        <w:t xml:space="preserve"> values (NA) </w:t>
      </w:r>
      <w:r w:rsidR="00583458">
        <w:rPr>
          <w:rFonts w:eastAsiaTheme="minorHAnsi"/>
          <w:sz w:val="20"/>
          <w:szCs w:val="20"/>
          <w:lang w:val="en-GB" w:eastAsia="en-US"/>
        </w:rPr>
        <w:t xml:space="preserve">were observed in </w:t>
      </w:r>
      <w:r w:rsidR="002360E9" w:rsidRPr="002360E9">
        <w:rPr>
          <w:rFonts w:eastAsiaTheme="minorHAnsi"/>
          <w:sz w:val="20"/>
          <w:szCs w:val="20"/>
          <w:lang w:val="en-GB" w:eastAsia="en-US"/>
        </w:rPr>
        <w:t xml:space="preserve">more than 50% </w:t>
      </w:r>
      <w:r w:rsidR="007E6272">
        <w:rPr>
          <w:rFonts w:eastAsiaTheme="minorHAnsi"/>
          <w:sz w:val="20"/>
          <w:szCs w:val="20"/>
          <w:lang w:val="en-GB" w:eastAsia="en-US"/>
        </w:rPr>
        <w:t xml:space="preserve">per treatment group in </w:t>
      </w:r>
      <w:r w:rsidR="002360E9" w:rsidRPr="002360E9">
        <w:rPr>
          <w:rFonts w:eastAsiaTheme="minorHAnsi"/>
          <w:sz w:val="20"/>
          <w:szCs w:val="20"/>
          <w:lang w:val="en-GB" w:eastAsia="en-US"/>
        </w:rPr>
        <w:t xml:space="preserve">all investigated </w:t>
      </w:r>
      <w:r w:rsidR="00DD6278">
        <w:rPr>
          <w:rFonts w:eastAsiaTheme="minorHAnsi"/>
          <w:sz w:val="20"/>
          <w:szCs w:val="20"/>
          <w:lang w:val="en-GB" w:eastAsia="en-US"/>
        </w:rPr>
        <w:t xml:space="preserve">treatment </w:t>
      </w:r>
      <w:r w:rsidR="002360E9" w:rsidRPr="002360E9">
        <w:rPr>
          <w:rFonts w:eastAsiaTheme="minorHAnsi"/>
          <w:sz w:val="20"/>
          <w:szCs w:val="20"/>
          <w:lang w:val="en-GB" w:eastAsia="en-US"/>
        </w:rPr>
        <w:t>groups</w:t>
      </w:r>
      <w:r w:rsidR="00DD6278">
        <w:rPr>
          <w:rFonts w:eastAsiaTheme="minorHAnsi"/>
          <w:sz w:val="20"/>
          <w:szCs w:val="20"/>
          <w:lang w:val="en-GB" w:eastAsia="en-US"/>
        </w:rPr>
        <w:t xml:space="preserve"> (cell culture: n = </w:t>
      </w:r>
      <w:r w:rsidR="00AC591F" w:rsidRPr="00AC591F">
        <w:rPr>
          <w:rFonts w:eastAsiaTheme="minorHAnsi"/>
          <w:sz w:val="20"/>
          <w:szCs w:val="20"/>
          <w:lang w:val="en-GB" w:eastAsia="en-US"/>
        </w:rPr>
        <w:t>25</w:t>
      </w:r>
      <w:r w:rsidR="00AC591F">
        <w:rPr>
          <w:rFonts w:eastAsiaTheme="minorHAnsi"/>
          <w:sz w:val="20"/>
          <w:szCs w:val="20"/>
          <w:lang w:val="en-GB" w:eastAsia="en-US"/>
        </w:rPr>
        <w:t>, clinical study: n = 11)</w:t>
      </w:r>
      <w:r w:rsidR="00583458">
        <w:rPr>
          <w:rFonts w:eastAsiaTheme="minorHAnsi"/>
          <w:sz w:val="20"/>
          <w:szCs w:val="20"/>
          <w:lang w:val="en-GB" w:eastAsia="en-US"/>
        </w:rPr>
        <w:t>.</w:t>
      </w:r>
      <w:r w:rsidR="007E6272">
        <w:rPr>
          <w:rFonts w:eastAsiaTheme="minorHAnsi"/>
          <w:sz w:val="20"/>
          <w:szCs w:val="20"/>
          <w:lang w:val="en-GB" w:eastAsia="en-US"/>
        </w:rPr>
        <w:t xml:space="preserve"> </w:t>
      </w:r>
      <w:r w:rsidR="00165AA4">
        <w:rPr>
          <w:rFonts w:eastAsiaTheme="minorHAnsi"/>
          <w:sz w:val="20"/>
          <w:szCs w:val="20"/>
          <w:lang w:val="en-GB" w:eastAsia="en-US"/>
        </w:rPr>
        <w:t>Missing values (</w:t>
      </w:r>
      <w:r w:rsidR="00940142">
        <w:rPr>
          <w:rFonts w:eastAsiaTheme="minorHAnsi"/>
          <w:sz w:val="20"/>
          <w:szCs w:val="20"/>
          <w:lang w:val="en-GB" w:eastAsia="en-US"/>
        </w:rPr>
        <w:t>cell culture: n = 0, clinical study: n</w:t>
      </w:r>
      <w:r w:rsidR="00B52809">
        <w:rPr>
          <w:rFonts w:eastAsiaTheme="minorHAnsi"/>
          <w:sz w:val="20"/>
          <w:szCs w:val="20"/>
          <w:lang w:val="en-GB" w:eastAsia="en-US"/>
        </w:rPr>
        <w:t xml:space="preserve"> </w:t>
      </w:r>
      <w:r w:rsidR="00940142">
        <w:rPr>
          <w:rFonts w:eastAsiaTheme="minorHAnsi"/>
          <w:sz w:val="20"/>
          <w:szCs w:val="20"/>
          <w:lang w:val="en-GB" w:eastAsia="en-US"/>
        </w:rPr>
        <w:t>=</w:t>
      </w:r>
      <w:r w:rsidR="00B52809">
        <w:rPr>
          <w:rFonts w:eastAsiaTheme="minorHAnsi"/>
          <w:sz w:val="20"/>
          <w:szCs w:val="20"/>
          <w:lang w:val="en-GB" w:eastAsia="en-US"/>
        </w:rPr>
        <w:t xml:space="preserve"> </w:t>
      </w:r>
      <w:r w:rsidR="0001284D" w:rsidRPr="0001284D">
        <w:rPr>
          <w:rFonts w:eastAsiaTheme="minorHAnsi"/>
          <w:sz w:val="20"/>
          <w:szCs w:val="20"/>
          <w:lang w:val="en-GB" w:eastAsia="en-US"/>
        </w:rPr>
        <w:t>211</w:t>
      </w:r>
      <w:r w:rsidR="0001284D">
        <w:rPr>
          <w:rFonts w:eastAsiaTheme="minorHAnsi"/>
          <w:sz w:val="20"/>
          <w:szCs w:val="20"/>
          <w:lang w:val="en-GB" w:eastAsia="en-US"/>
        </w:rPr>
        <w:t xml:space="preserve">; 6.8% of whole data set) were imputed using the </w:t>
      </w:r>
      <w:r w:rsidR="0059750A" w:rsidRPr="0059750A">
        <w:rPr>
          <w:rFonts w:eastAsiaTheme="minorHAnsi"/>
          <w:sz w:val="20"/>
          <w:szCs w:val="20"/>
          <w:lang w:val="en-GB" w:eastAsia="en-US"/>
        </w:rPr>
        <w:t xml:space="preserve">k-nearest-neighbour </w:t>
      </w:r>
      <w:proofErr w:type="spellStart"/>
      <w:r w:rsidR="005633EF">
        <w:rPr>
          <w:rFonts w:eastAsiaTheme="minorHAnsi"/>
          <w:sz w:val="20"/>
          <w:szCs w:val="20"/>
          <w:lang w:val="en-GB" w:eastAsia="en-US"/>
        </w:rPr>
        <w:t>obs-sel</w:t>
      </w:r>
      <w:proofErr w:type="spellEnd"/>
      <w:r w:rsidR="005633EF">
        <w:rPr>
          <w:rFonts w:eastAsiaTheme="minorHAnsi"/>
          <w:sz w:val="20"/>
          <w:szCs w:val="20"/>
          <w:lang w:val="en-GB" w:eastAsia="en-US"/>
        </w:rPr>
        <w:t xml:space="preserve"> </w:t>
      </w:r>
      <w:r w:rsidR="0059750A" w:rsidRPr="0059750A">
        <w:rPr>
          <w:rFonts w:eastAsiaTheme="minorHAnsi"/>
          <w:sz w:val="20"/>
          <w:szCs w:val="20"/>
          <w:lang w:val="en-GB" w:eastAsia="en-US"/>
        </w:rPr>
        <w:t xml:space="preserve">imputation </w:t>
      </w:r>
      <w:r w:rsidR="005633EF">
        <w:rPr>
          <w:rFonts w:eastAsiaTheme="minorHAnsi"/>
          <w:sz w:val="20"/>
          <w:szCs w:val="20"/>
          <w:lang w:val="en-GB" w:eastAsia="en-US"/>
        </w:rPr>
        <w:t>approach</w:t>
      </w:r>
      <w:r w:rsidR="00B0220F">
        <w:rPr>
          <w:rFonts w:eastAsiaTheme="minorHAnsi"/>
          <w:sz w:val="20"/>
          <w:szCs w:val="20"/>
          <w:lang w:val="en-GB" w:eastAsia="en-US"/>
        </w:rPr>
        <w:t xml:space="preserve"> as described by Do </w:t>
      </w:r>
      <w:r w:rsidR="00B0220F" w:rsidRPr="009F2E01">
        <w:rPr>
          <w:rFonts w:eastAsiaTheme="minorHAnsi"/>
          <w:i/>
          <w:iCs/>
          <w:sz w:val="20"/>
          <w:szCs w:val="20"/>
          <w:lang w:val="en-GB" w:eastAsia="en-US"/>
        </w:rPr>
        <w:t>et al</w:t>
      </w:r>
      <w:r w:rsidR="00F440F0" w:rsidRPr="009F2E01">
        <w:rPr>
          <w:rFonts w:eastAsiaTheme="minorHAnsi"/>
          <w:i/>
          <w:iCs/>
          <w:sz w:val="20"/>
          <w:szCs w:val="20"/>
          <w:lang w:val="en-GB" w:eastAsia="en-US"/>
        </w:rPr>
        <w:t>.</w:t>
      </w:r>
      <w:r w:rsidR="00D61475" w:rsidRPr="009F2E01">
        <w:rPr>
          <w:rFonts w:eastAsiaTheme="minorHAnsi"/>
          <w:i/>
          <w:iCs/>
          <w:sz w:val="20"/>
          <w:szCs w:val="20"/>
          <w:lang w:val="en-GB" w:eastAsia="en-US"/>
        </w:rPr>
        <w:t xml:space="preserve"> </w:t>
      </w:r>
      <w:r w:rsidR="00D61475">
        <w:rPr>
          <w:rFonts w:eastAsiaTheme="minorHAnsi"/>
          <w:sz w:val="20"/>
          <w:szCs w:val="20"/>
          <w:lang w:val="en-GB" w:eastAsia="en-US"/>
        </w:rPr>
        <w:t>using k = 3</w:t>
      </w:r>
      <w:r w:rsidR="00FC46FA">
        <w:rPr>
          <w:rFonts w:eastAsiaTheme="minorHAnsi"/>
          <w:sz w:val="20"/>
          <w:szCs w:val="20"/>
          <w:lang w:val="en-GB" w:eastAsia="en-US"/>
        </w:rPr>
        <w:t xml:space="preserve"> </w:t>
      </w:r>
      <w:r w:rsidR="00FC46FA">
        <w:rPr>
          <w:rFonts w:eastAsiaTheme="minorHAnsi"/>
          <w:sz w:val="20"/>
          <w:szCs w:val="20"/>
          <w:lang w:val="en-GB" w:eastAsia="en-US"/>
        </w:rPr>
        <w:fldChar w:fldCharType="begin" w:fldLock="1"/>
      </w:r>
      <w:r w:rsidR="00102B2B">
        <w:rPr>
          <w:rFonts w:eastAsiaTheme="minorHAnsi"/>
          <w:sz w:val="20"/>
          <w:szCs w:val="20"/>
          <w:lang w:val="en-GB" w:eastAsia="en-US"/>
        </w:rPr>
        <w:instrText>ADDIN CSL_CITATION {"citationItems":[{"id":"ITEM-1","itemData":{"DOI":"10.1007/s11306-018-1420-2","ISBN":"0123456789","ISSN":"15733890","PMID":"30830398","abstract":"Background: Untargeted mass spectrometry (MS)-based metabolomics data often contain missing values that reduce statistical power and can introduce bias in biomedical studies. However, a systematic assessment of the various sources of missing values and strategies to handle these data has received little attention. Missing data can occur systematically, e.g. from run day-dependent effects due to limits of detection (LOD); or it can be random as, for instance, a consequence of sample preparation. Methods: We investigated patterns of missing data in an MS-based metabolomics experiment of serum samples from the German KORA F4 cohort (n = 1750). We then evaluated 31 imputation methods in a simulation framework and biologically validated the results by applying all imputation approaches to real metabolomics data. We examined the ability of each method to reconstruct biochemical pathways from data-driven correlation networks, and the ability of the method to increase statistical power while preserving the strength of established metabolic quantitative trait loci. Results: Run day-dependent LOD-based missing data accounts for most missing values in the metabolomics dataset. Although multiple imputation by chained equations performed well in many scenarios, it is computationally and statistically challenging. K-nearest neighbors (KNN) imputation on observations with variable pre-selection showed robust performance across all evaluation schemes and is computationally more tractable. Conclusion: Missing data in untargeted MS-based metabolomics data occur for various reasons. Based on our results, we recommend that KNN-based imputation is performed on observations with variable pre-selection since it showed robust results in all evaluation schemes.","author":[{"dropping-particle":"","family":"Do","given":"Kieu Trinh","non-dropping-particle":"","parse-names":false,"suffix":""},{"dropping-particle":"","family":"Wahl","given":"Simone","non-dropping-particle":"","parse-names":false,"suffix":""},{"dropping-particle":"","family":"Raffler","given":"Johannes","non-dropping-particle":"","parse-names":false,"suffix":""},{"dropping-particle":"","family":"Molnos","given":"Sophie","non-dropping-particle":"","parse-names":false,"suffix":""},{"dropping-particle":"","family":"Laimighofer","given":"Michael","non-dropping-particle":"","parse-names":false,"suffix":""},{"dropping-particle":"","family":"Adamski","given":"Jerzy","non-dropping-particle":"","parse-names":false,"suffix":""},{"dropping-particle":"","family":"Suhre","given":"Karsten","non-dropping-particle":"","parse-names":false,"suffix":""},{"dropping-particle":"","family":"Strauch","given":"Konstantin","non-dropping-particle":"","parse-names":false,"suffix":""},{"dropping-particle":"","family":"Peters","given":"Annette","non-dropping-particle":"","parse-names":false,"suffix":""},{"dropping-particle":"","family":"Gieger","given":"Christian","non-dropping-particle":"","parse-names":false,"suffix":""},{"dropping-particle":"","family":"Langenberg","given":"Claudia","non-dropping-particle":"","parse-names":false,"suffix":""},{"dropping-particle":"","family":"Stewart","given":"Isobel D.","non-dropping-particle":"","parse-names":false,"suffix":""},{"dropping-particle":"","family":"Theis","given":"Fabian J.","non-dropping-particle":"","parse-names":false,"suffix":""},{"dropping-particle":"","family":"Grallert","given":"Harald","non-dropping-particle":"","parse-names":false,"suffix":""},{"dropping-particle":"","family":"Kastenmüller","given":"Gabi","non-dropping-particle":"","parse-names":false,"suffix":""},{"dropping-particle":"","family":"Krumsiek","given":"Jan","non-dropping-particle":"","parse-names":false,"suffix":""}],"container-title":"Metabolomics","id":"ITEM-1","issue":"10","issued":{"date-parts":[["2018"]]},"page":"1-18","publisher":"Springer US","title":"Characterization of missing values in untargeted MS-based metabolomics data and evaluation of missing data handling strategies","type":"article-journal","volume":"14"},"uris":["http://www.mendeley.com/documents/?uuid=4bceceee-3a82-46ea-a083-3ef5f9733d7d"]}],"mendeley":{"formattedCitation":"[4]","plainTextFormattedCitation":"[4]","previouslyFormattedCitation":"[3]"},"properties":{"noteIndex":0},"schema":"https://github.com/citation-style-language/schema/raw/master/csl-citation.json"}</w:instrText>
      </w:r>
      <w:r w:rsidR="00FC46FA">
        <w:rPr>
          <w:rFonts w:eastAsiaTheme="minorHAnsi"/>
          <w:sz w:val="20"/>
          <w:szCs w:val="20"/>
          <w:lang w:val="en-GB" w:eastAsia="en-US"/>
        </w:rPr>
        <w:fldChar w:fldCharType="separate"/>
      </w:r>
      <w:r w:rsidR="00102B2B" w:rsidRPr="00102B2B">
        <w:rPr>
          <w:rFonts w:eastAsiaTheme="minorHAnsi"/>
          <w:noProof/>
          <w:sz w:val="20"/>
          <w:szCs w:val="20"/>
          <w:lang w:val="en-GB" w:eastAsia="en-US"/>
        </w:rPr>
        <w:t>[4]</w:t>
      </w:r>
      <w:r w:rsidR="00FC46FA">
        <w:rPr>
          <w:rFonts w:eastAsiaTheme="minorHAnsi"/>
          <w:sz w:val="20"/>
          <w:szCs w:val="20"/>
          <w:lang w:val="en-GB" w:eastAsia="en-US"/>
        </w:rPr>
        <w:fldChar w:fldCharType="end"/>
      </w:r>
      <w:r w:rsidR="00B0220F">
        <w:rPr>
          <w:rFonts w:eastAsiaTheme="minorHAnsi"/>
          <w:sz w:val="20"/>
          <w:szCs w:val="20"/>
          <w:lang w:val="en-GB" w:eastAsia="en-US"/>
        </w:rPr>
        <w:t>.</w:t>
      </w:r>
    </w:p>
    <w:p w14:paraId="5374E553" w14:textId="77777777" w:rsidR="00A17E1B" w:rsidRDefault="00A17E1B" w:rsidP="00CD7295">
      <w:pPr>
        <w:pStyle w:val="paragraph"/>
        <w:spacing w:before="0" w:after="0"/>
        <w:textAlignment w:val="baseline"/>
        <w:rPr>
          <w:rFonts w:eastAsiaTheme="minorHAnsi"/>
          <w:sz w:val="20"/>
          <w:szCs w:val="20"/>
          <w:lang w:val="en-GB" w:eastAsia="en-US"/>
        </w:rPr>
      </w:pPr>
    </w:p>
    <w:p w14:paraId="51ECE891" w14:textId="77777777" w:rsidR="00CD7295" w:rsidRDefault="00CD7295">
      <w:pPr>
        <w:rPr>
          <w:rFonts w:ascii="Times New Roman" w:hAnsi="Times New Roman" w:cs="Times New Roman"/>
          <w:b/>
          <w:sz w:val="20"/>
          <w:szCs w:val="20"/>
          <w:lang w:val="en-GB"/>
        </w:rPr>
      </w:pPr>
      <w:r>
        <w:rPr>
          <w:rFonts w:ascii="Times New Roman" w:hAnsi="Times New Roman" w:cs="Times New Roman"/>
          <w:b/>
          <w:sz w:val="20"/>
          <w:szCs w:val="20"/>
          <w:lang w:val="en-GB"/>
        </w:rPr>
        <w:br w:type="page"/>
      </w:r>
    </w:p>
    <w:p w14:paraId="26D5134C" w14:textId="7F5A9AAD" w:rsidR="009F4186" w:rsidRPr="001507B5" w:rsidRDefault="009F4186" w:rsidP="00E16D72">
      <w:pPr>
        <w:spacing w:line="240" w:lineRule="auto"/>
        <w:jc w:val="both"/>
        <w:rPr>
          <w:rFonts w:ascii="Times New Roman" w:hAnsi="Times New Roman" w:cs="Times New Roman"/>
          <w:b/>
          <w:sz w:val="20"/>
          <w:szCs w:val="20"/>
          <w:lang w:val="en-GB"/>
        </w:rPr>
      </w:pPr>
      <w:r w:rsidRPr="001507B5">
        <w:rPr>
          <w:rFonts w:ascii="Times New Roman" w:hAnsi="Times New Roman" w:cs="Times New Roman"/>
          <w:b/>
          <w:sz w:val="20"/>
          <w:szCs w:val="20"/>
          <w:lang w:val="en-GB"/>
        </w:rPr>
        <w:lastRenderedPageBreak/>
        <w:t>Supplemen</w:t>
      </w:r>
      <w:r w:rsidR="005B3BD5" w:rsidRPr="001507B5">
        <w:rPr>
          <w:rFonts w:ascii="Times New Roman" w:hAnsi="Times New Roman" w:cs="Times New Roman"/>
          <w:b/>
          <w:sz w:val="20"/>
          <w:szCs w:val="20"/>
          <w:lang w:val="en-GB"/>
        </w:rPr>
        <w:t>tal</w:t>
      </w:r>
      <w:r w:rsidRPr="001507B5">
        <w:rPr>
          <w:rFonts w:ascii="Times New Roman" w:hAnsi="Times New Roman" w:cs="Times New Roman"/>
          <w:b/>
          <w:sz w:val="20"/>
          <w:szCs w:val="20"/>
          <w:lang w:val="en-GB"/>
        </w:rPr>
        <w:t xml:space="preserve"> results:</w:t>
      </w:r>
    </w:p>
    <w:p w14:paraId="233980D6" w14:textId="304379BF" w:rsidR="009F4186" w:rsidRPr="001507B5" w:rsidRDefault="005B3BD5" w:rsidP="00E16D72">
      <w:pPr>
        <w:spacing w:line="240" w:lineRule="auto"/>
        <w:jc w:val="both"/>
        <w:rPr>
          <w:rFonts w:ascii="Times New Roman" w:hAnsi="Times New Roman" w:cs="Times New Roman"/>
          <w:bCs/>
          <w:sz w:val="20"/>
          <w:szCs w:val="20"/>
          <w:lang w:val="en-GB"/>
        </w:rPr>
      </w:pPr>
      <w:proofErr w:type="spellStart"/>
      <w:r w:rsidRPr="001507B5">
        <w:rPr>
          <w:rFonts w:ascii="Times New Roman" w:hAnsi="Times New Roman" w:cs="Times New Roman"/>
          <w:bCs/>
          <w:sz w:val="20"/>
          <w:szCs w:val="20"/>
          <w:lang w:val="en-GB"/>
        </w:rPr>
        <w:t>RNAseq</w:t>
      </w:r>
      <w:proofErr w:type="spellEnd"/>
      <w:r w:rsidRPr="001507B5">
        <w:rPr>
          <w:rFonts w:ascii="Times New Roman" w:hAnsi="Times New Roman" w:cs="Times New Roman"/>
          <w:bCs/>
          <w:sz w:val="20"/>
          <w:szCs w:val="20"/>
          <w:lang w:val="en-GB"/>
        </w:rPr>
        <w:t xml:space="preserve"> revealed consistent expression of </w:t>
      </w:r>
      <w:r w:rsidRPr="00200036">
        <w:rPr>
          <w:rFonts w:ascii="Times New Roman" w:hAnsi="Times New Roman" w:cs="Times New Roman"/>
          <w:bCs/>
          <w:i/>
          <w:iCs/>
          <w:sz w:val="20"/>
          <w:szCs w:val="20"/>
          <w:lang w:val="en-GB"/>
        </w:rPr>
        <w:t>CYP1A1</w:t>
      </w:r>
      <w:r w:rsidRPr="001507B5">
        <w:rPr>
          <w:rFonts w:ascii="Times New Roman" w:hAnsi="Times New Roman" w:cs="Times New Roman"/>
          <w:bCs/>
          <w:sz w:val="20"/>
          <w:szCs w:val="20"/>
          <w:lang w:val="en-GB"/>
        </w:rPr>
        <w:t xml:space="preserve"> in endothelial cells under all treatment conditions. Only treatment with GSK, </w:t>
      </w:r>
      <w:proofErr w:type="spellStart"/>
      <w:r w:rsidRPr="001507B5">
        <w:rPr>
          <w:rFonts w:ascii="Times New Roman" w:hAnsi="Times New Roman" w:cs="Times New Roman"/>
          <w:bCs/>
          <w:sz w:val="20"/>
          <w:szCs w:val="20"/>
          <w:lang w:val="en-GB"/>
        </w:rPr>
        <w:t>aldo</w:t>
      </w:r>
      <w:proofErr w:type="spellEnd"/>
      <w:r w:rsidRPr="001507B5">
        <w:rPr>
          <w:rFonts w:ascii="Times New Roman" w:hAnsi="Times New Roman" w:cs="Times New Roman"/>
          <w:bCs/>
          <w:sz w:val="20"/>
          <w:szCs w:val="20"/>
          <w:lang w:val="en-GB"/>
        </w:rPr>
        <w:t xml:space="preserve"> and cortisol resulted in a significant reduction in expression levels (Supplemental figure 1).</w:t>
      </w:r>
    </w:p>
    <w:p w14:paraId="686E58B5" w14:textId="23AEF1B1" w:rsidR="009F4186" w:rsidRDefault="00796189" w:rsidP="009F4186">
      <w:pPr>
        <w:keepNext/>
        <w:spacing w:line="240" w:lineRule="auto"/>
        <w:jc w:val="both"/>
      </w:pPr>
      <w:r>
        <w:rPr>
          <w:noProof/>
        </w:rPr>
        <w:drawing>
          <wp:inline distT="0" distB="0" distL="0" distR="0" wp14:anchorId="097AD58B" wp14:editId="3BC324A6">
            <wp:extent cx="3553968" cy="4337304"/>
            <wp:effectExtent l="0" t="0" r="8890" b="6350"/>
            <wp:docPr id="1596069076" name="Grafik 1" descr="Ein Bild, das Text, Screenshot, Diagramm,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69076" name="Grafik 1" descr="Ein Bild, das Text, Screenshot, Diagramm, Zahl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53968" cy="4337304"/>
                    </a:xfrm>
                    <a:prstGeom prst="rect">
                      <a:avLst/>
                    </a:prstGeom>
                  </pic:spPr>
                </pic:pic>
              </a:graphicData>
            </a:graphic>
          </wp:inline>
        </w:drawing>
      </w:r>
    </w:p>
    <w:p w14:paraId="3E8F20BC" w14:textId="1EC526CA" w:rsidR="009F4186" w:rsidRPr="001507B5" w:rsidRDefault="009F4186" w:rsidP="009F4186">
      <w:pPr>
        <w:pStyle w:val="Beschriftung"/>
        <w:jc w:val="both"/>
        <w:rPr>
          <w:rFonts w:ascii="Times New Roman" w:hAnsi="Times New Roman" w:cs="Times New Roman"/>
          <w:i w:val="0"/>
          <w:iCs w:val="0"/>
          <w:color w:val="auto"/>
          <w:lang w:val="en-GB"/>
        </w:rPr>
      </w:pPr>
      <w:r w:rsidRPr="001507B5">
        <w:rPr>
          <w:rFonts w:ascii="Times New Roman" w:hAnsi="Times New Roman" w:cs="Times New Roman"/>
          <w:b/>
          <w:bCs/>
          <w:i w:val="0"/>
          <w:iCs w:val="0"/>
          <w:color w:val="auto"/>
          <w:lang w:val="en-GB"/>
        </w:rPr>
        <w:t xml:space="preserve">Supplemental Figure </w:t>
      </w:r>
      <w:r w:rsidRPr="001507B5">
        <w:rPr>
          <w:rFonts w:ascii="Times New Roman" w:hAnsi="Times New Roman" w:cs="Times New Roman"/>
          <w:b/>
          <w:bCs/>
          <w:i w:val="0"/>
          <w:iCs w:val="0"/>
          <w:color w:val="auto"/>
        </w:rPr>
        <w:fldChar w:fldCharType="begin"/>
      </w:r>
      <w:r w:rsidRPr="001507B5">
        <w:rPr>
          <w:rFonts w:ascii="Times New Roman" w:hAnsi="Times New Roman" w:cs="Times New Roman"/>
          <w:b/>
          <w:bCs/>
          <w:i w:val="0"/>
          <w:iCs w:val="0"/>
          <w:color w:val="auto"/>
          <w:lang w:val="en-GB"/>
        </w:rPr>
        <w:instrText xml:space="preserve"> SEQ Figure \* ARABIC </w:instrText>
      </w:r>
      <w:r w:rsidRPr="001507B5">
        <w:rPr>
          <w:rFonts w:ascii="Times New Roman" w:hAnsi="Times New Roman" w:cs="Times New Roman"/>
          <w:b/>
          <w:bCs/>
          <w:i w:val="0"/>
          <w:iCs w:val="0"/>
          <w:color w:val="auto"/>
        </w:rPr>
        <w:fldChar w:fldCharType="separate"/>
      </w:r>
      <w:r w:rsidR="00455A1A">
        <w:rPr>
          <w:rFonts w:ascii="Times New Roman" w:hAnsi="Times New Roman" w:cs="Times New Roman"/>
          <w:b/>
          <w:bCs/>
          <w:i w:val="0"/>
          <w:iCs w:val="0"/>
          <w:noProof/>
          <w:color w:val="auto"/>
          <w:lang w:val="en-GB"/>
        </w:rPr>
        <w:t>1</w:t>
      </w:r>
      <w:r w:rsidRPr="001507B5">
        <w:rPr>
          <w:rFonts w:ascii="Times New Roman" w:hAnsi="Times New Roman" w:cs="Times New Roman"/>
          <w:b/>
          <w:bCs/>
          <w:i w:val="0"/>
          <w:iCs w:val="0"/>
          <w:color w:val="auto"/>
        </w:rPr>
        <w:fldChar w:fldCharType="end"/>
      </w:r>
      <w:r w:rsidRPr="001507B5">
        <w:rPr>
          <w:rFonts w:ascii="Times New Roman" w:hAnsi="Times New Roman" w:cs="Times New Roman"/>
          <w:i w:val="0"/>
          <w:iCs w:val="0"/>
          <w:color w:val="auto"/>
          <w:lang w:val="en-GB"/>
        </w:rPr>
        <w:t xml:space="preserve">: Expression levels of CYP1A1 as potential EET synthesizing </w:t>
      </w:r>
      <w:proofErr w:type="spellStart"/>
      <w:r w:rsidRPr="001507B5">
        <w:rPr>
          <w:rFonts w:ascii="Times New Roman" w:hAnsi="Times New Roman" w:cs="Times New Roman"/>
          <w:i w:val="0"/>
          <w:iCs w:val="0"/>
          <w:color w:val="auto"/>
          <w:lang w:val="en-GB"/>
        </w:rPr>
        <w:t>epoxigenase</w:t>
      </w:r>
      <w:proofErr w:type="spellEnd"/>
      <w:r w:rsidRPr="001507B5">
        <w:rPr>
          <w:rFonts w:ascii="Times New Roman" w:hAnsi="Times New Roman" w:cs="Times New Roman"/>
          <w:i w:val="0"/>
          <w:iCs w:val="0"/>
          <w:color w:val="auto"/>
          <w:lang w:val="en-GB"/>
        </w:rPr>
        <w:t xml:space="preserve"> in HCAEC</w:t>
      </w:r>
      <w:r w:rsidR="00796189" w:rsidRPr="001507B5">
        <w:rPr>
          <w:rFonts w:ascii="Times New Roman" w:hAnsi="Times New Roman" w:cs="Times New Roman"/>
          <w:i w:val="0"/>
          <w:iCs w:val="0"/>
          <w:color w:val="auto"/>
          <w:lang w:val="en-GB"/>
        </w:rPr>
        <w:t>. Read counts for CYP1A1 were normalized to the geometric mean of read counts for EIF2B1 and HPRT1.</w:t>
      </w:r>
      <w:r w:rsidR="00C93316" w:rsidRPr="001507B5">
        <w:rPr>
          <w:rFonts w:ascii="Times New Roman" w:hAnsi="Times New Roman" w:cs="Times New Roman"/>
          <w:i w:val="0"/>
          <w:iCs w:val="0"/>
          <w:color w:val="auto"/>
          <w:lang w:val="en-GB"/>
        </w:rPr>
        <w:t xml:space="preserve"> Horizontal bars indicate median values.</w:t>
      </w:r>
      <w:r w:rsidR="00796189" w:rsidRPr="001507B5">
        <w:rPr>
          <w:rFonts w:ascii="Times New Roman" w:hAnsi="Times New Roman" w:cs="Times New Roman"/>
          <w:i w:val="0"/>
          <w:iCs w:val="0"/>
          <w:color w:val="auto"/>
          <w:lang w:val="en-GB"/>
        </w:rPr>
        <w:t xml:space="preserve"> </w:t>
      </w:r>
      <w:r w:rsidR="00462008" w:rsidRPr="001507B5">
        <w:rPr>
          <w:rFonts w:ascii="Times New Roman" w:hAnsi="Times New Roman" w:cs="Times New Roman"/>
          <w:i w:val="0"/>
          <w:iCs w:val="0"/>
          <w:color w:val="auto"/>
          <w:lang w:val="en-GB"/>
        </w:rPr>
        <w:t xml:space="preserve">Aldo, aldosterone, Ep, eplerenone, GSK, GSK2256294. </w:t>
      </w:r>
      <w:r w:rsidR="00796189" w:rsidRPr="001507B5">
        <w:rPr>
          <w:rFonts w:ascii="Times New Roman" w:hAnsi="Times New Roman" w:cs="Times New Roman"/>
          <w:i w:val="0"/>
          <w:iCs w:val="0"/>
          <w:color w:val="auto"/>
          <w:lang w:val="en-GB"/>
        </w:rPr>
        <w:t>***, p&lt;0.001, one-way ANOVA, Holm-</w:t>
      </w:r>
      <w:proofErr w:type="spellStart"/>
      <w:r w:rsidR="00796189" w:rsidRPr="001507B5">
        <w:rPr>
          <w:rFonts w:ascii="Times New Roman" w:hAnsi="Times New Roman" w:cs="Times New Roman"/>
          <w:i w:val="0"/>
          <w:iCs w:val="0"/>
          <w:color w:val="auto"/>
          <w:lang w:val="en-GB"/>
        </w:rPr>
        <w:t>Šídák</w:t>
      </w:r>
      <w:proofErr w:type="spellEnd"/>
      <w:r w:rsidR="00796189" w:rsidRPr="001507B5">
        <w:rPr>
          <w:rFonts w:ascii="Times New Roman" w:hAnsi="Times New Roman" w:cs="Times New Roman"/>
          <w:i w:val="0"/>
          <w:iCs w:val="0"/>
          <w:color w:val="auto"/>
          <w:lang w:val="en-GB"/>
        </w:rPr>
        <w:t>.</w:t>
      </w:r>
    </w:p>
    <w:p w14:paraId="667CBD02" w14:textId="638427DE" w:rsidR="009F4186" w:rsidRDefault="009F4186" w:rsidP="00E16D72">
      <w:pPr>
        <w:spacing w:line="240" w:lineRule="auto"/>
        <w:jc w:val="both"/>
        <w:rPr>
          <w:rFonts w:ascii="Arial" w:hAnsi="Arial" w:cs="Arial"/>
          <w:bCs/>
          <w:lang w:val="en-GB"/>
        </w:rPr>
      </w:pPr>
    </w:p>
    <w:p w14:paraId="5FFA5420" w14:textId="308149E6" w:rsidR="00200036" w:rsidRPr="00200036" w:rsidRDefault="00200036" w:rsidP="00E16D72">
      <w:pPr>
        <w:spacing w:line="240" w:lineRule="auto"/>
        <w:jc w:val="both"/>
        <w:rPr>
          <w:rFonts w:ascii="Times New Roman" w:hAnsi="Times New Roman" w:cs="Times New Roman"/>
          <w:bCs/>
          <w:sz w:val="20"/>
          <w:szCs w:val="20"/>
          <w:lang w:val="en-GB"/>
        </w:rPr>
      </w:pPr>
      <w:r w:rsidRPr="00200036">
        <w:rPr>
          <w:rFonts w:ascii="Times New Roman" w:hAnsi="Times New Roman" w:cs="Times New Roman"/>
          <w:bCs/>
          <w:sz w:val="20"/>
          <w:szCs w:val="20"/>
          <w:lang w:val="en-GB"/>
        </w:rPr>
        <w:t>We co</w:t>
      </w:r>
      <w:r>
        <w:rPr>
          <w:rFonts w:ascii="Times New Roman" w:hAnsi="Times New Roman" w:cs="Times New Roman"/>
          <w:bCs/>
          <w:sz w:val="20"/>
          <w:szCs w:val="20"/>
          <w:lang w:val="en-GB"/>
        </w:rPr>
        <w:t xml:space="preserve">uld not reproduce a relationship between plasm aldosterone concentrations and the sum of all detected EET in the clinical cohort. </w:t>
      </w:r>
      <w:r w:rsidRPr="00200036">
        <w:rPr>
          <w:rFonts w:ascii="Times New Roman" w:hAnsi="Times New Roman" w:cs="Times New Roman"/>
          <w:b/>
          <w:sz w:val="20"/>
          <w:szCs w:val="20"/>
          <w:lang w:val="en-GB"/>
        </w:rPr>
        <w:t>Supplemental Figure 2</w:t>
      </w:r>
      <w:r>
        <w:rPr>
          <w:rFonts w:ascii="Times New Roman" w:hAnsi="Times New Roman" w:cs="Times New Roman"/>
          <w:bCs/>
          <w:sz w:val="20"/>
          <w:szCs w:val="20"/>
          <w:lang w:val="en-GB"/>
        </w:rPr>
        <w:t xml:space="preserve"> shows the pooled cohort. Separate assessment of both subgroups (EH and PA) neither revealed a significant relationship.</w:t>
      </w:r>
    </w:p>
    <w:p w14:paraId="02272058" w14:textId="77777777" w:rsidR="00455A1A" w:rsidRDefault="00455A1A" w:rsidP="00455A1A">
      <w:pPr>
        <w:keepNext/>
        <w:spacing w:line="240" w:lineRule="auto"/>
        <w:jc w:val="both"/>
      </w:pPr>
      <w:r>
        <w:rPr>
          <w:rFonts w:ascii="Arial" w:hAnsi="Arial" w:cs="Arial"/>
          <w:bCs/>
          <w:lang w:val="en-GB"/>
        </w:rPr>
        <w:object w:dxaOrig="6050" w:dyaOrig="4243" w14:anchorId="7EAE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pt;height:212.2pt" o:ole="" filled="t">
            <v:imagedata r:id="rId7" o:title=""/>
          </v:shape>
          <o:OLEObject Type="Embed" ProgID="Prism10.Document" ShapeID="_x0000_i1025" DrawAspect="Content" ObjectID="_1783968645" r:id="rId8"/>
        </w:object>
      </w:r>
    </w:p>
    <w:p w14:paraId="167FB1DE" w14:textId="6FBBE2A0" w:rsidR="00455A1A" w:rsidRPr="00455A1A" w:rsidRDefault="00455A1A" w:rsidP="00E16D72">
      <w:pPr>
        <w:spacing w:line="240" w:lineRule="auto"/>
        <w:jc w:val="both"/>
        <w:rPr>
          <w:rFonts w:ascii="Times New Roman" w:hAnsi="Times New Roman" w:cs="Times New Roman"/>
          <w:bCs/>
          <w:lang w:val="en-GB"/>
        </w:rPr>
      </w:pPr>
      <w:r w:rsidRPr="00455A1A">
        <w:rPr>
          <w:rFonts w:ascii="Times New Roman" w:hAnsi="Times New Roman" w:cs="Times New Roman"/>
          <w:b/>
          <w:bCs/>
          <w:sz w:val="18"/>
          <w:szCs w:val="18"/>
          <w:lang w:val="en-US"/>
        </w:rPr>
        <w:t>Supplemental Figure 2</w:t>
      </w:r>
      <w:r w:rsidRPr="00455A1A">
        <w:rPr>
          <w:rFonts w:ascii="Times New Roman" w:hAnsi="Times New Roman" w:cs="Times New Roman"/>
          <w:sz w:val="18"/>
          <w:szCs w:val="18"/>
          <w:lang w:val="en-US"/>
        </w:rPr>
        <w:t>: No apparent relationship between plasma aldosterone concentrations and the sum of all detected EET. Both groups were pooled together with the blue dots representing the EH patients and the red dots the PA patients. Black line indicates linear regression line; EH, essential hypertension; PA, primary aldosteronism; P=0.9599 (slope being different to non-zero).</w:t>
      </w:r>
    </w:p>
    <w:p w14:paraId="6FCA4540" w14:textId="294B9C8B" w:rsidR="00A53D74" w:rsidRPr="001507B5" w:rsidRDefault="006C315B">
      <w:pPr>
        <w:rPr>
          <w:rFonts w:ascii="Times New Roman" w:hAnsi="Times New Roman" w:cs="Times New Roman"/>
          <w:b/>
          <w:sz w:val="20"/>
          <w:szCs w:val="20"/>
          <w:lang w:val="en-GB"/>
        </w:rPr>
      </w:pPr>
      <w:r w:rsidRPr="001507B5">
        <w:rPr>
          <w:rFonts w:ascii="Times New Roman" w:hAnsi="Times New Roman" w:cs="Times New Roman"/>
          <w:b/>
          <w:sz w:val="20"/>
          <w:szCs w:val="20"/>
          <w:lang w:val="en-GB"/>
        </w:rPr>
        <w:t>References</w:t>
      </w:r>
    </w:p>
    <w:p w14:paraId="0BB05519" w14:textId="77777777" w:rsidR="00190C2E" w:rsidRPr="001507B5" w:rsidRDefault="00190C2E" w:rsidP="00E16D72">
      <w:pPr>
        <w:spacing w:line="240" w:lineRule="auto"/>
        <w:jc w:val="both"/>
        <w:rPr>
          <w:rFonts w:ascii="Times New Roman" w:hAnsi="Times New Roman" w:cs="Times New Roman"/>
          <w:sz w:val="18"/>
          <w:szCs w:val="20"/>
          <w:lang w:val="en-GB"/>
        </w:rPr>
      </w:pPr>
    </w:p>
    <w:p w14:paraId="20AEEC60" w14:textId="61138FAD" w:rsidR="00102B2B" w:rsidRPr="00102B2B" w:rsidRDefault="006C315B" w:rsidP="00102B2B">
      <w:pPr>
        <w:widowControl w:val="0"/>
        <w:autoSpaceDE w:val="0"/>
        <w:autoSpaceDN w:val="0"/>
        <w:adjustRightInd w:val="0"/>
        <w:spacing w:line="240" w:lineRule="auto"/>
        <w:ind w:left="640" w:hanging="640"/>
        <w:rPr>
          <w:rFonts w:ascii="Times New Roman" w:hAnsi="Times New Roman" w:cs="Times New Roman"/>
          <w:noProof/>
          <w:sz w:val="20"/>
        </w:rPr>
      </w:pPr>
      <w:r w:rsidRPr="001507B5">
        <w:rPr>
          <w:rFonts w:ascii="Times New Roman" w:hAnsi="Times New Roman" w:cs="Times New Roman"/>
          <w:sz w:val="20"/>
          <w:szCs w:val="20"/>
          <w:lang w:val="en-GB"/>
        </w:rPr>
        <w:fldChar w:fldCharType="begin" w:fldLock="1"/>
      </w:r>
      <w:r w:rsidRPr="001507B5">
        <w:rPr>
          <w:rFonts w:ascii="Times New Roman" w:hAnsi="Times New Roman" w:cs="Times New Roman"/>
          <w:sz w:val="20"/>
          <w:szCs w:val="20"/>
          <w:lang w:val="en-GB"/>
        </w:rPr>
        <w:instrText xml:space="preserve">ADDIN Mendeley Bibliography CSL_BIBLIOGRAPHY </w:instrText>
      </w:r>
      <w:r w:rsidRPr="001507B5">
        <w:rPr>
          <w:rFonts w:ascii="Times New Roman" w:hAnsi="Times New Roman" w:cs="Times New Roman"/>
          <w:sz w:val="20"/>
          <w:szCs w:val="20"/>
          <w:lang w:val="en-GB"/>
        </w:rPr>
        <w:fldChar w:fldCharType="separate"/>
      </w:r>
      <w:r w:rsidR="00102B2B" w:rsidRPr="00102B2B">
        <w:rPr>
          <w:rFonts w:ascii="Times New Roman" w:hAnsi="Times New Roman" w:cs="Times New Roman"/>
          <w:noProof/>
          <w:sz w:val="20"/>
        </w:rPr>
        <w:t xml:space="preserve">1. </w:t>
      </w:r>
      <w:r w:rsidR="00102B2B" w:rsidRPr="00102B2B">
        <w:rPr>
          <w:rFonts w:ascii="Times New Roman" w:hAnsi="Times New Roman" w:cs="Times New Roman"/>
          <w:noProof/>
          <w:sz w:val="20"/>
        </w:rPr>
        <w:tab/>
        <w:t>Assmann G, Cullen P, Schulte H (2002) Simple scoring scheme for calculating the risk of acute coronary events based on the 10-year follow-up of the Prospective Cardiovascular Münster (PROCAM) study. Circulation 105:310–315. doi: 10.1161/hc0302.102575</w:t>
      </w:r>
    </w:p>
    <w:p w14:paraId="71AED0B3" w14:textId="77777777" w:rsidR="00102B2B" w:rsidRPr="00102B2B" w:rsidRDefault="00102B2B" w:rsidP="00102B2B">
      <w:pPr>
        <w:widowControl w:val="0"/>
        <w:autoSpaceDE w:val="0"/>
        <w:autoSpaceDN w:val="0"/>
        <w:adjustRightInd w:val="0"/>
        <w:spacing w:line="240" w:lineRule="auto"/>
        <w:ind w:left="640" w:hanging="640"/>
        <w:rPr>
          <w:rFonts w:ascii="Times New Roman" w:hAnsi="Times New Roman" w:cs="Times New Roman"/>
          <w:noProof/>
          <w:sz w:val="20"/>
        </w:rPr>
      </w:pPr>
      <w:r w:rsidRPr="00102B2B">
        <w:rPr>
          <w:rFonts w:ascii="Times New Roman" w:hAnsi="Times New Roman" w:cs="Times New Roman"/>
          <w:noProof/>
          <w:sz w:val="20"/>
        </w:rPr>
        <w:t xml:space="preserve">2. </w:t>
      </w:r>
      <w:r w:rsidRPr="00102B2B">
        <w:rPr>
          <w:rFonts w:ascii="Times New Roman" w:hAnsi="Times New Roman" w:cs="Times New Roman"/>
          <w:noProof/>
          <w:sz w:val="20"/>
        </w:rPr>
        <w:tab/>
        <w:t>Chen S, Zhou Y, Chen Y, Gu J (2018) Fastp: An ultra-fast all-in-one FASTQ preprocessor. Bioinformatics 34:i884–i890. doi: 10.1093/bioinformatics/bty560</w:t>
      </w:r>
    </w:p>
    <w:p w14:paraId="5A895B36" w14:textId="77777777" w:rsidR="00102B2B" w:rsidRPr="00102B2B" w:rsidRDefault="00102B2B" w:rsidP="00102B2B">
      <w:pPr>
        <w:widowControl w:val="0"/>
        <w:autoSpaceDE w:val="0"/>
        <w:autoSpaceDN w:val="0"/>
        <w:adjustRightInd w:val="0"/>
        <w:spacing w:line="240" w:lineRule="auto"/>
        <w:ind w:left="640" w:hanging="640"/>
        <w:rPr>
          <w:rFonts w:ascii="Times New Roman" w:hAnsi="Times New Roman" w:cs="Times New Roman"/>
          <w:noProof/>
          <w:sz w:val="20"/>
        </w:rPr>
      </w:pPr>
      <w:r w:rsidRPr="00102B2B">
        <w:rPr>
          <w:rFonts w:ascii="Times New Roman" w:hAnsi="Times New Roman" w:cs="Times New Roman"/>
          <w:noProof/>
          <w:sz w:val="20"/>
        </w:rPr>
        <w:t xml:space="preserve">3. </w:t>
      </w:r>
      <w:r w:rsidRPr="00102B2B">
        <w:rPr>
          <w:rFonts w:ascii="Times New Roman" w:hAnsi="Times New Roman" w:cs="Times New Roman"/>
          <w:noProof/>
          <w:sz w:val="20"/>
        </w:rPr>
        <w:tab/>
        <w:t>Deng ZL, Münch PC, Mreches R, McHardy AC (2022) Rapid and accurate identification of ribosomal RNA sequences via deep learning. Nucleic Acids Res 50:E60. doi: 10.1093/nar/gkac112</w:t>
      </w:r>
    </w:p>
    <w:p w14:paraId="627D0DF1" w14:textId="77777777" w:rsidR="00102B2B" w:rsidRPr="00102B2B" w:rsidRDefault="00102B2B" w:rsidP="00102B2B">
      <w:pPr>
        <w:widowControl w:val="0"/>
        <w:autoSpaceDE w:val="0"/>
        <w:autoSpaceDN w:val="0"/>
        <w:adjustRightInd w:val="0"/>
        <w:spacing w:line="240" w:lineRule="auto"/>
        <w:ind w:left="640" w:hanging="640"/>
        <w:rPr>
          <w:rFonts w:ascii="Times New Roman" w:hAnsi="Times New Roman" w:cs="Times New Roman"/>
          <w:noProof/>
          <w:sz w:val="20"/>
        </w:rPr>
      </w:pPr>
      <w:r w:rsidRPr="00102B2B">
        <w:rPr>
          <w:rFonts w:ascii="Times New Roman" w:hAnsi="Times New Roman" w:cs="Times New Roman"/>
          <w:noProof/>
          <w:sz w:val="20"/>
        </w:rPr>
        <w:t xml:space="preserve">4. </w:t>
      </w:r>
      <w:r w:rsidRPr="00102B2B">
        <w:rPr>
          <w:rFonts w:ascii="Times New Roman" w:hAnsi="Times New Roman" w:cs="Times New Roman"/>
          <w:noProof/>
          <w:sz w:val="20"/>
        </w:rPr>
        <w:tab/>
        <w:t>Do KT, Wahl S, Raffler J, Molnos S, Laimighofer M, Adamski J, Suhre K, Strauch K, Peters A, Gieger C, Langenberg C, Stewart ID, Theis FJ, Grallert H, Kastenmüller G, Krumsiek J (2018) Characterization of missing values in untargeted MS-based metabolomics data and evaluation of missing data handling strategies. Metabolomics 14:1–18. doi: 10.1007/s11306-018-1420-2</w:t>
      </w:r>
    </w:p>
    <w:p w14:paraId="728CC2E5" w14:textId="77777777" w:rsidR="00102B2B" w:rsidRPr="00102B2B" w:rsidRDefault="00102B2B" w:rsidP="00102B2B">
      <w:pPr>
        <w:widowControl w:val="0"/>
        <w:autoSpaceDE w:val="0"/>
        <w:autoSpaceDN w:val="0"/>
        <w:adjustRightInd w:val="0"/>
        <w:spacing w:line="240" w:lineRule="auto"/>
        <w:ind w:left="640" w:hanging="640"/>
        <w:rPr>
          <w:rFonts w:ascii="Times New Roman" w:hAnsi="Times New Roman" w:cs="Times New Roman"/>
          <w:noProof/>
          <w:sz w:val="20"/>
        </w:rPr>
      </w:pPr>
      <w:r w:rsidRPr="00102B2B">
        <w:rPr>
          <w:rFonts w:ascii="Times New Roman" w:hAnsi="Times New Roman" w:cs="Times New Roman"/>
          <w:noProof/>
          <w:sz w:val="20"/>
        </w:rPr>
        <w:t xml:space="preserve">5. </w:t>
      </w:r>
      <w:r w:rsidRPr="00102B2B">
        <w:rPr>
          <w:rFonts w:ascii="Times New Roman" w:hAnsi="Times New Roman" w:cs="Times New Roman"/>
          <w:noProof/>
          <w:sz w:val="20"/>
        </w:rPr>
        <w:tab/>
        <w:t>Dobin A, Davis CA, Schlesinger F, Drenkow J, Zaleski C, Jha S, Batut P, Chaisson M, Gingeras TR (2013) STAR: Ultrafast universal RNA-seq aligner. Bioinformatics 29:15–21. doi: 10.1093/bioinformatics/bts635</w:t>
      </w:r>
    </w:p>
    <w:p w14:paraId="1D1DBE0F" w14:textId="77777777" w:rsidR="00102B2B" w:rsidRPr="00102B2B" w:rsidRDefault="00102B2B" w:rsidP="00102B2B">
      <w:pPr>
        <w:widowControl w:val="0"/>
        <w:autoSpaceDE w:val="0"/>
        <w:autoSpaceDN w:val="0"/>
        <w:adjustRightInd w:val="0"/>
        <w:spacing w:line="240" w:lineRule="auto"/>
        <w:ind w:left="640" w:hanging="640"/>
        <w:rPr>
          <w:rFonts w:ascii="Times New Roman" w:hAnsi="Times New Roman" w:cs="Times New Roman"/>
          <w:noProof/>
          <w:sz w:val="20"/>
        </w:rPr>
      </w:pPr>
      <w:r w:rsidRPr="00102B2B">
        <w:rPr>
          <w:rFonts w:ascii="Times New Roman" w:hAnsi="Times New Roman" w:cs="Times New Roman"/>
          <w:noProof/>
          <w:sz w:val="20"/>
        </w:rPr>
        <w:t xml:space="preserve">6. </w:t>
      </w:r>
      <w:r w:rsidRPr="00102B2B">
        <w:rPr>
          <w:rFonts w:ascii="Times New Roman" w:hAnsi="Times New Roman" w:cs="Times New Roman"/>
          <w:noProof/>
          <w:sz w:val="20"/>
        </w:rPr>
        <w:tab/>
        <w:t>Li B, Dewey CN (2011) RSEM: accurate transcript quantification from RNA-Seq data with or without a reference genome. BMC Bioinformatics 12:323. doi: 10.1186/1471-2105-12-323</w:t>
      </w:r>
    </w:p>
    <w:p w14:paraId="19110A76" w14:textId="77777777" w:rsidR="00102B2B" w:rsidRPr="00102B2B" w:rsidRDefault="00102B2B" w:rsidP="00102B2B">
      <w:pPr>
        <w:widowControl w:val="0"/>
        <w:autoSpaceDE w:val="0"/>
        <w:autoSpaceDN w:val="0"/>
        <w:adjustRightInd w:val="0"/>
        <w:spacing w:line="240" w:lineRule="auto"/>
        <w:ind w:left="640" w:hanging="640"/>
        <w:rPr>
          <w:rFonts w:ascii="Times New Roman" w:hAnsi="Times New Roman" w:cs="Times New Roman"/>
          <w:noProof/>
          <w:sz w:val="20"/>
        </w:rPr>
      </w:pPr>
      <w:r w:rsidRPr="00102B2B">
        <w:rPr>
          <w:rFonts w:ascii="Times New Roman" w:hAnsi="Times New Roman" w:cs="Times New Roman"/>
          <w:noProof/>
          <w:sz w:val="20"/>
        </w:rPr>
        <w:t xml:space="preserve">7. </w:t>
      </w:r>
      <w:r w:rsidRPr="00102B2B">
        <w:rPr>
          <w:rFonts w:ascii="Times New Roman" w:hAnsi="Times New Roman" w:cs="Times New Roman"/>
          <w:noProof/>
          <w:sz w:val="20"/>
        </w:rPr>
        <w:tab/>
        <w:t>Love MI, Huber W, Anders S (2014) Moderated estimation of fold change and dispersion for RNA-seq data with DESeq2. Genome Biol 15:1–21. doi: 10.1186/s13059-014-0550-8</w:t>
      </w:r>
    </w:p>
    <w:p w14:paraId="118D3EE7" w14:textId="64A0052C" w:rsidR="00190C2E" w:rsidRPr="00E16D72" w:rsidRDefault="006C315B" w:rsidP="00E16D72">
      <w:pPr>
        <w:spacing w:line="240" w:lineRule="auto"/>
        <w:rPr>
          <w:rFonts w:ascii="Arial" w:hAnsi="Arial" w:cs="Arial"/>
          <w:lang w:val="en-GB"/>
        </w:rPr>
      </w:pPr>
      <w:r w:rsidRPr="001507B5">
        <w:rPr>
          <w:rFonts w:ascii="Times New Roman" w:hAnsi="Times New Roman" w:cs="Times New Roman"/>
          <w:sz w:val="20"/>
          <w:szCs w:val="20"/>
          <w:lang w:val="en-GB"/>
        </w:rPr>
        <w:fldChar w:fldCharType="end"/>
      </w:r>
    </w:p>
    <w:sectPr w:rsidR="00190C2E" w:rsidRPr="00E16D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A732E"/>
    <w:multiLevelType w:val="hybridMultilevel"/>
    <w:tmpl w:val="512EA5A6"/>
    <w:lvl w:ilvl="0" w:tplc="59521D50">
      <w:start w:val="1"/>
      <w:numFmt w:val="decimal"/>
      <w:lvlText w:val="%1)"/>
      <w:lvlJc w:val="left"/>
      <w:pPr>
        <w:ind w:left="1080" w:hanging="360"/>
      </w:pPr>
    </w:lvl>
    <w:lvl w:ilvl="1" w:tplc="D3005992">
      <w:start w:val="1"/>
      <w:numFmt w:val="decimal"/>
      <w:lvlText w:val="%2)"/>
      <w:lvlJc w:val="left"/>
      <w:pPr>
        <w:ind w:left="1080" w:hanging="360"/>
      </w:pPr>
    </w:lvl>
    <w:lvl w:ilvl="2" w:tplc="AD9EFC5C">
      <w:start w:val="1"/>
      <w:numFmt w:val="decimal"/>
      <w:lvlText w:val="%3)"/>
      <w:lvlJc w:val="left"/>
      <w:pPr>
        <w:ind w:left="1080" w:hanging="360"/>
      </w:pPr>
    </w:lvl>
    <w:lvl w:ilvl="3" w:tplc="FD66EF96">
      <w:start w:val="1"/>
      <w:numFmt w:val="decimal"/>
      <w:lvlText w:val="%4)"/>
      <w:lvlJc w:val="left"/>
      <w:pPr>
        <w:ind w:left="1080" w:hanging="360"/>
      </w:pPr>
    </w:lvl>
    <w:lvl w:ilvl="4" w:tplc="D6C25C00">
      <w:start w:val="1"/>
      <w:numFmt w:val="decimal"/>
      <w:lvlText w:val="%5)"/>
      <w:lvlJc w:val="left"/>
      <w:pPr>
        <w:ind w:left="1080" w:hanging="360"/>
      </w:pPr>
    </w:lvl>
    <w:lvl w:ilvl="5" w:tplc="C6426946">
      <w:start w:val="1"/>
      <w:numFmt w:val="decimal"/>
      <w:lvlText w:val="%6)"/>
      <w:lvlJc w:val="left"/>
      <w:pPr>
        <w:ind w:left="1080" w:hanging="360"/>
      </w:pPr>
    </w:lvl>
    <w:lvl w:ilvl="6" w:tplc="006EC3E6">
      <w:start w:val="1"/>
      <w:numFmt w:val="decimal"/>
      <w:lvlText w:val="%7)"/>
      <w:lvlJc w:val="left"/>
      <w:pPr>
        <w:ind w:left="1080" w:hanging="360"/>
      </w:pPr>
    </w:lvl>
    <w:lvl w:ilvl="7" w:tplc="E8A6C174">
      <w:start w:val="1"/>
      <w:numFmt w:val="decimal"/>
      <w:lvlText w:val="%8)"/>
      <w:lvlJc w:val="left"/>
      <w:pPr>
        <w:ind w:left="1080" w:hanging="360"/>
      </w:pPr>
    </w:lvl>
    <w:lvl w:ilvl="8" w:tplc="FC563C82">
      <w:start w:val="1"/>
      <w:numFmt w:val="decimal"/>
      <w:lvlText w:val="%9)"/>
      <w:lvlJc w:val="left"/>
      <w:pPr>
        <w:ind w:left="1080" w:hanging="360"/>
      </w:pPr>
    </w:lvl>
  </w:abstractNum>
  <w:num w:numId="1" w16cid:durableId="63622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2E"/>
    <w:rsid w:val="00007AEF"/>
    <w:rsid w:val="0001284D"/>
    <w:rsid w:val="00034689"/>
    <w:rsid w:val="00037E9E"/>
    <w:rsid w:val="000605AB"/>
    <w:rsid w:val="00065C26"/>
    <w:rsid w:val="00070E15"/>
    <w:rsid w:val="00074BE6"/>
    <w:rsid w:val="00081537"/>
    <w:rsid w:val="00081B22"/>
    <w:rsid w:val="00086271"/>
    <w:rsid w:val="00090F97"/>
    <w:rsid w:val="00091E3A"/>
    <w:rsid w:val="000937FC"/>
    <w:rsid w:val="000A5259"/>
    <w:rsid w:val="000B1E79"/>
    <w:rsid w:val="000E311C"/>
    <w:rsid w:val="000E4637"/>
    <w:rsid w:val="000F3AC6"/>
    <w:rsid w:val="00102B2B"/>
    <w:rsid w:val="00131725"/>
    <w:rsid w:val="0014173C"/>
    <w:rsid w:val="001418F6"/>
    <w:rsid w:val="00147125"/>
    <w:rsid w:val="001507B5"/>
    <w:rsid w:val="00164F1B"/>
    <w:rsid w:val="00165AA4"/>
    <w:rsid w:val="00180270"/>
    <w:rsid w:val="00190C2E"/>
    <w:rsid w:val="001B390A"/>
    <w:rsid w:val="001F04A4"/>
    <w:rsid w:val="001F3CAF"/>
    <w:rsid w:val="001F43F0"/>
    <w:rsid w:val="00200036"/>
    <w:rsid w:val="00214B73"/>
    <w:rsid w:val="002360E9"/>
    <w:rsid w:val="00244594"/>
    <w:rsid w:val="002529E0"/>
    <w:rsid w:val="0025303E"/>
    <w:rsid w:val="00271277"/>
    <w:rsid w:val="00274DB7"/>
    <w:rsid w:val="002A7FD6"/>
    <w:rsid w:val="002B5220"/>
    <w:rsid w:val="002D680A"/>
    <w:rsid w:val="002E2B4D"/>
    <w:rsid w:val="002E658C"/>
    <w:rsid w:val="002F14CB"/>
    <w:rsid w:val="002F5803"/>
    <w:rsid w:val="002F6CA0"/>
    <w:rsid w:val="00305247"/>
    <w:rsid w:val="00330439"/>
    <w:rsid w:val="00330D58"/>
    <w:rsid w:val="00334700"/>
    <w:rsid w:val="00342D96"/>
    <w:rsid w:val="00347FB6"/>
    <w:rsid w:val="00376B03"/>
    <w:rsid w:val="00385433"/>
    <w:rsid w:val="00386230"/>
    <w:rsid w:val="003A67B9"/>
    <w:rsid w:val="003C4F44"/>
    <w:rsid w:val="003D05D8"/>
    <w:rsid w:val="003D75ED"/>
    <w:rsid w:val="003E087F"/>
    <w:rsid w:val="003E233E"/>
    <w:rsid w:val="003F1D45"/>
    <w:rsid w:val="003F4AC4"/>
    <w:rsid w:val="00413E70"/>
    <w:rsid w:val="00455A1A"/>
    <w:rsid w:val="00456302"/>
    <w:rsid w:val="00456FA2"/>
    <w:rsid w:val="00462008"/>
    <w:rsid w:val="00466AC4"/>
    <w:rsid w:val="00477F6B"/>
    <w:rsid w:val="004A219F"/>
    <w:rsid w:val="004B1E7C"/>
    <w:rsid w:val="004B27C9"/>
    <w:rsid w:val="004C2DAA"/>
    <w:rsid w:val="004D6D2C"/>
    <w:rsid w:val="004E61D3"/>
    <w:rsid w:val="004E7045"/>
    <w:rsid w:val="004F0903"/>
    <w:rsid w:val="004F2783"/>
    <w:rsid w:val="004F616D"/>
    <w:rsid w:val="00503AB8"/>
    <w:rsid w:val="005058CC"/>
    <w:rsid w:val="00507569"/>
    <w:rsid w:val="00514E52"/>
    <w:rsid w:val="00516EC1"/>
    <w:rsid w:val="0052734F"/>
    <w:rsid w:val="00544FD8"/>
    <w:rsid w:val="00545287"/>
    <w:rsid w:val="00551F40"/>
    <w:rsid w:val="00555ECF"/>
    <w:rsid w:val="005633EF"/>
    <w:rsid w:val="00574D78"/>
    <w:rsid w:val="00583458"/>
    <w:rsid w:val="005866CA"/>
    <w:rsid w:val="0059750A"/>
    <w:rsid w:val="005A4B57"/>
    <w:rsid w:val="005A6D8A"/>
    <w:rsid w:val="005B1181"/>
    <w:rsid w:val="005B3BD5"/>
    <w:rsid w:val="005C5D36"/>
    <w:rsid w:val="005C670C"/>
    <w:rsid w:val="005D0DD7"/>
    <w:rsid w:val="005F47CC"/>
    <w:rsid w:val="005F7E44"/>
    <w:rsid w:val="0060360D"/>
    <w:rsid w:val="00604B5E"/>
    <w:rsid w:val="0060548A"/>
    <w:rsid w:val="00610B31"/>
    <w:rsid w:val="006163FF"/>
    <w:rsid w:val="00671EB0"/>
    <w:rsid w:val="00672247"/>
    <w:rsid w:val="0068624B"/>
    <w:rsid w:val="00690182"/>
    <w:rsid w:val="00693FD1"/>
    <w:rsid w:val="006A4C7A"/>
    <w:rsid w:val="006A7FD8"/>
    <w:rsid w:val="006B3D37"/>
    <w:rsid w:val="006C315B"/>
    <w:rsid w:val="006D61C2"/>
    <w:rsid w:val="006E05ED"/>
    <w:rsid w:val="006E2E3E"/>
    <w:rsid w:val="006F11CD"/>
    <w:rsid w:val="006F1381"/>
    <w:rsid w:val="006F3338"/>
    <w:rsid w:val="006F52AD"/>
    <w:rsid w:val="00710D51"/>
    <w:rsid w:val="00710F9B"/>
    <w:rsid w:val="0071406B"/>
    <w:rsid w:val="00721043"/>
    <w:rsid w:val="00747206"/>
    <w:rsid w:val="00751288"/>
    <w:rsid w:val="007547DC"/>
    <w:rsid w:val="00757BF8"/>
    <w:rsid w:val="00776A9E"/>
    <w:rsid w:val="0078024E"/>
    <w:rsid w:val="00780F5B"/>
    <w:rsid w:val="0079354B"/>
    <w:rsid w:val="00793EB8"/>
    <w:rsid w:val="00796189"/>
    <w:rsid w:val="007B1689"/>
    <w:rsid w:val="007B7B47"/>
    <w:rsid w:val="007E6272"/>
    <w:rsid w:val="007F15F1"/>
    <w:rsid w:val="007F6CDE"/>
    <w:rsid w:val="0084567C"/>
    <w:rsid w:val="008557EC"/>
    <w:rsid w:val="00881231"/>
    <w:rsid w:val="00881ACC"/>
    <w:rsid w:val="0089316D"/>
    <w:rsid w:val="008C41A3"/>
    <w:rsid w:val="008C690C"/>
    <w:rsid w:val="008C7172"/>
    <w:rsid w:val="008D183C"/>
    <w:rsid w:val="008D62C6"/>
    <w:rsid w:val="008E5AE7"/>
    <w:rsid w:val="008F1013"/>
    <w:rsid w:val="008F4519"/>
    <w:rsid w:val="00902B44"/>
    <w:rsid w:val="0092626D"/>
    <w:rsid w:val="00926645"/>
    <w:rsid w:val="009333DE"/>
    <w:rsid w:val="00940142"/>
    <w:rsid w:val="00960016"/>
    <w:rsid w:val="009620D3"/>
    <w:rsid w:val="00963D8D"/>
    <w:rsid w:val="009743C1"/>
    <w:rsid w:val="00974711"/>
    <w:rsid w:val="009932DA"/>
    <w:rsid w:val="009A2EAA"/>
    <w:rsid w:val="009A757C"/>
    <w:rsid w:val="009B4071"/>
    <w:rsid w:val="009B742C"/>
    <w:rsid w:val="009B7B29"/>
    <w:rsid w:val="009C6510"/>
    <w:rsid w:val="009D4CF7"/>
    <w:rsid w:val="009D5A86"/>
    <w:rsid w:val="009E1E40"/>
    <w:rsid w:val="009F2E01"/>
    <w:rsid w:val="009F4186"/>
    <w:rsid w:val="009F4CE2"/>
    <w:rsid w:val="00A00E82"/>
    <w:rsid w:val="00A13471"/>
    <w:rsid w:val="00A17715"/>
    <w:rsid w:val="00A17E1B"/>
    <w:rsid w:val="00A23D54"/>
    <w:rsid w:val="00A43F36"/>
    <w:rsid w:val="00A53D74"/>
    <w:rsid w:val="00A7419E"/>
    <w:rsid w:val="00A74D80"/>
    <w:rsid w:val="00A75A8C"/>
    <w:rsid w:val="00AA1112"/>
    <w:rsid w:val="00AA33BD"/>
    <w:rsid w:val="00AA70CB"/>
    <w:rsid w:val="00AB444A"/>
    <w:rsid w:val="00AC591F"/>
    <w:rsid w:val="00AD4BBA"/>
    <w:rsid w:val="00AD5121"/>
    <w:rsid w:val="00B0220F"/>
    <w:rsid w:val="00B12C0B"/>
    <w:rsid w:val="00B146C4"/>
    <w:rsid w:val="00B216F1"/>
    <w:rsid w:val="00B21DE9"/>
    <w:rsid w:val="00B329A9"/>
    <w:rsid w:val="00B414B0"/>
    <w:rsid w:val="00B52809"/>
    <w:rsid w:val="00B60F06"/>
    <w:rsid w:val="00B722D7"/>
    <w:rsid w:val="00B8525D"/>
    <w:rsid w:val="00BA6D44"/>
    <w:rsid w:val="00BC28DC"/>
    <w:rsid w:val="00BE02B1"/>
    <w:rsid w:val="00BE2893"/>
    <w:rsid w:val="00BE6DE2"/>
    <w:rsid w:val="00BF0B7C"/>
    <w:rsid w:val="00C214F4"/>
    <w:rsid w:val="00C4016C"/>
    <w:rsid w:val="00C50B3F"/>
    <w:rsid w:val="00C83BF1"/>
    <w:rsid w:val="00C93316"/>
    <w:rsid w:val="00CA3A40"/>
    <w:rsid w:val="00CB4F9B"/>
    <w:rsid w:val="00CD35C4"/>
    <w:rsid w:val="00CD42D1"/>
    <w:rsid w:val="00CD4BA7"/>
    <w:rsid w:val="00CD7295"/>
    <w:rsid w:val="00CE2E6A"/>
    <w:rsid w:val="00CE3D66"/>
    <w:rsid w:val="00CE7507"/>
    <w:rsid w:val="00D06482"/>
    <w:rsid w:val="00D07A5E"/>
    <w:rsid w:val="00D234D9"/>
    <w:rsid w:val="00D26B72"/>
    <w:rsid w:val="00D30462"/>
    <w:rsid w:val="00D37751"/>
    <w:rsid w:val="00D60C83"/>
    <w:rsid w:val="00D61475"/>
    <w:rsid w:val="00D6559E"/>
    <w:rsid w:val="00D9292F"/>
    <w:rsid w:val="00D96A07"/>
    <w:rsid w:val="00DB15E0"/>
    <w:rsid w:val="00DB2419"/>
    <w:rsid w:val="00DB4704"/>
    <w:rsid w:val="00DB67D6"/>
    <w:rsid w:val="00DC00A1"/>
    <w:rsid w:val="00DC291C"/>
    <w:rsid w:val="00DC749E"/>
    <w:rsid w:val="00DD5B31"/>
    <w:rsid w:val="00DD6278"/>
    <w:rsid w:val="00DD7C96"/>
    <w:rsid w:val="00DF237F"/>
    <w:rsid w:val="00E05FC4"/>
    <w:rsid w:val="00E11B96"/>
    <w:rsid w:val="00E16601"/>
    <w:rsid w:val="00E16D72"/>
    <w:rsid w:val="00E32A54"/>
    <w:rsid w:val="00E5184B"/>
    <w:rsid w:val="00E61528"/>
    <w:rsid w:val="00E6627B"/>
    <w:rsid w:val="00E80DAD"/>
    <w:rsid w:val="00E94695"/>
    <w:rsid w:val="00EA035E"/>
    <w:rsid w:val="00ED2BCC"/>
    <w:rsid w:val="00EE074D"/>
    <w:rsid w:val="00EF2F33"/>
    <w:rsid w:val="00EF59F6"/>
    <w:rsid w:val="00F0571A"/>
    <w:rsid w:val="00F15CFF"/>
    <w:rsid w:val="00F17EEE"/>
    <w:rsid w:val="00F20F7E"/>
    <w:rsid w:val="00F440F0"/>
    <w:rsid w:val="00F50955"/>
    <w:rsid w:val="00F525BF"/>
    <w:rsid w:val="00F63149"/>
    <w:rsid w:val="00F802B3"/>
    <w:rsid w:val="00F83B15"/>
    <w:rsid w:val="00F96BCA"/>
    <w:rsid w:val="00FB1FDF"/>
    <w:rsid w:val="00FB3AB0"/>
    <w:rsid w:val="00FB487A"/>
    <w:rsid w:val="00FB5CF1"/>
    <w:rsid w:val="00FC3DE9"/>
    <w:rsid w:val="00FC46FA"/>
    <w:rsid w:val="00FD4C56"/>
    <w:rsid w:val="00FD51DE"/>
    <w:rsid w:val="00FD720C"/>
    <w:rsid w:val="00FF0339"/>
    <w:rsid w:val="00FF1E70"/>
    <w:rsid w:val="00FF7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07C8B2"/>
  <w15:chartTrackingRefBased/>
  <w15:docId w15:val="{78C81401-006F-4DBA-AA3A-D5121FAB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74D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4D78"/>
    <w:rPr>
      <w:rFonts w:ascii="Segoe UI" w:hAnsi="Segoe UI" w:cs="Segoe UI"/>
      <w:sz w:val="18"/>
      <w:szCs w:val="18"/>
    </w:rPr>
  </w:style>
  <w:style w:type="character" w:styleId="IntensiveHervorhebung">
    <w:name w:val="Intense Emphasis"/>
    <w:basedOn w:val="Absatz-Standardschriftart"/>
    <w:uiPriority w:val="21"/>
    <w:qFormat/>
    <w:rsid w:val="00E5184B"/>
    <w:rPr>
      <w:i/>
      <w:iCs/>
      <w:color w:val="4F81BD" w:themeColor="accent1"/>
    </w:rPr>
  </w:style>
  <w:style w:type="table" w:styleId="EinfacheTabelle2">
    <w:name w:val="Plain Table 2"/>
    <w:basedOn w:val="NormaleTabelle"/>
    <w:uiPriority w:val="42"/>
    <w:rsid w:val="00CA3A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eschriftung">
    <w:name w:val="caption"/>
    <w:basedOn w:val="Standard"/>
    <w:next w:val="Standard"/>
    <w:uiPriority w:val="35"/>
    <w:unhideWhenUsed/>
    <w:qFormat/>
    <w:rsid w:val="009F4186"/>
    <w:pPr>
      <w:spacing w:line="240" w:lineRule="auto"/>
    </w:pPr>
    <w:rPr>
      <w:i/>
      <w:iCs/>
      <w:color w:val="1F497D" w:themeColor="text2"/>
      <w:sz w:val="18"/>
      <w:szCs w:val="18"/>
    </w:rPr>
  </w:style>
  <w:style w:type="paragraph" w:customStyle="1" w:styleId="paragraph">
    <w:name w:val="paragraph"/>
    <w:basedOn w:val="Standard"/>
    <w:rsid w:val="00CD729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CD7295"/>
  </w:style>
  <w:style w:type="character" w:customStyle="1" w:styleId="eop">
    <w:name w:val="eop"/>
    <w:basedOn w:val="Absatz-Standardschriftart"/>
    <w:rsid w:val="00CD7295"/>
  </w:style>
  <w:style w:type="character" w:styleId="Kommentarzeichen">
    <w:name w:val="annotation reference"/>
    <w:basedOn w:val="Absatz-Standardschriftart"/>
    <w:uiPriority w:val="99"/>
    <w:semiHidden/>
    <w:unhideWhenUsed/>
    <w:rsid w:val="002A7FD6"/>
    <w:rPr>
      <w:sz w:val="16"/>
      <w:szCs w:val="16"/>
    </w:rPr>
  </w:style>
  <w:style w:type="paragraph" w:styleId="Kommentartext">
    <w:name w:val="annotation text"/>
    <w:basedOn w:val="Standard"/>
    <w:link w:val="KommentartextZchn"/>
    <w:uiPriority w:val="99"/>
    <w:unhideWhenUsed/>
    <w:rsid w:val="002A7FD6"/>
    <w:pPr>
      <w:spacing w:line="240" w:lineRule="auto"/>
    </w:pPr>
    <w:rPr>
      <w:sz w:val="20"/>
      <w:szCs w:val="20"/>
    </w:rPr>
  </w:style>
  <w:style w:type="character" w:customStyle="1" w:styleId="KommentartextZchn">
    <w:name w:val="Kommentartext Zchn"/>
    <w:basedOn w:val="Absatz-Standardschriftart"/>
    <w:link w:val="Kommentartext"/>
    <w:uiPriority w:val="99"/>
    <w:rsid w:val="002A7FD6"/>
    <w:rPr>
      <w:sz w:val="20"/>
      <w:szCs w:val="20"/>
    </w:rPr>
  </w:style>
  <w:style w:type="paragraph" w:styleId="Kommentarthema">
    <w:name w:val="annotation subject"/>
    <w:basedOn w:val="Kommentartext"/>
    <w:next w:val="Kommentartext"/>
    <w:link w:val="KommentarthemaZchn"/>
    <w:uiPriority w:val="99"/>
    <w:semiHidden/>
    <w:unhideWhenUsed/>
    <w:rsid w:val="002A7FD6"/>
    <w:rPr>
      <w:b/>
      <w:bCs/>
    </w:rPr>
  </w:style>
  <w:style w:type="character" w:customStyle="1" w:styleId="KommentarthemaZchn">
    <w:name w:val="Kommentarthema Zchn"/>
    <w:basedOn w:val="KommentartextZchn"/>
    <w:link w:val="Kommentarthema"/>
    <w:uiPriority w:val="99"/>
    <w:semiHidden/>
    <w:rsid w:val="002A7FD6"/>
    <w:rPr>
      <w:b/>
      <w:bCs/>
      <w:sz w:val="20"/>
      <w:szCs w:val="20"/>
    </w:rPr>
  </w:style>
  <w:style w:type="paragraph" w:styleId="berarbeitung">
    <w:name w:val="Revision"/>
    <w:hidden/>
    <w:uiPriority w:val="99"/>
    <w:semiHidden/>
    <w:rsid w:val="00AD51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6650">
      <w:bodyDiv w:val="1"/>
      <w:marLeft w:val="0"/>
      <w:marRight w:val="0"/>
      <w:marTop w:val="0"/>
      <w:marBottom w:val="0"/>
      <w:divBdr>
        <w:top w:val="none" w:sz="0" w:space="0" w:color="auto"/>
        <w:left w:val="none" w:sz="0" w:space="0" w:color="auto"/>
        <w:bottom w:val="none" w:sz="0" w:space="0" w:color="auto"/>
        <w:right w:val="none" w:sz="0" w:space="0" w:color="auto"/>
      </w:divBdr>
    </w:div>
    <w:div w:id="100688029">
      <w:bodyDiv w:val="1"/>
      <w:marLeft w:val="0"/>
      <w:marRight w:val="0"/>
      <w:marTop w:val="0"/>
      <w:marBottom w:val="0"/>
      <w:divBdr>
        <w:top w:val="none" w:sz="0" w:space="0" w:color="auto"/>
        <w:left w:val="none" w:sz="0" w:space="0" w:color="auto"/>
        <w:bottom w:val="none" w:sz="0" w:space="0" w:color="auto"/>
        <w:right w:val="none" w:sz="0" w:space="0" w:color="auto"/>
      </w:divBdr>
    </w:div>
    <w:div w:id="358698162">
      <w:bodyDiv w:val="1"/>
      <w:marLeft w:val="0"/>
      <w:marRight w:val="0"/>
      <w:marTop w:val="0"/>
      <w:marBottom w:val="0"/>
      <w:divBdr>
        <w:top w:val="none" w:sz="0" w:space="0" w:color="auto"/>
        <w:left w:val="none" w:sz="0" w:space="0" w:color="auto"/>
        <w:bottom w:val="none" w:sz="0" w:space="0" w:color="auto"/>
        <w:right w:val="none" w:sz="0" w:space="0" w:color="auto"/>
      </w:divBdr>
    </w:div>
    <w:div w:id="699597191">
      <w:bodyDiv w:val="1"/>
      <w:marLeft w:val="0"/>
      <w:marRight w:val="0"/>
      <w:marTop w:val="0"/>
      <w:marBottom w:val="0"/>
      <w:divBdr>
        <w:top w:val="none" w:sz="0" w:space="0" w:color="auto"/>
        <w:left w:val="none" w:sz="0" w:space="0" w:color="auto"/>
        <w:bottom w:val="none" w:sz="0" w:space="0" w:color="auto"/>
        <w:right w:val="none" w:sz="0" w:space="0" w:color="auto"/>
      </w:divBdr>
      <w:divsChild>
        <w:div w:id="877084253">
          <w:marLeft w:val="0"/>
          <w:marRight w:val="0"/>
          <w:marTop w:val="0"/>
          <w:marBottom w:val="0"/>
          <w:divBdr>
            <w:top w:val="none" w:sz="0" w:space="0" w:color="auto"/>
            <w:left w:val="none" w:sz="0" w:space="0" w:color="auto"/>
            <w:bottom w:val="none" w:sz="0" w:space="0" w:color="auto"/>
            <w:right w:val="none" w:sz="0" w:space="0" w:color="auto"/>
          </w:divBdr>
        </w:div>
        <w:div w:id="327902241">
          <w:marLeft w:val="0"/>
          <w:marRight w:val="0"/>
          <w:marTop w:val="0"/>
          <w:marBottom w:val="0"/>
          <w:divBdr>
            <w:top w:val="none" w:sz="0" w:space="0" w:color="auto"/>
            <w:left w:val="none" w:sz="0" w:space="0" w:color="auto"/>
            <w:bottom w:val="none" w:sz="0" w:space="0" w:color="auto"/>
            <w:right w:val="none" w:sz="0" w:space="0" w:color="auto"/>
          </w:divBdr>
        </w:div>
        <w:div w:id="1635720165">
          <w:marLeft w:val="0"/>
          <w:marRight w:val="0"/>
          <w:marTop w:val="0"/>
          <w:marBottom w:val="0"/>
          <w:divBdr>
            <w:top w:val="none" w:sz="0" w:space="0" w:color="auto"/>
            <w:left w:val="none" w:sz="0" w:space="0" w:color="auto"/>
            <w:bottom w:val="none" w:sz="0" w:space="0" w:color="auto"/>
            <w:right w:val="none" w:sz="0" w:space="0" w:color="auto"/>
          </w:divBdr>
        </w:div>
        <w:div w:id="903877733">
          <w:marLeft w:val="0"/>
          <w:marRight w:val="0"/>
          <w:marTop w:val="0"/>
          <w:marBottom w:val="0"/>
          <w:divBdr>
            <w:top w:val="none" w:sz="0" w:space="0" w:color="auto"/>
            <w:left w:val="none" w:sz="0" w:space="0" w:color="auto"/>
            <w:bottom w:val="none" w:sz="0" w:space="0" w:color="auto"/>
            <w:right w:val="none" w:sz="0" w:space="0" w:color="auto"/>
          </w:divBdr>
        </w:div>
        <w:div w:id="30619273">
          <w:marLeft w:val="0"/>
          <w:marRight w:val="0"/>
          <w:marTop w:val="0"/>
          <w:marBottom w:val="0"/>
          <w:divBdr>
            <w:top w:val="none" w:sz="0" w:space="0" w:color="auto"/>
            <w:left w:val="none" w:sz="0" w:space="0" w:color="auto"/>
            <w:bottom w:val="none" w:sz="0" w:space="0" w:color="auto"/>
            <w:right w:val="none" w:sz="0" w:space="0" w:color="auto"/>
          </w:divBdr>
        </w:div>
        <w:div w:id="1286816106">
          <w:marLeft w:val="0"/>
          <w:marRight w:val="0"/>
          <w:marTop w:val="0"/>
          <w:marBottom w:val="0"/>
          <w:divBdr>
            <w:top w:val="none" w:sz="0" w:space="0" w:color="auto"/>
            <w:left w:val="none" w:sz="0" w:space="0" w:color="auto"/>
            <w:bottom w:val="none" w:sz="0" w:space="0" w:color="auto"/>
            <w:right w:val="none" w:sz="0" w:space="0" w:color="auto"/>
          </w:divBdr>
        </w:div>
        <w:div w:id="179396659">
          <w:marLeft w:val="0"/>
          <w:marRight w:val="0"/>
          <w:marTop w:val="0"/>
          <w:marBottom w:val="0"/>
          <w:divBdr>
            <w:top w:val="none" w:sz="0" w:space="0" w:color="auto"/>
            <w:left w:val="none" w:sz="0" w:space="0" w:color="auto"/>
            <w:bottom w:val="none" w:sz="0" w:space="0" w:color="auto"/>
            <w:right w:val="none" w:sz="0" w:space="0" w:color="auto"/>
          </w:divBdr>
        </w:div>
        <w:div w:id="727924542">
          <w:marLeft w:val="0"/>
          <w:marRight w:val="0"/>
          <w:marTop w:val="0"/>
          <w:marBottom w:val="0"/>
          <w:divBdr>
            <w:top w:val="none" w:sz="0" w:space="0" w:color="auto"/>
            <w:left w:val="none" w:sz="0" w:space="0" w:color="auto"/>
            <w:bottom w:val="none" w:sz="0" w:space="0" w:color="auto"/>
            <w:right w:val="none" w:sz="0" w:space="0" w:color="auto"/>
          </w:divBdr>
        </w:div>
        <w:div w:id="930771083">
          <w:marLeft w:val="0"/>
          <w:marRight w:val="0"/>
          <w:marTop w:val="0"/>
          <w:marBottom w:val="0"/>
          <w:divBdr>
            <w:top w:val="none" w:sz="0" w:space="0" w:color="auto"/>
            <w:left w:val="none" w:sz="0" w:space="0" w:color="auto"/>
            <w:bottom w:val="none" w:sz="0" w:space="0" w:color="auto"/>
            <w:right w:val="none" w:sz="0" w:space="0" w:color="auto"/>
          </w:divBdr>
        </w:div>
        <w:div w:id="514342722">
          <w:marLeft w:val="0"/>
          <w:marRight w:val="0"/>
          <w:marTop w:val="0"/>
          <w:marBottom w:val="0"/>
          <w:divBdr>
            <w:top w:val="none" w:sz="0" w:space="0" w:color="auto"/>
            <w:left w:val="none" w:sz="0" w:space="0" w:color="auto"/>
            <w:bottom w:val="none" w:sz="0" w:space="0" w:color="auto"/>
            <w:right w:val="none" w:sz="0" w:space="0" w:color="auto"/>
          </w:divBdr>
        </w:div>
        <w:div w:id="1398355945">
          <w:marLeft w:val="0"/>
          <w:marRight w:val="0"/>
          <w:marTop w:val="0"/>
          <w:marBottom w:val="0"/>
          <w:divBdr>
            <w:top w:val="none" w:sz="0" w:space="0" w:color="auto"/>
            <w:left w:val="none" w:sz="0" w:space="0" w:color="auto"/>
            <w:bottom w:val="none" w:sz="0" w:space="0" w:color="auto"/>
            <w:right w:val="none" w:sz="0" w:space="0" w:color="auto"/>
          </w:divBdr>
        </w:div>
        <w:div w:id="2068844020">
          <w:marLeft w:val="0"/>
          <w:marRight w:val="0"/>
          <w:marTop w:val="0"/>
          <w:marBottom w:val="0"/>
          <w:divBdr>
            <w:top w:val="none" w:sz="0" w:space="0" w:color="auto"/>
            <w:left w:val="none" w:sz="0" w:space="0" w:color="auto"/>
            <w:bottom w:val="none" w:sz="0" w:space="0" w:color="auto"/>
            <w:right w:val="none" w:sz="0" w:space="0" w:color="auto"/>
          </w:divBdr>
        </w:div>
        <w:div w:id="1671442944">
          <w:marLeft w:val="0"/>
          <w:marRight w:val="0"/>
          <w:marTop w:val="0"/>
          <w:marBottom w:val="0"/>
          <w:divBdr>
            <w:top w:val="none" w:sz="0" w:space="0" w:color="auto"/>
            <w:left w:val="none" w:sz="0" w:space="0" w:color="auto"/>
            <w:bottom w:val="none" w:sz="0" w:space="0" w:color="auto"/>
            <w:right w:val="none" w:sz="0" w:space="0" w:color="auto"/>
          </w:divBdr>
        </w:div>
        <w:div w:id="1066957763">
          <w:marLeft w:val="0"/>
          <w:marRight w:val="0"/>
          <w:marTop w:val="0"/>
          <w:marBottom w:val="0"/>
          <w:divBdr>
            <w:top w:val="none" w:sz="0" w:space="0" w:color="auto"/>
            <w:left w:val="none" w:sz="0" w:space="0" w:color="auto"/>
            <w:bottom w:val="none" w:sz="0" w:space="0" w:color="auto"/>
            <w:right w:val="none" w:sz="0" w:space="0" w:color="auto"/>
          </w:divBdr>
        </w:div>
        <w:div w:id="612634023">
          <w:marLeft w:val="0"/>
          <w:marRight w:val="0"/>
          <w:marTop w:val="0"/>
          <w:marBottom w:val="0"/>
          <w:divBdr>
            <w:top w:val="none" w:sz="0" w:space="0" w:color="auto"/>
            <w:left w:val="none" w:sz="0" w:space="0" w:color="auto"/>
            <w:bottom w:val="none" w:sz="0" w:space="0" w:color="auto"/>
            <w:right w:val="none" w:sz="0" w:space="0" w:color="auto"/>
          </w:divBdr>
        </w:div>
        <w:div w:id="1185094281">
          <w:marLeft w:val="0"/>
          <w:marRight w:val="0"/>
          <w:marTop w:val="0"/>
          <w:marBottom w:val="0"/>
          <w:divBdr>
            <w:top w:val="none" w:sz="0" w:space="0" w:color="auto"/>
            <w:left w:val="none" w:sz="0" w:space="0" w:color="auto"/>
            <w:bottom w:val="none" w:sz="0" w:space="0" w:color="auto"/>
            <w:right w:val="none" w:sz="0" w:space="0" w:color="auto"/>
          </w:divBdr>
        </w:div>
        <w:div w:id="154958666">
          <w:marLeft w:val="0"/>
          <w:marRight w:val="0"/>
          <w:marTop w:val="0"/>
          <w:marBottom w:val="0"/>
          <w:divBdr>
            <w:top w:val="none" w:sz="0" w:space="0" w:color="auto"/>
            <w:left w:val="none" w:sz="0" w:space="0" w:color="auto"/>
            <w:bottom w:val="none" w:sz="0" w:space="0" w:color="auto"/>
            <w:right w:val="none" w:sz="0" w:space="0" w:color="auto"/>
          </w:divBdr>
        </w:div>
        <w:div w:id="2086535761">
          <w:marLeft w:val="0"/>
          <w:marRight w:val="0"/>
          <w:marTop w:val="0"/>
          <w:marBottom w:val="0"/>
          <w:divBdr>
            <w:top w:val="none" w:sz="0" w:space="0" w:color="auto"/>
            <w:left w:val="none" w:sz="0" w:space="0" w:color="auto"/>
            <w:bottom w:val="none" w:sz="0" w:space="0" w:color="auto"/>
            <w:right w:val="none" w:sz="0" w:space="0" w:color="auto"/>
          </w:divBdr>
        </w:div>
        <w:div w:id="1836606290">
          <w:marLeft w:val="0"/>
          <w:marRight w:val="0"/>
          <w:marTop w:val="0"/>
          <w:marBottom w:val="0"/>
          <w:divBdr>
            <w:top w:val="none" w:sz="0" w:space="0" w:color="auto"/>
            <w:left w:val="none" w:sz="0" w:space="0" w:color="auto"/>
            <w:bottom w:val="none" w:sz="0" w:space="0" w:color="auto"/>
            <w:right w:val="none" w:sz="0" w:space="0" w:color="auto"/>
          </w:divBdr>
        </w:div>
        <w:div w:id="1954362633">
          <w:marLeft w:val="0"/>
          <w:marRight w:val="0"/>
          <w:marTop w:val="0"/>
          <w:marBottom w:val="0"/>
          <w:divBdr>
            <w:top w:val="none" w:sz="0" w:space="0" w:color="auto"/>
            <w:left w:val="none" w:sz="0" w:space="0" w:color="auto"/>
            <w:bottom w:val="none" w:sz="0" w:space="0" w:color="auto"/>
            <w:right w:val="none" w:sz="0" w:space="0" w:color="auto"/>
          </w:divBdr>
        </w:div>
      </w:divsChild>
    </w:div>
    <w:div w:id="980309484">
      <w:bodyDiv w:val="1"/>
      <w:marLeft w:val="0"/>
      <w:marRight w:val="0"/>
      <w:marTop w:val="0"/>
      <w:marBottom w:val="0"/>
      <w:divBdr>
        <w:top w:val="none" w:sz="0" w:space="0" w:color="auto"/>
        <w:left w:val="none" w:sz="0" w:space="0" w:color="auto"/>
        <w:bottom w:val="none" w:sz="0" w:space="0" w:color="auto"/>
        <w:right w:val="none" w:sz="0" w:space="0" w:color="auto"/>
      </w:divBdr>
    </w:div>
    <w:div w:id="989094445">
      <w:bodyDiv w:val="1"/>
      <w:marLeft w:val="0"/>
      <w:marRight w:val="0"/>
      <w:marTop w:val="0"/>
      <w:marBottom w:val="0"/>
      <w:divBdr>
        <w:top w:val="none" w:sz="0" w:space="0" w:color="auto"/>
        <w:left w:val="none" w:sz="0" w:space="0" w:color="auto"/>
        <w:bottom w:val="none" w:sz="0" w:space="0" w:color="auto"/>
        <w:right w:val="none" w:sz="0" w:space="0" w:color="auto"/>
      </w:divBdr>
    </w:div>
    <w:div w:id="1142621264">
      <w:bodyDiv w:val="1"/>
      <w:marLeft w:val="0"/>
      <w:marRight w:val="0"/>
      <w:marTop w:val="0"/>
      <w:marBottom w:val="0"/>
      <w:divBdr>
        <w:top w:val="none" w:sz="0" w:space="0" w:color="auto"/>
        <w:left w:val="none" w:sz="0" w:space="0" w:color="auto"/>
        <w:bottom w:val="none" w:sz="0" w:space="0" w:color="auto"/>
        <w:right w:val="none" w:sz="0" w:space="0" w:color="auto"/>
      </w:divBdr>
    </w:div>
    <w:div w:id="1550066058">
      <w:bodyDiv w:val="1"/>
      <w:marLeft w:val="0"/>
      <w:marRight w:val="0"/>
      <w:marTop w:val="0"/>
      <w:marBottom w:val="0"/>
      <w:divBdr>
        <w:top w:val="none" w:sz="0" w:space="0" w:color="auto"/>
        <w:left w:val="none" w:sz="0" w:space="0" w:color="auto"/>
        <w:bottom w:val="none" w:sz="0" w:space="0" w:color="auto"/>
        <w:right w:val="none" w:sz="0" w:space="0" w:color="auto"/>
      </w:divBdr>
      <w:divsChild>
        <w:div w:id="1474565286">
          <w:marLeft w:val="0"/>
          <w:marRight w:val="0"/>
          <w:marTop w:val="0"/>
          <w:marBottom w:val="0"/>
          <w:divBdr>
            <w:top w:val="none" w:sz="0" w:space="0" w:color="auto"/>
            <w:left w:val="none" w:sz="0" w:space="0" w:color="auto"/>
            <w:bottom w:val="none" w:sz="0" w:space="0" w:color="auto"/>
            <w:right w:val="none" w:sz="0" w:space="0" w:color="auto"/>
          </w:divBdr>
        </w:div>
        <w:div w:id="1095709087">
          <w:marLeft w:val="0"/>
          <w:marRight w:val="0"/>
          <w:marTop w:val="0"/>
          <w:marBottom w:val="0"/>
          <w:divBdr>
            <w:top w:val="none" w:sz="0" w:space="0" w:color="auto"/>
            <w:left w:val="none" w:sz="0" w:space="0" w:color="auto"/>
            <w:bottom w:val="none" w:sz="0" w:space="0" w:color="auto"/>
            <w:right w:val="none" w:sz="0" w:space="0" w:color="auto"/>
          </w:divBdr>
        </w:div>
        <w:div w:id="791944742">
          <w:marLeft w:val="0"/>
          <w:marRight w:val="0"/>
          <w:marTop w:val="0"/>
          <w:marBottom w:val="0"/>
          <w:divBdr>
            <w:top w:val="none" w:sz="0" w:space="0" w:color="auto"/>
            <w:left w:val="none" w:sz="0" w:space="0" w:color="auto"/>
            <w:bottom w:val="none" w:sz="0" w:space="0" w:color="auto"/>
            <w:right w:val="none" w:sz="0" w:space="0" w:color="auto"/>
          </w:divBdr>
        </w:div>
        <w:div w:id="741685868">
          <w:marLeft w:val="0"/>
          <w:marRight w:val="0"/>
          <w:marTop w:val="0"/>
          <w:marBottom w:val="0"/>
          <w:divBdr>
            <w:top w:val="none" w:sz="0" w:space="0" w:color="auto"/>
            <w:left w:val="none" w:sz="0" w:space="0" w:color="auto"/>
            <w:bottom w:val="none" w:sz="0" w:space="0" w:color="auto"/>
            <w:right w:val="none" w:sz="0" w:space="0" w:color="auto"/>
          </w:divBdr>
        </w:div>
        <w:div w:id="1630011825">
          <w:marLeft w:val="0"/>
          <w:marRight w:val="0"/>
          <w:marTop w:val="0"/>
          <w:marBottom w:val="0"/>
          <w:divBdr>
            <w:top w:val="none" w:sz="0" w:space="0" w:color="auto"/>
            <w:left w:val="none" w:sz="0" w:space="0" w:color="auto"/>
            <w:bottom w:val="none" w:sz="0" w:space="0" w:color="auto"/>
            <w:right w:val="none" w:sz="0" w:space="0" w:color="auto"/>
          </w:divBdr>
        </w:div>
        <w:div w:id="1625690970">
          <w:marLeft w:val="0"/>
          <w:marRight w:val="0"/>
          <w:marTop w:val="0"/>
          <w:marBottom w:val="0"/>
          <w:divBdr>
            <w:top w:val="none" w:sz="0" w:space="0" w:color="auto"/>
            <w:left w:val="none" w:sz="0" w:space="0" w:color="auto"/>
            <w:bottom w:val="none" w:sz="0" w:space="0" w:color="auto"/>
            <w:right w:val="none" w:sz="0" w:space="0" w:color="auto"/>
          </w:divBdr>
        </w:div>
        <w:div w:id="1977879851">
          <w:marLeft w:val="0"/>
          <w:marRight w:val="0"/>
          <w:marTop w:val="0"/>
          <w:marBottom w:val="0"/>
          <w:divBdr>
            <w:top w:val="none" w:sz="0" w:space="0" w:color="auto"/>
            <w:left w:val="none" w:sz="0" w:space="0" w:color="auto"/>
            <w:bottom w:val="none" w:sz="0" w:space="0" w:color="auto"/>
            <w:right w:val="none" w:sz="0" w:space="0" w:color="auto"/>
          </w:divBdr>
        </w:div>
        <w:div w:id="706759652">
          <w:marLeft w:val="0"/>
          <w:marRight w:val="0"/>
          <w:marTop w:val="0"/>
          <w:marBottom w:val="0"/>
          <w:divBdr>
            <w:top w:val="none" w:sz="0" w:space="0" w:color="auto"/>
            <w:left w:val="none" w:sz="0" w:space="0" w:color="auto"/>
            <w:bottom w:val="none" w:sz="0" w:space="0" w:color="auto"/>
            <w:right w:val="none" w:sz="0" w:space="0" w:color="auto"/>
          </w:divBdr>
        </w:div>
        <w:div w:id="241139538">
          <w:marLeft w:val="0"/>
          <w:marRight w:val="0"/>
          <w:marTop w:val="0"/>
          <w:marBottom w:val="0"/>
          <w:divBdr>
            <w:top w:val="none" w:sz="0" w:space="0" w:color="auto"/>
            <w:left w:val="none" w:sz="0" w:space="0" w:color="auto"/>
            <w:bottom w:val="none" w:sz="0" w:space="0" w:color="auto"/>
            <w:right w:val="none" w:sz="0" w:space="0" w:color="auto"/>
          </w:divBdr>
        </w:div>
        <w:div w:id="707680142">
          <w:marLeft w:val="0"/>
          <w:marRight w:val="0"/>
          <w:marTop w:val="0"/>
          <w:marBottom w:val="0"/>
          <w:divBdr>
            <w:top w:val="none" w:sz="0" w:space="0" w:color="auto"/>
            <w:left w:val="none" w:sz="0" w:space="0" w:color="auto"/>
            <w:bottom w:val="none" w:sz="0" w:space="0" w:color="auto"/>
            <w:right w:val="none" w:sz="0" w:space="0" w:color="auto"/>
          </w:divBdr>
        </w:div>
        <w:div w:id="222765394">
          <w:marLeft w:val="0"/>
          <w:marRight w:val="0"/>
          <w:marTop w:val="0"/>
          <w:marBottom w:val="0"/>
          <w:divBdr>
            <w:top w:val="none" w:sz="0" w:space="0" w:color="auto"/>
            <w:left w:val="none" w:sz="0" w:space="0" w:color="auto"/>
            <w:bottom w:val="none" w:sz="0" w:space="0" w:color="auto"/>
            <w:right w:val="none" w:sz="0" w:space="0" w:color="auto"/>
          </w:divBdr>
        </w:div>
        <w:div w:id="1632785018">
          <w:marLeft w:val="0"/>
          <w:marRight w:val="0"/>
          <w:marTop w:val="0"/>
          <w:marBottom w:val="0"/>
          <w:divBdr>
            <w:top w:val="none" w:sz="0" w:space="0" w:color="auto"/>
            <w:left w:val="none" w:sz="0" w:space="0" w:color="auto"/>
            <w:bottom w:val="none" w:sz="0" w:space="0" w:color="auto"/>
            <w:right w:val="none" w:sz="0" w:space="0" w:color="auto"/>
          </w:divBdr>
        </w:div>
        <w:div w:id="669212002">
          <w:marLeft w:val="0"/>
          <w:marRight w:val="0"/>
          <w:marTop w:val="0"/>
          <w:marBottom w:val="0"/>
          <w:divBdr>
            <w:top w:val="none" w:sz="0" w:space="0" w:color="auto"/>
            <w:left w:val="none" w:sz="0" w:space="0" w:color="auto"/>
            <w:bottom w:val="none" w:sz="0" w:space="0" w:color="auto"/>
            <w:right w:val="none" w:sz="0" w:space="0" w:color="auto"/>
          </w:divBdr>
        </w:div>
        <w:div w:id="771434766">
          <w:marLeft w:val="0"/>
          <w:marRight w:val="0"/>
          <w:marTop w:val="0"/>
          <w:marBottom w:val="0"/>
          <w:divBdr>
            <w:top w:val="none" w:sz="0" w:space="0" w:color="auto"/>
            <w:left w:val="none" w:sz="0" w:space="0" w:color="auto"/>
            <w:bottom w:val="none" w:sz="0" w:space="0" w:color="auto"/>
            <w:right w:val="none" w:sz="0" w:space="0" w:color="auto"/>
          </w:divBdr>
        </w:div>
        <w:div w:id="233663294">
          <w:marLeft w:val="0"/>
          <w:marRight w:val="0"/>
          <w:marTop w:val="0"/>
          <w:marBottom w:val="0"/>
          <w:divBdr>
            <w:top w:val="none" w:sz="0" w:space="0" w:color="auto"/>
            <w:left w:val="none" w:sz="0" w:space="0" w:color="auto"/>
            <w:bottom w:val="none" w:sz="0" w:space="0" w:color="auto"/>
            <w:right w:val="none" w:sz="0" w:space="0" w:color="auto"/>
          </w:divBdr>
        </w:div>
        <w:div w:id="1462770603">
          <w:marLeft w:val="0"/>
          <w:marRight w:val="0"/>
          <w:marTop w:val="0"/>
          <w:marBottom w:val="0"/>
          <w:divBdr>
            <w:top w:val="none" w:sz="0" w:space="0" w:color="auto"/>
            <w:left w:val="none" w:sz="0" w:space="0" w:color="auto"/>
            <w:bottom w:val="none" w:sz="0" w:space="0" w:color="auto"/>
            <w:right w:val="none" w:sz="0" w:space="0" w:color="auto"/>
          </w:divBdr>
        </w:div>
        <w:div w:id="24328694">
          <w:marLeft w:val="0"/>
          <w:marRight w:val="0"/>
          <w:marTop w:val="0"/>
          <w:marBottom w:val="0"/>
          <w:divBdr>
            <w:top w:val="none" w:sz="0" w:space="0" w:color="auto"/>
            <w:left w:val="none" w:sz="0" w:space="0" w:color="auto"/>
            <w:bottom w:val="none" w:sz="0" w:space="0" w:color="auto"/>
            <w:right w:val="none" w:sz="0" w:space="0" w:color="auto"/>
          </w:divBdr>
        </w:div>
        <w:div w:id="832381775">
          <w:marLeft w:val="0"/>
          <w:marRight w:val="0"/>
          <w:marTop w:val="0"/>
          <w:marBottom w:val="0"/>
          <w:divBdr>
            <w:top w:val="none" w:sz="0" w:space="0" w:color="auto"/>
            <w:left w:val="none" w:sz="0" w:space="0" w:color="auto"/>
            <w:bottom w:val="none" w:sz="0" w:space="0" w:color="auto"/>
            <w:right w:val="none" w:sz="0" w:space="0" w:color="auto"/>
          </w:divBdr>
        </w:div>
        <w:div w:id="660549965">
          <w:marLeft w:val="0"/>
          <w:marRight w:val="0"/>
          <w:marTop w:val="0"/>
          <w:marBottom w:val="0"/>
          <w:divBdr>
            <w:top w:val="none" w:sz="0" w:space="0" w:color="auto"/>
            <w:left w:val="none" w:sz="0" w:space="0" w:color="auto"/>
            <w:bottom w:val="none" w:sz="0" w:space="0" w:color="auto"/>
            <w:right w:val="none" w:sz="0" w:space="0" w:color="auto"/>
          </w:divBdr>
        </w:div>
        <w:div w:id="2097245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FE632-77BD-45F3-AD0F-73FCCE1A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4585</Words>
  <Characters>28890</Characters>
  <Application>Microsoft Office Word</Application>
  <DocSecurity>0</DocSecurity>
  <Lines>240</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Klinikum der Universitaet Muenchen</Company>
  <LinksUpToDate>false</LinksUpToDate>
  <CharactersWithSpaces>33409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Holger  Dr.med.</dc:creator>
  <cp:keywords/>
  <dc:description/>
  <cp:lastModifiedBy>Holger Schneider</cp:lastModifiedBy>
  <cp:revision>5</cp:revision>
  <dcterms:created xsi:type="dcterms:W3CDTF">2024-05-22T18:14:00Z</dcterms:created>
  <dcterms:modified xsi:type="dcterms:W3CDTF">2024-07-31T20:04:00Z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http://csl.mendeley.com/styles/19849101/american-medical-association-no-url-brackets-underlined</vt:lpwstr>
  </property>
  <property fmtid="{D5CDD505-2E9C-101B-9397-08002B2CF9AE}" pid="3" name="Mendeley Recent Style Name 0_1">
    <vt:lpwstr>American Medical Association (no URL) - Holger Schneider</vt:lpwstr>
  </property>
  <property fmtid="{D5CDD505-2E9C-101B-9397-08002B2CF9AE}" pid="4" name="Mendeley Recent Style Id 1_1">
    <vt:lpwstr>http://www.zotero.org/styles/atherosclerosis</vt:lpwstr>
  </property>
  <property fmtid="{D5CDD505-2E9C-101B-9397-08002B2CF9AE}" pid="5" name="Mendeley Recent Style Name 1_1">
    <vt:lpwstr>Atherosclerosis</vt:lpwstr>
  </property>
  <property fmtid="{D5CDD505-2E9C-101B-9397-08002B2CF9AE}" pid="6" name="Mendeley Recent Style Id 2_1">
    <vt:lpwstr>http://www.zotero.org/styles/basic-research-in-cardiology</vt:lpwstr>
  </property>
  <property fmtid="{D5CDD505-2E9C-101B-9397-08002B2CF9AE}" pid="7" name="Mendeley Recent Style Name 2_1">
    <vt:lpwstr>Basic Research in Cardiology</vt:lpwstr>
  </property>
  <property fmtid="{D5CDD505-2E9C-101B-9397-08002B2CF9AE}" pid="8" name="Mendeley Recent Style Id 3_1">
    <vt:lpwstr>http://www.zotero.org/styles/circulation</vt:lpwstr>
  </property>
  <property fmtid="{D5CDD505-2E9C-101B-9397-08002B2CF9AE}" pid="9" name="Mendeley Recent Style Name 3_1">
    <vt:lpwstr>Circulation</vt:lpwstr>
  </property>
  <property fmtid="{D5CDD505-2E9C-101B-9397-08002B2CF9AE}" pid="10" name="Mendeley Recent Style Id 4_1">
    <vt:lpwstr>http://www.zotero.org/styles/journal-of-hypertension</vt:lpwstr>
  </property>
  <property fmtid="{D5CDD505-2E9C-101B-9397-08002B2CF9AE}" pid="11" name="Mendeley Recent Style Name 4_1">
    <vt:lpwstr>Journal of Hypertension</vt:lpwstr>
  </property>
  <property fmtid="{D5CDD505-2E9C-101B-9397-08002B2CF9AE}" pid="12" name="Mendeley Recent Style Id 5_1">
    <vt:lpwstr>http://www.zotero.org/styles/national-library-of-medicine</vt:lpwstr>
  </property>
  <property fmtid="{D5CDD505-2E9C-101B-9397-08002B2CF9AE}" pid="13" name="Mendeley Recent Style Name 5_1">
    <vt:lpwstr>National Library of Medicine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http://www.zotero.org/styles/oxford-university-press-scimed-numeric</vt:lpwstr>
  </property>
  <property fmtid="{D5CDD505-2E9C-101B-9397-08002B2CF9AE}" pid="17" name="Mendeley Recent Style Name 7_1">
    <vt:lpwstr>Oxford University Press SciMed (numeric)</vt:lpwstr>
  </property>
  <property fmtid="{D5CDD505-2E9C-101B-9397-08002B2CF9AE}" pid="18" name="Mendeley Recent Style Id 8_1">
    <vt:lpwstr>https://csl.mendeley.com/styles/622410541/thieme-german-2-hs</vt:lpwstr>
  </property>
  <property fmtid="{D5CDD505-2E9C-101B-9397-08002B2CF9AE}" pid="19" name="Mendeley Recent Style Name 8_1">
    <vt:lpwstr>Thieme-German (Deutsch) - Holger Schneider</vt:lpwstr>
  </property>
  <property fmtid="{D5CDD505-2E9C-101B-9397-08002B2CF9AE}" pid="20" name="Mendeley Recent Style Id 9_1">
    <vt:lpwstr>http://csl.mendeley.com/styles/622410541/thieme-german-2-hs</vt:lpwstr>
  </property>
  <property fmtid="{D5CDD505-2E9C-101B-9397-08002B2CF9AE}" pid="21" name="Mendeley Recent Style Name 9_1">
    <vt:lpwstr>Thieme-German (Deutsch) - Holger Schneider</vt:lpwstr>
  </property>
  <property fmtid="{D5CDD505-2E9C-101B-9397-08002B2CF9AE}" pid="22" name="Mendeley Citation Style_1">
    <vt:lpwstr>http://www.zotero.org/styles/basic-research-in-cardiology</vt:lpwstr>
  </property>
  <property fmtid="{D5CDD505-2E9C-101B-9397-08002B2CF9AE}" pid="23" name="Mendeley Document_1">
    <vt:lpwstr>True</vt:lpwstr>
  </property>
  <property fmtid="{D5CDD505-2E9C-101B-9397-08002B2CF9AE}" pid="24" name="Mendeley Unique User Id_1">
    <vt:lpwstr>e787c2c3-b6c6-31e7-a611-648fbd61fa2c</vt:lpwstr>
  </property>
</Properties>
</file>