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311" w:rsidRDefault="00001E79">
      <w:pPr>
        <w:spacing w:line="480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Supplementary methods</w:t>
      </w:r>
    </w:p>
    <w:p w:rsidR="00593311" w:rsidRDefault="00001E79">
      <w:pPr>
        <w:pStyle w:val="Default"/>
        <w:spacing w:line="480" w:lineRule="auto"/>
        <w:jc w:val="both"/>
        <w:rPr>
          <w:rFonts w:ascii="Times New Roman" w:hAnsi="Times New Roman" w:cs="Times New Roman"/>
          <w:b/>
          <w:color w:val="auto"/>
          <w:szCs w:val="22"/>
        </w:rPr>
      </w:pPr>
      <w:r>
        <w:rPr>
          <w:rFonts w:ascii="Times New Roman" w:hAnsi="Times New Roman" w:cs="Times New Roman"/>
          <w:b/>
          <w:color w:val="auto"/>
          <w:szCs w:val="22"/>
        </w:rPr>
        <w:t xml:space="preserve">Tissue sectioning </w:t>
      </w:r>
    </w:p>
    <w:p w:rsidR="00593311" w:rsidRDefault="00001E7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tissues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were immediately cryopreserved in liquid nitrogen and documented following a standardized protocol (Standard Operating Procedure - SOP)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Blood samples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were collected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from all patients in the pre-surgical fasting state. Serum was isolated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by centrifugation at 4500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rcf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for 10 min at room temperature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cryopreserved. Liver, muscle, and adipose tissues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were sectioned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a cryostat (CM1950, Leica Microsystems,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Wetzlar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ermany) at the following temperatures: liver and muscle tissues at -15 °C and adipose tissues at -47 °C, respectively. The specimens were sliced into 12 </w:t>
      </w:r>
      <w:r>
        <w:rPr>
          <w:rFonts w:ascii="Times New Roman" w:hAnsi="Times New Roman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 sections and thaw mounted onto indium-tin-oxide (ITO)-coated glass slides (Bruker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Daltonics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Bremen,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Germany) according to previous protocols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[1, 2]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93311" w:rsidRDefault="00001E79">
      <w:pPr>
        <w:spacing w:line="480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MALDI</w:t>
      </w:r>
      <w:r>
        <w:rPr>
          <w:rFonts w:ascii="Times New Roman" w:hAnsi="Times New Roman" w:cs="Times New Roman"/>
          <w:b/>
          <w:sz w:val="24"/>
          <w:lang w:val="en-US"/>
        </w:rPr>
        <w:noBreakHyphen/>
        <w:t>FTICR mass spectrometry imaging</w:t>
      </w:r>
    </w:p>
    <w:p w:rsidR="00593311" w:rsidRDefault="00001E7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MALDI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Fourier-transform ion cyclotron resonance (FTICR) </w:t>
      </w:r>
      <w:r>
        <w:rPr>
          <w:rFonts w:ascii="Times New Roman" w:hAnsi="Times New Roman" w:cs="Times New Roman"/>
          <w:sz w:val="24"/>
          <w:lang w:val="en-US"/>
        </w:rPr>
        <w:t xml:space="preserve">MSI analysis was performed as previously described </w:t>
      </w:r>
      <w:r>
        <w:rPr>
          <w:rFonts w:ascii="Times New Roman" w:hAnsi="Times New Roman" w:cs="Times New Roman"/>
          <w:noProof/>
          <w:sz w:val="24"/>
          <w:lang w:val="en-US"/>
        </w:rPr>
        <w:t>[3, 4]</w:t>
      </w:r>
      <w:r>
        <w:rPr>
          <w:rFonts w:ascii="Times New Roman" w:hAnsi="Times New Roman" w:cs="Times New Roman"/>
          <w:sz w:val="24"/>
          <w:lang w:val="en-US"/>
        </w:rPr>
        <w:t>. A matri</w:t>
      </w:r>
      <w:r>
        <w:rPr>
          <w:rFonts w:ascii="Times New Roman" w:hAnsi="Times New Roman" w:cs="Times New Roman"/>
          <w:sz w:val="24"/>
          <w:lang w:val="en-US"/>
        </w:rPr>
        <w:t xml:space="preserve">x solution of 10 mg/ml 9-aminoacridine hydrochloride monohydrate  (Sigma-Aldrich, Germany) in water/methanol 30:70 (v/v) was applied using a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SunCollect</w:t>
      </w:r>
      <w:r>
        <w:rPr>
          <w:rFonts w:ascii="Times New Roman" w:hAnsi="Times New Roman" w:cs="Times New Roman"/>
          <w:sz w:val="24"/>
          <w:vertAlign w:val="superscript"/>
          <w:lang w:val="en-US"/>
        </w:rPr>
        <w:t>TM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automatic sprayer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Sunchrom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lang w:val="en-US"/>
        </w:rPr>
        <w:t>Friedrichsdorf</w:t>
      </w:r>
      <w:proofErr w:type="spellEnd"/>
      <w:r>
        <w:rPr>
          <w:rFonts w:ascii="Times New Roman" w:hAnsi="Times New Roman" w:cs="Times New Roman"/>
          <w:sz w:val="24"/>
          <w:lang w:val="en-US"/>
        </w:rPr>
        <w:t>, Germany)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For serum samples, 1 </w:t>
      </w:r>
      <w:r>
        <w:rPr>
          <w:rFonts w:ascii="Times New Roman" w:hAnsi="Times New Roman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 serum was applied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twice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side by side as a technical replicate onto the slides. The MALDI-FTICR MSI measurement was performed on a Bruker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Solarix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7T FT-IC</w:t>
      </w:r>
      <w:r>
        <w:rPr>
          <w:rFonts w:ascii="Times New Roman" w:hAnsi="Times New Roman" w:cs="Times New Roman"/>
          <w:sz w:val="24"/>
          <w:lang w:val="en-US"/>
        </w:rPr>
        <w:t xml:space="preserve">R-MS (Bruker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Daltonik</w:t>
      </w:r>
      <w:proofErr w:type="spellEnd"/>
      <w:r>
        <w:rPr>
          <w:rFonts w:ascii="Times New Roman" w:hAnsi="Times New Roman" w:cs="Times New Roman"/>
          <w:sz w:val="24"/>
          <w:lang w:val="en-US"/>
        </w:rPr>
        <w:t>, Bremen, Germany) in negative ion mode using 100 laser shots at a frequency of 1000 Hz. Data were acquir</w:t>
      </w:r>
      <w:r>
        <w:rPr>
          <w:rFonts w:ascii="Times New Roman" w:hAnsi="Times New Roman" w:cs="Times New Roman"/>
          <w:sz w:val="24"/>
          <w:lang w:val="en-US"/>
        </w:rPr>
        <w:t xml:space="preserve">ed across the mass range of m/z 75–1000 with 50 </w:t>
      </w:r>
      <w:proofErr w:type="spellStart"/>
      <w:r>
        <w:rPr>
          <w:rFonts w:ascii="Times New Roman" w:hAnsi="Times New Roman" w:cs="Times New Roman"/>
          <w:sz w:val="24"/>
          <w:lang w:val="en-US"/>
        </w:rPr>
        <w:t>μm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lateral resolution. After the MALDI MSI experiments, the tissue sections were stained with hematoxylin and eosin (H&amp;E) and scanned with an AxioScan.Z1 digital slide scanner (Zeiss, Jena, Germany) equipped </w:t>
      </w:r>
      <w:r>
        <w:rPr>
          <w:rFonts w:ascii="Times New Roman" w:hAnsi="Times New Roman" w:cs="Times New Roman"/>
          <w:sz w:val="24"/>
          <w:lang w:val="en-US"/>
        </w:rPr>
        <w:t xml:space="preserve">with a </w:t>
      </w:r>
      <w:proofErr w:type="gramStart"/>
      <w:r>
        <w:rPr>
          <w:rFonts w:ascii="Times New Roman" w:hAnsi="Times New Roman" w:cs="Times New Roman"/>
          <w:sz w:val="24"/>
          <w:lang w:val="en-US"/>
        </w:rPr>
        <w:t>20</w:t>
      </w:r>
      <w:r>
        <w:rPr>
          <w:rFonts w:ascii="Times New Roman" w:hAnsi="Times New Roman" w:cs="Times New Roman"/>
          <w:sz w:val="24"/>
          <w:lang w:val="en-US"/>
        </w:rPr>
        <w:sym w:font="Symbol" w:char="F0B4"/>
      </w:r>
      <w:r>
        <w:rPr>
          <w:rFonts w:ascii="Times New Roman" w:hAnsi="Times New Roman" w:cs="Times New Roman"/>
          <w:sz w:val="24"/>
          <w:lang w:val="en-US"/>
        </w:rPr>
        <w:t xml:space="preserve"> magnification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objective. The acquired data were subjected to spectral processing in </w:t>
      </w:r>
      <w:proofErr w:type="spellStart"/>
      <w:r>
        <w:rPr>
          <w:rFonts w:ascii="Times New Roman" w:hAnsi="Times New Roman" w:cs="Times New Roman"/>
          <w:sz w:val="24"/>
          <w:lang w:val="en-US"/>
        </w:rPr>
        <w:t>FlexImaging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v. 5.0 (Bruker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Daltonics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, Bremen, Germany) and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SCiLS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Lab v. 2020 (Bruker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Daltonics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, Bremen, </w:t>
      </w:r>
      <w:r>
        <w:rPr>
          <w:rFonts w:ascii="Times New Roman" w:hAnsi="Times New Roman" w:cs="Times New Roman"/>
          <w:sz w:val="24"/>
          <w:lang w:val="en-US"/>
        </w:rPr>
        <w:lastRenderedPageBreak/>
        <w:t xml:space="preserve">Germany). The </w:t>
      </w:r>
      <w:proofErr w:type="spellStart"/>
      <w:r>
        <w:rPr>
          <w:rFonts w:ascii="Times New Roman" w:hAnsi="Times New Roman" w:cs="Times New Roman"/>
          <w:sz w:val="24"/>
          <w:lang w:val="en-US"/>
        </w:rPr>
        <w:t>imzML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files </w:t>
      </w:r>
      <w:proofErr w:type="gramStart"/>
      <w:r>
        <w:rPr>
          <w:rFonts w:ascii="Times New Roman" w:hAnsi="Times New Roman" w:cs="Times New Roman"/>
          <w:sz w:val="24"/>
          <w:lang w:val="en-US"/>
        </w:rPr>
        <w:t>were exported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for subsequent an</w:t>
      </w:r>
      <w:r>
        <w:rPr>
          <w:rFonts w:ascii="Times New Roman" w:hAnsi="Times New Roman" w:cs="Times New Roman"/>
          <w:sz w:val="24"/>
          <w:lang w:val="en-US"/>
        </w:rPr>
        <w:t>alysis with the Spatial Correlation Image Analysis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SPACiAL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) pipeline </w:t>
      </w:r>
      <w:r>
        <w:rPr>
          <w:rFonts w:ascii="Times New Roman" w:hAnsi="Times New Roman" w:cs="Times New Roman"/>
          <w:noProof/>
          <w:sz w:val="24"/>
          <w:lang w:val="en-US"/>
        </w:rPr>
        <w:t>[5]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laser grid image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wa</w:t>
      </w:r>
      <w:r>
        <w:rPr>
          <w:rFonts w:ascii="Times New Roman" w:hAnsi="Times New Roman" w:cs="Times New Roman"/>
          <w:sz w:val="24"/>
          <w:szCs w:val="24"/>
          <w:lang w:val="en-US"/>
        </w:rPr>
        <w:t>s generated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based on the exported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imzML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file, and peaks were aligned. The matrix scans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were precisely co-registered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the laser grid through laser ablations, and the corresponding H&amp;E scans were co-registered onto the matrix scans. Virtual microdissection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was carried out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; this involved annotating and defining regions of interest based on the co-registered histological images. </w:t>
      </w:r>
      <w:r>
        <w:rPr>
          <w:rFonts w:ascii="Times New Roman" w:hAnsi="Times New Roman" w:cs="Times New Roman"/>
          <w:sz w:val="24"/>
          <w:lang w:val="en-US"/>
        </w:rPr>
        <w:t xml:space="preserve">Mass spectrometry peaks </w:t>
      </w:r>
      <w:proofErr w:type="gramStart"/>
      <w:r>
        <w:rPr>
          <w:rFonts w:ascii="Times New Roman" w:hAnsi="Times New Roman" w:cs="Times New Roman"/>
          <w:sz w:val="24"/>
          <w:lang w:val="en-US"/>
        </w:rPr>
        <w:t>were annotated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using the Human Metabolome Database (HMDB, </w:t>
      </w:r>
      <w:r w:rsidRPr="00001E79">
        <w:rPr>
          <w:rFonts w:ascii="Times New Roman" w:hAnsi="Times New Roman" w:cs="Times New Roman"/>
          <w:sz w:val="24"/>
          <w:lang w:val="en-US"/>
        </w:rPr>
        <w:t>https://www.h</w:t>
      </w:r>
      <w:r w:rsidRPr="00001E79">
        <w:rPr>
          <w:rFonts w:ascii="Times New Roman" w:hAnsi="Times New Roman" w:cs="Times New Roman"/>
          <w:sz w:val="24"/>
          <w:lang w:val="en-US"/>
        </w:rPr>
        <w:t>mdb.ca/</w:t>
      </w:r>
      <w:r>
        <w:rPr>
          <w:rFonts w:ascii="Times New Roman" w:hAnsi="Times New Roman" w:cs="Times New Roman"/>
          <w:sz w:val="24"/>
          <w:lang w:val="en-US"/>
        </w:rPr>
        <w:t xml:space="preserve">) </w:t>
      </w:r>
      <w:r>
        <w:rPr>
          <w:rFonts w:ascii="Times New Roman" w:hAnsi="Times New Roman" w:cs="Times New Roman"/>
          <w:noProof/>
          <w:sz w:val="24"/>
          <w:lang w:val="en-US"/>
        </w:rPr>
        <w:t>[6]</w:t>
      </w:r>
      <w:r>
        <w:rPr>
          <w:rFonts w:ascii="Times New Roman" w:hAnsi="Times New Roman" w:cs="Times New Roman"/>
          <w:sz w:val="24"/>
          <w:lang w:val="en-US"/>
        </w:rPr>
        <w:t xml:space="preserve">, METASPACE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ttps://metaspace2020.eu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[7]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lang w:val="en-US"/>
        </w:rPr>
        <w:t xml:space="preserve"> and </w:t>
      </w:r>
      <w:r>
        <w:rPr>
          <w:rFonts w:ascii="Times New Roman" w:hAnsi="Times New Roman" w:cs="Times New Roman"/>
          <w:sz w:val="24"/>
          <w:lang w:val="en-US"/>
        </w:rPr>
        <w:t>the KEGG database (</w:t>
      </w:r>
      <w:r w:rsidRPr="00001E79">
        <w:rPr>
          <w:rFonts w:ascii="Times New Roman" w:hAnsi="Times New Roman" w:cs="Times New Roman"/>
          <w:sz w:val="24"/>
          <w:lang w:val="en-US"/>
        </w:rPr>
        <w:t>https://www.genome.jp/kegg/</w:t>
      </w:r>
      <w:r>
        <w:rPr>
          <w:rFonts w:ascii="Times New Roman" w:hAnsi="Times New Roman" w:cs="Times New Roman"/>
          <w:sz w:val="24"/>
          <w:lang w:val="en-US"/>
        </w:rPr>
        <w:t xml:space="preserve">) </w:t>
      </w:r>
      <w:r>
        <w:rPr>
          <w:rFonts w:ascii="Times New Roman" w:hAnsi="Times New Roman" w:cs="Times New Roman"/>
          <w:noProof/>
          <w:sz w:val="24"/>
          <w:lang w:val="en-US"/>
        </w:rPr>
        <w:t>[8]</w:t>
      </w:r>
      <w:r>
        <w:rPr>
          <w:rFonts w:ascii="Times New Roman" w:hAnsi="Times New Roman" w:cs="Times New Roman"/>
          <w:sz w:val="24"/>
          <w:lang w:val="en-US"/>
        </w:rPr>
        <w:t>. The negative adducts M-H, M-H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 xml:space="preserve">O-H, M+Na-2H, </w:t>
      </w:r>
      <w:proofErr w:type="spellStart"/>
      <w:r>
        <w:rPr>
          <w:rFonts w:ascii="Times New Roman" w:hAnsi="Times New Roman" w:cs="Times New Roman"/>
          <w:sz w:val="24"/>
          <w:lang w:val="en-US"/>
        </w:rPr>
        <w:t>M+Cl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, and M+K-2H were included </w:t>
      </w:r>
      <w:r>
        <w:rPr>
          <w:rFonts w:ascii="Times New Roman" w:hAnsi="Times New Roman" w:cs="Times New Roman"/>
          <w:noProof/>
          <w:sz w:val="24"/>
          <w:lang w:val="en-US"/>
        </w:rPr>
        <w:t>[5]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Metabolite-signal match (MSM) score by combin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ing spectral and spatial measures, and decoy false discovery rate (FDR)-estimation approach with a decoy set generated via the use of implausible adducts were integrated as verification processes to improve evidence of accurate metabolite annotation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[7]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lang w:val="en-US"/>
        </w:rPr>
        <w:t>We added Supplemental Table 3 including annotation of the metabolites.</w:t>
      </w:r>
    </w:p>
    <w:p w:rsidR="00593311" w:rsidRDefault="00593311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</w:p>
    <w:p w:rsidR="00593311" w:rsidRDefault="00001E79">
      <w:pPr>
        <w:spacing w:line="480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Data analysis</w:t>
      </w:r>
    </w:p>
    <w:p w:rsidR="00593311" w:rsidRDefault="00001E79">
      <w:pPr>
        <w:spacing w:before="100" w:beforeAutospacing="1" w:after="100" w:afterAutospacing="1"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Energy charge </w:t>
      </w:r>
      <w:proofErr w:type="gramStart"/>
      <w:r>
        <w:rPr>
          <w:rFonts w:ascii="Times New Roman" w:hAnsi="Times New Roman" w:cs="Times New Roman"/>
          <w:sz w:val="24"/>
          <w:lang w:val="en-US"/>
        </w:rPr>
        <w:t>is calculated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as the ratio of the concentrations of ATP, ADP, and AMP as previously descript </w:t>
      </w:r>
      <w:r>
        <w:rPr>
          <w:rFonts w:ascii="Times New Roman" w:hAnsi="Times New Roman" w:cs="Times New Roman"/>
          <w:noProof/>
          <w:sz w:val="24"/>
          <w:lang w:val="en-US"/>
        </w:rPr>
        <w:t>[2, 9, 10]</w:t>
      </w:r>
      <w:r>
        <w:rPr>
          <w:rFonts w:ascii="Times New Roman" w:hAnsi="Times New Roman" w:cs="Times New Roman"/>
          <w:sz w:val="24"/>
          <w:lang w:val="en-US"/>
        </w:rPr>
        <w:t>. The formula for energy charge is:</w:t>
      </w:r>
    </w:p>
    <w:p w:rsidR="00593311" w:rsidRDefault="00001E79">
      <w:pPr>
        <w:spacing w:before="100" w:beforeAutospacing="1" w:after="100" w:afterAutospacing="1" w:line="480" w:lineRule="auto"/>
        <w:jc w:val="both"/>
        <w:rPr>
          <w:rFonts w:ascii="Times New Roman" w:hAnsi="Times New Roman" w:cs="Times New Roman"/>
          <w:sz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lang w:val="en-US"/>
            </w:rPr>
            <m:t>Energy</m:t>
          </m:r>
          <m:r>
            <w:rPr>
              <w:rFonts w:ascii="Cambria Math" w:hAnsi="Cambria Math" w:cs="Times New Roman"/>
              <w:sz w:val="24"/>
              <w:lang w:val="en-US"/>
            </w:rPr>
            <m:t xml:space="preserve"> </m:t>
          </m:r>
          <m:r>
            <w:rPr>
              <w:rFonts w:ascii="Cambria Math" w:hAnsi="Cambria Math" w:cs="Times New Roman"/>
              <w:sz w:val="24"/>
              <w:lang w:val="en-US"/>
            </w:rPr>
            <m:t>c</m:t>
          </m:r>
          <m:r>
            <w:rPr>
              <w:rFonts w:ascii="Cambria Math" w:hAnsi="Cambria Math" w:cs="Times New Roman"/>
              <w:sz w:val="24"/>
              <w:lang w:val="en-US"/>
            </w:rPr>
            <m:t>h</m:t>
          </m:r>
          <m:r>
            <w:rPr>
              <w:rFonts w:ascii="Cambria Math" w:hAnsi="Cambria Math" w:cs="Times New Roman"/>
              <w:sz w:val="24"/>
              <w:lang w:val="en-US"/>
            </w:rPr>
            <m:t>arge</m:t>
          </m:r>
          <m:r>
            <w:rPr>
              <w:rFonts w:ascii="Cambria Math" w:hAnsi="Cambria Math" w:cs="Times New Roman"/>
              <w:sz w:val="24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lang w:val="en-US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4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en-US"/>
                    </w:rPr>
                    <m:t>ATP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US"/>
                </w:rPr>
                <m:t xml:space="preserve">+ 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US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US"/>
                </w:rPr>
                <m:t xml:space="preserve"> [ADP]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US"/>
                </w:rPr>
                <m:t>[ATP] + [ADP] + [AMP]</m:t>
              </m:r>
            </m:den>
          </m:f>
        </m:oMath>
      </m:oMathPara>
    </w:p>
    <w:p w:rsidR="00593311" w:rsidRDefault="00001E79">
      <w:pPr>
        <w:spacing w:before="100" w:beforeAutospacing="1" w:after="100" w:afterAutospacing="1"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lang w:val="en-US"/>
        </w:rPr>
        <w:lastRenderedPageBreak/>
        <w:t xml:space="preserve">Where [ATP], [ADP], and [AMP] represent the concentrations of ATP, ADP, and AMP, respectively. The energy charge can range from </w:t>
      </w:r>
      <w:proofErr w:type="gramStart"/>
      <w:r>
        <w:rPr>
          <w:rFonts w:ascii="Times New Roman" w:hAnsi="Times New Roman" w:cs="Times New Roman"/>
          <w:sz w:val="24"/>
          <w:lang w:val="en-US"/>
        </w:rPr>
        <w:t>0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to 1, with higher values indicating a higher energy state in the cell.</w:t>
      </w:r>
    </w:p>
    <w:p w:rsidR="00593311" w:rsidRDefault="00001E7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References:</w:t>
      </w:r>
    </w:p>
    <w:p w:rsidR="00593311" w:rsidRDefault="00001E79">
      <w:pPr>
        <w:pStyle w:val="EndNoteBibliography"/>
        <w:spacing w:after="0"/>
        <w:ind w:left="720" w:hanging="720"/>
      </w:pPr>
      <w:r>
        <w:t>[1]</w:t>
      </w:r>
      <w:r>
        <w:tab/>
        <w:t>Wang, Q., et al., A simple preparation step to remove excess liquid lipids in white adipose tissue enabling improved detection of metabolites via MALDI-FTICR imaging MS</w:t>
      </w:r>
      <w:r>
        <w:rPr>
          <w:i/>
        </w:rPr>
        <w:t>.</w:t>
      </w:r>
      <w:r>
        <w:t xml:space="preserve"> Histochem Cell Biol, 2022. </w:t>
      </w:r>
      <w:r>
        <w:rPr>
          <w:b/>
        </w:rPr>
        <w:t>157</w:t>
      </w:r>
      <w:r>
        <w:t xml:space="preserve">(5): p. 595-605. </w:t>
      </w:r>
      <w:r w:rsidRPr="00001E79">
        <w:t>https://doi.org/10.1007/s00418-022-02088-y</w:t>
      </w:r>
      <w:r>
        <w:t>.</w:t>
      </w:r>
    </w:p>
    <w:p w:rsidR="00593311" w:rsidRDefault="00001E79">
      <w:pPr>
        <w:pStyle w:val="EndNoteBibliography"/>
        <w:spacing w:after="0"/>
        <w:ind w:left="720" w:hanging="720"/>
      </w:pPr>
      <w:r>
        <w:t>[2]</w:t>
      </w:r>
      <w:r>
        <w:tab/>
        <w:t>Kunzke, T., et al., Derangements of amino acids in cachectic skeletal muscle are caused by mitochondrial dysfunction</w:t>
      </w:r>
      <w:r>
        <w:rPr>
          <w:i/>
        </w:rPr>
        <w:t>.</w:t>
      </w:r>
      <w:r>
        <w:t xml:space="preserve"> Journal of cachexia, sarcopenia and muscle, 2020. </w:t>
      </w:r>
      <w:r>
        <w:rPr>
          <w:b/>
        </w:rPr>
        <w:t>11</w:t>
      </w:r>
      <w:r>
        <w:t xml:space="preserve">(1): p. 226-240. </w:t>
      </w:r>
      <w:r w:rsidRPr="00001E79">
        <w:t>https://doi.org/10.1002/jcsm.12498</w:t>
      </w:r>
      <w:r>
        <w:t>.</w:t>
      </w:r>
    </w:p>
    <w:p w:rsidR="00593311" w:rsidRDefault="00001E79">
      <w:pPr>
        <w:pStyle w:val="EndNoteBibliography"/>
        <w:spacing w:after="0"/>
        <w:ind w:left="720" w:hanging="720"/>
      </w:pPr>
      <w:r>
        <w:t>[3]</w:t>
      </w:r>
      <w:r>
        <w:tab/>
        <w:t>Aichler, M., et al., N-acyl Taurines and Acylcarnitines Cause an Imbalance in Insulin Synthesis and Secretion Provoking beta Cell Dysfunction in Type 2 Diabetes</w:t>
      </w:r>
      <w:r>
        <w:rPr>
          <w:i/>
        </w:rPr>
        <w:t>.</w:t>
      </w:r>
      <w:r>
        <w:t xml:space="preserve"> Cel</w:t>
      </w:r>
      <w:r>
        <w:t xml:space="preserve">l Metab, 2017. </w:t>
      </w:r>
      <w:r>
        <w:rPr>
          <w:b/>
        </w:rPr>
        <w:t>25</w:t>
      </w:r>
      <w:r>
        <w:t xml:space="preserve">(6): p. 1334-1347 e4. </w:t>
      </w:r>
      <w:r w:rsidRPr="00001E79">
        <w:t>https://doi.org/10.1016/j.cmet.2017.04.012</w:t>
      </w:r>
      <w:r>
        <w:t>.</w:t>
      </w:r>
    </w:p>
    <w:p w:rsidR="00593311" w:rsidRDefault="00001E79">
      <w:pPr>
        <w:pStyle w:val="EndNoteBibliography"/>
        <w:spacing w:after="0"/>
        <w:ind w:left="720" w:hanging="720"/>
      </w:pPr>
      <w:r>
        <w:t>[4]</w:t>
      </w:r>
      <w:r>
        <w:tab/>
        <w:t>Ly, A., et al., High-mass-resolution MALDI mass spectrometry imaging of metabolites from formalin-fixed paraff</w:t>
      </w:r>
      <w:r>
        <w:t>in-embedded tissue</w:t>
      </w:r>
      <w:r>
        <w:rPr>
          <w:i/>
        </w:rPr>
        <w:t>.</w:t>
      </w:r>
      <w:r>
        <w:t xml:space="preserve"> Nat Protoc, 2016. </w:t>
      </w:r>
      <w:r>
        <w:rPr>
          <w:b/>
        </w:rPr>
        <w:t>11</w:t>
      </w:r>
      <w:r>
        <w:t xml:space="preserve">(8): p. 1428-43. </w:t>
      </w:r>
      <w:r w:rsidRPr="00001E79">
        <w:t>https://doi.org/10.1038/nprot.2016.081</w:t>
      </w:r>
      <w:r>
        <w:t>.</w:t>
      </w:r>
    </w:p>
    <w:p w:rsidR="00593311" w:rsidRDefault="00001E79">
      <w:pPr>
        <w:pStyle w:val="EndNoteBibliography"/>
        <w:spacing w:after="0"/>
        <w:ind w:left="720" w:hanging="720"/>
      </w:pPr>
      <w:r>
        <w:t>[5]</w:t>
      </w:r>
      <w:r>
        <w:tab/>
        <w:t>Prade, V.M., et al., De novo discovery of metabolic heterogeneity with immunophenotype-guided imagin</w:t>
      </w:r>
      <w:r>
        <w:t>g mass spectrometry</w:t>
      </w:r>
      <w:r>
        <w:rPr>
          <w:i/>
        </w:rPr>
        <w:t>.</w:t>
      </w:r>
      <w:r>
        <w:t xml:space="preserve"> Mol Metab, 2020. </w:t>
      </w:r>
      <w:r>
        <w:rPr>
          <w:b/>
        </w:rPr>
        <w:t>36</w:t>
      </w:r>
      <w:r>
        <w:t xml:space="preserve">: p. 100953. </w:t>
      </w:r>
      <w:r w:rsidRPr="00001E79">
        <w:t>https://doi.org/10.1016/j.molmet.2020.01.017</w:t>
      </w:r>
      <w:r>
        <w:t>.</w:t>
      </w:r>
    </w:p>
    <w:p w:rsidR="00593311" w:rsidRDefault="00001E79">
      <w:pPr>
        <w:pStyle w:val="EndNoteBibliography"/>
        <w:spacing w:after="0"/>
        <w:ind w:left="720" w:hanging="720"/>
      </w:pPr>
      <w:r>
        <w:t>[6]</w:t>
      </w:r>
      <w:r>
        <w:tab/>
        <w:t>Wishart, D.S., et al., HMDB 4.0: the human metabolome database for 2018</w:t>
      </w:r>
      <w:r>
        <w:rPr>
          <w:i/>
        </w:rPr>
        <w:t>.</w:t>
      </w:r>
      <w:r>
        <w:t xml:space="preserve"> Nucleic Acids Res, </w:t>
      </w:r>
      <w:r>
        <w:t xml:space="preserve">2018. </w:t>
      </w:r>
      <w:r>
        <w:rPr>
          <w:b/>
        </w:rPr>
        <w:t>46</w:t>
      </w:r>
      <w:r>
        <w:t xml:space="preserve">(D1): p. D608-D617. </w:t>
      </w:r>
      <w:r w:rsidRPr="00001E79">
        <w:t>https://doi.org/10.1093/nar/gkx1089</w:t>
      </w:r>
      <w:r>
        <w:t>.</w:t>
      </w:r>
    </w:p>
    <w:p w:rsidR="00593311" w:rsidRDefault="00001E79">
      <w:pPr>
        <w:pStyle w:val="EndNoteBibliography"/>
        <w:spacing w:after="0"/>
        <w:ind w:left="720" w:hanging="720"/>
      </w:pPr>
      <w:r>
        <w:t>[7]</w:t>
      </w:r>
      <w:r>
        <w:tab/>
        <w:t>Palmer, A., et al., FDR-controlled metabolite annotation for high-resolution imaging mass spectrometry</w:t>
      </w:r>
      <w:r>
        <w:rPr>
          <w:i/>
        </w:rPr>
        <w:t>.</w:t>
      </w:r>
      <w:r>
        <w:t xml:space="preserve"> Nat Methods, 2017. </w:t>
      </w:r>
      <w:r>
        <w:rPr>
          <w:b/>
        </w:rPr>
        <w:t>14</w:t>
      </w:r>
      <w:r>
        <w:t>(1): p. 57</w:t>
      </w:r>
      <w:r>
        <w:t xml:space="preserve">-60. </w:t>
      </w:r>
      <w:r w:rsidRPr="00001E79">
        <w:t>https://doi.org/10.1038/nmeth.4072</w:t>
      </w:r>
      <w:r>
        <w:t>.</w:t>
      </w:r>
    </w:p>
    <w:p w:rsidR="00593311" w:rsidRDefault="00001E79">
      <w:pPr>
        <w:pStyle w:val="EndNoteBibliography"/>
        <w:spacing w:after="0"/>
        <w:ind w:left="720" w:hanging="720"/>
      </w:pPr>
      <w:r>
        <w:t>[8]</w:t>
      </w:r>
      <w:r>
        <w:tab/>
        <w:t>Kanehisa, M. and S. Goto, KEGG: kyoto encyclopedia of genes and genomes</w:t>
      </w:r>
      <w:r>
        <w:rPr>
          <w:i/>
        </w:rPr>
        <w:t>.</w:t>
      </w:r>
      <w:r>
        <w:t xml:space="preserve"> Nucleic Acids Res, 2000. </w:t>
      </w:r>
      <w:r>
        <w:rPr>
          <w:b/>
        </w:rPr>
        <w:t>28</w:t>
      </w:r>
      <w:r>
        <w:t xml:space="preserve">(1): p. 27-30. </w:t>
      </w:r>
      <w:r w:rsidRPr="00001E79">
        <w:t>https://doi.org/10.1093/nar/28.1.27</w:t>
      </w:r>
      <w:r>
        <w:t>.</w:t>
      </w:r>
    </w:p>
    <w:p w:rsidR="00593311" w:rsidRDefault="00001E79">
      <w:pPr>
        <w:pStyle w:val="EndNoteBibliography"/>
        <w:spacing w:after="0"/>
        <w:ind w:left="720" w:hanging="720"/>
      </w:pPr>
      <w:r>
        <w:t>[9]</w:t>
      </w:r>
      <w:r>
        <w:tab/>
        <w:t xml:space="preserve">Wang, X., et al., Metabolomic profiling of prostate cancer by matrix assisted laser desorption/ionization-Fourier transform ion cyclotron resonance mass spectrometry imaging using Matrix Coating Assisted by </w:t>
      </w:r>
      <w:r>
        <w:t>an Electric Field (MCAEF)</w:t>
      </w:r>
      <w:r>
        <w:rPr>
          <w:i/>
        </w:rPr>
        <w:t>.</w:t>
      </w:r>
      <w:r>
        <w:t xml:space="preserve"> Biochim Biophys Acta Proteins Proteom, 2017. </w:t>
      </w:r>
      <w:r>
        <w:rPr>
          <w:b/>
        </w:rPr>
        <w:t>1865</w:t>
      </w:r>
      <w:r>
        <w:t xml:space="preserve">(7): p. 755-767. </w:t>
      </w:r>
      <w:r w:rsidRPr="00001E79">
        <w:t>https://doi.org/10.1016/j.bbapap.2016.12.012</w:t>
      </w:r>
      <w:r>
        <w:t>.</w:t>
      </w:r>
    </w:p>
    <w:p w:rsidR="00593311" w:rsidRDefault="00001E79">
      <w:pPr>
        <w:pStyle w:val="EndNoteBibliography"/>
        <w:ind w:left="720" w:hanging="720"/>
      </w:pPr>
      <w:r>
        <w:t>[10]</w:t>
      </w:r>
      <w:r>
        <w:tab/>
        <w:t>Torata, N., et al., Visualizing Energy Charge in Br</w:t>
      </w:r>
      <w:r>
        <w:t>east Carcinoma Tissues by MALDI Mass-spectrometry Imaging Profiles of Low-molecular-weight Metabolites</w:t>
      </w:r>
      <w:r>
        <w:rPr>
          <w:i/>
        </w:rPr>
        <w:t>.</w:t>
      </w:r>
      <w:r>
        <w:t xml:space="preserve"> Anticancer Res, 2018. </w:t>
      </w:r>
      <w:r>
        <w:rPr>
          <w:b/>
        </w:rPr>
        <w:t>38</w:t>
      </w:r>
      <w:r>
        <w:t xml:space="preserve">(7): p. 4267-4272. </w:t>
      </w:r>
      <w:r w:rsidRPr="00001E79">
        <w:t>https://doi.org/10.21873/anticanres.12723</w:t>
      </w:r>
      <w:r>
        <w:t>.</w:t>
      </w:r>
    </w:p>
    <w:p w:rsidR="00593311" w:rsidRDefault="00593311">
      <w:pPr>
        <w:rPr>
          <w:lang w:val="en-US"/>
        </w:rPr>
      </w:pPr>
    </w:p>
    <w:sectPr w:rsidR="00593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 Metabolism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ts5efdv1rtr92esfpupsf0b2rwte2wd5dpp&quot;&gt;Untitled&lt;record-ids&gt;&lt;item&gt;13&lt;/item&gt;&lt;item&gt;18&lt;/item&gt;&lt;item&gt;19&lt;/item&gt;&lt;item&gt;20&lt;/item&gt;&lt;item&gt;21&lt;/item&gt;&lt;item&gt;22&lt;/item&gt;&lt;item&gt;23&lt;/item&gt;&lt;item&gt;39&lt;/item&gt;&lt;item&gt;40&lt;/item&gt;&lt;item&gt;41&lt;/item&gt;&lt;/record-ids&gt;&lt;/item&gt;&lt;/Libraries&gt;"/>
  </w:docVars>
  <w:rsids>
    <w:rsidRoot w:val="00593311"/>
    <w:rsid w:val="00001E79"/>
    <w:rsid w:val="0059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BAD6F-5577-4815-AEAA-B94E65130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6" w:lineRule="auto"/>
    </w:pPr>
    <w:rPr>
      <w:rFonts w:eastAsia="SimSun"/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EndNoteBibliographyTitle">
    <w:name w:val="EndNote Bibliography Title"/>
    <w:basedOn w:val="Normal"/>
    <w:link w:val="EndNoteBibliographyTitleChar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Pr>
      <w:rFonts w:ascii="Calibri" w:eastAsia="SimSun" w:hAnsi="Calibri" w:cs="Calibri"/>
      <w:noProof/>
      <w:lang w:eastAsia="en-US"/>
    </w:rPr>
  </w:style>
  <w:style w:type="paragraph" w:customStyle="1" w:styleId="EndNoteBibliography">
    <w:name w:val="EndNote Bibliography"/>
    <w:basedOn w:val="Normal"/>
    <w:link w:val="EndNoteBibliographyChar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Pr>
      <w:rFonts w:ascii="Calibri" w:eastAsia="SimSun" w:hAnsi="Calibri" w:cs="Calibri"/>
      <w:noProof/>
      <w:lang w:eastAsia="en-US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5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Sun</dc:creator>
  <cp:keywords/>
  <dc:description/>
  <cp:lastModifiedBy>Arden Badon</cp:lastModifiedBy>
  <cp:revision>20</cp:revision>
  <dcterms:created xsi:type="dcterms:W3CDTF">2023-10-18T14:32:00Z</dcterms:created>
  <dcterms:modified xsi:type="dcterms:W3CDTF">2024-09-17T09:32:00Z</dcterms:modified>
</cp:coreProperties>
</file>