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2BBD5" w14:textId="220B8773" w:rsidR="00BE3FC7" w:rsidRDefault="00BE3FC7" w:rsidP="00BE3FC7">
      <w:pPr>
        <w:jc w:val="center"/>
      </w:pPr>
      <w:r w:rsidRPr="00BE3FC7">
        <w:rPr>
          <w:noProof/>
        </w:rPr>
        <w:drawing>
          <wp:inline distT="0" distB="0" distL="0" distR="0" wp14:anchorId="2F57FC5A" wp14:editId="5D78DDAA">
            <wp:extent cx="4305300" cy="312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1D0FF" w14:textId="77777777" w:rsidR="00BE3FC7" w:rsidRDefault="00BE3FC7" w:rsidP="00BE3FC7">
      <w:pPr>
        <w:jc w:val="center"/>
      </w:pPr>
    </w:p>
    <w:p w14:paraId="601290F4" w14:textId="087BC08B" w:rsidR="00BE3FC7" w:rsidRPr="003C3C74" w:rsidRDefault="00BE3FC7" w:rsidP="00BE3FC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3FC7">
        <w:rPr>
          <w:rFonts w:ascii="Arial" w:hAnsi="Arial" w:cs="Arial"/>
          <w:b/>
          <w:bCs/>
          <w:sz w:val="22"/>
          <w:szCs w:val="22"/>
        </w:rPr>
        <w:t xml:space="preserve">Figure S2: </w:t>
      </w:r>
      <w:r w:rsidR="003C3C74" w:rsidRPr="003C3C74">
        <w:rPr>
          <w:rFonts w:ascii="Arial" w:hAnsi="Arial" w:cs="Arial"/>
          <w:b/>
          <w:bCs/>
          <w:i/>
          <w:iCs/>
          <w:sz w:val="22"/>
          <w:szCs w:val="22"/>
        </w:rPr>
        <w:t>U90926</w:t>
      </w:r>
      <w:r w:rsidR="003C3C74">
        <w:rPr>
          <w:rFonts w:ascii="Arial" w:hAnsi="Arial" w:cs="Arial"/>
          <w:b/>
          <w:bCs/>
          <w:sz w:val="22"/>
          <w:szCs w:val="22"/>
        </w:rPr>
        <w:t xml:space="preserve"> expression is downregulated in 3T3-L1 cells in long-term cell culture regardless of differentiation. </w:t>
      </w:r>
      <w:r w:rsidRPr="00BE3FC7">
        <w:rPr>
          <w:rFonts w:ascii="Arial" w:hAnsi="Arial" w:cs="Arial"/>
          <w:sz w:val="22"/>
          <w:szCs w:val="22"/>
        </w:rPr>
        <w:t>3T3-L1 cells were plated for an eight-day differentiation protocol with or without differentiation mix (1</w:t>
      </w:r>
      <w:r w:rsidR="00AE069A" w:rsidRPr="00AE069A">
        <w:rPr>
          <w:rFonts w:ascii="Symbol" w:hAnsi="Symbol" w:cs="Arial"/>
          <w:sz w:val="22"/>
          <w:szCs w:val="22"/>
        </w:rPr>
        <w:t>m</w:t>
      </w:r>
      <w:r w:rsidRPr="00BE3FC7">
        <w:rPr>
          <w:rFonts w:ascii="Arial" w:hAnsi="Arial" w:cs="Arial"/>
          <w:sz w:val="22"/>
          <w:szCs w:val="22"/>
        </w:rPr>
        <w:t>M dexamethasone + 0.5mM IBMX + 1</w:t>
      </w:r>
      <w:r w:rsidR="00AE069A" w:rsidRPr="00AE069A">
        <w:rPr>
          <w:rFonts w:ascii="Symbol" w:hAnsi="Symbol" w:cs="Arial"/>
          <w:sz w:val="22"/>
          <w:szCs w:val="22"/>
        </w:rPr>
        <w:t>m</w:t>
      </w:r>
      <w:r w:rsidRPr="00BE3FC7">
        <w:rPr>
          <w:rFonts w:ascii="Arial" w:hAnsi="Arial" w:cs="Arial"/>
          <w:sz w:val="22"/>
          <w:szCs w:val="22"/>
        </w:rPr>
        <w:t xml:space="preserve">g/ml insulin). Samples were collected every 2 days, followed by RT-qPCR to measure </w:t>
      </w:r>
      <w:r w:rsidRPr="00AE069A">
        <w:rPr>
          <w:rFonts w:ascii="Arial" w:hAnsi="Arial" w:cs="Arial"/>
          <w:i/>
          <w:iCs/>
          <w:sz w:val="22"/>
          <w:szCs w:val="22"/>
        </w:rPr>
        <w:t>U90926</w:t>
      </w:r>
      <w:r w:rsidRPr="00BE3FC7">
        <w:rPr>
          <w:rFonts w:ascii="Arial" w:hAnsi="Arial" w:cs="Arial"/>
          <w:sz w:val="22"/>
          <w:szCs w:val="22"/>
        </w:rPr>
        <w:t xml:space="preserve"> expression. All the data are expressed relative to the housekeeping gene</w:t>
      </w:r>
      <w:r>
        <w:rPr>
          <w:rFonts w:ascii="Arial" w:hAnsi="Arial" w:cs="Arial"/>
          <w:sz w:val="22"/>
          <w:szCs w:val="22"/>
        </w:rPr>
        <w:t xml:space="preserve">, </w:t>
      </w:r>
      <w:r w:rsidRPr="00BE3FC7">
        <w:rPr>
          <w:rFonts w:ascii="Arial" w:hAnsi="Arial" w:cs="Arial"/>
          <w:i/>
          <w:iCs/>
          <w:sz w:val="22"/>
          <w:szCs w:val="22"/>
        </w:rPr>
        <w:t>B2m</w:t>
      </w:r>
      <w:r w:rsidRPr="00BE3FC7">
        <w:rPr>
          <w:rFonts w:ascii="Arial" w:hAnsi="Arial" w:cs="Arial"/>
          <w:sz w:val="22"/>
          <w:szCs w:val="22"/>
        </w:rPr>
        <w:t xml:space="preserve"> and calculated by a comparative Ct method formula 2^-(</w:t>
      </w:r>
      <w:proofErr w:type="spellStart"/>
      <w:r w:rsidRPr="00BE3FC7">
        <w:rPr>
          <w:rFonts w:ascii="Arial" w:hAnsi="Arial" w:cs="Arial"/>
          <w:sz w:val="22"/>
          <w:szCs w:val="22"/>
        </w:rPr>
        <w:t>deltaCt</w:t>
      </w:r>
      <w:proofErr w:type="spellEnd"/>
      <w:r w:rsidRPr="00BE3FC7">
        <w:rPr>
          <w:rFonts w:ascii="Arial" w:hAnsi="Arial" w:cs="Arial"/>
          <w:sz w:val="22"/>
          <w:szCs w:val="22"/>
        </w:rPr>
        <w:t xml:space="preserve">) and multiplied by a factor of 10,000 for ease of visualization. Data are represented as the mean ± SEM. </w:t>
      </w:r>
    </w:p>
    <w:sectPr w:rsidR="00BE3FC7" w:rsidRPr="003C3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C7"/>
    <w:rsid w:val="003C3C74"/>
    <w:rsid w:val="00AE069A"/>
    <w:rsid w:val="00BE3FC7"/>
    <w:rsid w:val="00E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E400B9"/>
  <w15:chartTrackingRefBased/>
  <w15:docId w15:val="{2D448A2A-04EB-AC40-A56C-504E2D7D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Sabikunnahar</dc:creator>
  <cp:keywords/>
  <dc:description/>
  <cp:lastModifiedBy>FNU Sabikunnahar</cp:lastModifiedBy>
  <cp:revision>3</cp:revision>
  <dcterms:created xsi:type="dcterms:W3CDTF">2023-07-12T15:23:00Z</dcterms:created>
  <dcterms:modified xsi:type="dcterms:W3CDTF">2023-07-18T21:16:00Z</dcterms:modified>
</cp:coreProperties>
</file>