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671" w:rsidRPr="00085304" w:rsidRDefault="00236671" w:rsidP="00236671">
      <w:pPr>
        <w:spacing w:line="480" w:lineRule="auto"/>
        <w:jc w:val="center"/>
      </w:pPr>
      <w:r w:rsidRPr="000F01CC">
        <w:rPr>
          <w:b/>
          <w:bCs/>
          <w:sz w:val="28"/>
          <w:szCs w:val="28"/>
          <w:lang w:val="en-US"/>
        </w:rPr>
        <w:t xml:space="preserve">Yap/Taz activity is associated with increased expression of phosphoglycerate dehydrogenase which </w:t>
      </w:r>
      <w:r>
        <w:rPr>
          <w:b/>
          <w:bCs/>
          <w:sz w:val="28"/>
          <w:szCs w:val="28"/>
          <w:lang w:val="en-US"/>
        </w:rPr>
        <w:t>limits</w:t>
      </w:r>
      <w:r w:rsidRPr="000F01CC">
        <w:rPr>
          <w:b/>
          <w:bCs/>
          <w:sz w:val="28"/>
          <w:szCs w:val="28"/>
          <w:lang w:val="en-US"/>
        </w:rPr>
        <w:t xml:space="preserve"> myoblast proliferation </w:t>
      </w:r>
    </w:p>
    <w:p w:rsidR="00236671" w:rsidRPr="000F01CC" w:rsidRDefault="00236671" w:rsidP="00236671">
      <w:pPr>
        <w:spacing w:line="480" w:lineRule="auto"/>
        <w:jc w:val="center"/>
        <w:rPr>
          <w:lang w:val="en-US"/>
        </w:rPr>
      </w:pPr>
    </w:p>
    <w:p w:rsidR="00236671" w:rsidRDefault="00236671" w:rsidP="00236671">
      <w:pPr>
        <w:spacing w:line="480" w:lineRule="auto"/>
        <w:jc w:val="center"/>
        <w:rPr>
          <w:lang w:val="de-DE"/>
        </w:rPr>
      </w:pPr>
      <w:r>
        <w:rPr>
          <w:lang w:val="de-DE"/>
        </w:rPr>
        <w:t>Marius Meinhold</w:t>
      </w:r>
      <w:r>
        <w:rPr>
          <w:vertAlign w:val="superscript"/>
          <w:lang w:val="de-DE"/>
        </w:rPr>
        <w:t>1*</w:t>
      </w:r>
      <w:r>
        <w:rPr>
          <w:lang w:val="de-DE"/>
        </w:rPr>
        <w:t>, Sander Verbrugge</w:t>
      </w:r>
      <w:r>
        <w:rPr>
          <w:vertAlign w:val="superscript"/>
          <w:lang w:val="de-DE"/>
        </w:rPr>
        <w:t>1</w:t>
      </w:r>
      <w:r w:rsidRPr="009446CB">
        <w:rPr>
          <w:lang w:val="de-DE"/>
        </w:rPr>
        <w:t>,</w:t>
      </w:r>
      <w:r>
        <w:rPr>
          <w:lang w:val="de-DE"/>
        </w:rPr>
        <w:t xml:space="preserve"> Andi Shi</w:t>
      </w:r>
      <w:r>
        <w:rPr>
          <w:vertAlign w:val="superscript"/>
          <w:lang w:val="de-DE"/>
        </w:rPr>
        <w:t>2,3</w:t>
      </w:r>
      <w:r>
        <w:rPr>
          <w:lang w:val="de-DE"/>
        </w:rPr>
        <w:t>,</w:t>
      </w:r>
      <w:r w:rsidRPr="009446CB">
        <w:rPr>
          <w:lang w:val="de-DE"/>
        </w:rPr>
        <w:t xml:space="preserve"> Martin Schönfelder</w:t>
      </w:r>
      <w:r>
        <w:rPr>
          <w:vertAlign w:val="superscript"/>
          <w:lang w:val="de-DE"/>
        </w:rPr>
        <w:t>1</w:t>
      </w:r>
      <w:r w:rsidRPr="009446CB">
        <w:rPr>
          <w:lang w:val="de-DE"/>
        </w:rPr>
        <w:t xml:space="preserve">, </w:t>
      </w:r>
      <w:r>
        <w:rPr>
          <w:lang w:val="de-DE"/>
        </w:rPr>
        <w:t>Lore Becker</w:t>
      </w:r>
      <w:r>
        <w:rPr>
          <w:vertAlign w:val="superscript"/>
          <w:lang w:val="de-DE"/>
        </w:rPr>
        <w:t>5</w:t>
      </w:r>
      <w:r>
        <w:rPr>
          <w:lang w:val="de-DE"/>
        </w:rPr>
        <w:t xml:space="preserve">, Richard T. </w:t>
      </w:r>
      <w:r w:rsidRPr="00B67585">
        <w:rPr>
          <w:lang w:val="de-DE"/>
        </w:rPr>
        <w:t>Jaspers</w:t>
      </w:r>
      <w:r w:rsidRPr="00B67585">
        <w:rPr>
          <w:vertAlign w:val="superscript"/>
          <w:lang w:val="de-DE"/>
        </w:rPr>
        <w:t>2</w:t>
      </w:r>
      <w:r w:rsidRPr="00B67585">
        <w:rPr>
          <w:lang w:val="de-DE"/>
        </w:rPr>
        <w:t>, Pete</w:t>
      </w:r>
      <w:r>
        <w:rPr>
          <w:lang w:val="de-DE"/>
        </w:rPr>
        <w:t>r</w:t>
      </w:r>
      <w:r w:rsidRPr="00B67585">
        <w:rPr>
          <w:lang w:val="de-DE"/>
        </w:rPr>
        <w:t xml:space="preserve"> S. Zammit</w:t>
      </w:r>
      <w:r w:rsidRPr="00B67585">
        <w:rPr>
          <w:vertAlign w:val="superscript"/>
          <w:lang w:val="de-DE"/>
        </w:rPr>
        <w:t>4</w:t>
      </w:r>
      <w:r w:rsidRPr="00B67585">
        <w:rPr>
          <w:lang w:val="de-DE"/>
        </w:rPr>
        <w:t xml:space="preserve"> &amp; Henning Wackerhage</w:t>
      </w:r>
      <w:r w:rsidRPr="00B67585">
        <w:rPr>
          <w:vertAlign w:val="superscript"/>
          <w:lang w:val="de-DE"/>
        </w:rPr>
        <w:t>1</w:t>
      </w:r>
    </w:p>
    <w:p w:rsidR="00236671" w:rsidRPr="000F01CC" w:rsidRDefault="00236671" w:rsidP="00236671">
      <w:pPr>
        <w:spacing w:line="480" w:lineRule="auto"/>
        <w:jc w:val="center"/>
        <w:rPr>
          <w:lang w:val="de-DE"/>
        </w:rPr>
      </w:pPr>
    </w:p>
    <w:p w:rsidR="00236671" w:rsidRPr="001D6109" w:rsidRDefault="00236671" w:rsidP="00236671">
      <w:pPr>
        <w:spacing w:line="480" w:lineRule="auto"/>
        <w:rPr>
          <w:lang w:val="en-US"/>
        </w:rPr>
      </w:pPr>
      <w:r w:rsidRPr="00B67585">
        <w:rPr>
          <w:vertAlign w:val="superscript"/>
          <w:lang w:val="en-US"/>
        </w:rPr>
        <w:t>1</w:t>
      </w:r>
      <w:r w:rsidRPr="00B67585">
        <w:rPr>
          <w:lang w:val="en-US"/>
        </w:rPr>
        <w:t>Technische Universität München, Associate Professorship of Exercise Biology,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Connollystrasse</w:t>
      </w:r>
      <w:proofErr w:type="spellEnd"/>
      <w:r>
        <w:rPr>
          <w:lang w:val="en-US"/>
        </w:rPr>
        <w:t xml:space="preserve"> 32, 80809 Munich, Germany</w:t>
      </w:r>
    </w:p>
    <w:p w:rsidR="00236671" w:rsidRPr="00B67585" w:rsidRDefault="00236671" w:rsidP="00236671">
      <w:pPr>
        <w:spacing w:line="480" w:lineRule="auto"/>
        <w:rPr>
          <w:szCs w:val="20"/>
        </w:rPr>
      </w:pPr>
      <w:r w:rsidRPr="00B67585">
        <w:rPr>
          <w:szCs w:val="20"/>
          <w:vertAlign w:val="superscript"/>
          <w:lang w:val="en-US"/>
        </w:rPr>
        <w:t>2</w:t>
      </w:r>
      <w:r w:rsidRPr="00B67585">
        <w:rPr>
          <w:szCs w:val="20"/>
        </w:rPr>
        <w:t xml:space="preserve">Laboratory for Myology, Department of Human Movement Sciences, Faculty of Behavioural and Movement Sciences, Vrije Universiteit Amsterdam, Amsterdam Movement Sciences, De </w:t>
      </w:r>
      <w:proofErr w:type="spellStart"/>
      <w:r w:rsidRPr="00B67585">
        <w:rPr>
          <w:szCs w:val="20"/>
        </w:rPr>
        <w:t>Boelelaan</w:t>
      </w:r>
      <w:proofErr w:type="spellEnd"/>
      <w:r w:rsidRPr="00B67585">
        <w:rPr>
          <w:szCs w:val="20"/>
        </w:rPr>
        <w:t xml:space="preserve"> 1108, 1081 HZ Amsterdam, The Netherlands</w:t>
      </w:r>
    </w:p>
    <w:p w:rsidR="00236671" w:rsidRPr="00B67585" w:rsidRDefault="00236671" w:rsidP="00236671">
      <w:pPr>
        <w:spacing w:line="480" w:lineRule="auto"/>
        <w:rPr>
          <w:szCs w:val="20"/>
        </w:rPr>
      </w:pPr>
      <w:r w:rsidRPr="00B67585">
        <w:rPr>
          <w:szCs w:val="20"/>
          <w:vertAlign w:val="superscript"/>
        </w:rPr>
        <w:t>3</w:t>
      </w:r>
      <w:r w:rsidRPr="00B67585">
        <w:rPr>
          <w:szCs w:val="20"/>
        </w:rPr>
        <w:t xml:space="preserve">Department of Prosthodontics, Affiliated Stomatology Hospital of Guangzhou Medical University, Guangdong Engineering Research </w:t>
      </w:r>
      <w:proofErr w:type="spellStart"/>
      <w:r w:rsidRPr="00B67585">
        <w:rPr>
          <w:szCs w:val="20"/>
        </w:rPr>
        <w:t>Center</w:t>
      </w:r>
      <w:proofErr w:type="spellEnd"/>
      <w:r w:rsidRPr="00B67585">
        <w:rPr>
          <w:szCs w:val="20"/>
        </w:rPr>
        <w:t xml:space="preserve"> of Oral Restoration and Reconstruction, Guangzhou Key Laboratory of Basic and Applied Research of Oral Regenerative Medicine, Guangzhou, China</w:t>
      </w:r>
    </w:p>
    <w:p w:rsidR="00236671" w:rsidRDefault="00236671" w:rsidP="00236671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  <w:lang w:eastAsia="ja-JP"/>
        </w:rPr>
      </w:pPr>
      <w:r w:rsidRPr="001D6109">
        <w:rPr>
          <w:vertAlign w:val="superscript"/>
          <w:lang w:val="en-US"/>
        </w:rPr>
        <w:t>4</w:t>
      </w:r>
      <w:r w:rsidRPr="00B67585">
        <w:rPr>
          <w:color w:val="000000" w:themeColor="text1"/>
          <w:lang w:eastAsia="ja-JP"/>
        </w:rPr>
        <w:t xml:space="preserve"> King's College London, Randall Centre for Cell and Molecular Biophysics, New Hunt's House, Guy's Campus, London SE1 1UL, UK</w:t>
      </w:r>
    </w:p>
    <w:p w:rsidR="00236671" w:rsidRDefault="00236671" w:rsidP="00236671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  <w:lang w:eastAsia="ja-JP"/>
        </w:rPr>
      </w:pPr>
      <w:r>
        <w:rPr>
          <w:color w:val="000000" w:themeColor="text1"/>
          <w:vertAlign w:val="superscript"/>
          <w:lang w:eastAsia="ja-JP"/>
        </w:rPr>
        <w:t>4</w:t>
      </w:r>
      <w:r>
        <w:rPr>
          <w:color w:val="000000" w:themeColor="text1"/>
          <w:lang w:eastAsia="ja-JP"/>
        </w:rPr>
        <w:t xml:space="preserve">Helmholtz </w:t>
      </w:r>
      <w:proofErr w:type="spellStart"/>
      <w:r>
        <w:rPr>
          <w:color w:val="000000" w:themeColor="text1"/>
          <w:lang w:eastAsia="ja-JP"/>
        </w:rPr>
        <w:t>Zentrum</w:t>
      </w:r>
      <w:proofErr w:type="spellEnd"/>
      <w:r>
        <w:rPr>
          <w:color w:val="000000" w:themeColor="text1"/>
          <w:lang w:eastAsia="ja-JP"/>
        </w:rPr>
        <w:t xml:space="preserve"> München, German Research </w:t>
      </w:r>
      <w:proofErr w:type="spellStart"/>
      <w:r>
        <w:rPr>
          <w:color w:val="000000" w:themeColor="text1"/>
          <w:lang w:eastAsia="ja-JP"/>
        </w:rPr>
        <w:t>Center</w:t>
      </w:r>
      <w:proofErr w:type="spellEnd"/>
      <w:r>
        <w:rPr>
          <w:color w:val="000000" w:themeColor="text1"/>
          <w:lang w:eastAsia="ja-JP"/>
        </w:rPr>
        <w:t xml:space="preserve"> for Environmental Health, </w:t>
      </w:r>
      <w:proofErr w:type="spellStart"/>
      <w:r>
        <w:rPr>
          <w:color w:val="000000" w:themeColor="text1"/>
          <w:lang w:eastAsia="ja-JP"/>
        </w:rPr>
        <w:t>Intitute</w:t>
      </w:r>
      <w:proofErr w:type="spellEnd"/>
      <w:r>
        <w:rPr>
          <w:color w:val="000000" w:themeColor="text1"/>
          <w:lang w:eastAsia="ja-JP"/>
        </w:rPr>
        <w:t xml:space="preserve"> of Experimental Genetics, German Mouse Clinic, </w:t>
      </w:r>
      <w:proofErr w:type="spellStart"/>
      <w:r>
        <w:rPr>
          <w:color w:val="000000" w:themeColor="text1"/>
          <w:lang w:eastAsia="ja-JP"/>
        </w:rPr>
        <w:t>Ingolstädter</w:t>
      </w:r>
      <w:proofErr w:type="spellEnd"/>
      <w:r>
        <w:rPr>
          <w:color w:val="000000" w:themeColor="text1"/>
          <w:lang w:eastAsia="ja-JP"/>
        </w:rPr>
        <w:t xml:space="preserve"> </w:t>
      </w:r>
      <w:proofErr w:type="spellStart"/>
      <w:r>
        <w:rPr>
          <w:color w:val="000000" w:themeColor="text1"/>
          <w:lang w:eastAsia="ja-JP"/>
        </w:rPr>
        <w:t>Landstrasse</w:t>
      </w:r>
      <w:proofErr w:type="spellEnd"/>
      <w:r>
        <w:rPr>
          <w:color w:val="000000" w:themeColor="text1"/>
          <w:lang w:eastAsia="ja-JP"/>
        </w:rPr>
        <w:t xml:space="preserve"> 1, 85764 </w:t>
      </w:r>
      <w:proofErr w:type="spellStart"/>
      <w:r>
        <w:rPr>
          <w:color w:val="000000" w:themeColor="text1"/>
          <w:lang w:eastAsia="ja-JP"/>
        </w:rPr>
        <w:t>Neuherberg</w:t>
      </w:r>
      <w:proofErr w:type="spellEnd"/>
      <w:r>
        <w:rPr>
          <w:color w:val="000000" w:themeColor="text1"/>
          <w:lang w:eastAsia="ja-JP"/>
        </w:rPr>
        <w:t>, Germany</w:t>
      </w:r>
    </w:p>
    <w:p w:rsidR="00236671" w:rsidRDefault="00236671" w:rsidP="00236671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  <w:lang w:eastAsia="ja-JP"/>
        </w:rPr>
      </w:pPr>
    </w:p>
    <w:p w:rsidR="00236671" w:rsidRPr="00B67585" w:rsidRDefault="00236671" w:rsidP="00236671">
      <w:pPr>
        <w:widowControl w:val="0"/>
        <w:autoSpaceDE w:val="0"/>
        <w:autoSpaceDN w:val="0"/>
        <w:adjustRightInd w:val="0"/>
        <w:spacing w:line="480" w:lineRule="auto"/>
        <w:rPr>
          <w:color w:val="000000" w:themeColor="text1"/>
          <w:lang w:eastAsia="ja-JP"/>
        </w:rPr>
      </w:pPr>
      <w:r>
        <w:rPr>
          <w:color w:val="000000" w:themeColor="text1"/>
          <w:lang w:eastAsia="ja-JP"/>
        </w:rPr>
        <w:t>*Correspondence to m.meinhold@tum.de</w:t>
      </w:r>
    </w:p>
    <w:p w:rsidR="00236671" w:rsidRDefault="00236671">
      <w:pPr>
        <w:spacing w:line="240" w:lineRule="auto"/>
        <w:jc w:val="left"/>
      </w:pPr>
      <w:r>
        <w:br w:type="page"/>
      </w:r>
    </w:p>
    <w:p w:rsidR="00046714" w:rsidRPr="00F07493" w:rsidRDefault="00236671" w:rsidP="003F44DF">
      <w:pPr>
        <w:rPr>
          <w:b/>
          <w:bCs/>
        </w:rPr>
      </w:pPr>
      <w:r w:rsidRPr="00F07493">
        <w:rPr>
          <w:b/>
          <w:bCs/>
        </w:rPr>
        <w:lastRenderedPageBreak/>
        <w:t>Supplementary Table S1</w:t>
      </w:r>
      <w:r w:rsidR="00F07493" w:rsidRPr="00F07493">
        <w:rPr>
          <w:b/>
          <w:bCs/>
        </w:rPr>
        <w:t xml:space="preserve">. </w:t>
      </w:r>
      <w:r w:rsidR="00F07493">
        <w:rPr>
          <w:b/>
          <w:bCs/>
        </w:rPr>
        <w:t>Normalised tissue expression of PHGDH (proteinatlas.org)</w:t>
      </w:r>
      <w:r w:rsidR="003F44DF" w:rsidRPr="00F07493">
        <w:rPr>
          <w:b/>
          <w:bCs/>
        </w:rPr>
        <w:tab/>
      </w:r>
      <w:r w:rsidR="003F44DF" w:rsidRPr="00F07493">
        <w:rPr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</w:tblGrid>
      <w:tr w:rsidR="00046714" w:rsidRPr="00046714" w:rsidTr="00046714">
        <w:tc>
          <w:tcPr>
            <w:tcW w:w="3005" w:type="dxa"/>
            <w:tcBorders>
              <w:left w:val="nil"/>
              <w:right w:val="nil"/>
            </w:tcBorders>
          </w:tcPr>
          <w:p w:rsidR="00046714" w:rsidRPr="00046714" w:rsidRDefault="00046714" w:rsidP="000F01CC">
            <w:pPr>
              <w:rPr>
                <w:b/>
                <w:bCs/>
              </w:rPr>
            </w:pPr>
            <w:r>
              <w:rPr>
                <w:b/>
                <w:bCs/>
              </w:rPr>
              <w:t>Organ</w:t>
            </w:r>
          </w:p>
        </w:tc>
        <w:tc>
          <w:tcPr>
            <w:tcW w:w="3936" w:type="dxa"/>
            <w:tcBorders>
              <w:left w:val="nil"/>
              <w:right w:val="nil"/>
            </w:tcBorders>
          </w:tcPr>
          <w:p w:rsidR="00046714" w:rsidRPr="00046714" w:rsidRDefault="00046714" w:rsidP="000F01CC">
            <w:pPr>
              <w:jc w:val="right"/>
              <w:rPr>
                <w:b/>
                <w:bCs/>
              </w:rPr>
            </w:pPr>
            <w:r w:rsidRPr="00046714">
              <w:rPr>
                <w:b/>
                <w:bCs/>
              </w:rPr>
              <w:t>Normali</w:t>
            </w:r>
            <w:r w:rsidR="00F07493">
              <w:rPr>
                <w:b/>
                <w:bCs/>
              </w:rPr>
              <w:t>s</w:t>
            </w:r>
            <w:r w:rsidRPr="00046714">
              <w:rPr>
                <w:b/>
                <w:bCs/>
              </w:rPr>
              <w:t>ed expression of PHGDH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parathyroid gland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67,5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bottom w:val="nil"/>
            </w:tcBorders>
          </w:tcPr>
          <w:p w:rsidR="00046714" w:rsidRPr="00046714" w:rsidRDefault="00046714" w:rsidP="00781FAD">
            <w:r w:rsidRPr="00046714">
              <w:t>salivary gland</w:t>
            </w:r>
          </w:p>
        </w:tc>
        <w:tc>
          <w:tcPr>
            <w:tcW w:w="3936" w:type="dxa"/>
            <w:tcBorders>
              <w:bottom w:val="nil"/>
            </w:tcBorders>
          </w:tcPr>
          <w:p w:rsidR="00046714" w:rsidRPr="00046714" w:rsidRDefault="00046714" w:rsidP="00046714">
            <w:pPr>
              <w:jc w:val="right"/>
            </w:pPr>
            <w:r w:rsidRPr="00046714">
              <w:t>62,9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</w:tcBorders>
          </w:tcPr>
          <w:p w:rsidR="00046714" w:rsidRPr="00046714" w:rsidRDefault="00046714" w:rsidP="00781FAD">
            <w:r w:rsidRPr="00046714">
              <w:t>pancreas</w:t>
            </w: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046714" w:rsidRPr="00046714" w:rsidRDefault="00046714" w:rsidP="00046714">
            <w:pPr>
              <w:jc w:val="right"/>
            </w:pPr>
            <w:r w:rsidRPr="00046714">
              <w:t>58,2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  <w:tcBorders>
              <w:top w:val="nil"/>
            </w:tcBorders>
          </w:tcPr>
          <w:p w:rsidR="00046714" w:rsidRPr="00046714" w:rsidRDefault="00046714" w:rsidP="00781FAD">
            <w:r w:rsidRPr="00046714">
              <w:t>liver</w:t>
            </w:r>
          </w:p>
        </w:tc>
        <w:tc>
          <w:tcPr>
            <w:tcW w:w="3936" w:type="dxa"/>
            <w:tcBorders>
              <w:top w:val="nil"/>
            </w:tcBorders>
          </w:tcPr>
          <w:p w:rsidR="00046714" w:rsidRPr="00046714" w:rsidRDefault="00046714" w:rsidP="00046714">
            <w:pPr>
              <w:jc w:val="right"/>
            </w:pPr>
            <w:r w:rsidRPr="00046714">
              <w:t>53,2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corpus callosum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49,7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midbrain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substantia nigra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epididymis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41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thalamus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38,1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skin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35,9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amygdala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33,3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basal ganglia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32,1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spinal cord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28,3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cerebral cortex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27,2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hippocampal formation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26,7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fallopian tube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24,5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prostate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24,5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pons and medulla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23,3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olfactory region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20,7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hypothalamus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20,5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adipose tissue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18,8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ovary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17,3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proofErr w:type="spellStart"/>
            <w:r w:rsidRPr="00046714">
              <w:t>esophagus</w:t>
            </w:r>
            <w:proofErr w:type="spellEnd"/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16,7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T-cells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16,5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seminal vesicle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16,4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thyroid gland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15,8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vagina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14,1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kidney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14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breast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13,8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cervix, uterine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11,9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thymus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9,9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ductus deferens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9,4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stomach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lastRenderedPageBreak/>
              <w:t>retina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8,7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testis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8,6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smooth muscle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8,1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urinary bladder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7,9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cerebellum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7,8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tongue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7,3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tonsil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7,3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B-cells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6,7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placenta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6,4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endometrium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6,1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colon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5,8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lymph node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5,7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pituitary gland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5,7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heart muscle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5,32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rectum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appendix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4,4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bone marrow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4,4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lung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4,3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duodenum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4,2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gallbladder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dendritic cells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3,2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total PBMC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3,2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small intestine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3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granulocytes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2,9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adrenal gland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spleen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1,9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skeletal muscle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1,7</w:t>
            </w:r>
          </w:p>
        </w:tc>
      </w:tr>
      <w:tr w:rsidR="00046714" w:rsidRPr="003F44DF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NK-cells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1,2</w:t>
            </w:r>
          </w:p>
        </w:tc>
      </w:tr>
      <w:tr w:rsidR="00046714" w:rsidRPr="00236671" w:rsidTr="0004671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05" w:type="dxa"/>
          </w:tcPr>
          <w:p w:rsidR="00046714" w:rsidRPr="00046714" w:rsidRDefault="00046714" w:rsidP="00781FAD">
            <w:r w:rsidRPr="00046714">
              <w:t>monocytes</w:t>
            </w:r>
          </w:p>
        </w:tc>
        <w:tc>
          <w:tcPr>
            <w:tcW w:w="3936" w:type="dxa"/>
          </w:tcPr>
          <w:p w:rsidR="00046714" w:rsidRPr="00046714" w:rsidRDefault="00046714" w:rsidP="00046714">
            <w:pPr>
              <w:jc w:val="right"/>
            </w:pPr>
            <w:r w:rsidRPr="00046714">
              <w:t>0,7</w:t>
            </w:r>
          </w:p>
        </w:tc>
      </w:tr>
    </w:tbl>
    <w:p w:rsidR="00236671" w:rsidRPr="00236671" w:rsidRDefault="00236671" w:rsidP="003F44DF">
      <w:pPr>
        <w:rPr>
          <w:b/>
          <w:bCs/>
          <w:sz w:val="24"/>
          <w:szCs w:val="24"/>
        </w:rPr>
      </w:pPr>
    </w:p>
    <w:sectPr w:rsidR="00236671" w:rsidRPr="00236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71"/>
    <w:rsid w:val="0003634C"/>
    <w:rsid w:val="00046714"/>
    <w:rsid w:val="00072CA2"/>
    <w:rsid w:val="000A3828"/>
    <w:rsid w:val="00176B7B"/>
    <w:rsid w:val="001817E3"/>
    <w:rsid w:val="001E71CB"/>
    <w:rsid w:val="00236671"/>
    <w:rsid w:val="00280F8D"/>
    <w:rsid w:val="002C0C53"/>
    <w:rsid w:val="003F44DF"/>
    <w:rsid w:val="00484259"/>
    <w:rsid w:val="004845B3"/>
    <w:rsid w:val="004C1585"/>
    <w:rsid w:val="00523015"/>
    <w:rsid w:val="00536F87"/>
    <w:rsid w:val="0054787B"/>
    <w:rsid w:val="0056349B"/>
    <w:rsid w:val="005A7387"/>
    <w:rsid w:val="005E63D1"/>
    <w:rsid w:val="006202C8"/>
    <w:rsid w:val="006C5204"/>
    <w:rsid w:val="006F4163"/>
    <w:rsid w:val="00727E68"/>
    <w:rsid w:val="00730A07"/>
    <w:rsid w:val="0077194A"/>
    <w:rsid w:val="007D403E"/>
    <w:rsid w:val="007F3B69"/>
    <w:rsid w:val="007F59C5"/>
    <w:rsid w:val="008844A6"/>
    <w:rsid w:val="008C5A80"/>
    <w:rsid w:val="009179AC"/>
    <w:rsid w:val="009375C8"/>
    <w:rsid w:val="00983BAB"/>
    <w:rsid w:val="009B7409"/>
    <w:rsid w:val="009C48D8"/>
    <w:rsid w:val="009C7B99"/>
    <w:rsid w:val="009F12BB"/>
    <w:rsid w:val="009F2BCD"/>
    <w:rsid w:val="009F59F2"/>
    <w:rsid w:val="009F75D3"/>
    <w:rsid w:val="00A000F7"/>
    <w:rsid w:val="00A1422E"/>
    <w:rsid w:val="00A27FB4"/>
    <w:rsid w:val="00A52F26"/>
    <w:rsid w:val="00B34DE7"/>
    <w:rsid w:val="00BB4838"/>
    <w:rsid w:val="00BD64BF"/>
    <w:rsid w:val="00C72D2E"/>
    <w:rsid w:val="00CA0F68"/>
    <w:rsid w:val="00D046FC"/>
    <w:rsid w:val="00DB7AF1"/>
    <w:rsid w:val="00DD7E85"/>
    <w:rsid w:val="00E012B5"/>
    <w:rsid w:val="00E1791C"/>
    <w:rsid w:val="00E43732"/>
    <w:rsid w:val="00EB7DE7"/>
    <w:rsid w:val="00EE219F"/>
    <w:rsid w:val="00F07493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34B0C1"/>
  <w15:chartTrackingRefBased/>
  <w15:docId w15:val="{40371399-84A6-CF4B-8E14-644FAB0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71"/>
    <w:pPr>
      <w:spacing w:line="360" w:lineRule="auto"/>
      <w:jc w:val="both"/>
    </w:pPr>
    <w:rPr>
      <w:rFonts w:ascii="Arial" w:eastAsiaTheme="minorEastAsia" w:hAnsi="Arial" w:cs="Arial"/>
      <w:kern w:val="0"/>
      <w:sz w:val="22"/>
      <w:szCs w:val="22"/>
      <w:lang w:val="en-GB"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Meinhold</dc:creator>
  <cp:keywords/>
  <dc:description/>
  <cp:lastModifiedBy>Marius Meinhold</cp:lastModifiedBy>
  <cp:revision>1</cp:revision>
  <dcterms:created xsi:type="dcterms:W3CDTF">2023-11-20T17:01:00Z</dcterms:created>
  <dcterms:modified xsi:type="dcterms:W3CDTF">2023-11-20T17:52:00Z</dcterms:modified>
</cp:coreProperties>
</file>