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88516" w14:textId="543313C1" w:rsidR="00A72013" w:rsidRPr="00A72013" w:rsidRDefault="00A72013" w:rsidP="00E840E4">
      <w:pPr>
        <w:spacing w:after="0" w:line="240" w:lineRule="auto"/>
        <w:rPr>
          <w:rFonts w:asciiTheme="majorBidi" w:hAnsiTheme="majorBidi" w:cstheme="majorBidi"/>
          <w:sz w:val="24"/>
          <w:szCs w:val="24"/>
          <w:lang w:val="en-US"/>
        </w:rPr>
      </w:pPr>
      <w:r w:rsidRPr="00A72013">
        <w:rPr>
          <w:rFonts w:asciiTheme="majorBidi" w:hAnsiTheme="majorBidi" w:cstheme="majorBidi"/>
          <w:sz w:val="24"/>
          <w:szCs w:val="24"/>
          <w:lang w:val="en-US"/>
        </w:rPr>
        <w:t>As MIR184 (IC3D) and MIR96 (candidate) were excluded for being pseudogenes, we looked to downstream targets that could be included in the STRING analysis, combining a search with Perplexity AI and PubMed</w:t>
      </w:r>
      <w:r w:rsidRPr="00A72013">
        <w:rPr>
          <w:rFonts w:asciiTheme="majorBidi" w:hAnsiTheme="majorBidi" w:cstheme="majorBidi"/>
          <w:sz w:val="24"/>
          <w:szCs w:val="24"/>
          <w:lang w:val="en-US"/>
        </w:rPr>
        <w:t>.</w:t>
      </w:r>
    </w:p>
    <w:p w14:paraId="78011064" w14:textId="77777777" w:rsidR="00A72013" w:rsidRPr="00A72013" w:rsidRDefault="00A72013" w:rsidP="00E840E4">
      <w:pPr>
        <w:spacing w:after="0" w:line="240" w:lineRule="auto"/>
        <w:rPr>
          <w:rFonts w:asciiTheme="majorBidi" w:hAnsiTheme="majorBidi" w:cstheme="majorBidi"/>
          <w:sz w:val="24"/>
          <w:szCs w:val="24"/>
          <w:lang w:val="en-US"/>
        </w:rPr>
      </w:pPr>
    </w:p>
    <w:p w14:paraId="53D550E9" w14:textId="52468FA2" w:rsidR="00EC0047" w:rsidRPr="00A72013" w:rsidRDefault="00EF5990" w:rsidP="00E840E4">
      <w:pPr>
        <w:spacing w:after="0" w:line="240" w:lineRule="auto"/>
        <w:rPr>
          <w:rFonts w:asciiTheme="majorBidi" w:eastAsia="Times New Roman" w:hAnsiTheme="majorBidi" w:cstheme="majorBidi"/>
          <w:color w:val="000000" w:themeColor="text1"/>
          <w:sz w:val="24"/>
          <w:szCs w:val="24"/>
          <w:lang w:val="pl-PL" w:eastAsia="fr-FR"/>
        </w:rPr>
      </w:pPr>
      <w:r w:rsidRPr="00A72013">
        <w:rPr>
          <w:rFonts w:asciiTheme="majorBidi" w:eastAsia="Times New Roman" w:hAnsiTheme="majorBidi" w:cstheme="majorBidi"/>
          <w:color w:val="000000" w:themeColor="text1"/>
          <w:sz w:val="24"/>
          <w:szCs w:val="24"/>
          <w:lang w:val="en-US" w:eastAsia="fr-FR"/>
        </w:rPr>
        <w:t xml:space="preserve">To identify targets of miR-96 and miR-184, we queried </w:t>
      </w:r>
      <w:hyperlink r:id="rId5" w:history="1">
        <w:r w:rsidRPr="00A72013">
          <w:rPr>
            <w:rStyle w:val="Hyperlink"/>
            <w:rFonts w:asciiTheme="majorBidi" w:eastAsia="Times New Roman" w:hAnsiTheme="majorBidi" w:cstheme="majorBidi"/>
            <w:sz w:val="24"/>
            <w:szCs w:val="24"/>
            <w:lang w:val="en-US" w:eastAsia="fr-FR"/>
          </w:rPr>
          <w:t>Perplexity AI</w:t>
        </w:r>
      </w:hyperlink>
      <w:r w:rsidR="001124A2" w:rsidRPr="00A72013">
        <w:rPr>
          <w:rFonts w:asciiTheme="majorBidi" w:eastAsia="Times New Roman" w:hAnsiTheme="majorBidi" w:cstheme="majorBidi"/>
          <w:color w:val="000000" w:themeColor="text1"/>
          <w:sz w:val="24"/>
          <w:szCs w:val="24"/>
          <w:lang w:val="en-US" w:eastAsia="fr-FR"/>
        </w:rPr>
        <w:t>, as it provides results substantiated with bibliographic references. U</w:t>
      </w:r>
      <w:r w:rsidRPr="00A72013">
        <w:rPr>
          <w:rFonts w:asciiTheme="majorBidi" w:eastAsia="Times New Roman" w:hAnsiTheme="majorBidi" w:cstheme="majorBidi"/>
          <w:color w:val="000000" w:themeColor="text1"/>
          <w:sz w:val="24"/>
          <w:szCs w:val="24"/>
          <w:lang w:val="en-US" w:eastAsia="fr-FR"/>
        </w:rPr>
        <w:t xml:space="preserve">sing the pro mode, </w:t>
      </w:r>
      <w:r w:rsidR="001124A2" w:rsidRPr="00A72013">
        <w:rPr>
          <w:rFonts w:asciiTheme="majorBidi" w:eastAsia="Times New Roman" w:hAnsiTheme="majorBidi" w:cstheme="majorBidi"/>
          <w:color w:val="000000" w:themeColor="text1"/>
          <w:sz w:val="24"/>
          <w:szCs w:val="24"/>
          <w:lang w:val="en-US" w:eastAsia="fr-FR"/>
        </w:rPr>
        <w:t xml:space="preserve">we </w:t>
      </w:r>
      <w:r w:rsidRPr="00A72013">
        <w:rPr>
          <w:rFonts w:asciiTheme="majorBidi" w:eastAsia="Times New Roman" w:hAnsiTheme="majorBidi" w:cstheme="majorBidi"/>
          <w:color w:val="000000" w:themeColor="text1"/>
          <w:sz w:val="24"/>
          <w:szCs w:val="24"/>
          <w:lang w:val="en-US" w:eastAsia="fr-FR"/>
        </w:rPr>
        <w:t>ask</w:t>
      </w:r>
      <w:r w:rsidR="001124A2" w:rsidRPr="00A72013">
        <w:rPr>
          <w:rFonts w:asciiTheme="majorBidi" w:eastAsia="Times New Roman" w:hAnsiTheme="majorBidi" w:cstheme="majorBidi"/>
          <w:color w:val="000000" w:themeColor="text1"/>
          <w:sz w:val="24"/>
          <w:szCs w:val="24"/>
          <w:lang w:val="en-US" w:eastAsia="fr-FR"/>
        </w:rPr>
        <w:t>ed</w:t>
      </w:r>
      <w:r w:rsidRPr="00A72013">
        <w:rPr>
          <w:rFonts w:asciiTheme="majorBidi" w:eastAsia="Times New Roman" w:hAnsiTheme="majorBidi" w:cstheme="majorBidi"/>
          <w:color w:val="000000" w:themeColor="text1"/>
          <w:sz w:val="24"/>
          <w:szCs w:val="24"/>
          <w:lang w:val="en-US" w:eastAsia="fr-FR"/>
        </w:rPr>
        <w:t xml:space="preserve"> which genes have their expression regulated by </w:t>
      </w:r>
      <w:proofErr w:type="gramStart"/>
      <w:r w:rsidRPr="00A72013">
        <w:rPr>
          <w:rFonts w:asciiTheme="majorBidi" w:eastAsia="Times New Roman" w:hAnsiTheme="majorBidi" w:cstheme="majorBidi"/>
          <w:color w:val="000000" w:themeColor="text1"/>
          <w:sz w:val="24"/>
          <w:szCs w:val="24"/>
          <w:lang w:val="en-US" w:eastAsia="fr-FR"/>
        </w:rPr>
        <w:t>either micro</w:t>
      </w:r>
      <w:proofErr w:type="gramEnd"/>
      <w:r w:rsidRPr="00A72013">
        <w:rPr>
          <w:rFonts w:asciiTheme="majorBidi" w:eastAsia="Times New Roman" w:hAnsiTheme="majorBidi" w:cstheme="majorBidi"/>
          <w:color w:val="000000" w:themeColor="text1"/>
          <w:sz w:val="24"/>
          <w:szCs w:val="24"/>
          <w:lang w:val="en-US" w:eastAsia="fr-FR"/>
        </w:rPr>
        <w:t xml:space="preserve"> RNAs in mammals. This pointed to INPPL1 </w:t>
      </w:r>
      <w:r w:rsidR="00625652"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en-US" w:eastAsia="fr-FR"/>
        </w:rPr>
        <w:instrText xml:space="preserve"> ADDIN ZOTERO_ITEM CSL_CITATION {"citationID":"tARQI5rH","properties":{"formattedCitation":"[1\\uc0\\u8211{}3]","plainCitation":"[1–3]","noteIndex":0},"citationItems":[{"id":11542,"uris":["http://zotero.org/users/10348959/items/4TE37R49"],"itemData":{"id":11542,"type":"article-journal","abstract":"MicroRNAs (miRNAs) are a class of non-coding RNAs (ncRNAs) with a short length of 19–22 nucleotides. miRNAs are posttranscriptional regulators of gene expression involved in various biological processes like cell growth, apoptosis, and angiogenesis. miR-184 is a well-studied miRNA, for which most studies report its downregulation in cancer cells and tissues and experiments support its role as a tumor suppressor inhibiting malignant biological behaviors of cancer cells in vitro and in vivo. To exert its functions, miR-184 affects some signaling pathways involved in tumorigenesis like Wnt and β-catenin, and AKT/mTORC1 pathway, oncogenic factors (e.g., c-Myc) or apoptotic proteins, such as Bcl-2. Interestingly, clinical investigations have shown miR-184 with good performance as a prognostic/diagnostic biomarker for various cancers. Additionally, exogenous miR-184 in cell and xenograft animal studies suggest it as a therapeutic anticancer target. In this review, we outline the studies that evaluated the roles of miR-184 in tumorigenesis as well as its clinical significance.","container-title":"Cell Death Discovery","DOI":"10.1038/s41420-023-01718-1","ISSN":"2058-7716","issue":"1","journalAbbreviation":"Cell Death Discov.","language":"en","license":"2023 The Author(s)","note":"publisher: Nature Publishing Group","page":"1-15","source":"www-nature-com.insb.bib.cnrs.fr","title":"microRNA-184 in the landscape of human malignancies: a review to roles and clinical significance","title-short":"microRNA-184 in the landscape of human malignancies","volume":"9","author":[{"family":"Fattahi","given":"Mehdi"},{"family":"Rezaee","given":"Delsuz"},{"family":"Fakhari","given":"Fatemeh"},{"family":"Najafi","given":"Sajad"},{"family":"Aghaei-Zarch","given":"Seyed Mohsen"},{"family":"Beyranvand","given":"Parisa"},{"family":"Rashidi","given":"Mohammad Amin"},{"family":"Bagheri-Mohammadi","given":"Saeid"},{"family":"Zamani-Rarani","given":"Fahimeh"},{"family":"Bakhtiari","given":"Mohammad"},{"family":"Bakhtiari","given":"Abbas"},{"family":"Falahi","given":"Shahab"},{"family":"Kenarkoohi","given":"Azra"},{"family":"Majidpoor","given":"Jamal"},{"family":"Nguyen","given":"P. U."}],"issued":{"date-parts":[["2023",11,24]]},"citation-key":"fattahi_microrna-184_2023"}},{"id":11548,"uris":["http://zotero.org/users/10348959/items/TB9PGRWQ"],"itemData":{"id":11548,"type":"article-journal","abstract":"MicroRNAs (miRNAs) bind to complementary sequences within the 3' untranslated region (UTR) of mRNAs from hundreds of target genes, leading either to mRNA degradation or suppression of translation. We found that a mutation in the seed region of miR-184 (MIR184) is responsible for familial severe keratoconus combined with early-onset anterior polar cataract by deep sequencing of a linkage region known to contain the mutation. The mutant form fails to compete with miR-205 (MIR205) for overlapping target sites on the 3' UTRs of INPPL1 and ITGB4. Although these target genes and miR-205 are expressed widely, the phenotype is restricted to the cornea and lens because of the very high expression of miR-184 in these tissues. Our finding highlights the tissue specificity of a gene network regulated by a miRNA. Awareness of the important function of miRNAs could aid identification of susceptibility genes and new therapeutic targets for treatment of both rare and common diseases.","container-title":"American Journal of Human Genetics","DOI":"10.1016/j.ajhg.2011.09.014","ISSN":"1537-6605","issue":"5","journalAbbreviation":"Am J Hum Genet","language":"eng","note":"PMID: 21996275\nPMCID: PMC3213395","page":"628-633","source":"PubMed","title":"Mutation altering the miR-184 seed region causes familial keratoconus with cataract","volume":"89","author":[{"family":"Hughes","given":"Anne E."},{"family":"Bradley","given":"Declan T."},{"family":"Campbell","given":"Malcolm"},{"family":"Lechner","given":"Judith"},{"family":"Dash","given":"Durga P."},{"family":"Simpson","given":"David A."},{"family":"Willoughby","given":"Colin E."}],"issued":{"date-parts":[["2011",11,11]]},"citation-key":"hughes_mutation_2011"}},{"id":11586,"uris":["http://zotero.org/users/10348959/items/MIKB4K5X"],"itemData":{"id":11586,"type":"article-journal","abstract":"Epithelial-to-mesenchymal transition (EMT) of epithelium and airway epithelial cell proliferation disorder are key events in idiopathic pulmonary fibrosis (IPF) pathogenesis. During EMT, epithelial cell adhesion molecules (EpCAM, such as E-cadherin) are downregulated, cytokeratin cytoskeletal transforms into vimentin-based cytoskeleton, and the epithelial cells acquire mesenchymal morphology. In the present study, we show abnormal upregulation of tumor protein p63 (TP63) and downregulation of miR-184 in IPF. Transforming growth factor beta 1 (TGF-β1) stimulation of BEAS-2B and A549 cell lines significantly increased the protein levels of Tp63, alpha-smooth muscle actin (α-SMA), and vimentin, but decreased EpCAM protein levels, and promoted viability of both BEAS-2B and A549 cell lines. TP63 knockdown in BEAS-2B and A549 cell lines significantly attenuated above-described TGF-β1-induced fibrotic changes. miR-184 targeted TP63 3'-UTR to inhibit Tp63 expression. miR-184 overexpression within BEAS-2B and A549 cell lines also attenuated TGF-β1-induced fibrotic changes. miR-184 overexpression attenuated bleomycin-induced pulmonary fibrosis in mice. Moreover, TP63 overexpression aggravated TGF-β1-stimulated fibrotic alterations within BEAS-2B and A549 cells and significantly reversed the effects of miR-184 overexpression, indicating miR-184 relieves TGF-β1-stimulated fibrotic alterations within BEAS-2B and A549 cells by targeting TP63, while TP63 overexpression reversed miR-184 cellular functions. In conclusion, the miR-184/TP63 axis modulates the TGF-β1-induced fibrotic alterations in epithelial cell lines and bleomycin-induced pulmonary fibrosis in mice. Therefore, these results confirm that the miR-184/TP63 axis is involved in IPF progression.","container-title":"Laboratory Investigation; a Journal of Technical Methods and Pathology","DOI":"10.1038/s41374-020-00487-0","ISSN":"1530-0307","issue":"2","journalAbbreviation":"Lab Invest","language":"eng","note":"PMID: 32989231\nPMCID: PMC7815506","page":"142-154","source":"PubMed","title":"miR-184 targets TP63 to block idiopathic pulmonary fibrosis by inhibiting proliferation and epithelial-mesenchymal transition of airway epithelial cells","volume":"101","author":[{"family":"Li","given":"Jianmin"},{"family":"Pan","given":"Chanyuan"},{"family":"Tang","given":"Chao"},{"family":"Tan","given":"Wenwen"},{"family":"Zhang","given":"Weiwei"},{"family":"Guan","given":"Jing"}],"issued":{"date-parts":[["2021",2]]},"citation-key":"li_mir-184_2021"}}],"schema":"https://github.com/citation-style-language/schema/raw/master/csl-citation.json"} </w:instrText>
      </w:r>
      <w:r w:rsidR="00625652"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rPr>
        <w:t>[1–3]</w:t>
      </w:r>
      <w:r w:rsidR="00625652" w:rsidRPr="00A72013">
        <w:rPr>
          <w:rFonts w:asciiTheme="majorBidi" w:eastAsia="Times New Roman" w:hAnsiTheme="majorBidi" w:cstheme="majorBidi"/>
          <w:color w:val="000000" w:themeColor="text1"/>
          <w:sz w:val="24"/>
          <w:szCs w:val="24"/>
          <w:lang w:val="en-US" w:eastAsia="fr-FR"/>
        </w:rPr>
        <w:fldChar w:fldCharType="end"/>
      </w:r>
      <w:r w:rsidR="00625652" w:rsidRPr="00A72013">
        <w:rPr>
          <w:rFonts w:asciiTheme="majorBidi" w:eastAsia="Times New Roman" w:hAnsiTheme="majorBidi" w:cstheme="majorBidi"/>
          <w:color w:val="000000" w:themeColor="text1"/>
          <w:sz w:val="24"/>
          <w:szCs w:val="24"/>
          <w:lang w:val="en-US" w:eastAsia="fr-FR"/>
        </w:rPr>
        <w:t xml:space="preserve">, </w:t>
      </w:r>
      <w:r w:rsidRPr="00A72013">
        <w:rPr>
          <w:rFonts w:asciiTheme="majorBidi" w:eastAsia="Times New Roman" w:hAnsiTheme="majorBidi" w:cstheme="majorBidi"/>
          <w:color w:val="000000" w:themeColor="text1"/>
          <w:sz w:val="24"/>
          <w:szCs w:val="24"/>
          <w:lang w:val="en-US" w:eastAsia="fr-FR"/>
        </w:rPr>
        <w:t>ITGB4</w:t>
      </w:r>
      <w:r w:rsidR="00625652" w:rsidRPr="00A72013">
        <w:rPr>
          <w:rFonts w:asciiTheme="majorBidi" w:eastAsia="Times New Roman" w:hAnsiTheme="majorBidi" w:cstheme="majorBidi"/>
          <w:color w:val="000000" w:themeColor="text1"/>
          <w:sz w:val="24"/>
          <w:szCs w:val="24"/>
          <w:lang w:val="en-US" w:eastAsia="fr-FR"/>
        </w:rPr>
        <w:t xml:space="preserve"> </w:t>
      </w:r>
      <w:r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en-US" w:eastAsia="fr-FR"/>
        </w:rPr>
        <w:instrText xml:space="preserve"> ADDIN ZOTERO_ITEM CSL_CITATION {"citationID":"YOJXnHdT","properties":{"formattedCitation":"[1, 2]","plainCitation":"[1, 2]","noteIndex":0},"citationItems":[{"id":11542,"uris":["http://zotero.org/users/10348959/items/4TE37R49"],"itemData":{"id":11542,"type":"article-journal","abstract":"MicroRNAs (miRNAs) are a class of non-coding RNAs (ncRNAs) with a short length of 19–22 nucleotides. miRNAs are posttranscriptional regulators of gene expression involved in various biological processes like cell growth, apoptosis, and angiogenesis. miR-184 is a well-studied miRNA, for which most studies report its downregulation in cancer cells and tissues and experiments support its role as a tumor suppressor inhibiting malignant biological behaviors of cancer cells in vitro and in vivo. To exert its functions, miR-184 affects some signaling pathways involved in tumorigenesis like Wnt and β-catenin, and AKT/mTORC1 pathway, oncogenic factors (e.g., c-Myc) or apoptotic proteins, such as Bcl-2. Interestingly, clinical investigations have shown miR-184 with good performance as a prognostic/diagnostic biomarker for various cancers. Additionally, exogenous miR-184 in cell and xenograft animal studies suggest it as a therapeutic anticancer target. In this review, we outline the studies that evaluated the roles of miR-184 in tumorigenesis as well as its clinical significance.","container-title":"Cell Death Discovery","DOI":"10.1038/s41420-023-01718-1","ISSN":"2058-7716","issue":"1","journalAbbreviation":"Cell Death Discov.","language":"en","license":"2023 The Author(s)","note":"publisher: Nature Publishing Group","page":"1-15","source":"www-nature-com.insb.bib.cnrs.fr","title":"microRNA-184 in the landscape of human malignancies: a review to roles and clinical significance","title-short":"microRNA-184 in the landscape of human malignancies","volume":"9","author":[{"family":"Fattahi","given":"Mehdi"},{"family":"Rezaee","given":"Delsuz"},{"family":"Fakhari","given":"Fatemeh"},{"family":"Najafi","given":"Sajad"},{"family":"Aghaei-Zarch","given":"Seyed Mohsen"},{"family":"Beyranvand","given":"Parisa"},{"family":"Rashidi","given":"Mohammad Amin"},{"family":"Bagheri-Mohammadi","given":"Saeid"},{"family":"Zamani-Rarani","given":"Fahimeh"},{"family":"Bakhtiari","given":"Mohammad"},{"family":"Bakhtiari","given":"Abbas"},{"family":"Falahi","given":"Shahab"},{"family":"Kenarkoohi","given":"Azra"},{"family":"Majidpoor","given":"Jamal"},{"family":"Nguyen","given":"P. U."}],"issued":{"date-parts":[["2023",11,24]]},"citation-key":"fattahi_microrna-184_2023"}},{"id":11548,"uris":["http://zotero.org/users/10348959/items/TB9PGRWQ"],"itemData":{"id":11548,"type":"article-journal","abstract":"MicroRNAs (miRNAs) bind to complementary sequences within the 3' untranslated region (UTR) of mRNAs from hundreds of target genes, leading either to mRNA degradation or suppression of translation. We found that a mutation in the seed region of miR-184 (MIR184) is responsible for familial severe keratoconus combined with early-onset anterior polar cataract by deep sequencing of a linkage region known to contain the mutation. The mutant form fails to compete with miR-205 (MIR205) for overlapping target sites on the 3' UTRs of INPPL1 and ITGB4. Although these target genes and miR-205 are expressed widely, the phenotype is restricted to the cornea and lens because of the very high expression of miR-184 in these tissues. Our finding highlights the tissue specificity of a gene network regulated by a miRNA. Awareness of the important function of miRNAs could aid identification of susceptibility genes and new therapeutic targets for treatment of both rare and common diseases.","container-title":"American Journal of Human Genetics","DOI":"10.1016/j.ajhg.2011.09.014","ISSN":"1537-6605","issue":"5","journalAbbreviation":"Am J Hum Genet","language":"eng","note":"PMID: 21996275\nPMCID: PMC3213395","page":"628-633","source":"PubMed","title":"Mutation altering the miR-184 seed region causes familial keratoconus with cataract","volume":"89","author":[{"family":"Hughes","given":"Anne E."},{"family":"Bradley","given":"Declan T."},{"family":"Campbell","given":"Malcolm"},{"family":"Lechner","given":"Judith"},{"family":"Dash","given":"Durga P."},{"family":"Simpson","given":"David A."},{"family":"Willoughby","given":"Colin E."}],"issued":{"date-parts":[["2011",11,11]]},"citation-key":"hughes_mutation_2011"}}],"schema":"https://github.com/citation-style-language/schema/raw/master/csl-citation.json"} </w:instrText>
      </w:r>
      <w:r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rPr>
        <w:t>[1, 2]</w:t>
      </w:r>
      <w:r w:rsidRPr="00A72013">
        <w:rPr>
          <w:rFonts w:asciiTheme="majorBidi" w:eastAsia="Times New Roman" w:hAnsiTheme="majorBidi" w:cstheme="majorBidi"/>
          <w:color w:val="000000" w:themeColor="text1"/>
          <w:sz w:val="24"/>
          <w:szCs w:val="24"/>
          <w:lang w:val="en-US" w:eastAsia="fr-FR"/>
        </w:rPr>
        <w:fldChar w:fldCharType="end"/>
      </w:r>
      <w:r w:rsidRPr="00A72013">
        <w:rPr>
          <w:rFonts w:asciiTheme="majorBidi" w:eastAsia="Times New Roman" w:hAnsiTheme="majorBidi" w:cstheme="majorBidi"/>
          <w:color w:val="000000" w:themeColor="text1"/>
          <w:sz w:val="24"/>
          <w:szCs w:val="24"/>
          <w:lang w:val="en-US" w:eastAsia="fr-FR"/>
        </w:rPr>
        <w:t xml:space="preserve">, </w:t>
      </w:r>
      <w:r w:rsidR="001124A2" w:rsidRPr="00A72013">
        <w:rPr>
          <w:rFonts w:asciiTheme="majorBidi" w:eastAsia="Times New Roman" w:hAnsiTheme="majorBidi" w:cstheme="majorBidi"/>
          <w:color w:val="000000" w:themeColor="text1"/>
          <w:sz w:val="24"/>
          <w:szCs w:val="24"/>
          <w:lang w:val="en-US" w:eastAsia="fr-FR"/>
        </w:rPr>
        <w:t>AKT2</w:t>
      </w:r>
      <w:r w:rsidR="00625652" w:rsidRPr="00A72013">
        <w:rPr>
          <w:rFonts w:asciiTheme="majorBidi" w:eastAsia="Times New Roman" w:hAnsiTheme="majorBidi" w:cstheme="majorBidi"/>
          <w:color w:val="000000" w:themeColor="text1"/>
          <w:sz w:val="24"/>
          <w:szCs w:val="24"/>
          <w:lang w:val="en-US" w:eastAsia="fr-FR"/>
        </w:rPr>
        <w:t xml:space="preserve">, NFAT1 (NFATC2 in STRING), NUMBL and TSC2 </w:t>
      </w:r>
      <w:r w:rsidR="00625652"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en-US" w:eastAsia="fr-FR"/>
        </w:rPr>
        <w:instrText xml:space="preserve"> ADDIN ZOTERO_ITEM CSL_CITATION {"citationID":"t7OkU4og","properties":{"formattedCitation":"[1, 4]","plainCitation":"[1, 4]","noteIndex":0},"citationItems":[{"id":11565,"uris":["http://zotero.org/users/10348959/items/PX9MH9NQ"],"itemData":{"id":11565,"type":"article-journal","abstract":"The study of mammalian development has offered many insights into the molecular aetiology of cancer. We previously used analysis of mammary morphogenesis to discover a critical role for GATA-3 in mammary developmental and carcinogenesis. In recent years an important role for microRNAs (miRNAs) in a myriad of cellular processes in development and in oncogenesis has emerged.","container-title":"Breast Cancer Research","DOI":"10.1186/s13058-015-0593-0","ISSN":"1465-542X","issue":"1","journalAbbreviation":"Breast Cancer Research","page":"83","source":"BioMed Central","title":"MicroRNA profiling of the pubertal mouse mammary gland identifies miR-184 as a candidate breast tumour suppressor gene","volume":"17","author":[{"family":"Phua","given":"Yu Wei"},{"family":"Nguyen","given":"Akira"},{"family":"Roden","given":"Daniel L."},{"family":"Elsworth","given":"Benjamin"},{"family":"Deng","given":"Niantao"},{"family":"Nikolic","given":"Iva"},{"family":"Yang","given":"Jessica"},{"family":"Mcfarland","given":"Andrea"},{"family":"Russell","given":"Roslin"},{"family":"Kaplan","given":"Warren"},{"family":"Cowley","given":"Mark J."},{"family":"Nair","given":"Radhika"},{"family":"Zotenko","given":"Elena"},{"family":"O’Toole","given":"Sandra"},{"family":"Tan","given":"Shi-xiong"},{"family":"James","given":"David E."},{"family":"Clark","given":"Susan J."},{"family":"Kouros-Mehr","given":"Hosein"},{"family":"Swarbrick","given":"Alexander"}],"issued":{"date-parts":[["2015",6,13]]},"citation-key":"phua_microrna_2015"}},{"id":11542,"uris":["http://zotero.org/users/10348959/items/4TE37R49"],"itemData":{"id":11542,"type":"article-journal","abstract":"MicroRNAs (miRNAs) are a class of non-coding RNAs (ncRNAs) with a short length of 19–22 nucleotides. miRNAs are posttranscriptional regulators of gene expression involved in various biological processes like cell growth, apoptosis, and angiogenesis. miR-184 is a well-studied miRNA, for which most studies report its downregulation in cancer cells and tissues and experiments support its role as a tumor suppressor inhibiting malignant biological behaviors of cancer cells in vitro and in vivo. To exert its functions, miR-184 affects some signaling pathways involved in tumorigenesis like Wnt and β-catenin, and AKT/mTORC1 pathway, oncogenic factors (e.g., c-Myc) or apoptotic proteins, such as Bcl-2. Interestingly, clinical investigations have shown miR-184 with good performance as a prognostic/diagnostic biomarker for various cancers. Additionally, exogenous miR-184 in cell and xenograft animal studies suggest it as a therapeutic anticancer target. In this review, we outline the studies that evaluated the roles of miR-184 in tumorigenesis as well as its clinical significance.","container-title":"Cell Death Discovery","DOI":"10.1038/s41420-023-01718-1","ISSN":"2058-7716","issue":"1","journalAbbreviation":"Cell Death Discov.","language":"en","license":"2023 The Author(s)","note":"publisher: Nature Publishing Group","page":"1-15","source":"www-nature-com.insb.bib.cnrs.fr","title":"microRNA-184 in the landscape of human malignancies: a review to roles and clinical significance","title-short":"microRNA-184 in the landscape of human malignancies","volume":"9","author":[{"family":"Fattahi","given":"Mehdi"},{"family":"Rezaee","given":"Delsuz"},{"family":"Fakhari","given":"Fatemeh"},{"family":"Najafi","given":"Sajad"},{"family":"Aghaei-Zarch","given":"Seyed Mohsen"},{"family":"Beyranvand","given":"Parisa"},{"family":"Rashidi","given":"Mohammad Amin"},{"family":"Bagheri-Mohammadi","given":"Saeid"},{"family":"Zamani-Rarani","given":"Fahimeh"},{"family":"Bakhtiari","given":"Mohammad"},{"family":"Bakhtiari","given":"Abbas"},{"family":"Falahi","given":"Shahab"},{"family":"Kenarkoohi","given":"Azra"},{"family":"Majidpoor","given":"Jamal"},{"family":"Nguyen","given":"P. U."}],"issued":{"date-parts":[["2023",11,24]]},"citation-key":"fattahi_microrna-184_2023"}}],"schema":"https://github.com/citation-style-language/schema/raw/master/csl-citation.json"} </w:instrText>
      </w:r>
      <w:r w:rsidR="00625652"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lang w:val="en-US"/>
        </w:rPr>
        <w:t>[1, 4]</w:t>
      </w:r>
      <w:r w:rsidR="00625652" w:rsidRPr="00A72013">
        <w:rPr>
          <w:rFonts w:asciiTheme="majorBidi" w:eastAsia="Times New Roman" w:hAnsiTheme="majorBidi" w:cstheme="majorBidi"/>
          <w:color w:val="000000" w:themeColor="text1"/>
          <w:sz w:val="24"/>
          <w:szCs w:val="24"/>
          <w:lang w:val="en-US" w:eastAsia="fr-FR"/>
        </w:rPr>
        <w:fldChar w:fldCharType="end"/>
      </w:r>
      <w:r w:rsidR="001124A2" w:rsidRPr="00A72013">
        <w:rPr>
          <w:rFonts w:asciiTheme="majorBidi" w:eastAsia="Times New Roman" w:hAnsiTheme="majorBidi" w:cstheme="majorBidi"/>
          <w:color w:val="000000" w:themeColor="text1"/>
          <w:sz w:val="24"/>
          <w:szCs w:val="24"/>
          <w:lang w:val="en-US" w:eastAsia="fr-FR"/>
        </w:rPr>
        <w:t>, BCL2, CARM1, CDC25A</w:t>
      </w:r>
      <w:r w:rsidR="001124A2" w:rsidRPr="00A72013">
        <w:rPr>
          <w:rFonts w:asciiTheme="majorBidi" w:eastAsia="Times New Roman" w:hAnsiTheme="majorBidi" w:cstheme="majorBidi"/>
          <w:sz w:val="24"/>
          <w:szCs w:val="24"/>
          <w:lang w:val="en-US" w:eastAsia="fr-FR"/>
        </w:rPr>
        <w:t>, CRTC1, DLX1</w:t>
      </w:r>
      <w:r w:rsidR="001124A2" w:rsidRPr="00A72013">
        <w:rPr>
          <w:rFonts w:asciiTheme="majorBidi" w:eastAsia="Times New Roman" w:hAnsiTheme="majorBidi" w:cstheme="majorBidi"/>
          <w:color w:val="000000" w:themeColor="text1"/>
          <w:sz w:val="24"/>
          <w:szCs w:val="24"/>
          <w:lang w:val="en-US" w:eastAsia="fr-FR"/>
        </w:rPr>
        <w:t xml:space="preserve">, </w:t>
      </w:r>
      <w:r w:rsidR="001124A2" w:rsidRPr="00A72013">
        <w:rPr>
          <w:rFonts w:asciiTheme="majorBidi" w:eastAsia="Times New Roman" w:hAnsiTheme="majorBidi" w:cstheme="majorBidi"/>
          <w:sz w:val="24"/>
          <w:szCs w:val="24"/>
          <w:lang w:val="en-US" w:eastAsia="fr-FR"/>
        </w:rPr>
        <w:t xml:space="preserve">FOXO3, </w:t>
      </w:r>
      <w:r w:rsidR="001124A2" w:rsidRPr="00A72013">
        <w:rPr>
          <w:rFonts w:asciiTheme="majorBidi" w:eastAsia="Times New Roman" w:hAnsiTheme="majorBidi" w:cstheme="majorBidi"/>
          <w:color w:val="000000" w:themeColor="text1"/>
          <w:sz w:val="24"/>
          <w:szCs w:val="24"/>
          <w:lang w:val="en-US" w:eastAsia="fr-FR"/>
        </w:rPr>
        <w:t xml:space="preserve">FZD7, IGF1R, JUN, LASP1, MYC, , </w:t>
      </w:r>
      <w:r w:rsidR="001124A2" w:rsidRPr="00A72013">
        <w:rPr>
          <w:rFonts w:asciiTheme="majorBidi" w:eastAsia="Times New Roman" w:hAnsiTheme="majorBidi" w:cstheme="majorBidi"/>
          <w:sz w:val="24"/>
          <w:szCs w:val="24"/>
          <w:lang w:val="en-US" w:eastAsia="fr-FR"/>
        </w:rPr>
        <w:t>NKX6.1,</w:t>
      </w:r>
      <w:r w:rsidR="001124A2" w:rsidRPr="00A72013">
        <w:rPr>
          <w:rFonts w:asciiTheme="majorBidi" w:eastAsia="Times New Roman" w:hAnsiTheme="majorBidi" w:cstheme="majorBidi"/>
          <w:color w:val="000000" w:themeColor="text1"/>
          <w:sz w:val="24"/>
          <w:szCs w:val="24"/>
          <w:lang w:val="en-US" w:eastAsia="fr-FR"/>
        </w:rPr>
        <w:t xml:space="preserve"> PRAS40 (AKT1S1 in STRING), SLC7A5, </w:t>
      </w:r>
      <w:r w:rsidR="001124A2" w:rsidRPr="00A72013">
        <w:rPr>
          <w:rFonts w:asciiTheme="majorBidi" w:eastAsia="Times New Roman" w:hAnsiTheme="majorBidi" w:cstheme="majorBidi"/>
          <w:sz w:val="24"/>
          <w:szCs w:val="24"/>
          <w:lang w:val="en-US" w:eastAsia="fr-FR"/>
        </w:rPr>
        <w:t xml:space="preserve">SND1, TNFAIP2 </w:t>
      </w:r>
      <w:r w:rsidR="001124A2"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en-US" w:eastAsia="fr-FR"/>
        </w:rPr>
        <w:instrText xml:space="preserve"> ADDIN ZOTERO_ITEM CSL_CITATION {"citationID":"2fRx0C2R","properties":{"formattedCitation":"[1]","plainCitation":"[1]","noteIndex":0},"citationItems":[{"id":11542,"uris":["http://zotero.org/users/10348959/items/4TE37R49"],"itemData":{"id":11542,"type":"article-journal","abstract":"MicroRNAs (miRNAs) are a class of non-coding RNAs (ncRNAs) with a short length of 19–22 nucleotides. miRNAs are posttranscriptional regulators of gene expression involved in various biological processes like cell growth, apoptosis, and angiogenesis. miR-184 is a well-studied miRNA, for which most studies report its downregulation in cancer cells and tissues and experiments support its role as a tumor suppressor inhibiting malignant biological behaviors of cancer cells in vitro and in vivo. To exert its functions, miR-184 affects some signaling pathways involved in tumorigenesis like Wnt and β-catenin, and AKT/mTORC1 pathway, oncogenic factors (e.g., c-Myc) or apoptotic proteins, such as Bcl-2. Interestingly, clinical investigations have shown miR-184 with good performance as a prognostic/diagnostic biomarker for various cancers. Additionally, exogenous miR-184</w:instrText>
      </w:r>
      <w:r w:rsidR="007B64C1" w:rsidRPr="00A72013">
        <w:rPr>
          <w:rFonts w:asciiTheme="majorBidi" w:eastAsia="Times New Roman" w:hAnsiTheme="majorBidi" w:cstheme="majorBidi"/>
          <w:color w:val="000000" w:themeColor="text1"/>
          <w:sz w:val="24"/>
          <w:szCs w:val="24"/>
          <w:lang w:val="pl-PL" w:eastAsia="fr-FR"/>
        </w:rPr>
        <w:instrText xml:space="preserve"> in cell and xenograft animal studies suggest it as a therapeutic anticancer target. In this review, we outline the studies that evaluated the roles of miR-184 in tumorigenesis as well as its clinical significance.","container-title":"Cell Death Discovery","DOI":"10.1038/s41420-023-01718-1","ISSN":"2058-7716","issue":"1","journalAbbreviation":"Cell Death Discov.","language":"en","license":"2023 The Author(s)","note":"publisher: Nature Publishing Group","page":"1-15","source":"www-nature-com.insb.bib.cnrs.fr","title":"microRNA-184 in the landscape of human malignancies: a review to roles and clinical significance","title-short":"microRNA-184 in the landscape of human malignancies","volume":"9","author":[{"family":"Fattahi","given":"Mehdi"},{"family":"Rezaee","given":"Delsuz"},{"family":"Fakhari","given":"Fatemeh"},{"family":"Najafi","given":"Sajad"},{"family":"Aghaei-Zarch","given":"Seyed Mohsen"},{"family":"Beyranvand","given":"Parisa"},{"family":"Rashidi","given":"Mohammad Amin"},{"family":"Bagheri-Mohammadi","given":"Saeid"},{"family":"Zamani-Rarani","given":"Fahimeh"},{"family":"Bakhtiari","given":"Mohammad"},{"family":"Bakhtiari","given":"Abbas"},{"family":"Falahi","given":"Shahab"},{"family":"Kenarkoohi","given":"Azra"},{"family":"Majidpoor","given":"Jamal"},{"family":"Nguyen","given":"P. U."}],"issued":{"date-parts":[["2023",11,24]]},"citation-key":"fattahi_microrna-184_2023"}}],"schema":"https://github.com/citation-style-language/schema/raw/master/csl-citation.json"} </w:instrText>
      </w:r>
      <w:r w:rsidR="001124A2"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lang w:val="pl-PL"/>
        </w:rPr>
        <w:t>[1]</w:t>
      </w:r>
      <w:r w:rsidR="001124A2" w:rsidRPr="00A72013">
        <w:rPr>
          <w:rFonts w:asciiTheme="majorBidi" w:eastAsia="Times New Roman" w:hAnsiTheme="majorBidi" w:cstheme="majorBidi"/>
          <w:color w:val="000000" w:themeColor="text1"/>
          <w:sz w:val="24"/>
          <w:szCs w:val="24"/>
          <w:lang w:val="en-US" w:eastAsia="fr-FR"/>
        </w:rPr>
        <w:fldChar w:fldCharType="end"/>
      </w:r>
      <w:r w:rsidR="001124A2" w:rsidRPr="00A72013">
        <w:rPr>
          <w:rFonts w:asciiTheme="majorBidi" w:eastAsia="Times New Roman" w:hAnsiTheme="majorBidi" w:cstheme="majorBidi"/>
          <w:color w:val="000000" w:themeColor="text1"/>
          <w:sz w:val="24"/>
          <w:szCs w:val="24"/>
          <w:lang w:val="pl-PL" w:eastAsia="fr-FR"/>
        </w:rPr>
        <w:t>, TP63</w:t>
      </w:r>
      <w:r w:rsidRPr="00A72013">
        <w:rPr>
          <w:rFonts w:asciiTheme="majorBidi" w:eastAsia="Times New Roman" w:hAnsiTheme="majorBidi" w:cstheme="majorBidi"/>
          <w:color w:val="000000" w:themeColor="text1"/>
          <w:sz w:val="24"/>
          <w:szCs w:val="24"/>
          <w:lang w:val="pl-PL" w:eastAsia="fr-FR"/>
        </w:rPr>
        <w:t xml:space="preserve"> </w:t>
      </w:r>
      <w:r w:rsidR="001124A2"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pl-PL" w:eastAsia="fr-FR"/>
        </w:rPr>
        <w:instrText xml:space="preserve"> ADDIN ZOTERO_ITEM CSL_CITATION {"citationID":"Fn3saeHn","properties":{"formattedCitation":"[3]","plainCitation":"[3]","noteIndex":0},"citationItems":[{"id":11586,"uris":["http://zotero.org/users/10348959/items/MIKB4K5X"],"itemData":{"id":11586,"type":"article-journal","abstract":"Epithelial-to-mesenchymal transition (EMT) of epithelium and airway epithelial cell proliferation disorder are key events in idiopathic pulmonary fibrosis (IPF) pathogenesis. During EMT, epithelial cell adhesion molecules (EpCAM, such as E-cadherin) are downregulated, cytokeratin cytoskeletal transforms into vimentin-based cytoskeleton, and the epithelial cells acquire mesenchymal morphology. In the present study, we show abnormal upregulation of tumor protein p63 (TP63) and downregulation of miR-184 in IPF. Transforming growth factor beta 1 (TGF-</w:instrText>
      </w:r>
      <w:r w:rsidR="007B64C1" w:rsidRPr="00A72013">
        <w:rPr>
          <w:rFonts w:asciiTheme="majorBidi" w:eastAsia="Times New Roman" w:hAnsiTheme="majorBidi" w:cstheme="majorBidi"/>
          <w:color w:val="000000" w:themeColor="text1"/>
          <w:sz w:val="24"/>
          <w:szCs w:val="24"/>
          <w:lang w:val="en-US" w:eastAsia="fr-FR"/>
        </w:rPr>
        <w:instrText>β</w:instrText>
      </w:r>
      <w:r w:rsidR="007B64C1" w:rsidRPr="00A72013">
        <w:rPr>
          <w:rFonts w:asciiTheme="majorBidi" w:eastAsia="Times New Roman" w:hAnsiTheme="majorBidi" w:cstheme="majorBidi"/>
          <w:color w:val="000000" w:themeColor="text1"/>
          <w:sz w:val="24"/>
          <w:szCs w:val="24"/>
          <w:lang w:val="pl-PL" w:eastAsia="fr-FR"/>
        </w:rPr>
        <w:instrText>1) stimulation of BEAS-2B and A549 cell lines significantly increased the protein levels of Tp63, alpha-smooth muscle actin (</w:instrText>
      </w:r>
      <w:r w:rsidR="007B64C1" w:rsidRPr="00A72013">
        <w:rPr>
          <w:rFonts w:asciiTheme="majorBidi" w:eastAsia="Times New Roman" w:hAnsiTheme="majorBidi" w:cstheme="majorBidi"/>
          <w:color w:val="000000" w:themeColor="text1"/>
          <w:sz w:val="24"/>
          <w:szCs w:val="24"/>
          <w:lang w:val="en-US" w:eastAsia="fr-FR"/>
        </w:rPr>
        <w:instrText>α</w:instrText>
      </w:r>
      <w:r w:rsidR="007B64C1" w:rsidRPr="00A72013">
        <w:rPr>
          <w:rFonts w:asciiTheme="majorBidi" w:eastAsia="Times New Roman" w:hAnsiTheme="majorBidi" w:cstheme="majorBidi"/>
          <w:color w:val="000000" w:themeColor="text1"/>
          <w:sz w:val="24"/>
          <w:szCs w:val="24"/>
          <w:lang w:val="pl-PL" w:eastAsia="fr-FR"/>
        </w:rPr>
        <w:instrText>-SMA), and vimentin, but decreased EpCAM protein levels, and promoted viability of both BEAS-2B and A549 cell lines. TP63 knockdown in BEAS-2B and A549 cell lines significantly attenuated above-described TGF-</w:instrText>
      </w:r>
      <w:r w:rsidR="007B64C1" w:rsidRPr="00A72013">
        <w:rPr>
          <w:rFonts w:asciiTheme="majorBidi" w:eastAsia="Times New Roman" w:hAnsiTheme="majorBidi" w:cstheme="majorBidi"/>
          <w:color w:val="000000" w:themeColor="text1"/>
          <w:sz w:val="24"/>
          <w:szCs w:val="24"/>
          <w:lang w:val="en-US" w:eastAsia="fr-FR"/>
        </w:rPr>
        <w:instrText>β</w:instrText>
      </w:r>
      <w:r w:rsidR="007B64C1" w:rsidRPr="00A72013">
        <w:rPr>
          <w:rFonts w:asciiTheme="majorBidi" w:eastAsia="Times New Roman" w:hAnsiTheme="majorBidi" w:cstheme="majorBidi"/>
          <w:color w:val="000000" w:themeColor="text1"/>
          <w:sz w:val="24"/>
          <w:szCs w:val="24"/>
          <w:lang w:val="pl-PL" w:eastAsia="fr-FR"/>
        </w:rPr>
        <w:instrText>1-induced fibrotic changes. miR-184 targeted TP63 3'-UTR to inhibit Tp63 expression. miR-184 overexpression within BEAS-2B and A549 cell lines also attenuated TGF-</w:instrText>
      </w:r>
      <w:r w:rsidR="007B64C1" w:rsidRPr="00A72013">
        <w:rPr>
          <w:rFonts w:asciiTheme="majorBidi" w:eastAsia="Times New Roman" w:hAnsiTheme="majorBidi" w:cstheme="majorBidi"/>
          <w:color w:val="000000" w:themeColor="text1"/>
          <w:sz w:val="24"/>
          <w:szCs w:val="24"/>
          <w:lang w:val="en-US" w:eastAsia="fr-FR"/>
        </w:rPr>
        <w:instrText>β</w:instrText>
      </w:r>
      <w:r w:rsidR="007B64C1" w:rsidRPr="00A72013">
        <w:rPr>
          <w:rFonts w:asciiTheme="majorBidi" w:eastAsia="Times New Roman" w:hAnsiTheme="majorBidi" w:cstheme="majorBidi"/>
          <w:color w:val="000000" w:themeColor="text1"/>
          <w:sz w:val="24"/>
          <w:szCs w:val="24"/>
          <w:lang w:val="pl-PL" w:eastAsia="fr-FR"/>
        </w:rPr>
        <w:instrText>1-induced fibrotic changes. miR-184 overexpression attenuated bleomycin-induced pulmonary fibrosis in mice. Moreover, TP63 overexpression aggravated TGF-</w:instrText>
      </w:r>
      <w:r w:rsidR="007B64C1" w:rsidRPr="00A72013">
        <w:rPr>
          <w:rFonts w:asciiTheme="majorBidi" w:eastAsia="Times New Roman" w:hAnsiTheme="majorBidi" w:cstheme="majorBidi"/>
          <w:color w:val="000000" w:themeColor="text1"/>
          <w:sz w:val="24"/>
          <w:szCs w:val="24"/>
          <w:lang w:val="en-US" w:eastAsia="fr-FR"/>
        </w:rPr>
        <w:instrText>β</w:instrText>
      </w:r>
      <w:r w:rsidR="007B64C1" w:rsidRPr="00A72013">
        <w:rPr>
          <w:rFonts w:asciiTheme="majorBidi" w:eastAsia="Times New Roman" w:hAnsiTheme="majorBidi" w:cstheme="majorBidi"/>
          <w:color w:val="000000" w:themeColor="text1"/>
          <w:sz w:val="24"/>
          <w:szCs w:val="24"/>
          <w:lang w:val="pl-PL" w:eastAsia="fr-FR"/>
        </w:rPr>
        <w:instrText>1-stimulated fibrotic alterations within BEAS-2B and A549 cells and significantly reversed the effects of miR-184 overexpression, indicating miR-184 relieves TGF-</w:instrText>
      </w:r>
      <w:r w:rsidR="007B64C1" w:rsidRPr="00A72013">
        <w:rPr>
          <w:rFonts w:asciiTheme="majorBidi" w:eastAsia="Times New Roman" w:hAnsiTheme="majorBidi" w:cstheme="majorBidi"/>
          <w:color w:val="000000" w:themeColor="text1"/>
          <w:sz w:val="24"/>
          <w:szCs w:val="24"/>
          <w:lang w:val="en-US" w:eastAsia="fr-FR"/>
        </w:rPr>
        <w:instrText>β</w:instrText>
      </w:r>
      <w:r w:rsidR="007B64C1" w:rsidRPr="00A72013">
        <w:rPr>
          <w:rFonts w:asciiTheme="majorBidi" w:eastAsia="Times New Roman" w:hAnsiTheme="majorBidi" w:cstheme="majorBidi"/>
          <w:color w:val="000000" w:themeColor="text1"/>
          <w:sz w:val="24"/>
          <w:szCs w:val="24"/>
          <w:lang w:val="pl-PL" w:eastAsia="fr-FR"/>
        </w:rPr>
        <w:instrText>1-stimulated fibrotic alterations within BEAS-2B and A549 cells by targeting TP63, while TP63 overexpression reversed miR-184 cellular functions. In conclusion, the miR-184/TP63 axis modulates the TGF-</w:instrText>
      </w:r>
      <w:r w:rsidR="007B64C1" w:rsidRPr="00A72013">
        <w:rPr>
          <w:rFonts w:asciiTheme="majorBidi" w:eastAsia="Times New Roman" w:hAnsiTheme="majorBidi" w:cstheme="majorBidi"/>
          <w:color w:val="000000" w:themeColor="text1"/>
          <w:sz w:val="24"/>
          <w:szCs w:val="24"/>
          <w:lang w:val="en-US" w:eastAsia="fr-FR"/>
        </w:rPr>
        <w:instrText>β</w:instrText>
      </w:r>
      <w:r w:rsidR="007B64C1" w:rsidRPr="00A72013">
        <w:rPr>
          <w:rFonts w:asciiTheme="majorBidi" w:eastAsia="Times New Roman" w:hAnsiTheme="majorBidi" w:cstheme="majorBidi"/>
          <w:color w:val="000000" w:themeColor="text1"/>
          <w:sz w:val="24"/>
          <w:szCs w:val="24"/>
          <w:lang w:val="pl-PL" w:eastAsia="fr-FR"/>
        </w:rPr>
        <w:instrText xml:space="preserve">1-induced fibrotic alterations in epithelial cell lines and bleomycin-induced pulmonary fibrosis in mice. Therefore, these results confirm that the miR-184/TP63 axis is involved in IPF progression.","container-title":"Laboratory Investigation; a Journal of Technical Methods and Pathology","DOI":"10.1038/s41374-020-00487-0","ISSN":"1530-0307","issue":"2","journalAbbreviation":"Lab Invest","language":"eng","note":"PMID: 32989231\nPMCID: PMC7815506","page":"142-154","source":"PubMed","title":"miR-184 targets TP63 to block idiopathic pulmonary fibrosis by inhibiting proliferation and epithelial-mesenchymal transition of airway epithelial cells","volume":"101","author":[{"family":"Li","given":"Jianmin"},{"family":"Pan","given":"Chanyuan"},{"family":"Tang","given":"Chao"},{"family":"Tan","given":"Wenwen"},{"family":"Zhang","given":"Weiwei"},{"family":"Guan","given":"Jing"}],"issued":{"date-parts":[["2021",2]]},"citation-key":"li_mir-184_2021"}}],"schema":"https://github.com/citation-style-language/schema/raw/master/csl-citation.json"} </w:instrText>
      </w:r>
      <w:r w:rsidR="001124A2"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lang w:val="pl-PL"/>
        </w:rPr>
        <w:t>[3]</w:t>
      </w:r>
      <w:r w:rsidR="001124A2" w:rsidRPr="00A72013">
        <w:rPr>
          <w:rFonts w:asciiTheme="majorBidi" w:eastAsia="Times New Roman" w:hAnsiTheme="majorBidi" w:cstheme="majorBidi"/>
          <w:color w:val="000000" w:themeColor="text1"/>
          <w:sz w:val="24"/>
          <w:szCs w:val="24"/>
          <w:lang w:val="en-US" w:eastAsia="fr-FR"/>
        </w:rPr>
        <w:fldChar w:fldCharType="end"/>
      </w:r>
      <w:r w:rsidR="00A67549" w:rsidRPr="00A72013">
        <w:rPr>
          <w:rFonts w:asciiTheme="majorBidi" w:eastAsia="Times New Roman" w:hAnsiTheme="majorBidi" w:cstheme="majorBidi"/>
          <w:color w:val="000000" w:themeColor="text1"/>
          <w:sz w:val="24"/>
          <w:szCs w:val="24"/>
          <w:lang w:val="pl-PL" w:eastAsia="fr-FR"/>
        </w:rPr>
        <w:t xml:space="preserve">, CTNNB1 </w:t>
      </w:r>
      <w:r w:rsidR="00A67549"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pl-PL" w:eastAsia="fr-FR"/>
        </w:rPr>
        <w:instrText xml:space="preserve"> ADDIN ZOTERO_ITEM CSL_CITATION {"citationID":"gWYh84S4","properties":{"formattedCitation":"[5]","plainCitation":"[5]","noteIndex":0},"citationItems":[{"id":11568,"uris":["http://zotero.org/users/10348959/items/ZK23WUG2"],"itemData":{"id":11568,"type":"article-journal","abstract":"miR-184-knockout mice display perturbed epidermal stem cell differentiation. However, the potential role of miR-184 in skin pathology is unclear. Here, we report that miR-184 controls epidermal stem cell dynamics and that miR-184 ablation enhances skin carcinogenesis in mice. In agreement, repression of miR-184 in human squamous cell carcinoma (SCC) enhances neoplastic hallmarks of human SCC cells in vitro and tumor development in vivo. Characterization of miR-184-regulatory network, suggests that miR-184 inhibits pro-oncogenic pathways, cell proliferation, and epithelial to mesenchymal transformation. Of note, depletion of miR-184 enhances the levels of </w:instrText>
      </w:r>
      <w:r w:rsidR="007B64C1" w:rsidRPr="00A72013">
        <w:rPr>
          <w:rFonts w:asciiTheme="majorBidi" w:eastAsia="Times New Roman" w:hAnsiTheme="majorBidi" w:cstheme="majorBidi"/>
          <w:color w:val="000000" w:themeColor="text1"/>
          <w:sz w:val="24"/>
          <w:szCs w:val="24"/>
          <w:lang w:val="en-US" w:eastAsia="fr-FR"/>
        </w:rPr>
        <w:instrText>β</w:instrText>
      </w:r>
      <w:r w:rsidR="007B64C1" w:rsidRPr="00A72013">
        <w:rPr>
          <w:rFonts w:asciiTheme="majorBidi" w:eastAsia="Times New Roman" w:hAnsiTheme="majorBidi" w:cstheme="majorBidi"/>
          <w:color w:val="000000" w:themeColor="text1"/>
          <w:sz w:val="24"/>
          <w:szCs w:val="24"/>
          <w:lang w:val="pl-PL" w:eastAsia="fr-FR"/>
        </w:rPr>
        <w:instrText xml:space="preserve">-catenin under homeostasis and following experimental skin carcinogenesis. Finally, the repression of </w:instrText>
      </w:r>
      <w:r w:rsidR="007B64C1" w:rsidRPr="00A72013">
        <w:rPr>
          <w:rFonts w:asciiTheme="majorBidi" w:eastAsia="Times New Roman" w:hAnsiTheme="majorBidi" w:cstheme="majorBidi"/>
          <w:color w:val="000000" w:themeColor="text1"/>
          <w:sz w:val="24"/>
          <w:szCs w:val="24"/>
          <w:lang w:val="en-US" w:eastAsia="fr-FR"/>
        </w:rPr>
        <w:instrText>β</w:instrText>
      </w:r>
      <w:r w:rsidR="007B64C1" w:rsidRPr="00A72013">
        <w:rPr>
          <w:rFonts w:asciiTheme="majorBidi" w:eastAsia="Times New Roman" w:hAnsiTheme="majorBidi" w:cstheme="majorBidi"/>
          <w:color w:val="000000" w:themeColor="text1"/>
          <w:sz w:val="24"/>
          <w:szCs w:val="24"/>
          <w:lang w:val="pl-PL" w:eastAsia="fr-FR"/>
        </w:rPr>
        <w:instrText xml:space="preserve">-catenin by miR-184, inhibits the neoplastic phenotype of SCC cells. Taken together, miR-184 behaves as an epidermal tumor suppressor, and may provide a potentially useful target for skin SCC therapy.","container-title":"Cell Death &amp; Disease","DOI":"10.1038/s41419-024-06554-4","ISSN":"2041-4889","issue":"2","journalAbbreviation":"Cell Death Dis","language":"en","license":"2024 The Author(s)","note":"publisher: Nature Publishing Group","page":"1-10","source":"www-nature-com.insb.bib.cnrs.fr","title":"miR-184 represses </w:instrText>
      </w:r>
      <w:r w:rsidR="007B64C1" w:rsidRPr="00A72013">
        <w:rPr>
          <w:rFonts w:asciiTheme="majorBidi" w:eastAsia="Times New Roman" w:hAnsiTheme="majorBidi" w:cstheme="majorBidi"/>
          <w:color w:val="000000" w:themeColor="text1"/>
          <w:sz w:val="24"/>
          <w:szCs w:val="24"/>
          <w:lang w:val="en-US" w:eastAsia="fr-FR"/>
        </w:rPr>
        <w:instrText>β</w:instrText>
      </w:r>
      <w:r w:rsidR="007B64C1" w:rsidRPr="00A72013">
        <w:rPr>
          <w:rFonts w:asciiTheme="majorBidi" w:eastAsia="Times New Roman" w:hAnsiTheme="majorBidi" w:cstheme="majorBidi"/>
          <w:color w:val="000000" w:themeColor="text1"/>
          <w:sz w:val="24"/>
          <w:szCs w:val="24"/>
          <w:lang w:val="pl-PL" w:eastAsia="fr-FR"/>
        </w:rPr>
        <w:instrText xml:space="preserve">-catenin and behaves as a skin tumor suppressor","volume":"15","author":[{"family":"Turovsky","given":"Lubov"},{"family":"Kheshaiboun","given":"Ghazal"},{"family":"Yassen","given":"Gharam"},{"family":"Nagosa","given":"Sara"},{"family":"Boyango","given":"Ilanit"},{"family":"Amitai-Lange","given":"Aya"},{"family":"Bhattacharya","given":"Swarnabh"},{"family":"Ilan","given":"Neta"},{"family":"Vlodavsky","given":"Israel"},{"family":"Aberdam","given":"Daniel"},{"family":"Shalom-Feuerstein","given":"Ruby"},{"family":"Avitan-Hersh","given":"Emily"}],"issued":{"date-parts":[["2024",2,26]]},"citation-key":"turovsky_mir-184_2024"}}],"schema":"https://github.com/citation-style-language/schema/raw/master/csl-citation.json"} </w:instrText>
      </w:r>
      <w:r w:rsidR="00A67549"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lang w:val="pl-PL"/>
        </w:rPr>
        <w:t>[5]</w:t>
      </w:r>
      <w:r w:rsidR="00A67549" w:rsidRPr="00A72013">
        <w:rPr>
          <w:rFonts w:asciiTheme="majorBidi" w:eastAsia="Times New Roman" w:hAnsiTheme="majorBidi" w:cstheme="majorBidi"/>
          <w:color w:val="000000" w:themeColor="text1"/>
          <w:sz w:val="24"/>
          <w:szCs w:val="24"/>
          <w:lang w:val="en-US" w:eastAsia="fr-FR"/>
        </w:rPr>
        <w:fldChar w:fldCharType="end"/>
      </w:r>
    </w:p>
    <w:p w14:paraId="398DE8CA" w14:textId="77777777" w:rsidR="007F6B62" w:rsidRPr="00A72013" w:rsidRDefault="00A67549" w:rsidP="00E840E4">
      <w:pPr>
        <w:spacing w:after="0" w:line="240" w:lineRule="auto"/>
        <w:rPr>
          <w:rFonts w:asciiTheme="majorBidi" w:eastAsia="Times New Roman" w:hAnsiTheme="majorBidi" w:cstheme="majorBidi"/>
          <w:color w:val="000000" w:themeColor="text1"/>
          <w:sz w:val="24"/>
          <w:szCs w:val="24"/>
          <w:lang w:val="en-US" w:eastAsia="fr-FR"/>
        </w:rPr>
      </w:pPr>
      <w:r w:rsidRPr="00A72013">
        <w:rPr>
          <w:rFonts w:asciiTheme="majorBidi" w:eastAsia="Times New Roman" w:hAnsiTheme="majorBidi" w:cstheme="majorBidi"/>
          <w:color w:val="000000" w:themeColor="text1"/>
          <w:sz w:val="24"/>
          <w:szCs w:val="24"/>
          <w:lang w:val="pl-PL" w:eastAsia="fr-FR"/>
        </w:rPr>
        <w:t xml:space="preserve">A </w:t>
      </w:r>
      <w:proofErr w:type="spellStart"/>
      <w:r w:rsidRPr="00A72013">
        <w:rPr>
          <w:rFonts w:asciiTheme="majorBidi" w:eastAsia="Times New Roman" w:hAnsiTheme="majorBidi" w:cstheme="majorBidi"/>
          <w:color w:val="000000" w:themeColor="text1"/>
          <w:sz w:val="24"/>
          <w:szCs w:val="24"/>
          <w:lang w:val="pl-PL" w:eastAsia="fr-FR"/>
        </w:rPr>
        <w:t>similar</w:t>
      </w:r>
      <w:proofErr w:type="spellEnd"/>
      <w:r w:rsidRPr="00A72013">
        <w:rPr>
          <w:rFonts w:asciiTheme="majorBidi" w:eastAsia="Times New Roman" w:hAnsiTheme="majorBidi" w:cstheme="majorBidi"/>
          <w:color w:val="000000" w:themeColor="text1"/>
          <w:sz w:val="24"/>
          <w:szCs w:val="24"/>
          <w:lang w:val="pl-PL" w:eastAsia="fr-FR"/>
        </w:rPr>
        <w:t xml:space="preserve"> </w:t>
      </w:r>
      <w:proofErr w:type="spellStart"/>
      <w:r w:rsidRPr="00A72013">
        <w:rPr>
          <w:rFonts w:asciiTheme="majorBidi" w:eastAsia="Times New Roman" w:hAnsiTheme="majorBidi" w:cstheme="majorBidi"/>
          <w:color w:val="000000" w:themeColor="text1"/>
          <w:sz w:val="24"/>
          <w:szCs w:val="24"/>
          <w:lang w:val="pl-PL" w:eastAsia="fr-FR"/>
        </w:rPr>
        <w:t>query</w:t>
      </w:r>
      <w:proofErr w:type="spellEnd"/>
      <w:r w:rsidRPr="00A72013">
        <w:rPr>
          <w:rFonts w:asciiTheme="majorBidi" w:eastAsia="Times New Roman" w:hAnsiTheme="majorBidi" w:cstheme="majorBidi"/>
          <w:color w:val="000000" w:themeColor="text1"/>
          <w:sz w:val="24"/>
          <w:szCs w:val="24"/>
          <w:lang w:val="pl-PL" w:eastAsia="fr-FR"/>
        </w:rPr>
        <w:t xml:space="preserve"> for miR-96 </w:t>
      </w:r>
      <w:proofErr w:type="spellStart"/>
      <w:r w:rsidRPr="00A72013">
        <w:rPr>
          <w:rFonts w:asciiTheme="majorBidi" w:eastAsia="Times New Roman" w:hAnsiTheme="majorBidi" w:cstheme="majorBidi"/>
          <w:color w:val="000000" w:themeColor="text1"/>
          <w:sz w:val="24"/>
          <w:szCs w:val="24"/>
          <w:lang w:val="pl-PL" w:eastAsia="fr-FR"/>
        </w:rPr>
        <w:t>indicated</w:t>
      </w:r>
      <w:proofErr w:type="spellEnd"/>
      <w:r w:rsidRPr="00A72013">
        <w:rPr>
          <w:rFonts w:asciiTheme="majorBidi" w:eastAsia="Times New Roman" w:hAnsiTheme="majorBidi" w:cstheme="majorBidi"/>
          <w:color w:val="000000" w:themeColor="text1"/>
          <w:sz w:val="24"/>
          <w:szCs w:val="24"/>
          <w:lang w:val="pl-PL" w:eastAsia="fr-FR"/>
        </w:rPr>
        <w:t xml:space="preserve"> </w:t>
      </w:r>
      <w:r w:rsidR="0006445A" w:rsidRPr="00A72013">
        <w:rPr>
          <w:rFonts w:asciiTheme="majorBidi" w:eastAsia="Times New Roman" w:hAnsiTheme="majorBidi" w:cstheme="majorBidi"/>
          <w:color w:val="000000" w:themeColor="text1"/>
          <w:sz w:val="24"/>
          <w:szCs w:val="24"/>
          <w:lang w:val="pl-PL" w:eastAsia="fr-FR"/>
        </w:rPr>
        <w:t xml:space="preserve">MYRIP </w:t>
      </w:r>
      <w:r w:rsidR="005344FA"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pl-PL" w:eastAsia="fr-FR"/>
        </w:rPr>
        <w:instrText xml:space="preserve"> ADDIN ZOTERO_ITEM CSL_CITATION {"citationID":"e3IB7tyZ","properties":{"formattedCitation":"[6]","plainCitation":"[6]","noteIndex":0},"citationItems":[{"id":11570,"uris":["http://zotero.org/users/10348959/items/3HLQ8DV7"],"itemData":{"id":11570,"type":"article-journal","abstract":"The miR-96, miR-182 and miR-183 microRNA (miRNA) family is essential for differentiation and function of the vertebrate inner ear. Recently, point mutations within the seed region of miR-96 were reported in two Spanish families with autosomal dominant non-syndromic sensorineural hearing loss (NSHL) and in a mouse model of NSHL. We screened 882 NSHL patients and 836 normal-hearing Italian controls and identified one putative novel mutation within the miR-96 gene in a family with autosomal dominant NSHL. Although located outside the mature miR-96 sequence, the detected variant replaces a highly conserved nucleotide within the companion miR-96*, and is predicted to reduce the stability of the pre-miRNA hairpin. To evaluate the effect of the detected mutation on miR-96/mir-96* biogenesis, we investigated the maturation of miR-96 by transient expression in mammalian cells, followed by real-time reverse-transcription polymerase chain reaction (PCR). We found that both miR-96 and miR-96* levels were significantly reduced in the mutant, whereas the precursor levels were unaffected. Moreover, miR-96 and miR-96* expression levels could be restored by a compensatory mutation that reconstitutes the secondary structure of the pre-miR-96 hairpin, demonstrating that the mutation hinders precursor processing, probably interfering with Dicer cleavage. Finally, even though the mature miR-96 sequence is not altered, we demonstrated that the identified mutation significantly impacts on miR-96 regulation of selected targets. In conclusion, we provide further evidence of the involvement of miR-96 mutations in human deafness and demonstrate that a quantitative defect of this miRNA may contribute to NSHL.","container-title":"Human Molecular Genetics","DOI":"10.1093/hmg/ddr493","ISSN":"0964-6906","issue":"3","journalAbbreviation":"Human Molecular Genetics","page":"577-585","source":"Silverchair","title":"A novel mutation within the MIR96 gene causes non-syndromic inherited hearing loss in an Italian family by altering pre-miRNA processing","volume":"21","author":[{"family":"Soldà","given":"Giulia"},{"family":"Robusto","given":"Michela"},{"family":"Primignani","given":"Paola"},{"family":"Castorina","given":"Pierangela"},{"family":"Benzoni","given":"Elena"},{"family":"Cesarani","given":"Antonio"},{"family":"Ambrosetti","given":"Umberto"},{"family":"Asselta","given":"Rosanna"},{"family":"Duga","given":"Stefano"}],"issued":{"date-parts":[["2012",2,1]]},"citation-key":"solda_novel_2012"}}],"schema":"https://github.com/citation-style-language/schema/raw/master/csl-citation.json"} </w:instrText>
      </w:r>
      <w:r w:rsidR="005344FA"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lang w:val="pl-PL"/>
        </w:rPr>
        <w:t>[6]</w:t>
      </w:r>
      <w:r w:rsidR="005344FA" w:rsidRPr="00A72013">
        <w:rPr>
          <w:rFonts w:asciiTheme="majorBidi" w:eastAsia="Times New Roman" w:hAnsiTheme="majorBidi" w:cstheme="majorBidi"/>
          <w:color w:val="000000" w:themeColor="text1"/>
          <w:sz w:val="24"/>
          <w:szCs w:val="24"/>
          <w:lang w:val="en-US" w:eastAsia="fr-FR"/>
        </w:rPr>
        <w:fldChar w:fldCharType="end"/>
      </w:r>
      <w:r w:rsidR="005344FA" w:rsidRPr="00A72013">
        <w:rPr>
          <w:rFonts w:asciiTheme="majorBidi" w:eastAsia="Times New Roman" w:hAnsiTheme="majorBidi" w:cstheme="majorBidi"/>
          <w:color w:val="000000" w:themeColor="text1"/>
          <w:sz w:val="24"/>
          <w:szCs w:val="24"/>
          <w:lang w:val="pl-PL" w:eastAsia="fr-FR"/>
        </w:rPr>
        <w:t>, AQP5, FOS, FOXO1, GFI1, IKZF2, KCNA10, OCM, MYO3A, NR3C1, PTPRQ, SEMA3E, SLC26A5, SLC52A3 and ZEB1 (</w:t>
      </w:r>
      <w:proofErr w:type="spellStart"/>
      <w:r w:rsidR="005344FA" w:rsidRPr="00A72013">
        <w:rPr>
          <w:rFonts w:asciiTheme="majorBidi" w:eastAsia="Times New Roman" w:hAnsiTheme="majorBidi" w:cstheme="majorBidi"/>
          <w:color w:val="000000" w:themeColor="text1"/>
          <w:sz w:val="24"/>
          <w:szCs w:val="24"/>
          <w:lang w:val="pl-PL" w:eastAsia="fr-FR"/>
        </w:rPr>
        <w:t>which</w:t>
      </w:r>
      <w:proofErr w:type="spellEnd"/>
      <w:r w:rsidR="005344FA" w:rsidRPr="00A72013">
        <w:rPr>
          <w:rFonts w:asciiTheme="majorBidi" w:eastAsia="Times New Roman" w:hAnsiTheme="majorBidi" w:cstheme="majorBidi"/>
          <w:color w:val="000000" w:themeColor="text1"/>
          <w:sz w:val="24"/>
          <w:szCs w:val="24"/>
          <w:lang w:val="pl-PL" w:eastAsia="fr-FR"/>
        </w:rPr>
        <w:t xml:space="preserve"> </w:t>
      </w:r>
      <w:proofErr w:type="spellStart"/>
      <w:r w:rsidR="005344FA" w:rsidRPr="00A72013">
        <w:rPr>
          <w:rFonts w:asciiTheme="majorBidi" w:eastAsia="Times New Roman" w:hAnsiTheme="majorBidi" w:cstheme="majorBidi"/>
          <w:color w:val="000000" w:themeColor="text1"/>
          <w:sz w:val="24"/>
          <w:szCs w:val="24"/>
          <w:lang w:val="pl-PL" w:eastAsia="fr-FR"/>
        </w:rPr>
        <w:t>is</w:t>
      </w:r>
      <w:proofErr w:type="spellEnd"/>
      <w:r w:rsidR="005344FA" w:rsidRPr="00A72013">
        <w:rPr>
          <w:rFonts w:asciiTheme="majorBidi" w:eastAsia="Times New Roman" w:hAnsiTheme="majorBidi" w:cstheme="majorBidi"/>
          <w:color w:val="000000" w:themeColor="text1"/>
          <w:sz w:val="24"/>
          <w:szCs w:val="24"/>
          <w:lang w:val="pl-PL" w:eastAsia="fr-FR"/>
        </w:rPr>
        <w:t xml:space="preserve"> </w:t>
      </w:r>
      <w:proofErr w:type="spellStart"/>
      <w:r w:rsidR="005344FA" w:rsidRPr="00A72013">
        <w:rPr>
          <w:rFonts w:asciiTheme="majorBidi" w:eastAsia="Times New Roman" w:hAnsiTheme="majorBidi" w:cstheme="majorBidi"/>
          <w:color w:val="000000" w:themeColor="text1"/>
          <w:sz w:val="24"/>
          <w:szCs w:val="24"/>
          <w:lang w:val="pl-PL" w:eastAsia="fr-FR"/>
        </w:rPr>
        <w:t>also</w:t>
      </w:r>
      <w:proofErr w:type="spellEnd"/>
      <w:r w:rsidR="005344FA" w:rsidRPr="00A72013">
        <w:rPr>
          <w:rFonts w:asciiTheme="majorBidi" w:eastAsia="Times New Roman" w:hAnsiTheme="majorBidi" w:cstheme="majorBidi"/>
          <w:color w:val="000000" w:themeColor="text1"/>
          <w:sz w:val="24"/>
          <w:szCs w:val="24"/>
          <w:lang w:val="pl-PL" w:eastAsia="fr-FR"/>
        </w:rPr>
        <w:t xml:space="preserve"> one of the IMPC </w:t>
      </w:r>
      <w:proofErr w:type="spellStart"/>
      <w:r w:rsidR="005344FA" w:rsidRPr="00A72013">
        <w:rPr>
          <w:rFonts w:asciiTheme="majorBidi" w:eastAsia="Times New Roman" w:hAnsiTheme="majorBidi" w:cstheme="majorBidi"/>
          <w:color w:val="000000" w:themeColor="text1"/>
          <w:sz w:val="24"/>
          <w:szCs w:val="24"/>
          <w:lang w:val="pl-PL" w:eastAsia="fr-FR"/>
        </w:rPr>
        <w:t>candidate</w:t>
      </w:r>
      <w:proofErr w:type="spellEnd"/>
      <w:r w:rsidR="005344FA" w:rsidRPr="00A72013">
        <w:rPr>
          <w:rFonts w:asciiTheme="majorBidi" w:eastAsia="Times New Roman" w:hAnsiTheme="majorBidi" w:cstheme="majorBidi"/>
          <w:color w:val="000000" w:themeColor="text1"/>
          <w:sz w:val="24"/>
          <w:szCs w:val="24"/>
          <w:lang w:val="pl-PL" w:eastAsia="fr-FR"/>
        </w:rPr>
        <w:t xml:space="preserve"> </w:t>
      </w:r>
      <w:proofErr w:type="spellStart"/>
      <w:r w:rsidR="005344FA" w:rsidRPr="00A72013">
        <w:rPr>
          <w:rFonts w:asciiTheme="majorBidi" w:eastAsia="Times New Roman" w:hAnsiTheme="majorBidi" w:cstheme="majorBidi"/>
          <w:color w:val="000000" w:themeColor="text1"/>
          <w:sz w:val="24"/>
          <w:szCs w:val="24"/>
          <w:lang w:val="pl-PL" w:eastAsia="fr-FR"/>
        </w:rPr>
        <w:t>gene</w:t>
      </w:r>
      <w:proofErr w:type="spellEnd"/>
      <w:r w:rsidR="005344FA" w:rsidRPr="00A72013">
        <w:rPr>
          <w:rFonts w:asciiTheme="majorBidi" w:eastAsia="Times New Roman" w:hAnsiTheme="majorBidi" w:cstheme="majorBidi"/>
          <w:color w:val="000000" w:themeColor="text1"/>
          <w:sz w:val="24"/>
          <w:szCs w:val="24"/>
          <w:lang w:val="pl-PL" w:eastAsia="fr-FR"/>
        </w:rPr>
        <w:t xml:space="preserve">) </w:t>
      </w:r>
      <w:r w:rsidR="005344FA"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pl-PL" w:eastAsia="fr-FR"/>
        </w:rPr>
        <w:instrText xml:space="preserve"> ADDIN ZOTERO_ITEM CSL_CITATION {"citationID":"KPoz5mbA","properties":{"formattedCitation":"[7]","plainCitation":"[7]","noteIndex":0},"citationItems":[{"id":11589,"uris":["http://zotero.org/users/10348959/items/IRIRI6FT"],"itemData":{"id":11589,"type":"article-journal","abstract":"The microRNA miR-96 is important for hearing, as point mutations in humans and mice result in dominant progressive hearing loss. Mir96 is expressed in sensory cells along with Mir182 and Mir183, but the roles of these closely-linked microRNAs are as yet unknown. Here, we analyse mice carrying null alleles of Mir182, and of Mir183 and Mir96 together to investigate their roles in hearing. We found that Mir183/96 heterozygous mice had normal hearing and homozygotes were completely deaf with abnormal hair cell stereocilia bundles and reduced numbers of inner hair cell synapses at 4 weeks of age. Mir182 knockout mice developed normal hearing then exhibited progressive hearing loss. Our transcriptional analyses revealed significant changes in a range of other genes, but surprisingly there were few</w:instrText>
      </w:r>
      <w:r w:rsidR="007B64C1" w:rsidRPr="00A72013">
        <w:rPr>
          <w:rFonts w:asciiTheme="majorBidi" w:eastAsia="Times New Roman" w:hAnsiTheme="majorBidi" w:cstheme="majorBidi"/>
          <w:color w:val="000000" w:themeColor="text1"/>
          <w:sz w:val="24"/>
          <w:szCs w:val="24"/>
          <w:lang w:val="en-US" w:eastAsia="fr-FR"/>
        </w:rPr>
        <w:instrText xml:space="preserve">er genes with altered expression in the organ of Corti of Mir183/96 null mice compared with our previous findings in Mir96Dmdo mutants, which have a point mutation in the miR-96 seed region. This suggests that the more-severe phenotype of Mir96Dmdo mutants compared with Mir183/96 mutants, including progressive hearing loss in Mir96Dmdo heterozygotes, is likely to be mediated by the gain of novel target genes in addition to the loss of its normal targets. We propose three mechanisms of action of mutant miRNAs: loss of targets that are normally completely repressed, loss of targets for which transcription is normally buffered by the miRNA, and gain of novel targets. Any of these mechanisms could lead to a partial loss of a robust cellular identity and consequent dysfunction.","container-title":"Disease Models &amp; Mechanisms","DOI":"10.1242/dmm.047225","ISSN":"1754-8403","issue":"2","journalAbbreviation":"Disease Models &amp; Mechanisms","page":"dmm047225","source":"Silverchair","title":"Hearing impairment due to Mir183/96/182 mutations suggests both loss-of-function and gain-of-function effects","volume":"14","author":[{"family":"Lewis","given":"Morag A."},{"family":"Di Domenico","given":"Francesca"},{"family":"Ingham","given":"Neil J."},{"family":"Prosser","given":"Haydn M."},{"family":"Steel","given":"Karen P."}],"issued":{"date-parts":[["2021",2,14]]},"citation-key":"lewis_hearing_2021"}}],"schema":"https://github.com/citation-style-language/schema/raw/master/csl-citation.json"} </w:instrText>
      </w:r>
      <w:r w:rsidR="005344FA"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lang w:val="en-US"/>
        </w:rPr>
        <w:t>[7]</w:t>
      </w:r>
      <w:r w:rsidR="005344FA" w:rsidRPr="00A72013">
        <w:rPr>
          <w:rFonts w:asciiTheme="majorBidi" w:eastAsia="Times New Roman" w:hAnsiTheme="majorBidi" w:cstheme="majorBidi"/>
          <w:color w:val="000000" w:themeColor="text1"/>
          <w:sz w:val="24"/>
          <w:szCs w:val="24"/>
          <w:lang w:val="en-US" w:eastAsia="fr-FR"/>
        </w:rPr>
        <w:fldChar w:fldCharType="end"/>
      </w:r>
      <w:r w:rsidR="005344FA" w:rsidRPr="00A72013">
        <w:rPr>
          <w:rFonts w:asciiTheme="majorBidi" w:eastAsia="Times New Roman" w:hAnsiTheme="majorBidi" w:cstheme="majorBidi"/>
          <w:color w:val="000000" w:themeColor="text1"/>
          <w:sz w:val="24"/>
          <w:szCs w:val="24"/>
          <w:lang w:val="en-US" w:eastAsia="fr-FR"/>
        </w:rPr>
        <w:t xml:space="preserve">, CELSR2, ODF2 and RYK </w:t>
      </w:r>
      <w:r w:rsidR="007B64C1"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en-US" w:eastAsia="fr-FR"/>
        </w:rPr>
        <w:instrText xml:space="preserve"> ADDIN ZOTERO_ITEM CSL_CITATION {"citationID":"kmOGGkA2","properties":{"formattedCitation":"[8]","plainCitation":"[8]","noteIndex":0},"citationItems":[{"id":11592,"uris":["http://zotero.org/users/10348959/items/MDWZTJ7V"],"itemData":{"id":11592,"type":"article-journal","abstract":"Karen Steel and colleagues report that the mouse diminuendo mutant, which shows progressive hearing loss, carries a mutation in the seed region of mouse miR-96. In an accompanying paper, Miguel Moreno-Pelayo and colleagues report similar mutations in the seed region of human miR-96 segregating with progressive hearing loss in two families.","container-title":"Nature Genetics","DOI":"10.1038/ng.369","ISSN":"1546-1718","issue":"5","journalAbbreviation":"Nat Genet","language":"en","license":"2009 Springer Nature America, Inc.","note":"publisher: Nature Publishing Group","page":"614-618","source":"www-nature-com.insb.bib.cnrs.fr","title":"An ENU-induced mutation of miR-96 associated with progressive hearing loss in mice","volume":"41","author":[{"family":"Lewis","given":"Morag A."},{"family":"Quint","given":"Elizabeth"},{"family":"Glazier","given":"Anne M."},{"family":"Fuchs","given":"Helmut"},{"family":"De Angelis","given":"Martin Hrabé"},{"family":"Langford","given":"Cordelia"},{"family":"Dongen","given":"Stijn","non-dropping-particle":"van"},{"family":"Abreu-Goodger","given":"Cei"},{"family":"Piipari","given":"Matias"},{"family":"Redshaw","given":"Nick"},{"family":"Dalmay","given":"Tamas"},{"family":"Moreno-Pelayo","given":"Miguel Angel"},{"family":"Enright","given":"Anton J."},{"family":"Steel","given":"Karen P."}],"issued":{"date-parts":[["2009",5]]},"citation-key":"lewis_enu-induced_2009"}}],"schema":"https://github.com/citation-style-language/schema/raw/master/csl-citation.json"} </w:instrText>
      </w:r>
      <w:r w:rsidR="007B64C1"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lang w:val="en-US"/>
        </w:rPr>
        <w:t>[8]</w:t>
      </w:r>
      <w:r w:rsidR="007B64C1" w:rsidRPr="00A72013">
        <w:rPr>
          <w:rFonts w:asciiTheme="majorBidi" w:eastAsia="Times New Roman" w:hAnsiTheme="majorBidi" w:cstheme="majorBidi"/>
          <w:color w:val="000000" w:themeColor="text1"/>
          <w:sz w:val="24"/>
          <w:szCs w:val="24"/>
          <w:lang w:val="en-US" w:eastAsia="fr-FR"/>
        </w:rPr>
        <w:fldChar w:fldCharType="end"/>
      </w:r>
      <w:r w:rsidR="007B64C1" w:rsidRPr="00A72013">
        <w:rPr>
          <w:rFonts w:asciiTheme="majorBidi" w:eastAsia="Times New Roman" w:hAnsiTheme="majorBidi" w:cstheme="majorBidi"/>
          <w:color w:val="000000" w:themeColor="text1"/>
          <w:sz w:val="24"/>
          <w:szCs w:val="24"/>
          <w:lang w:val="en-US" w:eastAsia="fr-FR"/>
        </w:rPr>
        <w:t xml:space="preserve">. A further search with PubMed indicated as additional targets RARG </w:t>
      </w:r>
      <w:r w:rsidR="007B64C1" w:rsidRPr="00A72013">
        <w:rPr>
          <w:rFonts w:asciiTheme="majorBidi" w:eastAsia="Times New Roman" w:hAnsiTheme="majorBidi" w:cstheme="majorBidi"/>
          <w:color w:val="000000" w:themeColor="text1"/>
          <w:sz w:val="24"/>
          <w:szCs w:val="24"/>
          <w:lang w:val="en-US" w:eastAsia="fr-FR"/>
        </w:rPr>
        <w:fldChar w:fldCharType="begin"/>
      </w:r>
      <w:r w:rsidR="007B64C1" w:rsidRPr="00A72013">
        <w:rPr>
          <w:rFonts w:asciiTheme="majorBidi" w:eastAsia="Times New Roman" w:hAnsiTheme="majorBidi" w:cstheme="majorBidi"/>
          <w:color w:val="000000" w:themeColor="text1"/>
          <w:sz w:val="24"/>
          <w:szCs w:val="24"/>
          <w:lang w:val="en-US" w:eastAsia="fr-FR"/>
        </w:rPr>
        <w:instrText xml:space="preserve"> ADDIN ZOTERO_ITEM CSL_CITATION {"citationID":"umy4DSsE","properties":{"formattedCitation":"[9]","plainCitation":"[9]","noteIndex":0},"citationItems":[{"id":11573,"uris":["http://zotero.org/users/10348959/items/9UEDBJ3B"],"itemData":{"id":11573,"type":"article-journal","abstract":"Expression levels of retinoic acid receptor gamma (NR1B3/RARG, encodes RARγ) are commonly reduced in prostate cancer (PCa). Therefore, we sought to establish the cellular and gene regulatory consequences of reduced RARγ expression, and determine RARγ regulatory mechanisms. RARG shRNA approaches in non-malignant (RWPE-1 and HPr1-AR) and malignant (LNCaP) prostate models revealed that reducing RARγ levels, rather than adding exogenous retinoid ligand, had the greatest impact on prostate cell viability and gene expression. ChIP-Seq defined the RARγ cistrome, which was significantly enriched at active enhancers associated with AR binding sites. Reflecting a significant genomic role for RARγ to regulate androgen signaling, RARγ knockdown in HPr1-AR cells significantly regulated the magnitude of the AR transcriptome. RARγ downregulation was explained by increased miR-96 in PCa cell and mouse models, and TCGA PCa cohorts. Biochemical approaches confirmed that miR-96 directly regulated RARγ expression and function. Capture of the miR-96 targetome by biotin-miR-96 identified that RARγ and a number of RARγ interacting co-factors including TACC1 were all targeted by miR-96, and expression of these genes were prominently altered, positively and negatively, in the TCGA-PRAD cohort. Differential gene expression analyses between tumors in the TCGA-PRAD cohort with lower quartile expression levels of RARG and TACC1 and upper quartile miR-96, compared to the reverse, identified a gene network including several RARγ target genes (e.g., SOX15) that significantly associated with worse disease-free survival (hazard ratio 2.23, 95% CI 1.58 to 2.88, p = 0.015). In summary, miR-96 targets a RARγ network to govern AR signaling, PCa progression and disease outcome.","container-title":"Oncogene","DOI":"10.1038/s41388-018-0450-6","ISSN":"1476-5594","issue":"3","journalAbbreviation":"Oncogene","language":"eng","note":"PMID: 30120411\nPMCID: PMC6336686","page":"421-444","source":"PubMed","title":"The miR-96 and RARγ signaling axis governs androgen signaling and prostate cancer progression","volume":"38","author":[{"family":"Long","given":"Mark D."},{"family":"Singh","given":"Prashant K."},{"family":"Russell","given":"James R."},{"family":"Llimos","given":"Gerard"},{"family":"Rosario","given":"Spencer"},{"family":"Rizvi","given":"Abbas"},{"family":"Berg","given":"Patrick R.","non-dropping-particle":"van den"},{"family":"Kirk","given":"Jason"},{"family":"Sucheston-Campbell","given":"Lara E."},{"family":"Smiraglia","given":"Dominic J."},{"family":"Campbell","given":"Moray J."}],"issued":{"date-parts":[["2019",1]]},"citation-key":"long_mir-96_2019"}}],"schema":"https://github.com/citation-style-language/schema/raw/master/csl-citation.json"} </w:instrText>
      </w:r>
      <w:r w:rsidR="007B64C1"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lang w:val="en-US"/>
        </w:rPr>
        <w:t>[9]</w:t>
      </w:r>
      <w:r w:rsidR="007B64C1" w:rsidRPr="00A72013">
        <w:rPr>
          <w:rFonts w:asciiTheme="majorBidi" w:eastAsia="Times New Roman" w:hAnsiTheme="majorBidi" w:cstheme="majorBidi"/>
          <w:color w:val="000000" w:themeColor="text1"/>
          <w:sz w:val="24"/>
          <w:szCs w:val="24"/>
          <w:lang w:val="en-US" w:eastAsia="fr-FR"/>
        </w:rPr>
        <w:fldChar w:fldCharType="end"/>
      </w:r>
      <w:r w:rsidR="007B64C1" w:rsidRPr="00A72013">
        <w:rPr>
          <w:rFonts w:asciiTheme="majorBidi" w:eastAsia="Times New Roman" w:hAnsiTheme="majorBidi" w:cstheme="majorBidi"/>
          <w:color w:val="000000" w:themeColor="text1"/>
          <w:sz w:val="24"/>
          <w:szCs w:val="24"/>
          <w:lang w:val="en-US" w:eastAsia="fr-FR"/>
        </w:rPr>
        <w:t xml:space="preserve">, </w:t>
      </w:r>
      <w:r w:rsidR="007B64C1" w:rsidRPr="00A72013">
        <w:rPr>
          <w:rFonts w:asciiTheme="majorBidi" w:hAnsiTheme="majorBidi" w:cstheme="majorBidi"/>
          <w:sz w:val="24"/>
          <w:szCs w:val="24"/>
          <w:lang w:val="en-US"/>
        </w:rPr>
        <w:t>AKT1, AKT2, AKT3,</w:t>
      </w:r>
      <w:r w:rsidR="007B64C1" w:rsidRPr="00A72013">
        <w:rPr>
          <w:rFonts w:asciiTheme="majorBidi" w:eastAsia="Times New Roman" w:hAnsiTheme="majorBidi" w:cstheme="majorBidi"/>
          <w:color w:val="000000" w:themeColor="text1"/>
          <w:sz w:val="24"/>
          <w:szCs w:val="24"/>
          <w:lang w:val="en-US" w:eastAsia="fr-FR"/>
        </w:rPr>
        <w:t xml:space="preserve"> EHD1, PAK1, </w:t>
      </w:r>
      <w:r w:rsidR="007B64C1" w:rsidRPr="00A72013">
        <w:rPr>
          <w:rFonts w:asciiTheme="majorBidi" w:hAnsiTheme="majorBidi" w:cstheme="majorBidi"/>
          <w:sz w:val="24"/>
          <w:szCs w:val="24"/>
          <w:lang w:val="en-US"/>
        </w:rPr>
        <w:t xml:space="preserve">PIK3R1, PRKCE, RAB1A and SNAP23 </w:t>
      </w:r>
      <w:r w:rsidR="007B64C1" w:rsidRPr="00A72013">
        <w:rPr>
          <w:rFonts w:asciiTheme="majorBidi" w:hAnsiTheme="majorBidi" w:cstheme="majorBidi"/>
          <w:sz w:val="24"/>
          <w:szCs w:val="24"/>
          <w:lang w:val="en-US"/>
        </w:rPr>
        <w:fldChar w:fldCharType="begin"/>
      </w:r>
      <w:r w:rsidR="007B64C1" w:rsidRPr="00A72013">
        <w:rPr>
          <w:rFonts w:asciiTheme="majorBidi" w:hAnsiTheme="majorBidi" w:cstheme="majorBidi"/>
          <w:sz w:val="24"/>
          <w:szCs w:val="24"/>
          <w:lang w:val="en-US"/>
        </w:rPr>
        <w:instrText xml:space="preserve"> ADDIN ZOTERO_ITEM CSL_CITATION {"citationID":"oqLdv2GC","properties":{"formattedCitation":"[10]","plainCitation":"[10]","noteIndex":0},"citationItems":[{"id":11576,"uris":["http://zotero.org/users/10348959/items/RKLA28U2"],"itemData":{"id":11576,"type":"article-journal","abstract":"BACKGROUND: miR-96-5p is a highly expressed microRNA in the retina of subjects with diabetes. The INS/AKT/GLUT4 signaling axis is the main cell signaling pathway of glucose uptake in cells. Here, we investigated the role of miR-96-5p in this signaling pathway.\nMETHODS: Expression levels of miR-96-5p and its target genes were measured under high glucose conditions, in the retina of streptozotocin-induced diabetic mice, in the retina of AAV-2-eGFP-miR-96 or GFP intravitreal injected mice and in the retina of human donors with diabetic retinopathy (DR). MTT, wound healing, tube formation, Western blot, TUNEL, angiogenesis assays and hematoxylin-eosin staining of the retinal sections were performed.\nRESULTS: miR-96-5p expression was increased under high glucose conditions in mouse retinal pigment epithelial (mRPE) cells, in the retina of mice receiving AAV-2 carrying miR-96 and STZ-treated mice. Expression of the miR-96-5p target genes related to the INS/AKT/GLUT4 signaling pathway was reduced following miR-96-5p overexpression. mmu-miR-96-5p expression decreased cell proliferation and thicknesses of retinal layers. Cell migration, tube formation, vascular length, angiogenesis, and TUNEL-positive cells were increased.\nCONCLUSIONS: In in vitro and in vivo studies and in human retinal tissues, miR-96-5p regulated the expression of the PIK3R1, PRKCE, AKT1, AKT2, and AKT3 genes in the INS/AKT axis and some genes involved in GLUT4 trafficking, such as Pak1, Snap23, RAB2a, and Ehd1. Because disruption of the INS/AKT/GLUT4 signaling axis causes advanced glycation end product accumulation and inflammatory responses, the inhibition of miR-96-5p expression could ameliorate DR.","container-title":"Heliyon","DOI":"10.1016/j.heliyon.2023.e15539","ISSN":"2405-8440","issue":"5","journalAbbreviation":"Heliyon","language":"eng","note":"PMID: 37180885\nPMCID: PMC10172874","page":"e15539","source":"PubMed","title":"microRNA-96 targets the INS/AKT/GLUT4 signaling axis: Association with and effect on diabetic retinopathy","title-short":"microRNA-96 targets the INS/AKT/GLUT4 signaling axis","volume":"9","author":[{"family":"Zolfaghari","given":"Narges"},{"family":"Soheili","given":"Zahra-Soheila"},{"family":"Samiei","given":"Shahram"},{"family":"Latifi-Navid","given":"Hamid"},{"family":"Hafezi-Moghadam","given":"Ali"},{"family":"Ahmadieh","given":"Hamid"},{"family":"Rezaei-Kanavi","given":"Mozhgan"}],"issued":{"date-parts":[["2023",5]]},"citation-key":"zolfaghari_microrna-96_2023"}}],"schema":"https://github.com/citation-style-language/schema/raw/master/csl-citation.json"} </w:instrText>
      </w:r>
      <w:r w:rsidR="007B64C1" w:rsidRPr="00A72013">
        <w:rPr>
          <w:rFonts w:asciiTheme="majorBidi" w:hAnsiTheme="majorBidi" w:cstheme="majorBidi"/>
          <w:sz w:val="24"/>
          <w:szCs w:val="24"/>
          <w:lang w:val="en-US"/>
        </w:rPr>
        <w:fldChar w:fldCharType="separate"/>
      </w:r>
      <w:r w:rsidR="007B64C1" w:rsidRPr="00A72013">
        <w:rPr>
          <w:rFonts w:asciiTheme="majorBidi" w:hAnsiTheme="majorBidi" w:cstheme="majorBidi"/>
          <w:sz w:val="24"/>
          <w:szCs w:val="24"/>
          <w:lang w:val="en-US"/>
        </w:rPr>
        <w:t>[10]</w:t>
      </w:r>
      <w:r w:rsidR="007B64C1" w:rsidRPr="00A72013">
        <w:rPr>
          <w:rFonts w:asciiTheme="majorBidi" w:hAnsiTheme="majorBidi" w:cstheme="majorBidi"/>
          <w:sz w:val="24"/>
          <w:szCs w:val="24"/>
          <w:lang w:val="en-US"/>
        </w:rPr>
        <w:fldChar w:fldCharType="end"/>
      </w:r>
      <w:r w:rsidR="007B64C1" w:rsidRPr="00A72013">
        <w:rPr>
          <w:rFonts w:asciiTheme="majorBidi" w:hAnsiTheme="majorBidi" w:cstheme="majorBidi"/>
          <w:sz w:val="24"/>
          <w:szCs w:val="24"/>
          <w:lang w:val="en-US"/>
        </w:rPr>
        <w:t xml:space="preserve">, FRS2 </w:t>
      </w:r>
      <w:r w:rsidR="007B64C1" w:rsidRPr="00A72013">
        <w:rPr>
          <w:rFonts w:asciiTheme="majorBidi" w:hAnsiTheme="majorBidi" w:cstheme="majorBidi"/>
          <w:sz w:val="24"/>
          <w:szCs w:val="24"/>
          <w:lang w:val="en-US"/>
        </w:rPr>
        <w:fldChar w:fldCharType="begin"/>
      </w:r>
      <w:r w:rsidR="007B64C1" w:rsidRPr="00A72013">
        <w:rPr>
          <w:rFonts w:asciiTheme="majorBidi" w:hAnsiTheme="majorBidi" w:cstheme="majorBidi"/>
          <w:sz w:val="24"/>
          <w:szCs w:val="24"/>
          <w:lang w:val="en-US"/>
        </w:rPr>
        <w:instrText xml:space="preserve"> ADDIN ZOTERO_ITEM CSL_CITATION {"citationID":"t4pG946O","properties":{"formattedCitation":"[11]","plainCitation":"[11]","noteIndex":0},"citationItems":[{"id":11594,"uris":["http://zotero.org/users/10348959/items/PZEXTW7W"],"itemData":{"id":11594,"type":"article-journal","abstract":"This study aimed to investigate the molecular mechanism by which microRNA (miR)-96 regulates the progression of intervertebral disc degeneration (IDD). The expression of miR-96 in normal intervertebral discs and in IDD was detected by performing reverse transcription-quantitative PCR. CCK8 assay was applied to examine the proliferation of nucleus pulpous (NP) cells and flow cytometry was used to evaluate the cell apoptosis and cell cycle profile. In addition, the immunofluorescence analysis was employed to detect cell proliferation. The expressions of proteins were assessed by western blot analysis. TargetScan and miRDB were used to predict the target genes of miR-96. The results indicated that miR-96 expression was upregulated in IDD compared with normal intervertebral discs. Overexpression of miR-96 could significantly inhibit the proliferation of NP cells via inducing apoptosis and G1 arrest. In addition, fibroblast growth factor receptor substrate 2 (FRS2) was identified as the target of miR-96 and overexpression of FRS2 could revere the effect of miR-96 mimics in NP cells. Therefore, these findings demonstrated that miR-96 plays a critical role during the progression of IDD and miR-96 may serve as a target for the treatment of IDD.","container-title":"Human Cell","DOI":"10.1007/s13577-020-00389-9","ISSN":"1749-0774","issue":"4","journalAbbreviation":"Human Cell","language":"en","page":"1017-1025","source":"Springer Link","title":"MiR-96 promotes apoptosis of nucleus pulpous cells by targeting FRS2","volume":"33","author":[{"family":"Yang","given":"Xiaoxia"},{"family":"Liu","given":"Hengping"},{"family":"Zhang","given":"Qingfeng"},{"family":"Liu","given":"Kan"},{"family":"Yu","given":"Dong"},{"family":"Zhang","given":"Yi"},{"family":"Shi","given":"Zongting"}],"issued":{"date-parts":[["2020",10,1]]},"citation-key":"yang_mir-96_2020"}}],"schema":"https://github.com/citation-style-language/schema/raw/master/csl-citation.json"} </w:instrText>
      </w:r>
      <w:r w:rsidR="007B64C1" w:rsidRPr="00A72013">
        <w:rPr>
          <w:rFonts w:asciiTheme="majorBidi" w:hAnsiTheme="majorBidi" w:cstheme="majorBidi"/>
          <w:sz w:val="24"/>
          <w:szCs w:val="24"/>
          <w:lang w:val="en-US"/>
        </w:rPr>
        <w:fldChar w:fldCharType="separate"/>
      </w:r>
      <w:r w:rsidR="007B64C1" w:rsidRPr="00A72013">
        <w:rPr>
          <w:rFonts w:asciiTheme="majorBidi" w:hAnsiTheme="majorBidi" w:cstheme="majorBidi"/>
          <w:sz w:val="24"/>
          <w:szCs w:val="24"/>
          <w:lang w:val="en-US"/>
        </w:rPr>
        <w:t>[11]</w:t>
      </w:r>
      <w:r w:rsidR="007B64C1" w:rsidRPr="00A72013">
        <w:rPr>
          <w:rFonts w:asciiTheme="majorBidi" w:hAnsiTheme="majorBidi" w:cstheme="majorBidi"/>
          <w:sz w:val="24"/>
          <w:szCs w:val="24"/>
          <w:lang w:val="en-US"/>
        </w:rPr>
        <w:fldChar w:fldCharType="end"/>
      </w:r>
      <w:r w:rsidR="007B64C1" w:rsidRPr="00A72013">
        <w:rPr>
          <w:rFonts w:asciiTheme="majorBidi" w:hAnsiTheme="majorBidi" w:cstheme="majorBidi"/>
          <w:sz w:val="24"/>
          <w:szCs w:val="24"/>
          <w:lang w:val="en-US"/>
        </w:rPr>
        <w:t xml:space="preserve">, PTEN </w:t>
      </w:r>
      <w:r w:rsidR="007B64C1" w:rsidRPr="00A72013">
        <w:rPr>
          <w:rFonts w:asciiTheme="majorBidi" w:hAnsiTheme="majorBidi" w:cstheme="majorBidi"/>
          <w:sz w:val="24"/>
          <w:szCs w:val="24"/>
          <w:lang w:val="en-US"/>
        </w:rPr>
        <w:fldChar w:fldCharType="begin"/>
      </w:r>
      <w:r w:rsidR="007B64C1" w:rsidRPr="00A72013">
        <w:rPr>
          <w:rFonts w:asciiTheme="majorBidi" w:hAnsiTheme="majorBidi" w:cstheme="majorBidi"/>
          <w:sz w:val="24"/>
          <w:szCs w:val="24"/>
          <w:lang w:val="en-US"/>
        </w:rPr>
        <w:instrText xml:space="preserve"> ADDIN ZOTERO_ITEM CSL_CITATION {"citationID":"RRsrzMOh","properties":{"formattedCitation":"[12]","plainCitation":"[12]","noteIndex":0},"citationItems":[{"id":11595,"uris":["http://zotero.org/users/10348959/items/5BYVB8ZX"],"itemData":{"id":11595,"type":"article-journal","abstract":"A multiple receptor tyrosine kinase inhibitor, sunitinib, is a first-line therapy for clear cell renal cell carcinoma (CCRCC). Unfortunately, it has the major challenges of low initial response rate and resistance after about one year of treatment. Here we evaluated a microRNA (miRNA) and its target responsible for sunitinib resistance. Using miRNA profiling, we identified miR-96-5p upregulation in tumors from sunitinib-resistant CCRCC patients. By bioinformatic analysis, PTEN was selected as a potential target of miR-96-5p, which showed low levels in tumors from sunitinib-resistant CCRCC patients. Furthermore, PTEN and miR-96-5p levels were negatively correlated in a large The Cancer Genome Atlas kidney renal clear cell carcinoma cohort and high miR-96 and low PTEN represented poor prognosis in this cohort. Additionally, four-week sunitinib treatment increased miR-96-5p and decreased PTEN only in tumors from a sunitinib-resistant patient-derived xenograft model. We found a novel miR-96-5p binding site in the PTEN 3′ UTR and confirmed direct repression by luciferase reporter assay. Furthermore, we demonstrated that repression of PTEN by miR-96-5p increased cell proliferation and migration in sunitinib-treated cell lines. These results highlight the direct suppression of PTEN by miR-96-5p and that high miR-96-5p and low PTEN are partially responsible for sunitinib resistance and poor prognosis in CCRCC.","container-title":"Scientific Reports","DOI":"10.1038/s41598-022-07468-x","ISSN":"2045-2322","issue":"1","journalAbbreviation":"Sci Rep","language":"en","license":"2022 The Author(s)","note":"publisher: Nature Publishing Group","page":"3537","source":"www-nature-com.insb.bib.cnrs.fr","title":"miR-96-5p targets PTEN to mediate sunitinib resistance in clear cell renal cell carcinoma","volume":"12","author":[{"family":"Park","given":"Sang Eun"},{"family":"Kim","given":"Wonju"},{"family":"Hong","given":"Ji-Ye"},{"family":"Kang","given":"Dayeon"},{"family":"Park","given":"Seulki"},{"family":"Suh","given":"Jungyo"},{"family":"You","given":"Dalsan"},{"family":"Park","given":"Yun-Yong"},{"family":"Suh","given":"Nayoung"},{"family":"Hwang","given":"Jung Jin"},{"family":"Kim","given":"Choung-Soo"}],"issued":{"date-parts":[["2022",3,3]]},"citation-key":"park_mir-96-5p_2022"}}],"schema":"https://github.com/citation-style-language/schema/raw/master/csl-citation.json"} </w:instrText>
      </w:r>
      <w:r w:rsidR="007B64C1" w:rsidRPr="00A72013">
        <w:rPr>
          <w:rFonts w:asciiTheme="majorBidi" w:hAnsiTheme="majorBidi" w:cstheme="majorBidi"/>
          <w:sz w:val="24"/>
          <w:szCs w:val="24"/>
          <w:lang w:val="en-US"/>
        </w:rPr>
        <w:fldChar w:fldCharType="separate"/>
      </w:r>
      <w:r w:rsidR="007B64C1" w:rsidRPr="00A72013">
        <w:rPr>
          <w:rFonts w:asciiTheme="majorBidi" w:hAnsiTheme="majorBidi" w:cstheme="majorBidi"/>
          <w:sz w:val="24"/>
          <w:szCs w:val="24"/>
          <w:lang w:val="en-US"/>
        </w:rPr>
        <w:t>[12]</w:t>
      </w:r>
      <w:r w:rsidR="007B64C1" w:rsidRPr="00A72013">
        <w:rPr>
          <w:rFonts w:asciiTheme="majorBidi" w:hAnsiTheme="majorBidi" w:cstheme="majorBidi"/>
          <w:sz w:val="24"/>
          <w:szCs w:val="24"/>
          <w:lang w:val="en-US"/>
        </w:rPr>
        <w:fldChar w:fldCharType="end"/>
      </w:r>
      <w:r w:rsidR="007B64C1" w:rsidRPr="00A72013">
        <w:rPr>
          <w:rFonts w:asciiTheme="majorBidi" w:hAnsiTheme="majorBidi" w:cstheme="majorBidi"/>
          <w:sz w:val="24"/>
          <w:szCs w:val="24"/>
          <w:lang w:val="en-US"/>
        </w:rPr>
        <w:t xml:space="preserve"> and PTPN9 </w:t>
      </w:r>
      <w:r w:rsidR="007B64C1" w:rsidRPr="00A72013">
        <w:rPr>
          <w:rFonts w:asciiTheme="majorBidi" w:hAnsiTheme="majorBidi" w:cstheme="majorBidi"/>
          <w:sz w:val="24"/>
          <w:szCs w:val="24"/>
          <w:lang w:val="en-US"/>
        </w:rPr>
        <w:fldChar w:fldCharType="begin"/>
      </w:r>
      <w:r w:rsidR="007B64C1" w:rsidRPr="00A72013">
        <w:rPr>
          <w:rFonts w:asciiTheme="majorBidi" w:hAnsiTheme="majorBidi" w:cstheme="majorBidi"/>
          <w:sz w:val="24"/>
          <w:szCs w:val="24"/>
          <w:lang w:val="en-US"/>
        </w:rPr>
        <w:instrText xml:space="preserve"> ADDIN ZOTERO_ITEM CSL_CITATION {"citationID":"B8JvL6Eb","properties":{"formattedCitation":"[13]","plainCitation":"[13]","noteIndex":0},"citationItems":[{"id":11597,"uris":["http://zotero.org/users/10348959/items/JW27C337"],"itemData":{"id":11597,"type":"article-journal","abstract":"microRNAs (miRNAs) have emerged as major regulators of the initiation and progression of human cancers, including breast cancer. The aim of this study is to determine the expression pattern of miR-96 in breast cancer and to investigate its biological role during tumorigenesis. We showed that miR-96 was significantly upregulated in breast cancer. We then investigated its function and found that miR-96 significantly promoted cell proliferation, migration and invasion in vitro and enhanced tumor growth in vivo. Furthermore, we explored the molecular mechanisms by which miR-96 contributes to breast cancer progression and identified PTPN9 (protein tyrosine phosphatase, non-receptor type 9) as a direct target gene of miR-96. Finally, we showed that PTPN9 had opposite effects to those of miR-96 on breast cancer cells, suggesting that miR-96 may promote breast tumorigenesis by silencing PTPN9. Taken together, this study highlights an important role for miR-96 in the regulation of PTPN9 in breast cancer cells and may provide insight into the molecular mechanisms of breast carcinogenesis.","container-title":"Scientific Reports","DOI":"10.1038/srep37421","ISSN":"2045-2322","issue":"1","journalAbbreviation":"Sci Rep","language":"en","license":"2016 The Author(s)","note":"publisher: Nature Publishing Group","page":"37421","source":"www-nature-com.insb.bib.cnrs.fr","title":"miR-96 promotes cell proliferation, migration and invasion by targeting PTPN9 in breast cancer","volume":"6","author":[{"family":"Hong","given":"Yeting"},{"family":"Liang","given":"Hongwei"},{"family":"Uzair-ur-Rehman","given":""},{"family":"Wang","given":"Yanbo"},{"family":"Zhang","given":"Weijie"},{"family":"Zhou","given":"Yong"},{"family":"Chen","given":"Song’an"},{"family":"Yu","given":"Mengchao"},{"family":"Cui","given":"Sufang"},{"family":"Liu","given":"Minghui"},{"family":"Wang","given":"Nan"},{"family":"Ye","given":"Chao"},{"family":"Zhao","given":"Chihao"},{"family":"Liu","given":"Yanqing"},{"family":"Fan","given":"Qian"},{"family":"Zhang","given":"Chen-Yu"},{"family":"Sang","given":"Jianfeng"},{"family":"Zen","given":"Ke"},{"family":"Chen","given":"Xi"}],"issued":{"date-parts":[["2016",11,18]]},"citation-key":"hong_mir-96_2016"}}],"schema":"https://github.com/citation-style-language/schema/raw/master/csl-citation.json"} </w:instrText>
      </w:r>
      <w:r w:rsidR="007B64C1" w:rsidRPr="00A72013">
        <w:rPr>
          <w:rFonts w:asciiTheme="majorBidi" w:hAnsiTheme="majorBidi" w:cstheme="majorBidi"/>
          <w:sz w:val="24"/>
          <w:szCs w:val="24"/>
          <w:lang w:val="en-US"/>
        </w:rPr>
        <w:fldChar w:fldCharType="separate"/>
      </w:r>
      <w:r w:rsidR="007B64C1" w:rsidRPr="00A72013">
        <w:rPr>
          <w:rFonts w:asciiTheme="majorBidi" w:hAnsiTheme="majorBidi" w:cstheme="majorBidi"/>
          <w:sz w:val="24"/>
          <w:szCs w:val="24"/>
          <w:lang w:val="en-US"/>
        </w:rPr>
        <w:t>[13]</w:t>
      </w:r>
      <w:r w:rsidR="007B64C1" w:rsidRPr="00A72013">
        <w:rPr>
          <w:rFonts w:asciiTheme="majorBidi" w:hAnsiTheme="majorBidi" w:cstheme="majorBidi"/>
          <w:sz w:val="24"/>
          <w:szCs w:val="24"/>
          <w:lang w:val="en-US"/>
        </w:rPr>
        <w:fldChar w:fldCharType="end"/>
      </w:r>
      <w:r w:rsidR="007B64C1" w:rsidRPr="00A72013">
        <w:rPr>
          <w:rFonts w:asciiTheme="majorBidi" w:hAnsiTheme="majorBidi" w:cstheme="majorBidi"/>
          <w:sz w:val="24"/>
          <w:szCs w:val="24"/>
          <w:lang w:val="en-US"/>
        </w:rPr>
        <w:t xml:space="preserve">. This list is not </w:t>
      </w:r>
      <w:proofErr w:type="gramStart"/>
      <w:r w:rsidR="007B64C1" w:rsidRPr="00A72013">
        <w:rPr>
          <w:rFonts w:asciiTheme="majorBidi" w:hAnsiTheme="majorBidi" w:cstheme="majorBidi"/>
          <w:sz w:val="24"/>
          <w:szCs w:val="24"/>
          <w:lang w:val="en-US"/>
        </w:rPr>
        <w:t>exhaustive, and</w:t>
      </w:r>
      <w:proofErr w:type="gramEnd"/>
      <w:r w:rsidR="007B64C1" w:rsidRPr="00A72013">
        <w:rPr>
          <w:rFonts w:asciiTheme="majorBidi" w:hAnsiTheme="majorBidi" w:cstheme="majorBidi"/>
          <w:sz w:val="24"/>
          <w:szCs w:val="24"/>
          <w:lang w:val="en-US"/>
        </w:rPr>
        <w:t xml:space="preserve"> may contain indirect targets of either miR-184 or miR-96</w:t>
      </w:r>
      <w:r w:rsidR="00FD2BD9" w:rsidRPr="00A72013">
        <w:rPr>
          <w:rFonts w:asciiTheme="majorBidi" w:hAnsiTheme="majorBidi" w:cstheme="majorBidi"/>
          <w:sz w:val="24"/>
          <w:szCs w:val="24"/>
          <w:lang w:val="en-US"/>
        </w:rPr>
        <w:t>.</w:t>
      </w:r>
    </w:p>
    <w:p w14:paraId="142867AD" w14:textId="61AAE8E8" w:rsidR="002C3FD5" w:rsidRPr="00A72013" w:rsidRDefault="002C3FD5" w:rsidP="00E840E4">
      <w:pPr>
        <w:spacing w:after="0" w:line="240" w:lineRule="auto"/>
        <w:rPr>
          <w:rFonts w:asciiTheme="majorBidi" w:eastAsia="Times New Roman" w:hAnsiTheme="majorBidi" w:cstheme="majorBidi"/>
          <w:color w:val="000000" w:themeColor="text1"/>
          <w:sz w:val="24"/>
          <w:szCs w:val="24"/>
          <w:lang w:val="en-US" w:eastAsia="fr-FR"/>
        </w:rPr>
      </w:pPr>
    </w:p>
    <w:p w14:paraId="74B5F33B" w14:textId="3DCBE240" w:rsidR="00D75502" w:rsidRPr="00A72013" w:rsidRDefault="00A72013" w:rsidP="00E840E4">
      <w:pPr>
        <w:spacing w:after="0" w:line="240" w:lineRule="auto"/>
        <w:rPr>
          <w:rFonts w:asciiTheme="majorBidi" w:eastAsia="Times New Roman" w:hAnsiTheme="majorBidi" w:cstheme="majorBidi"/>
          <w:color w:val="000000" w:themeColor="text1"/>
          <w:sz w:val="24"/>
          <w:szCs w:val="24"/>
          <w:lang w:val="en-US" w:eastAsia="fr-FR"/>
        </w:rPr>
      </w:pPr>
      <w:r>
        <w:rPr>
          <w:rFonts w:asciiTheme="majorBidi" w:hAnsiTheme="majorBidi" w:cstheme="majorBidi"/>
          <w:sz w:val="24"/>
          <w:szCs w:val="24"/>
          <w:lang w:val="en-US"/>
        </w:rPr>
        <w:t>This</w:t>
      </w:r>
      <w:r w:rsidR="00D75502" w:rsidRPr="00A72013">
        <w:rPr>
          <w:rFonts w:asciiTheme="majorBidi" w:hAnsiTheme="majorBidi" w:cstheme="majorBidi"/>
          <w:sz w:val="24"/>
          <w:szCs w:val="24"/>
          <w:lang w:val="en-US"/>
        </w:rPr>
        <w:t xml:space="preserve"> did extend the size of the larger connected </w:t>
      </w:r>
      <w:proofErr w:type="gramStart"/>
      <w:r w:rsidR="00D75502" w:rsidRPr="00A72013">
        <w:rPr>
          <w:rFonts w:asciiTheme="majorBidi" w:hAnsiTheme="majorBidi" w:cstheme="majorBidi"/>
          <w:sz w:val="24"/>
          <w:szCs w:val="24"/>
          <w:lang w:val="en-US"/>
        </w:rPr>
        <w:t>cluster, but</w:t>
      </w:r>
      <w:proofErr w:type="gramEnd"/>
      <w:r w:rsidR="00D75502" w:rsidRPr="00A72013">
        <w:rPr>
          <w:rFonts w:asciiTheme="majorBidi" w:hAnsiTheme="majorBidi" w:cstheme="majorBidi"/>
          <w:sz w:val="24"/>
          <w:szCs w:val="24"/>
          <w:lang w:val="en-US"/>
        </w:rPr>
        <w:t xml:space="preserve"> had only a limited impact on the number of isolated genes: 12 of the established genes in both cases, 124 vs. 131 of the candidate genes with or without the inclusion of micro RNAs targets, respectively (Supplementary Figure </w:t>
      </w:r>
      <w:r w:rsidR="00C556AD">
        <w:rPr>
          <w:rFonts w:asciiTheme="majorBidi" w:hAnsiTheme="majorBidi" w:cstheme="majorBidi"/>
          <w:sz w:val="24"/>
          <w:szCs w:val="24"/>
          <w:lang w:val="en-US"/>
        </w:rPr>
        <w:t>1</w:t>
      </w:r>
      <w:r w:rsidR="00D75502" w:rsidRPr="00A72013">
        <w:rPr>
          <w:rFonts w:asciiTheme="majorBidi" w:hAnsiTheme="majorBidi" w:cstheme="majorBidi"/>
          <w:sz w:val="24"/>
          <w:szCs w:val="24"/>
          <w:lang w:val="en-US"/>
        </w:rPr>
        <w:t>)</w:t>
      </w:r>
      <w:r w:rsidR="00C556AD">
        <w:rPr>
          <w:rFonts w:asciiTheme="majorBidi" w:hAnsiTheme="majorBidi" w:cstheme="majorBidi"/>
          <w:sz w:val="24"/>
          <w:szCs w:val="24"/>
          <w:lang w:val="en-US"/>
        </w:rPr>
        <w:t>.</w:t>
      </w:r>
    </w:p>
    <w:p w14:paraId="71CE8127" w14:textId="77777777" w:rsidR="00D75502" w:rsidRPr="00A72013" w:rsidRDefault="00D75502" w:rsidP="00E840E4">
      <w:pPr>
        <w:spacing w:after="0" w:line="240" w:lineRule="auto"/>
        <w:rPr>
          <w:rFonts w:asciiTheme="majorBidi" w:eastAsia="Times New Roman" w:hAnsiTheme="majorBidi" w:cstheme="majorBidi"/>
          <w:color w:val="000000" w:themeColor="text1"/>
          <w:sz w:val="24"/>
          <w:szCs w:val="24"/>
          <w:lang w:val="en-US" w:eastAsia="fr-FR"/>
        </w:rPr>
      </w:pPr>
    </w:p>
    <w:p w14:paraId="6D1E069A" w14:textId="77777777" w:rsidR="007B64C1" w:rsidRPr="00A72013" w:rsidRDefault="00625652" w:rsidP="007B64C1">
      <w:pPr>
        <w:pStyle w:val="Bibliography"/>
        <w:rPr>
          <w:rFonts w:asciiTheme="majorBidi" w:hAnsiTheme="majorBidi" w:cstheme="majorBidi"/>
          <w:sz w:val="24"/>
          <w:szCs w:val="24"/>
          <w:lang w:val="en-US"/>
        </w:rPr>
      </w:pPr>
      <w:r w:rsidRPr="00A72013">
        <w:rPr>
          <w:rFonts w:asciiTheme="majorBidi" w:eastAsia="Times New Roman" w:hAnsiTheme="majorBidi" w:cstheme="majorBidi"/>
          <w:color w:val="000000" w:themeColor="text1"/>
          <w:sz w:val="24"/>
          <w:szCs w:val="24"/>
          <w:lang w:val="en-US" w:eastAsia="fr-FR"/>
        </w:rPr>
        <w:fldChar w:fldCharType="begin"/>
      </w:r>
      <w:r w:rsidRPr="00A72013">
        <w:rPr>
          <w:rFonts w:asciiTheme="majorBidi" w:eastAsia="Times New Roman" w:hAnsiTheme="majorBidi" w:cstheme="majorBidi"/>
          <w:color w:val="000000" w:themeColor="text1"/>
          <w:sz w:val="24"/>
          <w:szCs w:val="24"/>
          <w:lang w:val="en-US" w:eastAsia="fr-FR"/>
        </w:rPr>
        <w:instrText xml:space="preserve"> ADDIN ZOTERO_BIBL {"uncited":[],"omitted":[],"custom":[]} CSL_BIBLIOGRAPHY </w:instrText>
      </w:r>
      <w:r w:rsidRPr="00A72013">
        <w:rPr>
          <w:rFonts w:asciiTheme="majorBidi" w:eastAsia="Times New Roman" w:hAnsiTheme="majorBidi" w:cstheme="majorBidi"/>
          <w:color w:val="000000" w:themeColor="text1"/>
          <w:sz w:val="24"/>
          <w:szCs w:val="24"/>
          <w:lang w:val="en-US" w:eastAsia="fr-FR"/>
        </w:rPr>
        <w:fldChar w:fldCharType="separate"/>
      </w:r>
      <w:r w:rsidR="007B64C1" w:rsidRPr="00A72013">
        <w:rPr>
          <w:rFonts w:asciiTheme="majorBidi" w:hAnsiTheme="majorBidi" w:cstheme="majorBidi"/>
          <w:sz w:val="24"/>
          <w:szCs w:val="24"/>
          <w:lang w:val="en-US"/>
        </w:rPr>
        <w:t xml:space="preserve">1. Fattahi M, Rezaee D, Fakhari F, Najafi S, Aghaei-Zarch SM, Beyranvand P, et al. microRNA-184 in the landscape of human malignancies: a review to roles and clinical significance. Cell Death Discov. </w:t>
      </w:r>
      <w:proofErr w:type="gramStart"/>
      <w:r w:rsidR="007B64C1" w:rsidRPr="00A72013">
        <w:rPr>
          <w:rFonts w:asciiTheme="majorBidi" w:hAnsiTheme="majorBidi" w:cstheme="majorBidi"/>
          <w:sz w:val="24"/>
          <w:szCs w:val="24"/>
          <w:lang w:val="en-US"/>
        </w:rPr>
        <w:t>2023;9:1</w:t>
      </w:r>
      <w:proofErr w:type="gramEnd"/>
      <w:r w:rsidR="007B64C1" w:rsidRPr="00A72013">
        <w:rPr>
          <w:rFonts w:asciiTheme="majorBidi" w:hAnsiTheme="majorBidi" w:cstheme="majorBidi"/>
          <w:sz w:val="24"/>
          <w:szCs w:val="24"/>
          <w:lang w:val="en-US"/>
        </w:rPr>
        <w:t>–15.</w:t>
      </w:r>
    </w:p>
    <w:p w14:paraId="33F028F9"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en-US"/>
        </w:rPr>
        <w:t xml:space="preserve">2. Hughes AE, Bradley DT, Campbell M, Lechner J, Dash DP, Simpson DA, et al. Mutation altering the miR-184 seed region causes familial keratoconus with cataract. Am J Hum Genet. </w:t>
      </w:r>
      <w:proofErr w:type="gramStart"/>
      <w:r w:rsidRPr="00A72013">
        <w:rPr>
          <w:rFonts w:asciiTheme="majorBidi" w:hAnsiTheme="majorBidi" w:cstheme="majorBidi"/>
          <w:sz w:val="24"/>
          <w:szCs w:val="24"/>
          <w:lang w:val="en-US"/>
        </w:rPr>
        <w:t>2011;89:628</w:t>
      </w:r>
      <w:proofErr w:type="gramEnd"/>
      <w:r w:rsidRPr="00A72013">
        <w:rPr>
          <w:rFonts w:asciiTheme="majorBidi" w:hAnsiTheme="majorBidi" w:cstheme="majorBidi"/>
          <w:sz w:val="24"/>
          <w:szCs w:val="24"/>
          <w:lang w:val="en-US"/>
        </w:rPr>
        <w:t>–33.</w:t>
      </w:r>
    </w:p>
    <w:p w14:paraId="1F60A902"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en-US"/>
        </w:rPr>
        <w:t xml:space="preserve">3. Li J, Pan C, Tang C, Tan W, Zhang W, Guan J. miR-184 targets TP63 to block idiopathic pulmonary fibrosis by inhibiting proliferation and epithelial-mesenchymal transition of airway epithelial cells. Lab Invest. </w:t>
      </w:r>
      <w:proofErr w:type="gramStart"/>
      <w:r w:rsidRPr="00A72013">
        <w:rPr>
          <w:rFonts w:asciiTheme="majorBidi" w:hAnsiTheme="majorBidi" w:cstheme="majorBidi"/>
          <w:sz w:val="24"/>
          <w:szCs w:val="24"/>
          <w:lang w:val="en-US"/>
        </w:rPr>
        <w:t>2021;101:142</w:t>
      </w:r>
      <w:proofErr w:type="gramEnd"/>
      <w:r w:rsidRPr="00A72013">
        <w:rPr>
          <w:rFonts w:asciiTheme="majorBidi" w:hAnsiTheme="majorBidi" w:cstheme="majorBidi"/>
          <w:sz w:val="24"/>
          <w:szCs w:val="24"/>
          <w:lang w:val="en-US"/>
        </w:rPr>
        <w:t>–54.</w:t>
      </w:r>
    </w:p>
    <w:p w14:paraId="5A406F51"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en-US"/>
        </w:rPr>
        <w:t xml:space="preserve">4. Phua YW, Nguyen A, Roden DL, Elsworth B, Deng N, Nikolic I, et al. MicroRNA profiling of the pubertal mouse mammary gland identifies miR-184 as a candidate breast tumour suppressor gene. Breast Cancer Research. </w:t>
      </w:r>
      <w:proofErr w:type="gramStart"/>
      <w:r w:rsidRPr="00A72013">
        <w:rPr>
          <w:rFonts w:asciiTheme="majorBidi" w:hAnsiTheme="majorBidi" w:cstheme="majorBidi"/>
          <w:sz w:val="24"/>
          <w:szCs w:val="24"/>
          <w:lang w:val="en-US"/>
        </w:rPr>
        <w:t>2015;17:83</w:t>
      </w:r>
      <w:proofErr w:type="gramEnd"/>
      <w:r w:rsidRPr="00A72013">
        <w:rPr>
          <w:rFonts w:asciiTheme="majorBidi" w:hAnsiTheme="majorBidi" w:cstheme="majorBidi"/>
          <w:sz w:val="24"/>
          <w:szCs w:val="24"/>
          <w:lang w:val="en-US"/>
        </w:rPr>
        <w:t>.</w:t>
      </w:r>
    </w:p>
    <w:p w14:paraId="74FB5C1A" w14:textId="77777777" w:rsidR="007B64C1" w:rsidRPr="00A72013" w:rsidRDefault="007B64C1" w:rsidP="007B64C1">
      <w:pPr>
        <w:pStyle w:val="Bibliography"/>
        <w:rPr>
          <w:rFonts w:asciiTheme="majorBidi" w:hAnsiTheme="majorBidi" w:cstheme="majorBidi"/>
          <w:sz w:val="24"/>
          <w:szCs w:val="24"/>
          <w:lang w:val="it-IT"/>
        </w:rPr>
      </w:pPr>
      <w:r w:rsidRPr="00A72013">
        <w:rPr>
          <w:rFonts w:asciiTheme="majorBidi" w:hAnsiTheme="majorBidi" w:cstheme="majorBidi"/>
          <w:sz w:val="24"/>
          <w:szCs w:val="24"/>
          <w:lang w:val="en-US"/>
        </w:rPr>
        <w:t xml:space="preserve">5. Turovsky L, Kheshaiboun G, Yassen G, Nagosa S, Boyango I, Amitai-Lange A, et al. miR-184 represses </w:t>
      </w:r>
      <w:r w:rsidRPr="00A72013">
        <w:rPr>
          <w:rFonts w:asciiTheme="majorBidi" w:hAnsiTheme="majorBidi" w:cstheme="majorBidi"/>
          <w:sz w:val="24"/>
          <w:szCs w:val="24"/>
        </w:rPr>
        <w:t>β</w:t>
      </w:r>
      <w:r w:rsidRPr="00A72013">
        <w:rPr>
          <w:rFonts w:asciiTheme="majorBidi" w:hAnsiTheme="majorBidi" w:cstheme="majorBidi"/>
          <w:sz w:val="24"/>
          <w:szCs w:val="24"/>
          <w:lang w:val="en-US"/>
        </w:rPr>
        <w:t xml:space="preserve">-catenin and behaves as a skin tumor suppressor. </w:t>
      </w:r>
      <w:r w:rsidRPr="00A72013">
        <w:rPr>
          <w:rFonts w:asciiTheme="majorBidi" w:hAnsiTheme="majorBidi" w:cstheme="majorBidi"/>
          <w:sz w:val="24"/>
          <w:szCs w:val="24"/>
          <w:lang w:val="it-IT"/>
        </w:rPr>
        <w:t xml:space="preserve">Cell Death </w:t>
      </w:r>
      <w:proofErr w:type="spellStart"/>
      <w:r w:rsidRPr="00A72013">
        <w:rPr>
          <w:rFonts w:asciiTheme="majorBidi" w:hAnsiTheme="majorBidi" w:cstheme="majorBidi"/>
          <w:sz w:val="24"/>
          <w:szCs w:val="24"/>
          <w:lang w:val="it-IT"/>
        </w:rPr>
        <w:t>Dis</w:t>
      </w:r>
      <w:proofErr w:type="spellEnd"/>
      <w:r w:rsidRPr="00A72013">
        <w:rPr>
          <w:rFonts w:asciiTheme="majorBidi" w:hAnsiTheme="majorBidi" w:cstheme="majorBidi"/>
          <w:sz w:val="24"/>
          <w:szCs w:val="24"/>
          <w:lang w:val="it-IT"/>
        </w:rPr>
        <w:t xml:space="preserve">. </w:t>
      </w:r>
      <w:proofErr w:type="gramStart"/>
      <w:r w:rsidRPr="00A72013">
        <w:rPr>
          <w:rFonts w:asciiTheme="majorBidi" w:hAnsiTheme="majorBidi" w:cstheme="majorBidi"/>
          <w:sz w:val="24"/>
          <w:szCs w:val="24"/>
          <w:lang w:val="it-IT"/>
        </w:rPr>
        <w:t>2024;15:1</w:t>
      </w:r>
      <w:proofErr w:type="gramEnd"/>
      <w:r w:rsidRPr="00A72013">
        <w:rPr>
          <w:rFonts w:asciiTheme="majorBidi" w:hAnsiTheme="majorBidi" w:cstheme="majorBidi"/>
          <w:sz w:val="24"/>
          <w:szCs w:val="24"/>
          <w:lang w:val="it-IT"/>
        </w:rPr>
        <w:t>–10.</w:t>
      </w:r>
    </w:p>
    <w:p w14:paraId="6A093DF0"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it-IT"/>
        </w:rPr>
        <w:t xml:space="preserve">6. </w:t>
      </w:r>
      <w:proofErr w:type="spellStart"/>
      <w:r w:rsidRPr="00A72013">
        <w:rPr>
          <w:rFonts w:asciiTheme="majorBidi" w:hAnsiTheme="majorBidi" w:cstheme="majorBidi"/>
          <w:sz w:val="24"/>
          <w:szCs w:val="24"/>
          <w:lang w:val="it-IT"/>
        </w:rPr>
        <w:t>Soldà</w:t>
      </w:r>
      <w:proofErr w:type="spellEnd"/>
      <w:r w:rsidRPr="00A72013">
        <w:rPr>
          <w:rFonts w:asciiTheme="majorBidi" w:hAnsiTheme="majorBidi" w:cstheme="majorBidi"/>
          <w:sz w:val="24"/>
          <w:szCs w:val="24"/>
          <w:lang w:val="it-IT"/>
        </w:rPr>
        <w:t xml:space="preserve"> G, Robusto M, </w:t>
      </w:r>
      <w:proofErr w:type="spellStart"/>
      <w:r w:rsidRPr="00A72013">
        <w:rPr>
          <w:rFonts w:asciiTheme="majorBidi" w:hAnsiTheme="majorBidi" w:cstheme="majorBidi"/>
          <w:sz w:val="24"/>
          <w:szCs w:val="24"/>
          <w:lang w:val="it-IT"/>
        </w:rPr>
        <w:t>Primignani</w:t>
      </w:r>
      <w:proofErr w:type="spellEnd"/>
      <w:r w:rsidRPr="00A72013">
        <w:rPr>
          <w:rFonts w:asciiTheme="majorBidi" w:hAnsiTheme="majorBidi" w:cstheme="majorBidi"/>
          <w:sz w:val="24"/>
          <w:szCs w:val="24"/>
          <w:lang w:val="it-IT"/>
        </w:rPr>
        <w:t xml:space="preserve"> P, Castorina P, Benzoni E, Cesarani A, et al. </w:t>
      </w:r>
      <w:r w:rsidRPr="00A72013">
        <w:rPr>
          <w:rFonts w:asciiTheme="majorBidi" w:hAnsiTheme="majorBidi" w:cstheme="majorBidi"/>
          <w:sz w:val="24"/>
          <w:szCs w:val="24"/>
          <w:lang w:val="en-US"/>
        </w:rPr>
        <w:t xml:space="preserve">A novel mutation within the MIR96 gene causes non-syndromic inherited hearing loss in an Italian family by altering pre-miRNA processing. Human Molecular Genetics. </w:t>
      </w:r>
      <w:proofErr w:type="gramStart"/>
      <w:r w:rsidRPr="00A72013">
        <w:rPr>
          <w:rFonts w:asciiTheme="majorBidi" w:hAnsiTheme="majorBidi" w:cstheme="majorBidi"/>
          <w:sz w:val="24"/>
          <w:szCs w:val="24"/>
          <w:lang w:val="en-US"/>
        </w:rPr>
        <w:t>2012;21:577</w:t>
      </w:r>
      <w:proofErr w:type="gramEnd"/>
      <w:r w:rsidRPr="00A72013">
        <w:rPr>
          <w:rFonts w:asciiTheme="majorBidi" w:hAnsiTheme="majorBidi" w:cstheme="majorBidi"/>
          <w:sz w:val="24"/>
          <w:szCs w:val="24"/>
          <w:lang w:val="en-US"/>
        </w:rPr>
        <w:t>–85.</w:t>
      </w:r>
    </w:p>
    <w:p w14:paraId="7F9A20FC"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en-US"/>
        </w:rPr>
        <w:t>7. Lewis MA, Di Domenico F, Ingham NJ, Prosser HM, Steel KP. Hearing impairment due to Mir183/96/182 mutations suggests both loss-of-function and gain-of-function effects. Disease Models &amp; Mechanisms. 2021;</w:t>
      </w:r>
      <w:proofErr w:type="gramStart"/>
      <w:r w:rsidRPr="00A72013">
        <w:rPr>
          <w:rFonts w:asciiTheme="majorBidi" w:hAnsiTheme="majorBidi" w:cstheme="majorBidi"/>
          <w:sz w:val="24"/>
          <w:szCs w:val="24"/>
          <w:lang w:val="en-US"/>
        </w:rPr>
        <w:t>14:dmm</w:t>
      </w:r>
      <w:proofErr w:type="gramEnd"/>
      <w:r w:rsidRPr="00A72013">
        <w:rPr>
          <w:rFonts w:asciiTheme="majorBidi" w:hAnsiTheme="majorBidi" w:cstheme="majorBidi"/>
          <w:sz w:val="24"/>
          <w:szCs w:val="24"/>
          <w:lang w:val="en-US"/>
        </w:rPr>
        <w:t>047225.</w:t>
      </w:r>
    </w:p>
    <w:p w14:paraId="56F06CF7"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en-US"/>
        </w:rPr>
        <w:lastRenderedPageBreak/>
        <w:t xml:space="preserve">8. Lewis MA, Quint E, Glazier AM, Fuchs H, De Angelis MH, Langford C, et al. An ENU-induced mutation of miR-96 associated with progressive hearing loss in mice. Nat Genet. </w:t>
      </w:r>
      <w:proofErr w:type="gramStart"/>
      <w:r w:rsidRPr="00A72013">
        <w:rPr>
          <w:rFonts w:asciiTheme="majorBidi" w:hAnsiTheme="majorBidi" w:cstheme="majorBidi"/>
          <w:sz w:val="24"/>
          <w:szCs w:val="24"/>
          <w:lang w:val="en-US"/>
        </w:rPr>
        <w:t>2009;41:614</w:t>
      </w:r>
      <w:proofErr w:type="gramEnd"/>
      <w:r w:rsidRPr="00A72013">
        <w:rPr>
          <w:rFonts w:asciiTheme="majorBidi" w:hAnsiTheme="majorBidi" w:cstheme="majorBidi"/>
          <w:sz w:val="24"/>
          <w:szCs w:val="24"/>
          <w:lang w:val="en-US"/>
        </w:rPr>
        <w:t>–8.</w:t>
      </w:r>
    </w:p>
    <w:p w14:paraId="60911EAA"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en-US"/>
        </w:rPr>
        <w:t>9. Long MD, Singh PK, Russell JR, Llimos G, Rosario S, Rizvi A, et al. The miR-96 and RAR</w:t>
      </w:r>
      <w:r w:rsidRPr="00A72013">
        <w:rPr>
          <w:rFonts w:asciiTheme="majorBidi" w:hAnsiTheme="majorBidi" w:cstheme="majorBidi"/>
          <w:sz w:val="24"/>
          <w:szCs w:val="24"/>
        </w:rPr>
        <w:t>γ</w:t>
      </w:r>
      <w:r w:rsidRPr="00A72013">
        <w:rPr>
          <w:rFonts w:asciiTheme="majorBidi" w:hAnsiTheme="majorBidi" w:cstheme="majorBidi"/>
          <w:sz w:val="24"/>
          <w:szCs w:val="24"/>
          <w:lang w:val="en-US"/>
        </w:rPr>
        <w:t xml:space="preserve"> signaling axis governs androgen signaling and prostate cancer progression. Oncogene. </w:t>
      </w:r>
      <w:proofErr w:type="gramStart"/>
      <w:r w:rsidRPr="00A72013">
        <w:rPr>
          <w:rFonts w:asciiTheme="majorBidi" w:hAnsiTheme="majorBidi" w:cstheme="majorBidi"/>
          <w:sz w:val="24"/>
          <w:szCs w:val="24"/>
          <w:lang w:val="en-US"/>
        </w:rPr>
        <w:t>2019;38:421</w:t>
      </w:r>
      <w:proofErr w:type="gramEnd"/>
      <w:r w:rsidRPr="00A72013">
        <w:rPr>
          <w:rFonts w:asciiTheme="majorBidi" w:hAnsiTheme="majorBidi" w:cstheme="majorBidi"/>
          <w:sz w:val="24"/>
          <w:szCs w:val="24"/>
          <w:lang w:val="en-US"/>
        </w:rPr>
        <w:t>–44.</w:t>
      </w:r>
    </w:p>
    <w:p w14:paraId="3A523EEB"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en-US"/>
        </w:rPr>
        <w:t xml:space="preserve">10. Zolfaghari N, Soheili Z-S, Samiei S, Latifi-Navid H, Hafezi-Moghadam A, Ahmadieh H, et al. microRNA-96 targets the INS/AKT/GLUT4 signaling axis: Association with and effect on diabetic retinopathy. </w:t>
      </w:r>
      <w:proofErr w:type="spellStart"/>
      <w:r w:rsidRPr="00A72013">
        <w:rPr>
          <w:rFonts w:asciiTheme="majorBidi" w:hAnsiTheme="majorBidi" w:cstheme="majorBidi"/>
          <w:sz w:val="24"/>
          <w:szCs w:val="24"/>
          <w:lang w:val="en-US"/>
        </w:rPr>
        <w:t>Heliyon</w:t>
      </w:r>
      <w:proofErr w:type="spellEnd"/>
      <w:r w:rsidRPr="00A72013">
        <w:rPr>
          <w:rFonts w:asciiTheme="majorBidi" w:hAnsiTheme="majorBidi" w:cstheme="majorBidi"/>
          <w:sz w:val="24"/>
          <w:szCs w:val="24"/>
          <w:lang w:val="en-US"/>
        </w:rPr>
        <w:t>. 2023;</w:t>
      </w:r>
      <w:proofErr w:type="gramStart"/>
      <w:r w:rsidRPr="00A72013">
        <w:rPr>
          <w:rFonts w:asciiTheme="majorBidi" w:hAnsiTheme="majorBidi" w:cstheme="majorBidi"/>
          <w:sz w:val="24"/>
          <w:szCs w:val="24"/>
          <w:lang w:val="en-US"/>
        </w:rPr>
        <w:t>9:e</w:t>
      </w:r>
      <w:proofErr w:type="gramEnd"/>
      <w:r w:rsidRPr="00A72013">
        <w:rPr>
          <w:rFonts w:asciiTheme="majorBidi" w:hAnsiTheme="majorBidi" w:cstheme="majorBidi"/>
          <w:sz w:val="24"/>
          <w:szCs w:val="24"/>
          <w:lang w:val="en-US"/>
        </w:rPr>
        <w:t>15539.</w:t>
      </w:r>
    </w:p>
    <w:p w14:paraId="00448B13"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en-US"/>
        </w:rPr>
        <w:t xml:space="preserve">11. Yang X, Liu H, Zhang Q, Liu K, Yu D, Zhang Y, et al. MiR-96 promotes apoptosis of nucleus pulpous cells by targeting FRS2. Human Cell. </w:t>
      </w:r>
      <w:proofErr w:type="gramStart"/>
      <w:r w:rsidRPr="00A72013">
        <w:rPr>
          <w:rFonts w:asciiTheme="majorBidi" w:hAnsiTheme="majorBidi" w:cstheme="majorBidi"/>
          <w:sz w:val="24"/>
          <w:szCs w:val="24"/>
          <w:lang w:val="en-US"/>
        </w:rPr>
        <w:t>2020;33:1017</w:t>
      </w:r>
      <w:proofErr w:type="gramEnd"/>
      <w:r w:rsidRPr="00A72013">
        <w:rPr>
          <w:rFonts w:asciiTheme="majorBidi" w:hAnsiTheme="majorBidi" w:cstheme="majorBidi"/>
          <w:sz w:val="24"/>
          <w:szCs w:val="24"/>
          <w:lang w:val="en-US"/>
        </w:rPr>
        <w:t>–25.</w:t>
      </w:r>
    </w:p>
    <w:p w14:paraId="6098193D" w14:textId="77777777" w:rsidR="007B64C1" w:rsidRPr="00A72013" w:rsidRDefault="007B64C1" w:rsidP="007B64C1">
      <w:pPr>
        <w:pStyle w:val="Bibliography"/>
        <w:rPr>
          <w:rFonts w:asciiTheme="majorBidi" w:hAnsiTheme="majorBidi" w:cstheme="majorBidi"/>
          <w:sz w:val="24"/>
          <w:szCs w:val="24"/>
          <w:lang w:val="en-US"/>
        </w:rPr>
      </w:pPr>
      <w:r w:rsidRPr="00A72013">
        <w:rPr>
          <w:rFonts w:asciiTheme="majorBidi" w:hAnsiTheme="majorBidi" w:cstheme="majorBidi"/>
          <w:sz w:val="24"/>
          <w:szCs w:val="24"/>
          <w:lang w:val="en-US"/>
        </w:rPr>
        <w:t xml:space="preserve">12. Park SE, Kim W, Hong J-Y, Kang D, Park S, Suh J, et al. miR-96-5p targets PTEN to mediate sunitinib resistance in clear cell renal cell carcinoma. Sci Rep. </w:t>
      </w:r>
      <w:proofErr w:type="gramStart"/>
      <w:r w:rsidRPr="00A72013">
        <w:rPr>
          <w:rFonts w:asciiTheme="majorBidi" w:hAnsiTheme="majorBidi" w:cstheme="majorBidi"/>
          <w:sz w:val="24"/>
          <w:szCs w:val="24"/>
          <w:lang w:val="en-US"/>
        </w:rPr>
        <w:t>2022;12:3537</w:t>
      </w:r>
      <w:proofErr w:type="gramEnd"/>
      <w:r w:rsidRPr="00A72013">
        <w:rPr>
          <w:rFonts w:asciiTheme="majorBidi" w:hAnsiTheme="majorBidi" w:cstheme="majorBidi"/>
          <w:sz w:val="24"/>
          <w:szCs w:val="24"/>
          <w:lang w:val="en-US"/>
        </w:rPr>
        <w:t>.</w:t>
      </w:r>
    </w:p>
    <w:p w14:paraId="460D21FC" w14:textId="77777777" w:rsidR="007B64C1" w:rsidRPr="00A72013" w:rsidRDefault="007B64C1" w:rsidP="007B64C1">
      <w:pPr>
        <w:pStyle w:val="Bibliography"/>
        <w:rPr>
          <w:rFonts w:asciiTheme="majorBidi" w:hAnsiTheme="majorBidi" w:cstheme="majorBidi"/>
          <w:sz w:val="24"/>
          <w:szCs w:val="24"/>
        </w:rPr>
      </w:pPr>
      <w:r w:rsidRPr="00A72013">
        <w:rPr>
          <w:rFonts w:asciiTheme="majorBidi" w:hAnsiTheme="majorBidi" w:cstheme="majorBidi"/>
          <w:sz w:val="24"/>
          <w:szCs w:val="24"/>
          <w:lang w:val="en-US"/>
        </w:rPr>
        <w:t xml:space="preserve">13. Hong Y, Liang H, Uzair-ur-Rehman, Wang Y, Zhang W, Zhou Y, et al. miR-96 promotes cell proliferation, </w:t>
      </w:r>
      <w:proofErr w:type="gramStart"/>
      <w:r w:rsidRPr="00A72013">
        <w:rPr>
          <w:rFonts w:asciiTheme="majorBidi" w:hAnsiTheme="majorBidi" w:cstheme="majorBidi"/>
          <w:sz w:val="24"/>
          <w:szCs w:val="24"/>
          <w:lang w:val="en-US"/>
        </w:rPr>
        <w:t>migration</w:t>
      </w:r>
      <w:proofErr w:type="gramEnd"/>
      <w:r w:rsidRPr="00A72013">
        <w:rPr>
          <w:rFonts w:asciiTheme="majorBidi" w:hAnsiTheme="majorBidi" w:cstheme="majorBidi"/>
          <w:sz w:val="24"/>
          <w:szCs w:val="24"/>
          <w:lang w:val="en-US"/>
        </w:rPr>
        <w:t xml:space="preserve"> and invasion by targeting PTPN9 in breast cancer. </w:t>
      </w:r>
      <w:r w:rsidRPr="00A72013">
        <w:rPr>
          <w:rFonts w:asciiTheme="majorBidi" w:hAnsiTheme="majorBidi" w:cstheme="majorBidi"/>
          <w:sz w:val="24"/>
          <w:szCs w:val="24"/>
        </w:rPr>
        <w:t xml:space="preserve">Sci Rep. </w:t>
      </w:r>
      <w:proofErr w:type="gramStart"/>
      <w:r w:rsidRPr="00A72013">
        <w:rPr>
          <w:rFonts w:asciiTheme="majorBidi" w:hAnsiTheme="majorBidi" w:cstheme="majorBidi"/>
          <w:sz w:val="24"/>
          <w:szCs w:val="24"/>
        </w:rPr>
        <w:t>2016;</w:t>
      </w:r>
      <w:proofErr w:type="gramEnd"/>
      <w:r w:rsidRPr="00A72013">
        <w:rPr>
          <w:rFonts w:asciiTheme="majorBidi" w:hAnsiTheme="majorBidi" w:cstheme="majorBidi"/>
          <w:sz w:val="24"/>
          <w:szCs w:val="24"/>
        </w:rPr>
        <w:t>6:37421.</w:t>
      </w:r>
    </w:p>
    <w:p w14:paraId="00DDAD32" w14:textId="77777777" w:rsidR="00E057BE" w:rsidRPr="00A72013" w:rsidRDefault="00625652" w:rsidP="007B64C1">
      <w:pPr>
        <w:spacing w:after="0" w:line="240" w:lineRule="auto"/>
        <w:rPr>
          <w:rFonts w:asciiTheme="majorBidi" w:hAnsiTheme="majorBidi" w:cstheme="majorBidi"/>
          <w:sz w:val="24"/>
          <w:szCs w:val="24"/>
          <w:lang w:val="en-US"/>
        </w:rPr>
      </w:pPr>
      <w:r w:rsidRPr="00A72013">
        <w:rPr>
          <w:rFonts w:asciiTheme="majorBidi" w:eastAsia="Times New Roman" w:hAnsiTheme="majorBidi" w:cstheme="majorBidi"/>
          <w:color w:val="000000" w:themeColor="text1"/>
          <w:sz w:val="24"/>
          <w:szCs w:val="24"/>
          <w:lang w:val="en-US" w:eastAsia="fr-FR"/>
        </w:rPr>
        <w:fldChar w:fldCharType="end"/>
      </w:r>
    </w:p>
    <w:sectPr w:rsidR="00E057BE" w:rsidRPr="00A72013" w:rsidSect="00F536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C05E9"/>
    <w:multiLevelType w:val="multilevel"/>
    <w:tmpl w:val="944A7D10"/>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6623F4"/>
    <w:multiLevelType w:val="multilevel"/>
    <w:tmpl w:val="1ADCC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FB0432"/>
    <w:multiLevelType w:val="multilevel"/>
    <w:tmpl w:val="2EE6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4605D7"/>
    <w:multiLevelType w:val="multilevel"/>
    <w:tmpl w:val="6CF2E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8E3971"/>
    <w:multiLevelType w:val="multilevel"/>
    <w:tmpl w:val="B0DEB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3D721B"/>
    <w:multiLevelType w:val="multilevel"/>
    <w:tmpl w:val="83EA10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93157A"/>
    <w:multiLevelType w:val="multilevel"/>
    <w:tmpl w:val="4AD67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BD3D90"/>
    <w:multiLevelType w:val="multilevel"/>
    <w:tmpl w:val="EF7AA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DF3BD7"/>
    <w:multiLevelType w:val="multilevel"/>
    <w:tmpl w:val="D188C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ED80758"/>
    <w:multiLevelType w:val="multilevel"/>
    <w:tmpl w:val="DBCCB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8617394">
    <w:abstractNumId w:val="0"/>
  </w:num>
  <w:num w:numId="2" w16cid:durableId="704520562">
    <w:abstractNumId w:val="8"/>
    <w:lvlOverride w:ilvl="0">
      <w:startOverride w:val="6"/>
    </w:lvlOverride>
  </w:num>
  <w:num w:numId="3" w16cid:durableId="1826820497">
    <w:abstractNumId w:val="7"/>
  </w:num>
  <w:num w:numId="4" w16cid:durableId="201749508">
    <w:abstractNumId w:val="1"/>
    <w:lvlOverride w:ilvl="0">
      <w:startOverride w:val="15"/>
    </w:lvlOverride>
  </w:num>
  <w:num w:numId="5" w16cid:durableId="1224029394">
    <w:abstractNumId w:val="5"/>
  </w:num>
  <w:num w:numId="6" w16cid:durableId="549072316">
    <w:abstractNumId w:val="6"/>
  </w:num>
  <w:num w:numId="7" w16cid:durableId="2031182347">
    <w:abstractNumId w:val="4"/>
    <w:lvlOverride w:ilvl="0">
      <w:startOverride w:val="3"/>
    </w:lvlOverride>
  </w:num>
  <w:num w:numId="8" w16cid:durableId="1148205766">
    <w:abstractNumId w:val="2"/>
  </w:num>
  <w:num w:numId="9" w16cid:durableId="1191408254">
    <w:abstractNumId w:val="9"/>
  </w:num>
  <w:num w:numId="10" w16cid:durableId="483854719">
    <w:abstractNumId w:val="3"/>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0E4"/>
    <w:rsid w:val="00053C6F"/>
    <w:rsid w:val="0006445A"/>
    <w:rsid w:val="0007073C"/>
    <w:rsid w:val="00095C08"/>
    <w:rsid w:val="0011132B"/>
    <w:rsid w:val="001124A2"/>
    <w:rsid w:val="00180553"/>
    <w:rsid w:val="001A37D1"/>
    <w:rsid w:val="001F649B"/>
    <w:rsid w:val="00270996"/>
    <w:rsid w:val="002C3FD5"/>
    <w:rsid w:val="003D5251"/>
    <w:rsid w:val="00422DBD"/>
    <w:rsid w:val="004D02BC"/>
    <w:rsid w:val="005110D0"/>
    <w:rsid w:val="00524513"/>
    <w:rsid w:val="005315B7"/>
    <w:rsid w:val="005344FA"/>
    <w:rsid w:val="0053575C"/>
    <w:rsid w:val="005424E2"/>
    <w:rsid w:val="00566F9E"/>
    <w:rsid w:val="005E5F77"/>
    <w:rsid w:val="00625652"/>
    <w:rsid w:val="00630D09"/>
    <w:rsid w:val="007314CD"/>
    <w:rsid w:val="007B64C1"/>
    <w:rsid w:val="007F6B62"/>
    <w:rsid w:val="007F6F8C"/>
    <w:rsid w:val="00875FCD"/>
    <w:rsid w:val="008C4FF6"/>
    <w:rsid w:val="008E0015"/>
    <w:rsid w:val="00A41A75"/>
    <w:rsid w:val="00A67549"/>
    <w:rsid w:val="00A72013"/>
    <w:rsid w:val="00BD58C6"/>
    <w:rsid w:val="00C556AD"/>
    <w:rsid w:val="00C94BD4"/>
    <w:rsid w:val="00CF333C"/>
    <w:rsid w:val="00D01FDF"/>
    <w:rsid w:val="00D04B57"/>
    <w:rsid w:val="00D75502"/>
    <w:rsid w:val="00D80154"/>
    <w:rsid w:val="00DB7114"/>
    <w:rsid w:val="00E057BE"/>
    <w:rsid w:val="00E840E4"/>
    <w:rsid w:val="00EC0047"/>
    <w:rsid w:val="00EF5990"/>
    <w:rsid w:val="00F53605"/>
    <w:rsid w:val="00FD2BD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4AE29"/>
  <w15:chartTrackingRefBased/>
  <w15:docId w15:val="{8C6A7784-9D9D-4CD3-AC3D-41680F6B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840E4"/>
    <w:rPr>
      <w:b/>
      <w:bCs/>
    </w:rPr>
  </w:style>
  <w:style w:type="character" w:customStyle="1" w:styleId="whitespace-nowrap">
    <w:name w:val="whitespace-nowrap"/>
    <w:basedOn w:val="DefaultParagraphFont"/>
    <w:rsid w:val="00E840E4"/>
  </w:style>
  <w:style w:type="character" w:styleId="Hyperlink">
    <w:name w:val="Hyperlink"/>
    <w:basedOn w:val="DefaultParagraphFont"/>
    <w:uiPriority w:val="99"/>
    <w:unhideWhenUsed/>
    <w:rsid w:val="00E840E4"/>
    <w:rPr>
      <w:color w:val="0563C1" w:themeColor="hyperlink"/>
      <w:u w:val="single"/>
    </w:rPr>
  </w:style>
  <w:style w:type="character" w:styleId="UnresolvedMention">
    <w:name w:val="Unresolved Mention"/>
    <w:basedOn w:val="DefaultParagraphFont"/>
    <w:uiPriority w:val="99"/>
    <w:semiHidden/>
    <w:unhideWhenUsed/>
    <w:rsid w:val="00E840E4"/>
    <w:rPr>
      <w:color w:val="605E5C"/>
      <w:shd w:val="clear" w:color="auto" w:fill="E1DFDD"/>
    </w:rPr>
  </w:style>
  <w:style w:type="paragraph" w:styleId="ListParagraph">
    <w:name w:val="List Paragraph"/>
    <w:basedOn w:val="Normal"/>
    <w:uiPriority w:val="34"/>
    <w:qFormat/>
    <w:rsid w:val="00E840E4"/>
    <w:pPr>
      <w:ind w:left="720"/>
      <w:contextualSpacing/>
    </w:pPr>
  </w:style>
  <w:style w:type="character" w:styleId="FollowedHyperlink">
    <w:name w:val="FollowedHyperlink"/>
    <w:basedOn w:val="DefaultParagraphFont"/>
    <w:uiPriority w:val="99"/>
    <w:semiHidden/>
    <w:unhideWhenUsed/>
    <w:rsid w:val="00EF5990"/>
    <w:rPr>
      <w:color w:val="954F72" w:themeColor="followedHyperlink"/>
      <w:u w:val="single"/>
    </w:rPr>
  </w:style>
  <w:style w:type="paragraph" w:styleId="Bibliography">
    <w:name w:val="Bibliography"/>
    <w:basedOn w:val="Normal"/>
    <w:next w:val="Normal"/>
    <w:uiPriority w:val="37"/>
    <w:unhideWhenUsed/>
    <w:rsid w:val="00625652"/>
    <w:pPr>
      <w:spacing w:after="240" w:line="240" w:lineRule="auto"/>
    </w:pPr>
  </w:style>
  <w:style w:type="paragraph" w:styleId="CommentText">
    <w:name w:val="annotation text"/>
    <w:basedOn w:val="Normal"/>
    <w:link w:val="CommentTextChar"/>
    <w:uiPriority w:val="99"/>
    <w:semiHidden/>
    <w:unhideWhenUsed/>
    <w:rsid w:val="00D75502"/>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D75502"/>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D7550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436543">
      <w:bodyDiv w:val="1"/>
      <w:marLeft w:val="0"/>
      <w:marRight w:val="0"/>
      <w:marTop w:val="0"/>
      <w:marBottom w:val="0"/>
      <w:divBdr>
        <w:top w:val="none" w:sz="0" w:space="0" w:color="auto"/>
        <w:left w:val="none" w:sz="0" w:space="0" w:color="auto"/>
        <w:bottom w:val="none" w:sz="0" w:space="0" w:color="auto"/>
        <w:right w:val="none" w:sz="0" w:space="0" w:color="auto"/>
      </w:divBdr>
    </w:div>
    <w:div w:id="788210203">
      <w:bodyDiv w:val="1"/>
      <w:marLeft w:val="0"/>
      <w:marRight w:val="0"/>
      <w:marTop w:val="0"/>
      <w:marBottom w:val="0"/>
      <w:divBdr>
        <w:top w:val="none" w:sz="0" w:space="0" w:color="auto"/>
        <w:left w:val="none" w:sz="0" w:space="0" w:color="auto"/>
        <w:bottom w:val="none" w:sz="0" w:space="0" w:color="auto"/>
        <w:right w:val="none" w:sz="0" w:space="0" w:color="auto"/>
      </w:divBdr>
    </w:div>
    <w:div w:id="841705788">
      <w:bodyDiv w:val="1"/>
      <w:marLeft w:val="0"/>
      <w:marRight w:val="0"/>
      <w:marTop w:val="0"/>
      <w:marBottom w:val="0"/>
      <w:divBdr>
        <w:top w:val="none" w:sz="0" w:space="0" w:color="auto"/>
        <w:left w:val="none" w:sz="0" w:space="0" w:color="auto"/>
        <w:bottom w:val="none" w:sz="0" w:space="0" w:color="auto"/>
        <w:right w:val="none" w:sz="0" w:space="0" w:color="auto"/>
      </w:divBdr>
    </w:div>
    <w:div w:id="1339892478">
      <w:bodyDiv w:val="1"/>
      <w:marLeft w:val="0"/>
      <w:marRight w:val="0"/>
      <w:marTop w:val="0"/>
      <w:marBottom w:val="0"/>
      <w:divBdr>
        <w:top w:val="none" w:sz="0" w:space="0" w:color="auto"/>
        <w:left w:val="none" w:sz="0" w:space="0" w:color="auto"/>
        <w:bottom w:val="none" w:sz="0" w:space="0" w:color="auto"/>
        <w:right w:val="none" w:sz="0" w:space="0" w:color="auto"/>
      </w:divBdr>
    </w:div>
    <w:div w:id="145228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erplexity.ai/"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7290</Words>
  <Characters>41559</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IGBMC</Company>
  <LinksUpToDate>false</LinksUpToDate>
  <CharactersWithSpaces>48752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ROUX</dc:creator>
  <cp:keywords/>
  <dc:description/>
  <cp:lastModifiedBy>Ala Moshiri</cp:lastModifiedBy>
  <cp:revision>3</cp:revision>
  <dcterms:created xsi:type="dcterms:W3CDTF">2024-05-22T17:32:00Z</dcterms:created>
  <dcterms:modified xsi:type="dcterms:W3CDTF">2024-05-22T19:13:00Z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id="hWceblXO"/&gt;&lt;style id="http://www.zotero.org/styles/bmc-genomics" hasBibliography="1" bibliographyStyleHasBeenSet="1"/&gt;&lt;prefs&gt;&lt;pref name="fieldType" value="Field"/&gt;&lt;/prefs&gt;&lt;/data&gt;</vt:lpwstr>
  </property>
</Properties>
</file>