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DFE9" w14:textId="77777777" w:rsidR="000E0B12" w:rsidRPr="00083858" w:rsidRDefault="000E0B12" w:rsidP="000E0B12">
      <w:pPr>
        <w:jc w:val="center"/>
        <w:rPr>
          <w:rFonts w:ascii="Arial" w:hAnsi="Arial" w:cs="Arial"/>
          <w:b/>
          <w:color w:val="000000" w:themeColor="text1"/>
          <w:sz w:val="28"/>
          <w:lang w:val="en-US"/>
        </w:rPr>
      </w:pPr>
      <w:r w:rsidRPr="00083858">
        <w:rPr>
          <w:rFonts w:ascii="Arial" w:hAnsi="Arial" w:cs="Arial"/>
          <w:b/>
          <w:color w:val="000000" w:themeColor="text1"/>
          <w:sz w:val="28"/>
          <w:lang w:val="en-US"/>
        </w:rPr>
        <w:t>SUPPLEMENTAL INFORMATION</w:t>
      </w:r>
    </w:p>
    <w:p w14:paraId="7908C9A2" w14:textId="77777777" w:rsidR="00546F05" w:rsidRPr="00083858" w:rsidRDefault="00546F05" w:rsidP="000E0B12">
      <w:pPr>
        <w:spacing w:line="480" w:lineRule="auto"/>
        <w:rPr>
          <w:rFonts w:ascii="Arial" w:hAnsi="Arial" w:cs="Arial"/>
          <w:b/>
          <w:color w:val="000000" w:themeColor="text1"/>
          <w:lang w:val="en-US"/>
        </w:rPr>
      </w:pPr>
    </w:p>
    <w:p w14:paraId="24796826" w14:textId="68291055" w:rsidR="000E0B12" w:rsidRPr="00083858" w:rsidRDefault="00546F05" w:rsidP="000E0B12">
      <w:pPr>
        <w:spacing w:line="480" w:lineRule="auto"/>
        <w:rPr>
          <w:rFonts w:ascii="Arial" w:hAnsi="Arial" w:cs="Arial"/>
          <w:b/>
          <w:color w:val="000000" w:themeColor="text1"/>
          <w:lang w:val="en-US"/>
        </w:rPr>
      </w:pPr>
      <w:r w:rsidRPr="00083858">
        <w:rPr>
          <w:rFonts w:ascii="Arial" w:hAnsi="Arial" w:cs="Arial"/>
          <w:b/>
          <w:color w:val="000000" w:themeColor="text1"/>
          <w:lang w:val="en-US"/>
        </w:rPr>
        <w:t xml:space="preserve">The metabolic </w:t>
      </w:r>
      <w:r w:rsidR="00F44A5F" w:rsidRPr="00083858">
        <w:rPr>
          <w:rFonts w:ascii="Arial" w:hAnsi="Arial" w:cs="Arial"/>
          <w:b/>
          <w:color w:val="000000" w:themeColor="text1"/>
          <w:lang w:val="en-US"/>
        </w:rPr>
        <w:t>signature</w:t>
      </w:r>
      <w:r w:rsidRPr="00083858">
        <w:rPr>
          <w:rFonts w:ascii="Arial" w:hAnsi="Arial" w:cs="Arial"/>
          <w:b/>
          <w:color w:val="000000" w:themeColor="text1"/>
          <w:lang w:val="en-US"/>
        </w:rPr>
        <w:t xml:space="preserve"> of cardiorespiratory fitness</w:t>
      </w:r>
    </w:p>
    <w:p w14:paraId="3D518591" w14:textId="77777777" w:rsidR="007F7AD5" w:rsidRPr="00083858" w:rsidRDefault="007F7AD5" w:rsidP="007F7AD5">
      <w:pPr>
        <w:spacing w:line="240" w:lineRule="auto"/>
        <w:rPr>
          <w:rFonts w:ascii="Arial" w:hAnsi="Arial" w:cs="Arial"/>
          <w:color w:val="000000" w:themeColor="text1"/>
          <w:sz w:val="24"/>
          <w:szCs w:val="24"/>
          <w:lang w:val="en-US"/>
        </w:rPr>
      </w:pPr>
      <w:r w:rsidRPr="00083858">
        <w:rPr>
          <w:rFonts w:ascii="Arial" w:hAnsi="Arial" w:cs="Arial"/>
          <w:color w:val="000000" w:themeColor="text1"/>
          <w:sz w:val="24"/>
          <w:szCs w:val="24"/>
          <w:lang w:val="en-US"/>
        </w:rPr>
        <w:t>Julia Bork</w:t>
      </w:r>
      <w:r w:rsidRPr="00083858">
        <w:rPr>
          <w:rFonts w:ascii="Arial" w:hAnsi="Arial" w:cs="Arial"/>
          <w:color w:val="000000" w:themeColor="text1"/>
          <w:sz w:val="24"/>
          <w:szCs w:val="24"/>
          <w:vertAlign w:val="superscript"/>
          <w:lang w:val="en-US"/>
        </w:rPr>
        <w:t>1,2</w:t>
      </w:r>
      <w:r w:rsidRPr="00083858">
        <w:rPr>
          <w:rFonts w:ascii="Arial" w:hAnsi="Arial" w:cs="Arial"/>
          <w:color w:val="000000" w:themeColor="text1"/>
          <w:sz w:val="24"/>
          <w:szCs w:val="24"/>
          <w:lang w:val="en-US"/>
        </w:rPr>
        <w:t>, Marcello RP Markus</w:t>
      </w:r>
      <w:r w:rsidRPr="00083858">
        <w:rPr>
          <w:rFonts w:ascii="Arial" w:hAnsi="Arial" w:cs="Arial"/>
          <w:color w:val="000000" w:themeColor="text1"/>
          <w:sz w:val="24"/>
          <w:szCs w:val="24"/>
          <w:vertAlign w:val="superscript"/>
          <w:lang w:val="en-US"/>
        </w:rPr>
        <w:t>1,2,3</w:t>
      </w:r>
      <w:r w:rsidRPr="00083858">
        <w:rPr>
          <w:rFonts w:ascii="Arial" w:hAnsi="Arial" w:cs="Arial"/>
          <w:color w:val="000000" w:themeColor="text1"/>
          <w:sz w:val="24"/>
          <w:szCs w:val="24"/>
          <w:lang w:val="en-US"/>
        </w:rPr>
        <w:t>, Ralf Ewert</w:t>
      </w:r>
      <w:r w:rsidRPr="00083858">
        <w:rPr>
          <w:rFonts w:ascii="Arial" w:hAnsi="Arial" w:cs="Arial"/>
          <w:color w:val="000000" w:themeColor="text1"/>
          <w:sz w:val="24"/>
          <w:szCs w:val="24"/>
          <w:vertAlign w:val="superscript"/>
          <w:lang w:val="en-US"/>
        </w:rPr>
        <w:t>1</w:t>
      </w:r>
      <w:r w:rsidRPr="00083858">
        <w:rPr>
          <w:rFonts w:ascii="Arial" w:hAnsi="Arial" w:cs="Arial"/>
          <w:color w:val="000000" w:themeColor="text1"/>
          <w:sz w:val="24"/>
          <w:szCs w:val="24"/>
          <w:lang w:val="en-US"/>
        </w:rPr>
        <w:t>, Matthias Nauck</w:t>
      </w:r>
      <w:r w:rsidRPr="00083858">
        <w:rPr>
          <w:rFonts w:ascii="Arial" w:hAnsi="Arial" w:cs="Arial"/>
          <w:color w:val="000000" w:themeColor="text1"/>
          <w:sz w:val="24"/>
          <w:szCs w:val="24"/>
          <w:vertAlign w:val="superscript"/>
          <w:lang w:val="en-US"/>
        </w:rPr>
        <w:t>2,4</w:t>
      </w:r>
      <w:r w:rsidRPr="00083858">
        <w:rPr>
          <w:rFonts w:ascii="Arial" w:hAnsi="Arial" w:cs="Arial"/>
          <w:color w:val="000000" w:themeColor="text1"/>
          <w:sz w:val="24"/>
          <w:szCs w:val="24"/>
          <w:lang w:val="en-US"/>
        </w:rPr>
        <w:t>, Christian Templin</w:t>
      </w:r>
      <w:r w:rsidRPr="00083858">
        <w:rPr>
          <w:rFonts w:ascii="Arial" w:hAnsi="Arial" w:cs="Arial"/>
          <w:color w:val="000000" w:themeColor="text1"/>
          <w:sz w:val="24"/>
          <w:szCs w:val="24"/>
          <w:vertAlign w:val="superscript"/>
          <w:lang w:val="en-US"/>
        </w:rPr>
        <w:t>1,2</w:t>
      </w:r>
      <w:r w:rsidRPr="00083858">
        <w:rPr>
          <w:rFonts w:ascii="Arial" w:hAnsi="Arial" w:cs="Arial"/>
          <w:color w:val="000000" w:themeColor="text1"/>
          <w:sz w:val="24"/>
          <w:szCs w:val="24"/>
          <w:lang w:val="en-US"/>
        </w:rPr>
        <w:t>, Henry Völzke</w:t>
      </w:r>
      <w:r w:rsidRPr="00083858">
        <w:rPr>
          <w:rFonts w:ascii="Arial" w:hAnsi="Arial" w:cs="Arial"/>
          <w:color w:val="000000" w:themeColor="text1"/>
          <w:sz w:val="24"/>
          <w:szCs w:val="24"/>
          <w:vertAlign w:val="superscript"/>
          <w:lang w:val="en-US"/>
        </w:rPr>
        <w:t>2,5</w:t>
      </w:r>
      <w:r w:rsidRPr="00083858">
        <w:rPr>
          <w:rFonts w:ascii="Arial" w:hAnsi="Arial" w:cs="Arial"/>
          <w:color w:val="000000" w:themeColor="text1"/>
          <w:sz w:val="24"/>
          <w:szCs w:val="24"/>
          <w:lang w:val="en-US"/>
        </w:rPr>
        <w:t>, Gabi Kastenmüller</w:t>
      </w:r>
      <w:r w:rsidRPr="00083858">
        <w:rPr>
          <w:rFonts w:ascii="Arial" w:hAnsi="Arial" w:cs="Arial"/>
          <w:color w:val="000000" w:themeColor="text1"/>
          <w:sz w:val="24"/>
          <w:szCs w:val="24"/>
          <w:vertAlign w:val="superscript"/>
          <w:lang w:val="en-US"/>
        </w:rPr>
        <w:t>6</w:t>
      </w:r>
      <w:r w:rsidRPr="00083858">
        <w:rPr>
          <w:rFonts w:ascii="Arial" w:hAnsi="Arial" w:cs="Arial"/>
          <w:color w:val="000000" w:themeColor="text1"/>
          <w:sz w:val="24"/>
          <w:szCs w:val="24"/>
          <w:lang w:val="en-US"/>
        </w:rPr>
        <w:t>, Jerzy Adamski</w:t>
      </w:r>
      <w:r w:rsidRPr="00083858">
        <w:rPr>
          <w:rFonts w:ascii="Arial" w:hAnsi="Arial" w:cs="Arial"/>
          <w:color w:val="000000" w:themeColor="text1"/>
          <w:sz w:val="24"/>
          <w:szCs w:val="24"/>
          <w:vertAlign w:val="superscript"/>
          <w:lang w:val="en-US"/>
        </w:rPr>
        <w:t>8,9,10</w:t>
      </w:r>
      <w:r w:rsidRPr="00083858">
        <w:rPr>
          <w:rFonts w:ascii="Arial" w:hAnsi="Arial" w:cs="Arial"/>
          <w:color w:val="000000" w:themeColor="text1"/>
          <w:sz w:val="24"/>
          <w:szCs w:val="24"/>
          <w:lang w:val="en-US"/>
        </w:rPr>
        <w:t>, Anna Artati</w:t>
      </w:r>
      <w:r w:rsidRPr="00083858">
        <w:rPr>
          <w:rFonts w:ascii="Arial" w:hAnsi="Arial" w:cs="Arial"/>
          <w:color w:val="000000" w:themeColor="text1"/>
          <w:sz w:val="24"/>
          <w:szCs w:val="24"/>
          <w:vertAlign w:val="superscript"/>
          <w:lang w:val="en-US"/>
        </w:rPr>
        <w:t>7</w:t>
      </w:r>
      <w:r w:rsidRPr="00083858">
        <w:rPr>
          <w:rFonts w:ascii="Arial" w:hAnsi="Arial" w:cs="Arial"/>
          <w:color w:val="000000" w:themeColor="text1"/>
          <w:sz w:val="24"/>
          <w:szCs w:val="24"/>
          <w:lang w:val="en-US"/>
        </w:rPr>
        <w:t>, Marcus Dörr</w:t>
      </w:r>
      <w:r w:rsidRPr="00083858">
        <w:rPr>
          <w:rFonts w:ascii="Arial" w:hAnsi="Arial" w:cs="Arial"/>
          <w:color w:val="000000" w:themeColor="text1"/>
          <w:sz w:val="24"/>
          <w:szCs w:val="24"/>
          <w:vertAlign w:val="superscript"/>
          <w:lang w:val="en-US"/>
        </w:rPr>
        <w:t>1,2</w:t>
      </w:r>
      <w:r w:rsidRPr="00083858">
        <w:rPr>
          <w:rFonts w:ascii="Arial" w:hAnsi="Arial" w:cs="Arial"/>
          <w:color w:val="000000" w:themeColor="text1"/>
          <w:sz w:val="24"/>
          <w:szCs w:val="24"/>
          <w:lang w:val="en-US"/>
        </w:rPr>
        <w:t>, Nele Friedrich</w:t>
      </w:r>
      <w:r w:rsidRPr="00083858">
        <w:rPr>
          <w:rFonts w:ascii="Arial" w:hAnsi="Arial" w:cs="Arial"/>
          <w:color w:val="000000" w:themeColor="text1"/>
          <w:sz w:val="24"/>
          <w:szCs w:val="24"/>
          <w:vertAlign w:val="superscript"/>
          <w:lang w:val="en-US"/>
        </w:rPr>
        <w:t>2,4</w:t>
      </w:r>
      <w:r w:rsidRPr="00083858">
        <w:rPr>
          <w:rFonts w:ascii="Arial" w:hAnsi="Arial" w:cs="Arial"/>
          <w:color w:val="000000" w:themeColor="text1"/>
          <w:sz w:val="24"/>
          <w:szCs w:val="24"/>
          <w:lang w:val="en-US"/>
        </w:rPr>
        <w:t>, Martin Bahls</w:t>
      </w:r>
      <w:r w:rsidRPr="00083858">
        <w:rPr>
          <w:rFonts w:ascii="Arial" w:hAnsi="Arial" w:cs="Arial"/>
          <w:color w:val="000000" w:themeColor="text1"/>
          <w:sz w:val="24"/>
          <w:szCs w:val="24"/>
          <w:vertAlign w:val="superscript"/>
          <w:lang w:val="en-US"/>
        </w:rPr>
        <w:t>1,2</w:t>
      </w:r>
    </w:p>
    <w:p w14:paraId="5A9B2E87" w14:textId="0E54CA96" w:rsidR="00C6388C" w:rsidRPr="00083858" w:rsidRDefault="00C6388C" w:rsidP="00C6388C">
      <w:pPr>
        <w:rPr>
          <w:rFonts w:ascii="Arial" w:hAnsi="Arial" w:cs="Arial"/>
          <w:color w:val="000000" w:themeColor="text1"/>
          <w:sz w:val="24"/>
          <w:szCs w:val="24"/>
          <w:lang w:val="en-US"/>
        </w:rPr>
        <w:sectPr w:rsidR="00C6388C" w:rsidRPr="00083858" w:rsidSect="00C6388C">
          <w:footerReference w:type="default" r:id="rId6"/>
          <w:pgSz w:w="11906" w:h="16838"/>
          <w:pgMar w:top="1417" w:right="1135" w:bottom="1134" w:left="993" w:header="708" w:footer="708" w:gutter="0"/>
          <w:cols w:space="708"/>
          <w:docGrid w:linePitch="360"/>
        </w:sectPr>
      </w:pPr>
      <w:r w:rsidRPr="00083858">
        <w:rPr>
          <w:rFonts w:ascii="Arial" w:hAnsi="Arial" w:cs="Arial"/>
          <w:color w:val="000000" w:themeColor="text1"/>
          <w:sz w:val="24"/>
          <w:szCs w:val="24"/>
          <w:lang w:val="en-US"/>
        </w:rPr>
        <w:br w:type="page"/>
      </w:r>
    </w:p>
    <w:p w14:paraId="550E00A9" w14:textId="01AB755F" w:rsidR="00546F05" w:rsidRPr="00083858" w:rsidRDefault="004D7CB2" w:rsidP="00C6388C">
      <w:pPr>
        <w:tabs>
          <w:tab w:val="left" w:pos="951"/>
        </w:tabs>
        <w:spacing w:line="240" w:lineRule="auto"/>
        <w:rPr>
          <w:rFonts w:ascii="Arial" w:hAnsi="Arial" w:cs="Arial"/>
          <w:b/>
          <w:color w:val="000000" w:themeColor="text1"/>
          <w:lang w:val="en-US"/>
        </w:rPr>
      </w:pPr>
      <w:r w:rsidRPr="00083858">
        <w:rPr>
          <w:rFonts w:ascii="Arial" w:hAnsi="Arial" w:cs="Arial"/>
          <w:b/>
          <w:color w:val="000000" w:themeColor="text1"/>
          <w:lang w:val="en-US"/>
        </w:rPr>
        <w:lastRenderedPageBreak/>
        <w:t>FIGURES</w:t>
      </w:r>
    </w:p>
    <w:p w14:paraId="3215891A" w14:textId="22DD10AA" w:rsidR="00546F05" w:rsidRPr="00083858" w:rsidRDefault="00000000" w:rsidP="001A33BC">
      <w:pPr>
        <w:spacing w:line="240" w:lineRule="auto"/>
        <w:rPr>
          <w:rFonts w:ascii="Arial" w:hAnsi="Arial" w:cs="Arial"/>
          <w:b/>
          <w:color w:val="000000" w:themeColor="text1"/>
          <w:lang w:val="en-US"/>
        </w:rPr>
      </w:pPr>
      <w:r w:rsidRPr="00083858">
        <w:rPr>
          <w:rFonts w:ascii="Arial" w:hAnsi="Arial" w:cs="Arial"/>
          <w:b/>
          <w:noProof/>
          <w:color w:val="000000" w:themeColor="text1"/>
          <w:lang w:val="en-US"/>
        </w:rPr>
        <w:pict w14:anchorId="74C43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07.5pt;height:402pt;mso-width-percent:0;mso-height-percent:0;mso-width-percent:0;mso-height-percent:0">
            <v:imagedata r:id="rId7" o:title="Heatmap_Biocrates_20240422_suppl"/>
          </v:shape>
        </w:pict>
      </w:r>
    </w:p>
    <w:p w14:paraId="4B558D94" w14:textId="76A3BC4B" w:rsidR="004D7CB2" w:rsidRPr="00083858" w:rsidRDefault="004D7CB2" w:rsidP="004D7CB2">
      <w:pPr>
        <w:spacing w:after="0" w:line="240" w:lineRule="auto"/>
        <w:jc w:val="both"/>
        <w:rPr>
          <w:rFonts w:ascii="Arial" w:hAnsi="Arial" w:cs="Arial"/>
          <w:color w:val="000000" w:themeColor="text1"/>
          <w:sz w:val="20"/>
          <w:lang w:val="en-US"/>
        </w:rPr>
      </w:pPr>
      <w:r w:rsidRPr="00083858">
        <w:rPr>
          <w:rFonts w:ascii="Arial" w:hAnsi="Arial" w:cs="Arial"/>
          <w:b/>
          <w:bCs/>
          <w:color w:val="000000" w:themeColor="text1"/>
          <w:sz w:val="20"/>
          <w:lang w:val="en-US"/>
        </w:rPr>
        <w:t xml:space="preserve">Figure </w:t>
      </w:r>
      <w:r w:rsidR="001A33BC" w:rsidRPr="00083858">
        <w:rPr>
          <w:rFonts w:ascii="Arial" w:hAnsi="Arial" w:cs="Arial"/>
          <w:b/>
          <w:bCs/>
          <w:color w:val="000000" w:themeColor="text1"/>
          <w:sz w:val="20"/>
          <w:lang w:val="en-US"/>
        </w:rPr>
        <w:t>S</w:t>
      </w:r>
      <w:r w:rsidRPr="00083858">
        <w:rPr>
          <w:rFonts w:ascii="Arial" w:hAnsi="Arial" w:cs="Arial"/>
          <w:b/>
          <w:bCs/>
          <w:color w:val="000000" w:themeColor="text1"/>
          <w:sz w:val="20"/>
          <w:lang w:val="en-US"/>
        </w:rPr>
        <w:t>1</w:t>
      </w:r>
      <w:r w:rsidRPr="00083858">
        <w:rPr>
          <w:rFonts w:ascii="Arial" w:hAnsi="Arial" w:cs="Arial"/>
          <w:color w:val="000000" w:themeColor="text1"/>
          <w:sz w:val="20"/>
          <w:lang w:val="en-US"/>
        </w:rPr>
        <w:t>.</w:t>
      </w:r>
      <w:r w:rsidRPr="00083858">
        <w:rPr>
          <w:rFonts w:ascii="Arial" w:hAnsi="Arial" w:cs="Arial"/>
          <w:color w:val="000000" w:themeColor="text1"/>
          <w:sz w:val="20"/>
          <w:lang w:val="en-GB"/>
        </w:rPr>
        <w:t xml:space="preserve"> Color</w:t>
      </w:r>
      <w:r w:rsidRPr="00083858">
        <w:rPr>
          <w:rFonts w:ascii="Arial" w:hAnsi="Arial" w:cs="Arial"/>
          <w:color w:val="000000" w:themeColor="text1"/>
          <w:sz w:val="20"/>
          <w:lang w:val="en-US"/>
        </w:rPr>
        <w:t>-coded corrected P values (controlling the false discovery rate (FDR) at 0.05) for the association of plasma metabolites with PeakVO</w:t>
      </w:r>
      <w:r w:rsidRPr="00083858">
        <w:rPr>
          <w:rFonts w:ascii="Arial" w:hAnsi="Arial" w:cs="Arial"/>
          <w:color w:val="000000" w:themeColor="text1"/>
          <w:sz w:val="20"/>
          <w:vertAlign w:val="subscript"/>
          <w:lang w:val="en-US"/>
        </w:rPr>
        <w:t>2</w:t>
      </w:r>
      <w:r w:rsidRPr="00083858">
        <w:rPr>
          <w:rFonts w:ascii="Arial" w:hAnsi="Arial" w:cs="Arial"/>
          <w:color w:val="000000" w:themeColor="text1"/>
          <w:sz w:val="20"/>
          <w:lang w:val="en-US"/>
        </w:rPr>
        <w:t xml:space="preserve"> in men and women separately. Significant associations (FDR &lt; 0.05) are marked with a black box. Linear regression models were adjusted for age, height and smoking status. Orange and blue shading indicate positive and inverse associations, respectively. Analyses were separately performed for SHIP-START</w:t>
      </w:r>
      <w:r w:rsidR="001A33BC" w:rsidRPr="00083858">
        <w:rPr>
          <w:rFonts w:ascii="Arial" w:hAnsi="Arial" w:cs="Arial"/>
          <w:color w:val="000000" w:themeColor="text1"/>
          <w:sz w:val="20"/>
          <w:lang w:val="en-US"/>
        </w:rPr>
        <w:t>-</w:t>
      </w:r>
      <w:r w:rsidRPr="00083858">
        <w:rPr>
          <w:rFonts w:ascii="Arial" w:hAnsi="Arial" w:cs="Arial"/>
          <w:color w:val="000000" w:themeColor="text1"/>
          <w:sz w:val="20"/>
          <w:lang w:val="en-US"/>
        </w:rPr>
        <w:t>2 (S2) and SHIP-TREND-0 (T0). Metabolites were measured by targeted metabolomics. Grey indicates metabolites that were excluded in SHIP-TREND-0.</w:t>
      </w:r>
    </w:p>
    <w:p w14:paraId="6ECC4F44" w14:textId="386B9DA0" w:rsidR="001A33BC" w:rsidRPr="00083858" w:rsidRDefault="001A33BC" w:rsidP="004D7CB2">
      <w:pPr>
        <w:spacing w:after="0" w:line="240" w:lineRule="auto"/>
        <w:jc w:val="both"/>
        <w:rPr>
          <w:rFonts w:ascii="Arial" w:hAnsi="Arial" w:cs="Arial"/>
          <w:color w:val="000000" w:themeColor="text1"/>
          <w:sz w:val="20"/>
          <w:lang w:val="en-US"/>
        </w:rPr>
      </w:pPr>
    </w:p>
    <w:p w14:paraId="138AE37C" w14:textId="76FD0052" w:rsidR="001A33BC" w:rsidRPr="00083858" w:rsidRDefault="00000000" w:rsidP="004D7CB2">
      <w:pPr>
        <w:spacing w:after="0" w:line="240" w:lineRule="auto"/>
        <w:jc w:val="both"/>
        <w:rPr>
          <w:rFonts w:ascii="Arial" w:hAnsi="Arial" w:cs="Arial"/>
          <w:color w:val="000000" w:themeColor="text1"/>
          <w:sz w:val="20"/>
          <w:lang w:val="en-US"/>
        </w:rPr>
      </w:pPr>
      <w:r w:rsidRPr="00083858">
        <w:rPr>
          <w:rFonts w:ascii="Arial" w:hAnsi="Arial" w:cs="Arial"/>
          <w:noProof/>
          <w:color w:val="000000" w:themeColor="text1"/>
          <w:sz w:val="20"/>
          <w:lang w:val="en-US"/>
        </w:rPr>
        <w:pict w14:anchorId="077B87D8">
          <v:shape id="_x0000_i1026" type="#_x0000_t75" alt="" style="width:588.75pt;height:348.75pt;mso-width-percent:0;mso-height-percent:0;mso-width-percent:0;mso-height-percent:0">
            <v:imagedata r:id="rId8" o:title="Heatmap_Metabolon_20240422_suppl1"/>
          </v:shape>
        </w:pict>
      </w:r>
    </w:p>
    <w:p w14:paraId="3409F1A1" w14:textId="77777777" w:rsidR="001A33BC" w:rsidRPr="00083858" w:rsidRDefault="001A33BC" w:rsidP="001A33BC">
      <w:pPr>
        <w:spacing w:after="0" w:line="240" w:lineRule="auto"/>
        <w:jc w:val="both"/>
        <w:rPr>
          <w:rFonts w:ascii="Arial" w:hAnsi="Arial" w:cs="Arial"/>
          <w:b/>
          <w:bCs/>
          <w:color w:val="000000" w:themeColor="text1"/>
          <w:sz w:val="20"/>
          <w:lang w:val="en-US"/>
        </w:rPr>
      </w:pPr>
    </w:p>
    <w:p w14:paraId="119EF0A5" w14:textId="77777777" w:rsidR="001A33BC" w:rsidRPr="00083858" w:rsidRDefault="001A33BC" w:rsidP="001A33BC">
      <w:pPr>
        <w:spacing w:after="0" w:line="240" w:lineRule="auto"/>
        <w:jc w:val="both"/>
        <w:rPr>
          <w:rFonts w:ascii="Arial" w:hAnsi="Arial" w:cs="Arial"/>
          <w:b/>
          <w:bCs/>
          <w:color w:val="000000" w:themeColor="text1"/>
          <w:sz w:val="20"/>
          <w:lang w:val="en-US"/>
        </w:rPr>
      </w:pPr>
    </w:p>
    <w:p w14:paraId="4BE94C1B" w14:textId="77777777" w:rsidR="001A33BC" w:rsidRPr="00083858" w:rsidRDefault="001A33BC" w:rsidP="001A33BC">
      <w:pPr>
        <w:spacing w:after="0" w:line="240" w:lineRule="auto"/>
        <w:jc w:val="both"/>
        <w:rPr>
          <w:rFonts w:ascii="Arial" w:hAnsi="Arial" w:cs="Arial"/>
          <w:color w:val="000000" w:themeColor="text1"/>
          <w:sz w:val="20"/>
          <w:lang w:val="en-US"/>
        </w:rPr>
      </w:pPr>
      <w:r w:rsidRPr="00083858">
        <w:rPr>
          <w:rFonts w:ascii="Arial" w:hAnsi="Arial" w:cs="Arial"/>
          <w:b/>
          <w:bCs/>
          <w:color w:val="000000" w:themeColor="text1"/>
          <w:sz w:val="20"/>
          <w:lang w:val="en-US"/>
        </w:rPr>
        <w:t>Figure S2</w:t>
      </w:r>
      <w:r w:rsidRPr="00083858">
        <w:rPr>
          <w:rFonts w:ascii="Arial" w:hAnsi="Arial" w:cs="Arial"/>
          <w:color w:val="000000" w:themeColor="text1"/>
          <w:sz w:val="20"/>
          <w:lang w:val="en-US"/>
        </w:rPr>
        <w:t xml:space="preserve">. </w:t>
      </w:r>
      <w:r w:rsidRPr="00083858">
        <w:rPr>
          <w:rFonts w:ascii="Arial" w:hAnsi="Arial" w:cs="Arial"/>
          <w:color w:val="000000" w:themeColor="text1"/>
          <w:sz w:val="20"/>
          <w:lang w:val="en-GB"/>
        </w:rPr>
        <w:t>Color</w:t>
      </w:r>
      <w:r w:rsidRPr="00083858">
        <w:rPr>
          <w:rFonts w:ascii="Arial" w:hAnsi="Arial" w:cs="Arial"/>
          <w:color w:val="000000" w:themeColor="text1"/>
          <w:sz w:val="20"/>
          <w:lang w:val="en-US"/>
        </w:rPr>
        <w:t>-coded corrected P values (controlling the false discovery rate (FDR) at 0.05) for the association of plasma metabolites, measured by untargeted metabolomics, with PeakVO</w:t>
      </w:r>
      <w:r w:rsidRPr="00083858">
        <w:rPr>
          <w:rFonts w:ascii="Arial" w:hAnsi="Arial" w:cs="Arial"/>
          <w:color w:val="000000" w:themeColor="text1"/>
          <w:sz w:val="20"/>
          <w:vertAlign w:val="subscript"/>
          <w:lang w:val="en-US"/>
        </w:rPr>
        <w:t>2</w:t>
      </w:r>
      <w:r w:rsidRPr="00083858">
        <w:rPr>
          <w:rFonts w:ascii="Arial" w:hAnsi="Arial" w:cs="Arial"/>
          <w:color w:val="000000" w:themeColor="text1"/>
          <w:sz w:val="20"/>
          <w:lang w:val="en-US"/>
        </w:rPr>
        <w:t xml:space="preserve"> in SHIP-TREND-0 (T0) men and women separately. Significant associations (FDR &lt; 0.05) are marked with a black box. Linear regression models were adjusted for age, height and smoking status. Orange and blue shading indicate positive and inverse associations, respectively. Unknown </w:t>
      </w:r>
    </w:p>
    <w:p w14:paraId="227BEBAF" w14:textId="73029198" w:rsidR="001A33BC" w:rsidRPr="00083858" w:rsidRDefault="001A33BC" w:rsidP="001A33BC">
      <w:pPr>
        <w:spacing w:after="0" w:line="240" w:lineRule="auto"/>
        <w:jc w:val="both"/>
        <w:rPr>
          <w:rFonts w:ascii="Arial" w:hAnsi="Arial" w:cs="Arial"/>
          <w:color w:val="000000" w:themeColor="text1"/>
          <w:sz w:val="20"/>
          <w:lang w:val="en-US"/>
        </w:rPr>
      </w:pPr>
      <w:r w:rsidRPr="00083858">
        <w:rPr>
          <w:rFonts w:ascii="Arial" w:hAnsi="Arial" w:cs="Arial"/>
          <w:color w:val="000000" w:themeColor="text1"/>
          <w:sz w:val="20"/>
          <w:lang w:val="en-US"/>
        </w:rPr>
        <w:t>metabolites are marked with X-.</w:t>
      </w:r>
    </w:p>
    <w:p w14:paraId="11C44205" w14:textId="548A71BD" w:rsidR="001A33BC" w:rsidRPr="00083858" w:rsidRDefault="001A33BC" w:rsidP="004D7CB2">
      <w:pPr>
        <w:rPr>
          <w:rFonts w:ascii="Arial" w:hAnsi="Arial" w:cs="Arial"/>
          <w:b/>
          <w:color w:val="000000" w:themeColor="text1"/>
          <w:lang w:val="en-US"/>
        </w:rPr>
      </w:pPr>
    </w:p>
    <w:p w14:paraId="5E3A3288" w14:textId="7A5F66C3" w:rsidR="001A33BC" w:rsidRPr="00083858" w:rsidRDefault="001A33BC" w:rsidP="004D7CB2">
      <w:pPr>
        <w:rPr>
          <w:rFonts w:ascii="Arial" w:hAnsi="Arial" w:cs="Arial"/>
          <w:b/>
          <w:color w:val="000000" w:themeColor="text1"/>
          <w:lang w:val="en-US"/>
        </w:rPr>
      </w:pPr>
    </w:p>
    <w:p w14:paraId="38F630DE" w14:textId="57BD7490" w:rsidR="001A33BC" w:rsidRPr="00083858" w:rsidRDefault="001A33BC" w:rsidP="004D7CB2">
      <w:pPr>
        <w:rPr>
          <w:rFonts w:ascii="Arial" w:hAnsi="Arial" w:cs="Arial"/>
          <w:b/>
          <w:color w:val="000000" w:themeColor="text1"/>
          <w:lang w:val="en-US"/>
        </w:rPr>
      </w:pPr>
    </w:p>
    <w:p w14:paraId="1A2D8FD5" w14:textId="4A0C2328" w:rsidR="001A33BC" w:rsidRPr="00083858" w:rsidRDefault="00000000" w:rsidP="004D7CB2">
      <w:pPr>
        <w:rPr>
          <w:rFonts w:ascii="Arial" w:hAnsi="Arial" w:cs="Arial"/>
          <w:b/>
          <w:color w:val="000000" w:themeColor="text1"/>
          <w:lang w:val="en-US"/>
        </w:rPr>
      </w:pPr>
      <w:r w:rsidRPr="00083858">
        <w:rPr>
          <w:rFonts w:ascii="Arial" w:hAnsi="Arial" w:cs="Arial"/>
          <w:b/>
          <w:noProof/>
          <w:color w:val="000000" w:themeColor="text1"/>
          <w:lang w:val="en-US"/>
        </w:rPr>
        <w:pict w14:anchorId="083C3D2D">
          <v:shape id="_x0000_i1027" type="#_x0000_t75" alt="" style="width:480.75pt;height:240.75pt;mso-width-percent:0;mso-height-percent:0;mso-width-percent:0;mso-height-percent:0">
            <v:imagedata r:id="rId9" o:title="Betas1"/>
          </v:shape>
        </w:pict>
      </w:r>
    </w:p>
    <w:p w14:paraId="369703D7" w14:textId="77777777" w:rsidR="001A33BC" w:rsidRPr="00083858" w:rsidRDefault="001A33BC" w:rsidP="001A33BC">
      <w:pPr>
        <w:rPr>
          <w:rFonts w:ascii="Arial" w:hAnsi="Arial" w:cs="Arial"/>
          <w:color w:val="000000" w:themeColor="text1"/>
          <w:lang w:val="en-US"/>
        </w:rPr>
      </w:pPr>
    </w:p>
    <w:p w14:paraId="5B5BC631" w14:textId="2645C9F3" w:rsidR="001A33BC" w:rsidRPr="00083858" w:rsidRDefault="001A33BC" w:rsidP="001A33BC">
      <w:pPr>
        <w:ind w:right="4648"/>
        <w:jc w:val="both"/>
        <w:rPr>
          <w:rFonts w:ascii="Arial" w:hAnsi="Arial" w:cs="Arial"/>
          <w:color w:val="000000" w:themeColor="text1"/>
          <w:sz w:val="20"/>
          <w:lang w:val="en-US"/>
        </w:rPr>
      </w:pPr>
      <w:r w:rsidRPr="00083858">
        <w:rPr>
          <w:rFonts w:ascii="Arial" w:hAnsi="Arial" w:cs="Arial"/>
          <w:b/>
          <w:color w:val="000000" w:themeColor="text1"/>
          <w:sz w:val="20"/>
          <w:lang w:val="en-US"/>
        </w:rPr>
        <w:t>Figure S3.</w:t>
      </w:r>
      <w:r w:rsidRPr="00083858">
        <w:rPr>
          <w:rFonts w:ascii="Arial" w:hAnsi="Arial" w:cs="Arial"/>
          <w:color w:val="000000" w:themeColor="text1"/>
          <w:sz w:val="20"/>
          <w:lang w:val="en-US"/>
        </w:rPr>
        <w:t xml:space="preserve"> Comparison of standardised beta coefficient calculated by linear regression models (see figure S1 and S2) between men and women separately in SHIP-START-2 (S2, right side) and SHIP-TREND-0 (T0, left side). Red circles represent metabolites that were significant in both men and women. Orange circles represent metabolites that were </w:t>
      </w:r>
      <w:r w:rsidR="007070FC" w:rsidRPr="00083858">
        <w:rPr>
          <w:rFonts w:ascii="Arial" w:hAnsi="Arial" w:cs="Arial"/>
          <w:color w:val="000000" w:themeColor="text1"/>
          <w:sz w:val="20"/>
          <w:lang w:val="en-US"/>
        </w:rPr>
        <w:t xml:space="preserve">either </w:t>
      </w:r>
      <w:r w:rsidRPr="00083858">
        <w:rPr>
          <w:rFonts w:ascii="Arial" w:hAnsi="Arial" w:cs="Arial"/>
          <w:color w:val="000000" w:themeColor="text1"/>
          <w:sz w:val="20"/>
          <w:lang w:val="en-US"/>
        </w:rPr>
        <w:t xml:space="preserve">significant in men </w:t>
      </w:r>
      <w:r w:rsidR="007070FC" w:rsidRPr="00083858">
        <w:rPr>
          <w:rFonts w:ascii="Arial" w:hAnsi="Arial" w:cs="Arial"/>
          <w:color w:val="000000" w:themeColor="text1"/>
          <w:sz w:val="20"/>
          <w:lang w:val="en-US"/>
        </w:rPr>
        <w:t>or</w:t>
      </w:r>
      <w:r w:rsidRPr="00083858">
        <w:rPr>
          <w:rFonts w:ascii="Arial" w:hAnsi="Arial" w:cs="Arial"/>
          <w:color w:val="000000" w:themeColor="text1"/>
          <w:sz w:val="20"/>
          <w:lang w:val="en-US"/>
        </w:rPr>
        <w:t xml:space="preserve"> women</w:t>
      </w:r>
      <w:r w:rsidR="007070FC" w:rsidRPr="00083858">
        <w:rPr>
          <w:rFonts w:ascii="Arial" w:hAnsi="Arial" w:cs="Arial"/>
          <w:color w:val="000000" w:themeColor="text1"/>
          <w:sz w:val="20"/>
          <w:lang w:val="en-US"/>
        </w:rPr>
        <w:t>.</w:t>
      </w:r>
      <w:r w:rsidRPr="00083858">
        <w:rPr>
          <w:rFonts w:ascii="Arial" w:hAnsi="Arial" w:cs="Arial"/>
          <w:color w:val="000000" w:themeColor="text1"/>
          <w:sz w:val="20"/>
          <w:lang w:val="en-US"/>
        </w:rPr>
        <w:t xml:space="preserve"> </w:t>
      </w:r>
    </w:p>
    <w:p w14:paraId="6E2F9A60" w14:textId="77777777" w:rsidR="004D7CB2" w:rsidRPr="00083858" w:rsidRDefault="004D7CB2" w:rsidP="001A33BC">
      <w:pPr>
        <w:rPr>
          <w:rFonts w:ascii="Arial" w:hAnsi="Arial" w:cs="Arial"/>
          <w:color w:val="000000" w:themeColor="text1"/>
          <w:lang w:val="en-US"/>
        </w:rPr>
        <w:sectPr w:rsidR="004D7CB2" w:rsidRPr="00083858" w:rsidSect="004D7CB2">
          <w:pgSz w:w="16838" w:h="11906" w:orient="landscape"/>
          <w:pgMar w:top="993" w:right="1417" w:bottom="1135" w:left="1134" w:header="708" w:footer="708" w:gutter="0"/>
          <w:cols w:space="708"/>
          <w:docGrid w:linePitch="360"/>
        </w:sectPr>
      </w:pPr>
    </w:p>
    <w:p w14:paraId="609D4F72" w14:textId="067A02A6" w:rsidR="000E0B12" w:rsidRPr="00083858" w:rsidRDefault="000E0B12" w:rsidP="004D7CB2">
      <w:pPr>
        <w:rPr>
          <w:rFonts w:ascii="Arial" w:hAnsi="Arial" w:cs="Arial"/>
          <w:b/>
          <w:color w:val="000000" w:themeColor="text1"/>
          <w:lang w:val="en-US"/>
        </w:rPr>
      </w:pPr>
      <w:r w:rsidRPr="00083858">
        <w:rPr>
          <w:rFonts w:ascii="Arial" w:hAnsi="Arial" w:cs="Arial"/>
          <w:b/>
          <w:color w:val="000000" w:themeColor="text1"/>
          <w:lang w:val="en-US"/>
        </w:rPr>
        <w:lastRenderedPageBreak/>
        <w:t>METHODS</w:t>
      </w:r>
    </w:p>
    <w:p w14:paraId="0DFDB9DC" w14:textId="77777777" w:rsidR="000E0B12" w:rsidRPr="00083858" w:rsidRDefault="000E0B12" w:rsidP="000E0B12">
      <w:pPr>
        <w:spacing w:line="480" w:lineRule="auto"/>
        <w:rPr>
          <w:rFonts w:ascii="Arial" w:hAnsi="Arial" w:cs="Arial"/>
          <w:b/>
          <w:i/>
          <w:color w:val="000000" w:themeColor="text1"/>
          <w:lang w:val="en-US"/>
        </w:rPr>
      </w:pPr>
      <w:r w:rsidRPr="00083858">
        <w:rPr>
          <w:rFonts w:ascii="Arial" w:hAnsi="Arial" w:cs="Arial"/>
          <w:b/>
          <w:i/>
          <w:color w:val="000000" w:themeColor="text1"/>
          <w:lang w:val="en-US"/>
        </w:rPr>
        <w:t>Untargeted LC-MS/MS profiling</w:t>
      </w:r>
    </w:p>
    <w:p w14:paraId="59CFE08C" w14:textId="4B6AE50E" w:rsidR="000E0B12" w:rsidRPr="00083858" w:rsidRDefault="000E0B12" w:rsidP="000E0B12">
      <w:pPr>
        <w:spacing w:after="0" w:line="480" w:lineRule="auto"/>
        <w:jc w:val="both"/>
        <w:rPr>
          <w:rFonts w:ascii="Arial" w:hAnsi="Arial" w:cs="Arial"/>
          <w:i/>
          <w:color w:val="000000" w:themeColor="text1"/>
          <w:sz w:val="20"/>
          <w:u w:val="single"/>
          <w:lang w:val="en-GB"/>
        </w:rPr>
      </w:pPr>
      <w:r w:rsidRPr="00083858">
        <w:rPr>
          <w:rFonts w:ascii="Arial" w:hAnsi="Arial" w:cs="Arial"/>
          <w:i/>
          <w:color w:val="000000" w:themeColor="text1"/>
          <w:sz w:val="20"/>
          <w:u w:val="single"/>
          <w:lang w:val="en-GB"/>
        </w:rPr>
        <w:t xml:space="preserve">Metabolomics </w:t>
      </w:r>
      <w:r w:rsidR="00653347" w:rsidRPr="00083858">
        <w:rPr>
          <w:rFonts w:ascii="Arial" w:hAnsi="Arial" w:cs="Arial"/>
          <w:i/>
          <w:color w:val="000000" w:themeColor="text1"/>
          <w:sz w:val="20"/>
          <w:u w:val="single"/>
          <w:lang w:val="en-GB"/>
        </w:rPr>
        <w:t>m</w:t>
      </w:r>
      <w:r w:rsidRPr="00083858">
        <w:rPr>
          <w:rFonts w:ascii="Arial" w:hAnsi="Arial" w:cs="Arial"/>
          <w:i/>
          <w:color w:val="000000" w:themeColor="text1"/>
          <w:sz w:val="20"/>
          <w:u w:val="single"/>
          <w:lang w:val="en-GB"/>
        </w:rPr>
        <w:t>easurements</w:t>
      </w:r>
    </w:p>
    <w:p w14:paraId="16E63A79" w14:textId="20AAAAFF" w:rsidR="000E0B12" w:rsidRPr="00083858" w:rsidRDefault="00153A05" w:rsidP="000E0B12">
      <w:pPr>
        <w:spacing w:after="0" w:line="480" w:lineRule="auto"/>
        <w:jc w:val="both"/>
        <w:rPr>
          <w:rFonts w:ascii="Arial" w:hAnsi="Arial" w:cs="Arial"/>
          <w:color w:val="000000" w:themeColor="text1"/>
          <w:sz w:val="20"/>
          <w:lang w:val="en-GB"/>
        </w:rPr>
      </w:pPr>
      <w:r w:rsidRPr="00083858">
        <w:rPr>
          <w:rFonts w:ascii="Arial" w:hAnsi="Arial" w:cs="Arial"/>
          <w:color w:val="000000" w:themeColor="text1"/>
          <w:sz w:val="20"/>
          <w:lang w:val="en-US"/>
        </w:rPr>
        <w:t>Un</w:t>
      </w:r>
      <w:r w:rsidR="000E0B12" w:rsidRPr="00083858">
        <w:rPr>
          <w:rFonts w:ascii="Arial" w:hAnsi="Arial" w:cs="Arial"/>
          <w:color w:val="000000" w:themeColor="text1"/>
          <w:sz w:val="20"/>
          <w:lang w:val="en-US"/>
        </w:rPr>
        <w:t xml:space="preserve">targeted metabolomics analysis for metabolic profiling was conducted at the Genome Analysis Center, Helmholtz </w:t>
      </w:r>
      <w:r w:rsidR="00FD12D3" w:rsidRPr="00083858">
        <w:rPr>
          <w:rFonts w:ascii="Arial" w:hAnsi="Arial" w:cs="Arial"/>
          <w:color w:val="000000" w:themeColor="text1"/>
          <w:sz w:val="20"/>
          <w:lang w:val="en-US"/>
        </w:rPr>
        <w:t>Center Munich</w:t>
      </w:r>
      <w:r w:rsidR="000E0B12" w:rsidRPr="00083858">
        <w:rPr>
          <w:rFonts w:ascii="Arial" w:hAnsi="Arial" w:cs="Arial"/>
          <w:color w:val="000000" w:themeColor="text1"/>
          <w:sz w:val="20"/>
          <w:lang w:val="en-US"/>
        </w:rPr>
        <w:t>. T</w:t>
      </w:r>
      <w:r w:rsidR="000E0B12" w:rsidRPr="00083858">
        <w:rPr>
          <w:rFonts w:ascii="Arial" w:hAnsi="Arial" w:cs="Arial"/>
          <w:color w:val="000000" w:themeColor="text1"/>
          <w:sz w:val="20"/>
          <w:lang w:val="en-GB"/>
        </w:rPr>
        <w:t xml:space="preserve">wo separate LC-MS/MS analytical methods as previously </w:t>
      </w:r>
      <w:r w:rsidR="00D42671" w:rsidRPr="00083858">
        <w:rPr>
          <w:rFonts w:ascii="Arial" w:hAnsi="Arial" w:cs="Arial"/>
          <w:color w:val="000000" w:themeColor="text1"/>
          <w:sz w:val="20"/>
          <w:lang w:val="en-GB"/>
        </w:rPr>
        <w:t>described</w:t>
      </w:r>
      <w:r w:rsidR="000E0B12" w:rsidRPr="00083858">
        <w:rPr>
          <w:rFonts w:ascii="Arial" w:hAnsi="Arial" w:cs="Arial"/>
          <w:color w:val="000000" w:themeColor="text1"/>
          <w:sz w:val="20"/>
          <w:lang w:val="en-GB"/>
        </w:rPr>
        <w:t xml:space="preserve">, i.e. in positive and in negative </w:t>
      </w:r>
      <w:r w:rsidR="00FD12D3" w:rsidRPr="00083858">
        <w:rPr>
          <w:rFonts w:ascii="Arial" w:hAnsi="Arial" w:cs="Arial"/>
          <w:color w:val="000000" w:themeColor="text1"/>
          <w:sz w:val="20"/>
          <w:lang w:val="en-GB"/>
        </w:rPr>
        <w:t xml:space="preserve">electrospray </w:t>
      </w:r>
      <w:r w:rsidR="000E0B12" w:rsidRPr="00083858">
        <w:rPr>
          <w:rFonts w:ascii="Arial" w:hAnsi="Arial" w:cs="Arial"/>
          <w:color w:val="000000" w:themeColor="text1"/>
          <w:sz w:val="20"/>
          <w:lang w:val="en-GB"/>
        </w:rPr>
        <w:t xml:space="preserve">ionization modes, were used to detect a broad metabolite panel </w:t>
      </w:r>
      <w:r w:rsidR="000E0B12" w:rsidRPr="00083858">
        <w:rPr>
          <w:rFonts w:ascii="Arial" w:hAnsi="Arial" w:cs="Arial"/>
          <w:color w:val="000000" w:themeColor="text1"/>
          <w:sz w:val="20"/>
          <w:lang w:val="en-GB"/>
        </w:rPr>
        <w:fldChar w:fldCharType="begin"/>
      </w:r>
      <w:r w:rsidR="0078788C" w:rsidRPr="00083858">
        <w:rPr>
          <w:rFonts w:ascii="Arial" w:hAnsi="Arial" w:cs="Arial"/>
          <w:color w:val="000000" w:themeColor="text1"/>
          <w:sz w:val="20"/>
          <w:lang w:val="en-GB"/>
        </w:rPr>
        <w:instrText xml:space="preserve"> ADDIN EN.CITE &lt;EndNote&gt;&lt;Cite&gt;&lt;Author&gt;Evans&lt;/Author&gt;&lt;Year&gt;2009&lt;/Year&gt;&lt;RecNum&gt;114&lt;/RecNum&gt;&lt;DisplayText&gt;[1]&lt;/DisplayText&gt;&lt;record&gt;&lt;rec-number&gt;114&lt;/rec-number&gt;&lt;foreign-keys&gt;&lt;key app="EN" db-id="efsvt2v2x5szages2f65t5p2ee9dzezwz52s" timestamp="1522052434"&gt;114&lt;/key&gt;&lt;/foreign-keys&gt;&lt;ref-type name="Journal Article"&gt;17&lt;/ref-type&gt;&lt;contributors&gt;&lt;authors&gt;&lt;author&gt;Evans, A. M.&lt;/author&gt;&lt;author&gt;DeHaven, C. D.&lt;/author&gt;&lt;author&gt;Barrett, T.&lt;/author&gt;&lt;author&gt;Mitchell, M.&lt;/author&gt;&lt;author&gt;Milgram, E.&lt;/author&gt;&lt;/authors&gt;&lt;/contributors&gt;&lt;auth-address&gt;Metabolon, Incorporated, 800 Capitola Drive, Suite 1, Durham, North Carolina 27713, USA.&lt;/auth-address&gt;&lt;titles&gt;&lt;title&gt;Integrated, nontargeted ultrahigh performance liquid chromatography/electrospray ionization tandem mass spectrometry platform for the identification and relative quantification of the small-molecule complement of biological systems&lt;/title&gt;&lt;secondary-title&gt;Anal Chem&lt;/secondary-title&gt;&lt;alt-title&gt;Analytical chemistry&lt;/alt-title&gt;&lt;/titles&gt;&lt;periodical&gt;&lt;full-title&gt;Anal Chem&lt;/full-title&gt;&lt;abbr-1&gt;Analytical chemistry&lt;/abbr-1&gt;&lt;/periodical&gt;&lt;alt-periodical&gt;&lt;full-title&gt;Anal Chem&lt;/full-title&gt;&lt;abbr-1&gt;Analytical chemistry&lt;/abbr-1&gt;&lt;/alt-periodical&gt;&lt;pages&gt;6656-67&lt;/pages&gt;&lt;volume&gt;81&lt;/volume&gt;&lt;number&gt;16&lt;/number&gt;&lt;edition&gt;2009/07/25&lt;/edition&gt;&lt;keywords&gt;&lt;keyword&gt;Adolescent&lt;/keyword&gt;&lt;keyword&gt;Adult&lt;/keyword&gt;&lt;keyword&gt;Chromatography, Liquid/*methods&lt;/keyword&gt;&lt;keyword&gt;Humans&lt;/keyword&gt;&lt;keyword&gt;Male&lt;/keyword&gt;&lt;keyword&gt;Spectrometry, Mass, Electrospray Ionization/*methods&lt;/keyword&gt;&lt;keyword&gt;Tandem Mass Spectrometry/*methods&lt;/keyword&gt;&lt;keyword&gt;Young Adult&lt;/keyword&gt;&lt;/keywords&gt;&lt;dates&gt;&lt;year&gt;2009&lt;/year&gt;&lt;pub-dates&gt;&lt;date&gt;Aug 15&lt;/date&gt;&lt;/pub-dates&gt;&lt;/dates&gt;&lt;isbn&gt;0003-2700&lt;/isbn&gt;&lt;accession-num&gt;19624122&lt;/accession-num&gt;&lt;urls&gt;&lt;/urls&gt;&lt;electronic-resource-num&gt;10.1021/ac901536h&lt;/electronic-resource-num&gt;&lt;remote-database-provider&gt;NLM&lt;/remote-database-provider&gt;&lt;language&gt;eng&lt;/language&gt;&lt;/record&gt;&lt;/Cite&gt;&lt;/EndNote&gt;</w:instrText>
      </w:r>
      <w:r w:rsidR="000E0B12" w:rsidRPr="00083858">
        <w:rPr>
          <w:rFonts w:ascii="Arial" w:hAnsi="Arial" w:cs="Arial"/>
          <w:color w:val="000000" w:themeColor="text1"/>
          <w:sz w:val="20"/>
          <w:lang w:val="en-GB"/>
        </w:rPr>
        <w:fldChar w:fldCharType="separate"/>
      </w:r>
      <w:r w:rsidR="0078788C" w:rsidRPr="00083858">
        <w:rPr>
          <w:rFonts w:ascii="Arial" w:hAnsi="Arial" w:cs="Arial"/>
          <w:noProof/>
          <w:color w:val="000000" w:themeColor="text1"/>
          <w:sz w:val="20"/>
          <w:lang w:val="en-GB"/>
        </w:rPr>
        <w:t>[1]</w:t>
      </w:r>
      <w:r w:rsidR="000E0B12" w:rsidRPr="00083858">
        <w:rPr>
          <w:rFonts w:ascii="Arial" w:hAnsi="Arial" w:cs="Arial"/>
          <w:color w:val="000000" w:themeColor="text1"/>
          <w:sz w:val="20"/>
          <w:lang w:val="en-GB"/>
        </w:rPr>
        <w:fldChar w:fldCharType="end"/>
      </w:r>
      <w:r w:rsidR="000E0B12" w:rsidRPr="00083858">
        <w:rPr>
          <w:rFonts w:ascii="Arial" w:hAnsi="Arial" w:cs="Arial"/>
          <w:color w:val="000000" w:themeColor="text1"/>
          <w:sz w:val="20"/>
          <w:lang w:val="en-GB"/>
        </w:rPr>
        <w:t xml:space="preserve">. </w:t>
      </w:r>
      <w:r w:rsidR="000E0B12" w:rsidRPr="00083858">
        <w:rPr>
          <w:rFonts w:ascii="Arial" w:hAnsi="Arial" w:cs="Arial"/>
          <w:color w:val="000000" w:themeColor="text1"/>
          <w:sz w:val="20"/>
          <w:lang w:val="en-US"/>
        </w:rPr>
        <w:t xml:space="preserve">In this study, samples were divided into two sets according to the biological matrices of the samples, i.e. plasma. On the day of extraction, samples were thawed on ice. </w:t>
      </w:r>
      <w:r w:rsidR="00D42671" w:rsidRPr="00083858">
        <w:rPr>
          <w:rFonts w:ascii="Arial" w:hAnsi="Arial" w:cs="Arial"/>
          <w:color w:val="000000" w:themeColor="text1"/>
          <w:sz w:val="20"/>
          <w:lang w:val="en-US"/>
        </w:rPr>
        <w:t xml:space="preserve">Of each sample </w:t>
      </w:r>
      <w:r w:rsidR="000E0B12" w:rsidRPr="00083858">
        <w:rPr>
          <w:rFonts w:ascii="Arial" w:hAnsi="Arial" w:cs="Arial"/>
          <w:color w:val="000000" w:themeColor="text1"/>
          <w:sz w:val="20"/>
          <w:lang w:val="en-US"/>
        </w:rPr>
        <w:t>100</w:t>
      </w:r>
      <w:r w:rsidR="00D42671" w:rsidRPr="00083858">
        <w:rPr>
          <w:rFonts w:ascii="Arial" w:hAnsi="Arial" w:cs="Arial"/>
          <w:color w:val="000000" w:themeColor="text1"/>
          <w:sz w:val="20"/>
          <w:lang w:val="en-US"/>
        </w:rPr>
        <w:t xml:space="preserve"> </w:t>
      </w:r>
      <w:r w:rsidR="000E0B12" w:rsidRPr="00083858">
        <w:rPr>
          <w:rFonts w:ascii="Arial" w:hAnsi="Arial" w:cs="Arial"/>
          <w:color w:val="000000" w:themeColor="text1"/>
          <w:sz w:val="20"/>
          <w:lang w:val="en-US"/>
        </w:rPr>
        <w:t>µL were pipetted into a 96-well plate</w:t>
      </w:r>
      <w:r w:rsidR="007F2828" w:rsidRPr="00083858">
        <w:rPr>
          <w:rFonts w:ascii="Arial" w:hAnsi="Arial" w:cs="Arial"/>
          <w:color w:val="000000" w:themeColor="text1"/>
          <w:sz w:val="20"/>
          <w:lang w:val="en-US"/>
        </w:rPr>
        <w:t xml:space="preserve"> (2 mL volume per well)</w:t>
      </w:r>
      <w:r w:rsidR="000E0B12" w:rsidRPr="00083858">
        <w:rPr>
          <w:rFonts w:ascii="Arial" w:hAnsi="Arial" w:cs="Arial"/>
          <w:color w:val="000000" w:themeColor="text1"/>
          <w:sz w:val="20"/>
          <w:lang w:val="en-US"/>
        </w:rPr>
        <w:t xml:space="preserve">. In addition to study samples, a pooled </w:t>
      </w:r>
      <w:r w:rsidR="00D42671" w:rsidRPr="00083858">
        <w:rPr>
          <w:rFonts w:ascii="Arial" w:hAnsi="Arial" w:cs="Arial"/>
          <w:color w:val="000000" w:themeColor="text1"/>
          <w:sz w:val="20"/>
          <w:lang w:val="en-US"/>
        </w:rPr>
        <w:t xml:space="preserve">human </w:t>
      </w:r>
      <w:r w:rsidR="000E0B12" w:rsidRPr="00083858">
        <w:rPr>
          <w:rFonts w:ascii="Arial" w:hAnsi="Arial" w:cs="Arial"/>
          <w:color w:val="000000" w:themeColor="text1"/>
          <w:sz w:val="20"/>
          <w:lang w:val="en-US"/>
        </w:rPr>
        <w:t>reference plasma sample (Seralab, West Sussex, United Kingdom) and another pooled reference matrix of each sample set (Seralab, West Sussex, United Kingdom) were extracted</w:t>
      </w:r>
      <w:r w:rsidR="007F2828" w:rsidRPr="00083858">
        <w:rPr>
          <w:rFonts w:ascii="Arial" w:hAnsi="Arial" w:cs="Arial"/>
          <w:color w:val="000000" w:themeColor="text1"/>
          <w:sz w:val="20"/>
          <w:lang w:val="en-US"/>
        </w:rPr>
        <w:t xml:space="preserve"> (1 well and 6 wells, re</w:t>
      </w:r>
      <w:r w:rsidR="00DD474E" w:rsidRPr="00083858">
        <w:rPr>
          <w:rFonts w:ascii="Arial" w:hAnsi="Arial" w:cs="Arial"/>
          <w:color w:val="000000" w:themeColor="text1"/>
          <w:sz w:val="20"/>
          <w:lang w:val="en-US"/>
        </w:rPr>
        <w:t>s</w:t>
      </w:r>
      <w:r w:rsidR="007F2828" w:rsidRPr="00083858">
        <w:rPr>
          <w:rFonts w:ascii="Arial" w:hAnsi="Arial" w:cs="Arial"/>
          <w:color w:val="000000" w:themeColor="text1"/>
          <w:sz w:val="20"/>
          <w:lang w:val="en-US"/>
        </w:rPr>
        <w:t>pectively)</w:t>
      </w:r>
      <w:r w:rsidR="000E0B12" w:rsidRPr="00083858">
        <w:rPr>
          <w:rFonts w:ascii="Arial" w:hAnsi="Arial" w:cs="Arial"/>
          <w:color w:val="000000" w:themeColor="text1"/>
          <w:sz w:val="20"/>
          <w:lang w:val="en-US"/>
        </w:rPr>
        <w:t>. These samples served as technical replicates throughout the data set to assess process variability. Beside those samples, 100</w:t>
      </w:r>
      <w:r w:rsidR="007F2828" w:rsidRPr="00083858">
        <w:rPr>
          <w:rFonts w:ascii="Arial" w:hAnsi="Arial" w:cs="Arial"/>
          <w:color w:val="000000" w:themeColor="text1"/>
          <w:sz w:val="20"/>
          <w:lang w:val="en-US"/>
        </w:rPr>
        <w:t xml:space="preserve"> </w:t>
      </w:r>
      <w:r w:rsidR="000E0B12" w:rsidRPr="00083858">
        <w:rPr>
          <w:rFonts w:ascii="Arial" w:hAnsi="Arial" w:cs="Arial"/>
          <w:color w:val="000000" w:themeColor="text1"/>
          <w:sz w:val="20"/>
        </w:rPr>
        <w:t>μ</w:t>
      </w:r>
      <w:r w:rsidR="000E0B12" w:rsidRPr="00083858">
        <w:rPr>
          <w:rFonts w:ascii="Arial" w:hAnsi="Arial" w:cs="Arial"/>
          <w:color w:val="000000" w:themeColor="text1"/>
          <w:sz w:val="20"/>
          <w:lang w:val="en-US"/>
        </w:rPr>
        <w:t>L of water was extracted as samples to serve as process blanks</w:t>
      </w:r>
      <w:r w:rsidR="007F2828" w:rsidRPr="00083858">
        <w:rPr>
          <w:rFonts w:ascii="Arial" w:hAnsi="Arial" w:cs="Arial"/>
          <w:color w:val="000000" w:themeColor="text1"/>
          <w:sz w:val="20"/>
          <w:lang w:val="en-US"/>
        </w:rPr>
        <w:t xml:space="preserve"> (6 wells)</w:t>
      </w:r>
      <w:r w:rsidR="000E0B12" w:rsidRPr="00083858">
        <w:rPr>
          <w:rFonts w:ascii="Arial" w:hAnsi="Arial" w:cs="Arial"/>
          <w:color w:val="000000" w:themeColor="text1"/>
          <w:sz w:val="20"/>
          <w:lang w:val="en-US"/>
        </w:rPr>
        <w:t>. Protein was precipitated and the metabolites were extracted with 475</w:t>
      </w:r>
      <w:r w:rsidR="007F2828" w:rsidRPr="00083858">
        <w:rPr>
          <w:rFonts w:ascii="Arial" w:hAnsi="Arial" w:cs="Arial"/>
          <w:color w:val="000000" w:themeColor="text1"/>
          <w:sz w:val="20"/>
          <w:lang w:val="en-US"/>
        </w:rPr>
        <w:t xml:space="preserve"> </w:t>
      </w:r>
      <w:r w:rsidR="000E0B12" w:rsidRPr="00083858">
        <w:rPr>
          <w:rFonts w:ascii="Arial" w:hAnsi="Arial" w:cs="Arial"/>
          <w:color w:val="000000" w:themeColor="text1"/>
          <w:sz w:val="20"/>
          <w:lang w:val="en-US"/>
        </w:rPr>
        <w:t>µL methanol, containing four recovery standards to monitor the extraction efficiency. After centrifugation, the supernatant was split into 4 aliquots of 100</w:t>
      </w:r>
      <w:r w:rsidR="007F2828" w:rsidRPr="00083858">
        <w:rPr>
          <w:rFonts w:ascii="Arial" w:hAnsi="Arial" w:cs="Arial"/>
          <w:color w:val="000000" w:themeColor="text1"/>
          <w:sz w:val="20"/>
          <w:lang w:val="en-US"/>
        </w:rPr>
        <w:t xml:space="preserve"> </w:t>
      </w:r>
      <w:r w:rsidR="000E0B12" w:rsidRPr="00083858">
        <w:rPr>
          <w:rFonts w:ascii="Arial" w:hAnsi="Arial" w:cs="Arial"/>
          <w:color w:val="000000" w:themeColor="text1"/>
          <w:sz w:val="20"/>
          <w:lang w:val="en-US"/>
        </w:rPr>
        <w:t xml:space="preserve">µL each onto two 96-well microplates. The first 2 aliquots were used for LC-MS/MS analysis in positive and negative electrospray ionization mode. Two further aliquots were kept as a reserve. The extracts were dried on a TurboVap 96 (Zymark, Sotax, Lörrach, Germany). Prior to LC-MS/MS in positive ion mode, the samples were reconstituted with </w:t>
      </w:r>
      <w:r w:rsidR="00FD12D3" w:rsidRPr="00083858">
        <w:rPr>
          <w:rFonts w:ascii="Arial" w:hAnsi="Arial" w:cs="Arial"/>
          <w:color w:val="000000" w:themeColor="text1"/>
          <w:sz w:val="20"/>
          <w:szCs w:val="20"/>
          <w:lang w:val="en-US"/>
        </w:rPr>
        <w:t xml:space="preserve">solvents compatible with each of </w:t>
      </w:r>
      <w:r w:rsidR="00FD12D3" w:rsidRPr="00083858">
        <w:rPr>
          <w:rFonts w:ascii="Arial" w:hAnsi="Arial" w:cs="Arial"/>
          <w:color w:val="000000" w:themeColor="text1"/>
          <w:sz w:val="20"/>
          <w:szCs w:val="20"/>
          <w:lang w:val="en-GB"/>
        </w:rPr>
        <w:t>both</w:t>
      </w:r>
      <w:r w:rsidR="00FD12D3" w:rsidRPr="00083858">
        <w:rPr>
          <w:rFonts w:ascii="Arial" w:hAnsi="Arial" w:cs="Arial"/>
          <w:color w:val="000000" w:themeColor="text1"/>
          <w:sz w:val="20"/>
          <w:szCs w:val="20"/>
          <w:lang w:val="en-US"/>
        </w:rPr>
        <w:t xml:space="preserve"> ionization methods </w:t>
      </w:r>
      <w:r w:rsidR="000E0B12" w:rsidRPr="00083858">
        <w:rPr>
          <w:rFonts w:ascii="Arial" w:hAnsi="Arial" w:cs="Arial"/>
          <w:color w:val="000000" w:themeColor="text1"/>
          <w:sz w:val="20"/>
          <w:lang w:val="en-US"/>
        </w:rPr>
        <w:t>(50</w:t>
      </w:r>
      <w:r w:rsidR="007F2828" w:rsidRPr="00083858">
        <w:rPr>
          <w:rFonts w:ascii="Arial" w:hAnsi="Arial" w:cs="Arial"/>
          <w:color w:val="000000" w:themeColor="text1"/>
          <w:sz w:val="20"/>
          <w:lang w:val="en-US"/>
        </w:rPr>
        <w:t xml:space="preserve"> </w:t>
      </w:r>
      <w:r w:rsidR="000E0B12" w:rsidRPr="00083858">
        <w:rPr>
          <w:rFonts w:ascii="Arial" w:hAnsi="Arial" w:cs="Arial"/>
          <w:color w:val="000000" w:themeColor="text1"/>
          <w:sz w:val="20"/>
          <w:lang w:val="en-US"/>
        </w:rPr>
        <w:t>µ</w:t>
      </w:r>
      <w:r w:rsidR="007F2828" w:rsidRPr="00083858">
        <w:rPr>
          <w:rFonts w:ascii="Arial" w:hAnsi="Arial" w:cs="Arial"/>
          <w:color w:val="000000" w:themeColor="text1"/>
          <w:sz w:val="20"/>
          <w:lang w:val="en-US"/>
        </w:rPr>
        <w:t>L</w:t>
      </w:r>
      <w:r w:rsidR="000E0B12" w:rsidRPr="00083858">
        <w:rPr>
          <w:rFonts w:ascii="Arial" w:hAnsi="Arial" w:cs="Arial"/>
          <w:color w:val="000000" w:themeColor="text1"/>
          <w:sz w:val="20"/>
          <w:lang w:val="en-US"/>
        </w:rPr>
        <w:t xml:space="preserve"> </w:t>
      </w:r>
      <w:r w:rsidR="007F7AD5" w:rsidRPr="00083858">
        <w:rPr>
          <w:rFonts w:ascii="Arial" w:hAnsi="Arial" w:cs="Arial"/>
          <w:color w:val="000000" w:themeColor="text1"/>
          <w:sz w:val="20"/>
          <w:lang w:val="en-US"/>
        </w:rPr>
        <w:t>of</w:t>
      </w:r>
      <w:r w:rsidR="000E0B12" w:rsidRPr="00083858">
        <w:rPr>
          <w:rFonts w:ascii="Arial" w:hAnsi="Arial" w:cs="Arial"/>
          <w:color w:val="000000" w:themeColor="text1"/>
          <w:sz w:val="20"/>
          <w:lang w:val="en-US"/>
        </w:rPr>
        <w:t xml:space="preserve"> plasma). Reconstitution solvents for both ionization modes contained internal standards that allowed monitoring of instrument performance and also served as retention reference markers. To minimize human error, liquid handling was performed </w:t>
      </w:r>
      <w:r w:rsidR="007F2828" w:rsidRPr="00083858">
        <w:rPr>
          <w:rFonts w:ascii="Arial" w:hAnsi="Arial" w:cs="Arial"/>
          <w:color w:val="000000" w:themeColor="text1"/>
          <w:sz w:val="20"/>
          <w:lang w:val="en-US"/>
        </w:rPr>
        <w:t xml:space="preserve">by </w:t>
      </w:r>
      <w:r w:rsidR="000E0B12" w:rsidRPr="00083858">
        <w:rPr>
          <w:rFonts w:ascii="Arial" w:hAnsi="Arial" w:cs="Arial"/>
          <w:color w:val="000000" w:themeColor="text1"/>
          <w:sz w:val="20"/>
          <w:lang w:val="en-US"/>
        </w:rPr>
        <w:t xml:space="preserve">a Hamilton Microlab STAR robot (Hamilton Bonaduz AG, Bonaduz, Switzerland). </w:t>
      </w:r>
      <w:r w:rsidR="000E0B12" w:rsidRPr="00083858">
        <w:rPr>
          <w:rFonts w:ascii="Arial" w:hAnsi="Arial" w:cs="Arial"/>
          <w:color w:val="000000" w:themeColor="text1"/>
          <w:sz w:val="20"/>
          <w:lang w:val="en-GB"/>
        </w:rPr>
        <w:t>LC-MS/MS analysis was performed on a linear ion trap LTQ XL mass spectrometer (Thermo Fisher Scientific GmbH, Dreieich, Germany) coupled with a Waters Acquity UPLC system (Waters GmbH, Eschborn, Germany). Two separate columns (2.1 x 100 mm Waters BEH C18, 1.7 µm particle-size) were used either for acidic (solvent A: 0.1% formic acid in water, solvent B: 0.1% formic acid in methanol) and or for basic (A: 6.5</w:t>
      </w:r>
      <w:r w:rsidR="007F2828" w:rsidRPr="00083858">
        <w:rPr>
          <w:rFonts w:ascii="Arial" w:hAnsi="Arial" w:cs="Arial"/>
          <w:color w:val="000000" w:themeColor="text1"/>
          <w:sz w:val="20"/>
          <w:lang w:val="en-GB"/>
        </w:rPr>
        <w:t xml:space="preserve"> </w:t>
      </w:r>
      <w:r w:rsidR="000E0B12" w:rsidRPr="00083858">
        <w:rPr>
          <w:rFonts w:ascii="Arial" w:hAnsi="Arial" w:cs="Arial"/>
          <w:color w:val="000000" w:themeColor="text1"/>
          <w:sz w:val="20"/>
          <w:lang w:val="en-GB"/>
        </w:rPr>
        <w:t>mM ammonium bicarbonate, pH 8.0, B: 6.5</w:t>
      </w:r>
      <w:r w:rsidR="007F2828" w:rsidRPr="00083858">
        <w:rPr>
          <w:rFonts w:ascii="Arial" w:hAnsi="Arial" w:cs="Arial"/>
          <w:color w:val="000000" w:themeColor="text1"/>
          <w:sz w:val="20"/>
          <w:lang w:val="en-GB"/>
        </w:rPr>
        <w:t xml:space="preserve"> </w:t>
      </w:r>
      <w:r w:rsidR="000E0B12" w:rsidRPr="00083858">
        <w:rPr>
          <w:rFonts w:ascii="Arial" w:hAnsi="Arial" w:cs="Arial"/>
          <w:color w:val="000000" w:themeColor="text1"/>
          <w:sz w:val="20"/>
          <w:lang w:val="en-GB"/>
        </w:rPr>
        <w:t xml:space="preserve">mM ammonium bicarbonate in 95% methanol) mobile phase conditions, optimized for positive and negative electrospray ionization, respectively. After injection of the sample extracts, the columns were developed in a gradient of 99.5% A to 98% B over an 11 min run </w:t>
      </w:r>
      <w:r w:rsidR="000E0B12" w:rsidRPr="00083858">
        <w:rPr>
          <w:rFonts w:ascii="Arial" w:hAnsi="Arial" w:cs="Arial"/>
          <w:color w:val="000000" w:themeColor="text1"/>
          <w:sz w:val="20"/>
          <w:lang w:val="en-GB"/>
        </w:rPr>
        <w:lastRenderedPageBreak/>
        <w:t>time at 350</w:t>
      </w:r>
      <w:r w:rsidR="007F2828" w:rsidRPr="00083858">
        <w:rPr>
          <w:rFonts w:ascii="Arial" w:hAnsi="Arial" w:cs="Arial"/>
          <w:color w:val="000000" w:themeColor="text1"/>
          <w:sz w:val="20"/>
          <w:lang w:val="en-GB"/>
        </w:rPr>
        <w:t xml:space="preserve"> </w:t>
      </w:r>
      <w:r w:rsidR="000E0B12" w:rsidRPr="00083858">
        <w:rPr>
          <w:rFonts w:ascii="Arial" w:hAnsi="Arial" w:cs="Arial"/>
          <w:color w:val="000000" w:themeColor="text1"/>
          <w:sz w:val="20"/>
          <w:lang w:val="en-GB"/>
        </w:rPr>
        <w:t xml:space="preserve">µL/min flow rate. The eluent flow was directly run through the ESI source of the LTQ XL mass spectrometer. The mass spectrometer analysis alternated between MS and data-dependent MS/MS scans using dynamic exclusion and the scan range was from 80-1000 m/z. </w:t>
      </w:r>
      <w:r w:rsidR="000E0B12" w:rsidRPr="00083858">
        <w:rPr>
          <w:rFonts w:ascii="Arial" w:hAnsi="Arial" w:cs="Arial"/>
          <w:color w:val="000000" w:themeColor="text1"/>
          <w:sz w:val="20"/>
          <w:lang w:val="en-US"/>
        </w:rPr>
        <w:t>Metabolites were identified by Metabolon, Inc. from the LC-MS/MS data by automated multiparametric comparison with a proprietary library, containing retention times, m/z ratios, and related adduct/fragment spectra</w:t>
      </w:r>
      <w:r w:rsidR="007F2828" w:rsidRPr="00083858">
        <w:rPr>
          <w:rFonts w:ascii="Arial" w:hAnsi="Arial" w:cs="Arial"/>
          <w:color w:val="000000" w:themeColor="text1"/>
          <w:sz w:val="20"/>
          <w:lang w:val="en-US"/>
        </w:rPr>
        <w:t xml:space="preserve"> </w:t>
      </w:r>
      <w:r w:rsidR="000E0B12" w:rsidRPr="00083858">
        <w:rPr>
          <w:rFonts w:ascii="Arial" w:hAnsi="Arial" w:cs="Arial"/>
          <w:color w:val="000000" w:themeColor="text1"/>
          <w:sz w:val="20"/>
        </w:rPr>
        <w:fldChar w:fldCharType="begin"/>
      </w:r>
      <w:r w:rsidR="0078788C" w:rsidRPr="00083858">
        <w:rPr>
          <w:rFonts w:ascii="Arial" w:hAnsi="Arial" w:cs="Arial"/>
          <w:color w:val="000000" w:themeColor="text1"/>
          <w:sz w:val="20"/>
          <w:lang w:val="en-US"/>
        </w:rPr>
        <w:instrText xml:space="preserve"> ADDIN EN.CITE &lt;EndNote&gt;&lt;Cite&gt;&lt;Author&gt;Lawton&lt;/Author&gt;&lt;Year&gt;2008&lt;/Year&gt;&lt;RecNum&gt;115&lt;/RecNum&gt;&lt;DisplayText&gt;[2]&lt;/DisplayText&gt;&lt;record&gt;&lt;rec-number&gt;115&lt;/rec-number&gt;&lt;foreign-keys&gt;&lt;key app="EN" db-id="efsvt2v2x5szages2f65t5p2ee9dzezwz52s" timestamp="1522052434"&gt;115&lt;/key&gt;&lt;/foreign-keys&gt;&lt;ref-type name="Journal Article"&gt;17&lt;/ref-type&gt;&lt;contributors&gt;&lt;authors&gt;&lt;author&gt;Lawton, K. A.&lt;/author&gt;&lt;author&gt;Berger, A.&lt;/author&gt;&lt;author&gt;Mitchell, M.&lt;/author&gt;&lt;author&gt;Milgram, K. E.&lt;/author&gt;&lt;author&gt;Evans, A. M.&lt;/author&gt;&lt;author&gt;Guo, L.&lt;/author&gt;&lt;author&gt;Hanson, R. W.&lt;/author&gt;&lt;author&gt;Kalhan, S. C.&lt;/author&gt;&lt;author&gt;Ryals, J. A.&lt;/author&gt;&lt;author&gt;Milburn, M. V.&lt;/author&gt;&lt;/authors&gt;&lt;/contributors&gt;&lt;auth-address&gt;Metabolon, Inc, 800 Capitola Dr. Suite 1, Durham, NC 27713, USA.&lt;/auth-address&gt;&lt;titles&gt;&lt;title&gt;Analysis of the adult human plasma metabolome&lt;/title&gt;&lt;secondary-title&gt;Pharmacogenomics&lt;/secondary-title&gt;&lt;alt-title&gt;Pharmacogenomics&lt;/alt-title&gt;&lt;/titles&gt;&lt;periodical&gt;&lt;full-title&gt;Pharmacogenomics&lt;/full-title&gt;&lt;abbr-1&gt;Pharmacogenomics&lt;/abbr-1&gt;&lt;/periodical&gt;&lt;alt-periodical&gt;&lt;full-title&gt;Pharmacogenomics&lt;/full-title&gt;&lt;abbr-1&gt;Pharmacogenomics&lt;/abbr-1&gt;&lt;/alt-periodical&gt;&lt;pages&gt;383-97&lt;/pages&gt;&lt;volume&gt;9&lt;/volume&gt;&lt;number&gt;4&lt;/number&gt;&lt;edition&gt;2008/04/04&lt;/edition&gt;&lt;keywords&gt;&lt;keyword&gt;Adult&lt;/keyword&gt;&lt;keyword&gt;Age Factors&lt;/keyword&gt;&lt;keyword&gt;Aged&lt;/keyword&gt;&lt;keyword&gt;Cohort Studies&lt;/keyword&gt;</w:instrText>
      </w:r>
      <w:r w:rsidR="0078788C" w:rsidRPr="00083858">
        <w:rPr>
          <w:rFonts w:ascii="Arial" w:hAnsi="Arial" w:cs="Arial"/>
          <w:color w:val="000000" w:themeColor="text1"/>
          <w:sz w:val="20"/>
          <w:lang w:val="en-GB"/>
        </w:rPr>
        <w:instrText>&lt;keyword&gt;Female&lt;/keyword&gt;&lt;keyword&gt;Humans&lt;/keyword&gt;&lt;keyword&gt;Male&lt;/keyword&gt;&lt;keyword&gt;Metabolism/ physiology&lt;/keyword&gt;&lt;keyword&gt;Middle Aged&lt;/keyword&gt;&lt;keyword&gt;Plasma/chemistry/ metabolism&lt;/keyword&gt;&lt;/keywords&gt;&lt;dates&gt;&lt;year&gt;2008&lt;/year&gt;&lt;pub-dates&gt;&lt;date&gt;Apr&lt;/date&gt;&lt;/pub-dates&gt;&lt;/dates&gt;&lt;isbn&gt;1744-8042 (Electronic)&amp;#xD;1462-2416 (Linking)&lt;/isbn&gt;&lt;accession-num&gt;18384253&lt;/accession-num&gt;&lt;urls&gt;&lt;/urls&gt;&lt;electronic-resource-num&gt;10.2217/14622416.9.4.383&lt;/electronic-resource-num&gt;&lt;remote-database-provider&gt;NLM&lt;/remote-database-provider&gt;&lt;language&gt;eng&lt;/language&gt;&lt;/record&gt;&lt;/Cite&gt;&lt;/EndNote&gt;</w:instrText>
      </w:r>
      <w:r w:rsidR="000E0B12" w:rsidRPr="00083858">
        <w:rPr>
          <w:rFonts w:ascii="Arial" w:hAnsi="Arial" w:cs="Arial"/>
          <w:color w:val="000000" w:themeColor="text1"/>
          <w:sz w:val="20"/>
        </w:rPr>
        <w:fldChar w:fldCharType="separate"/>
      </w:r>
      <w:r w:rsidR="0078788C" w:rsidRPr="00083858">
        <w:rPr>
          <w:rFonts w:ascii="Arial" w:hAnsi="Arial" w:cs="Arial"/>
          <w:noProof/>
          <w:color w:val="000000" w:themeColor="text1"/>
          <w:sz w:val="20"/>
          <w:lang w:val="en-US"/>
        </w:rPr>
        <w:t>[2]</w:t>
      </w:r>
      <w:r w:rsidR="000E0B12" w:rsidRPr="00083858">
        <w:rPr>
          <w:rFonts w:ascii="Arial" w:hAnsi="Arial" w:cs="Arial"/>
          <w:color w:val="000000" w:themeColor="text1"/>
          <w:sz w:val="20"/>
        </w:rPr>
        <w:fldChar w:fldCharType="end"/>
      </w:r>
      <w:r w:rsidR="000E0B12" w:rsidRPr="00083858">
        <w:rPr>
          <w:rFonts w:ascii="Arial" w:hAnsi="Arial" w:cs="Arial"/>
          <w:color w:val="000000" w:themeColor="text1"/>
          <w:sz w:val="20"/>
          <w:lang w:val="en-US"/>
        </w:rPr>
        <w:t xml:space="preserve">. Identification criteria for the detected metabolites are described in Evans </w:t>
      </w:r>
      <w:r w:rsidR="000E0B12" w:rsidRPr="00083858">
        <w:rPr>
          <w:rFonts w:ascii="Arial" w:hAnsi="Arial" w:cs="Arial"/>
          <w:i/>
          <w:color w:val="000000" w:themeColor="text1"/>
          <w:sz w:val="20"/>
          <w:lang w:val="en-US"/>
        </w:rPr>
        <w:t>et al.</w:t>
      </w:r>
      <w:r w:rsidR="00BA1A41" w:rsidRPr="00083858">
        <w:rPr>
          <w:rFonts w:ascii="Arial" w:hAnsi="Arial" w:cs="Arial"/>
          <w:i/>
          <w:color w:val="000000" w:themeColor="text1"/>
          <w:sz w:val="20"/>
          <w:lang w:val="en-US"/>
        </w:rPr>
        <w:t xml:space="preserve"> </w:t>
      </w:r>
      <w:r w:rsidR="000E0B12" w:rsidRPr="00083858">
        <w:rPr>
          <w:rFonts w:ascii="Arial" w:hAnsi="Arial" w:cs="Arial"/>
          <w:color w:val="000000" w:themeColor="text1"/>
          <w:sz w:val="20"/>
        </w:rPr>
        <w:fldChar w:fldCharType="begin"/>
      </w:r>
      <w:r w:rsidR="0078788C" w:rsidRPr="00083858">
        <w:rPr>
          <w:rFonts w:ascii="Arial" w:hAnsi="Arial" w:cs="Arial"/>
          <w:color w:val="000000" w:themeColor="text1"/>
          <w:sz w:val="20"/>
          <w:lang w:val="en-US"/>
        </w:rPr>
        <w:instrText xml:space="preserve"> ADDIN EN.CITE &lt;EndNote&gt;&lt;Cite&gt;&lt;Author&gt;Evans&lt;/Author&gt;&lt;Year&gt;2009&lt;/Year&gt;&lt;RecNum&gt;114&lt;/RecNum&gt;&lt;DisplayText&gt;[1]&lt;/DisplayText&gt;&lt;record&gt;&lt;rec-number&gt;114&lt;/rec-number&gt;&lt;foreign-keys&gt;&lt;key app="EN" db-id="efsvt2v2x5szages2f65t5p2ee9dzezwz52s" timestamp="1522052434"&gt;114&lt;/key&gt;&lt;/foreign-keys&gt;&lt;ref-type name="Journal Article"&gt;17&lt;/ref-type&gt;&lt;contributors&gt;&lt;authors&gt;&lt;author&gt;Evans, A. M.&lt;/author&gt;&lt;author&gt;DeHaven, C. D.&lt;/author&gt;&lt;author&gt;Barrett, T.&lt;/author&gt;&lt;author&gt;Mitchell, M.&lt;/author&gt;&lt;author&gt;Milgram, E.&lt;/author&gt;&lt;/authors&gt;&lt;/contributors&gt;&lt;auth-address&gt;Metabolon, Incorporated, 800 Capitola Drive, Suite 1, Durham, North Carolina 27713, USA.&lt;/auth-address&gt;&lt;titles&gt;&lt;title&gt;Integrated, nontargeted ultrahigh performance liquid chromatography/electrospray ionization tandem mass spectrometry platform for the identification and relative quantification of the small-molecule complement of biological systems&lt;/title&gt;&lt;secondary-title&gt;Anal Chem&lt;/secondary-title&gt;&lt;alt-title&gt;Analytical chemistry&lt;/alt-title&gt;&lt;/titles&gt;&lt;periodical&gt;&lt;full-title&gt;Anal Chem&lt;/full-title&gt;&lt;abbr-1&gt;Analytical chemistry&lt;/abbr-1&gt;&lt;/periodical&gt;&lt;alt-periodical&gt;&lt;full-title&gt;Anal Chem&lt;/full-title&gt;&lt;abbr-1&gt;Analytical chemistry&lt;/abbr-1&gt;&lt;/alt-periodical&gt;&lt;pages&gt;6656-67&lt;/pages&gt;&lt;volume&gt;81&lt;/volume&gt;&lt;number&gt;16&lt;/number&gt;&lt;edition&gt;2009/07/25&lt;/edition&gt;&lt;keywords&gt;&lt;keyword&gt;Adolescent&lt;/keyword&gt;&lt;keyword&gt;Adult&lt;/keyword&gt;&lt;keyword&gt;Chromatography, Liquid/*methods&lt;/keyword&gt;&lt;keyword&gt;Humans&lt;/keyword&gt;&lt;keyword</w:instrText>
      </w:r>
      <w:r w:rsidR="0078788C" w:rsidRPr="00083858">
        <w:rPr>
          <w:rFonts w:ascii="Arial" w:hAnsi="Arial" w:cs="Arial"/>
          <w:color w:val="000000" w:themeColor="text1"/>
          <w:sz w:val="20"/>
        </w:rPr>
        <w:instrText>&gt;Male&lt;/keyword&gt;&lt;keyword&gt;Spectrometry, Mass, Electrospray Ionization/*methods&lt;/keyword&gt;&lt;keyword&gt;Tandem Mass Spectrometry/*methods&lt;/keyword&gt;&lt;keyword&gt;Young Adult&lt;/keyword&gt;&lt;/keywords&gt;&lt;dates&gt;&lt;year&gt;2009&lt;/year&gt;&lt;pub-dates&gt;&lt;date&gt;Aug 15&lt;/date&gt;&lt;/pub-dates&gt;&lt;/dates&gt;&lt;isbn&gt;0003-2700&lt;/isbn&gt;&lt;accession-num&gt;19624122&lt;/accession-num&gt;&lt;urls&gt;&lt;/urls&gt;&lt;electronic-resource-num&gt;10.1021/ac901536h&lt;/electronic-resource-num&gt;&lt;remote-database-provider&gt;NLM&lt;/remote-database-provider&gt;&lt;language&gt;eng&lt;/language&gt;&lt;/record&gt;&lt;/Cite&gt;&lt;/EndNote&gt;</w:instrText>
      </w:r>
      <w:r w:rsidR="000E0B12" w:rsidRPr="00083858">
        <w:rPr>
          <w:rFonts w:ascii="Arial" w:hAnsi="Arial" w:cs="Arial"/>
          <w:color w:val="000000" w:themeColor="text1"/>
          <w:sz w:val="20"/>
        </w:rPr>
        <w:fldChar w:fldCharType="separate"/>
      </w:r>
      <w:r w:rsidR="0078788C" w:rsidRPr="00083858">
        <w:rPr>
          <w:rFonts w:ascii="Arial" w:hAnsi="Arial" w:cs="Arial"/>
          <w:noProof/>
          <w:color w:val="000000" w:themeColor="text1"/>
          <w:sz w:val="20"/>
          <w:lang w:val="en-GB"/>
        </w:rPr>
        <w:t>[1]</w:t>
      </w:r>
      <w:r w:rsidR="000E0B12" w:rsidRPr="00083858">
        <w:rPr>
          <w:rFonts w:ascii="Arial" w:hAnsi="Arial" w:cs="Arial"/>
          <w:color w:val="000000" w:themeColor="text1"/>
          <w:sz w:val="20"/>
        </w:rPr>
        <w:fldChar w:fldCharType="end"/>
      </w:r>
      <w:r w:rsidR="000E0B12" w:rsidRPr="00083858">
        <w:rPr>
          <w:rFonts w:ascii="Arial" w:hAnsi="Arial" w:cs="Arial"/>
          <w:color w:val="000000" w:themeColor="text1"/>
          <w:sz w:val="20"/>
          <w:lang w:val="en-US"/>
        </w:rPr>
        <w:t xml:space="preserve">. </w:t>
      </w:r>
    </w:p>
    <w:p w14:paraId="195DDEBE" w14:textId="77777777" w:rsidR="000E0B12" w:rsidRPr="00083858" w:rsidRDefault="000E0B12" w:rsidP="000E0B12">
      <w:pPr>
        <w:spacing w:after="0" w:line="480" w:lineRule="auto"/>
        <w:jc w:val="both"/>
        <w:rPr>
          <w:rFonts w:ascii="Arial" w:hAnsi="Arial" w:cs="Arial"/>
          <w:b/>
          <w:i/>
          <w:color w:val="000000" w:themeColor="text1"/>
          <w:sz w:val="20"/>
          <w:u w:val="single"/>
          <w:lang w:val="en-GB"/>
        </w:rPr>
      </w:pPr>
      <w:r w:rsidRPr="00083858">
        <w:rPr>
          <w:rFonts w:ascii="Arial" w:hAnsi="Arial" w:cs="Arial"/>
          <w:b/>
          <w:i/>
          <w:color w:val="000000" w:themeColor="text1"/>
          <w:sz w:val="20"/>
          <w:u w:val="single"/>
          <w:lang w:val="en-GB"/>
        </w:rPr>
        <w:t xml:space="preserve"> </w:t>
      </w:r>
    </w:p>
    <w:p w14:paraId="4136EE00" w14:textId="44924EB9" w:rsidR="000E0B12" w:rsidRPr="00083858" w:rsidRDefault="000E0B12" w:rsidP="000E0B12">
      <w:pPr>
        <w:spacing w:after="0" w:line="480" w:lineRule="auto"/>
        <w:jc w:val="both"/>
        <w:rPr>
          <w:rFonts w:ascii="Arial" w:hAnsi="Arial" w:cs="Arial"/>
          <w:b/>
          <w:i/>
          <w:color w:val="000000" w:themeColor="text1"/>
          <w:sz w:val="20"/>
          <w:u w:val="single"/>
          <w:lang w:val="en-GB"/>
        </w:rPr>
      </w:pPr>
      <w:r w:rsidRPr="00083858">
        <w:rPr>
          <w:rFonts w:ascii="Arial" w:hAnsi="Arial" w:cs="Arial"/>
          <w:i/>
          <w:color w:val="000000" w:themeColor="text1"/>
          <w:sz w:val="20"/>
          <w:u w:val="single"/>
          <w:lang w:val="en-GB"/>
        </w:rPr>
        <w:t xml:space="preserve">Metabolomics </w:t>
      </w:r>
      <w:r w:rsidR="00653347" w:rsidRPr="00083858">
        <w:rPr>
          <w:rFonts w:ascii="Arial" w:hAnsi="Arial" w:cs="Arial"/>
          <w:i/>
          <w:color w:val="000000" w:themeColor="text1"/>
          <w:sz w:val="20"/>
          <w:u w:val="single"/>
          <w:lang w:val="en-GB"/>
        </w:rPr>
        <w:t>m</w:t>
      </w:r>
      <w:r w:rsidRPr="00083858">
        <w:rPr>
          <w:rFonts w:ascii="Arial" w:hAnsi="Arial" w:cs="Arial"/>
          <w:i/>
          <w:color w:val="000000" w:themeColor="text1"/>
          <w:sz w:val="20"/>
          <w:u w:val="single"/>
          <w:lang w:val="en-GB"/>
        </w:rPr>
        <w:t xml:space="preserve">easurements: </w:t>
      </w:r>
      <w:r w:rsidR="00653347" w:rsidRPr="00083858">
        <w:rPr>
          <w:rFonts w:ascii="Arial" w:hAnsi="Arial" w:cs="Arial"/>
          <w:i/>
          <w:color w:val="000000" w:themeColor="text1"/>
          <w:sz w:val="20"/>
          <w:u w:val="single"/>
          <w:lang w:val="en-GB"/>
        </w:rPr>
        <w:t>q</w:t>
      </w:r>
      <w:r w:rsidRPr="00083858">
        <w:rPr>
          <w:rFonts w:ascii="Arial" w:hAnsi="Arial" w:cs="Arial"/>
          <w:i/>
          <w:color w:val="000000" w:themeColor="text1"/>
          <w:sz w:val="20"/>
          <w:u w:val="single"/>
          <w:lang w:val="en-GB"/>
        </w:rPr>
        <w:t xml:space="preserve">uality </w:t>
      </w:r>
      <w:r w:rsidR="00653347" w:rsidRPr="00083858">
        <w:rPr>
          <w:rFonts w:ascii="Arial" w:hAnsi="Arial" w:cs="Arial"/>
          <w:i/>
          <w:color w:val="000000" w:themeColor="text1"/>
          <w:sz w:val="20"/>
          <w:u w:val="single"/>
          <w:lang w:val="en-GB"/>
        </w:rPr>
        <w:t>c</w:t>
      </w:r>
      <w:r w:rsidRPr="00083858">
        <w:rPr>
          <w:rFonts w:ascii="Arial" w:hAnsi="Arial" w:cs="Arial"/>
          <w:i/>
          <w:color w:val="000000" w:themeColor="text1"/>
          <w:sz w:val="20"/>
          <w:u w:val="single"/>
          <w:lang w:val="en-GB"/>
        </w:rPr>
        <w:t xml:space="preserve">ontrol and </w:t>
      </w:r>
      <w:r w:rsidR="00653347" w:rsidRPr="00083858">
        <w:rPr>
          <w:rFonts w:ascii="Arial" w:hAnsi="Arial" w:cs="Arial"/>
          <w:i/>
          <w:color w:val="000000" w:themeColor="text1"/>
          <w:sz w:val="20"/>
          <w:u w:val="single"/>
          <w:lang w:val="en-GB"/>
        </w:rPr>
        <w:t>n</w:t>
      </w:r>
      <w:r w:rsidRPr="00083858">
        <w:rPr>
          <w:rFonts w:ascii="Arial" w:hAnsi="Arial" w:cs="Arial"/>
          <w:i/>
          <w:color w:val="000000" w:themeColor="text1"/>
          <w:sz w:val="20"/>
          <w:u w:val="single"/>
          <w:lang w:val="en-GB"/>
        </w:rPr>
        <w:t xml:space="preserve">ormalization of </w:t>
      </w:r>
      <w:r w:rsidR="00653347" w:rsidRPr="00083858">
        <w:rPr>
          <w:rFonts w:ascii="Arial" w:hAnsi="Arial" w:cs="Arial"/>
          <w:i/>
          <w:color w:val="000000" w:themeColor="text1"/>
          <w:sz w:val="20"/>
          <w:u w:val="single"/>
          <w:lang w:val="en-GB"/>
        </w:rPr>
        <w:t>m</w:t>
      </w:r>
      <w:r w:rsidRPr="00083858">
        <w:rPr>
          <w:rFonts w:ascii="Arial" w:hAnsi="Arial" w:cs="Arial"/>
          <w:i/>
          <w:color w:val="000000" w:themeColor="text1"/>
          <w:sz w:val="20"/>
          <w:u w:val="single"/>
          <w:lang w:val="en-GB"/>
        </w:rPr>
        <w:t xml:space="preserve">etabolite </w:t>
      </w:r>
      <w:r w:rsidR="00653347" w:rsidRPr="00083858">
        <w:rPr>
          <w:rFonts w:ascii="Arial" w:hAnsi="Arial" w:cs="Arial"/>
          <w:i/>
          <w:color w:val="000000" w:themeColor="text1"/>
          <w:sz w:val="20"/>
          <w:u w:val="single"/>
          <w:lang w:val="en-GB"/>
        </w:rPr>
        <w:t>l</w:t>
      </w:r>
      <w:r w:rsidRPr="00083858">
        <w:rPr>
          <w:rFonts w:ascii="Arial" w:hAnsi="Arial" w:cs="Arial"/>
          <w:i/>
          <w:color w:val="000000" w:themeColor="text1"/>
          <w:sz w:val="20"/>
          <w:u w:val="single"/>
          <w:lang w:val="en-GB"/>
        </w:rPr>
        <w:t>evels</w:t>
      </w:r>
      <w:r w:rsidRPr="00083858">
        <w:rPr>
          <w:rFonts w:ascii="Arial" w:hAnsi="Arial" w:cs="Arial"/>
          <w:b/>
          <w:i/>
          <w:color w:val="000000" w:themeColor="text1"/>
          <w:sz w:val="20"/>
          <w:u w:val="single"/>
          <w:lang w:val="en-GB"/>
        </w:rPr>
        <w:t xml:space="preserve"> </w:t>
      </w:r>
    </w:p>
    <w:p w14:paraId="73553AB5" w14:textId="6DD531C2" w:rsidR="000E0B12" w:rsidRPr="00083858" w:rsidRDefault="000E0B12" w:rsidP="000E0B12">
      <w:pPr>
        <w:spacing w:after="0" w:line="480" w:lineRule="auto"/>
        <w:jc w:val="both"/>
        <w:rPr>
          <w:rFonts w:ascii="Arial" w:hAnsi="Arial" w:cs="Arial"/>
          <w:color w:val="000000" w:themeColor="text1"/>
          <w:sz w:val="20"/>
          <w:lang w:val="en-GB"/>
        </w:rPr>
      </w:pPr>
      <w:r w:rsidRPr="00083858">
        <w:rPr>
          <w:rFonts w:ascii="Arial" w:hAnsi="Arial" w:cs="Arial"/>
          <w:color w:val="000000" w:themeColor="text1"/>
          <w:sz w:val="20"/>
          <w:lang w:val="en-GB"/>
        </w:rPr>
        <w:t xml:space="preserve">To correct for daily variations of platform performance, the raw ion count of each metabolite was rescaled by the respective median value of the run day. Valid estimation of the median was ensured by keeping only metabolites with at least three measured values on more than the half of the run days. This procedure resulted in </w:t>
      </w:r>
      <w:r w:rsidR="00101406" w:rsidRPr="00083858">
        <w:rPr>
          <w:rFonts w:ascii="Arial" w:hAnsi="Arial" w:cs="Arial"/>
          <w:color w:val="000000" w:themeColor="text1"/>
          <w:sz w:val="20"/>
          <w:lang w:val="en-GB"/>
        </w:rPr>
        <w:t>738</w:t>
      </w:r>
      <w:r w:rsidRPr="00083858">
        <w:rPr>
          <w:rFonts w:ascii="Arial" w:hAnsi="Arial" w:cs="Arial"/>
          <w:color w:val="000000" w:themeColor="text1"/>
          <w:sz w:val="20"/>
          <w:lang w:val="en-GB"/>
        </w:rPr>
        <w:t xml:space="preserve"> metabolites for plasma available for the present analysis. </w:t>
      </w:r>
      <w:r w:rsidR="00D925D2" w:rsidRPr="00083858">
        <w:rPr>
          <w:rFonts w:ascii="Arial" w:hAnsi="Arial" w:cs="Arial"/>
          <w:color w:val="000000" w:themeColor="text1"/>
          <w:sz w:val="20"/>
          <w:lang w:val="en-GB"/>
        </w:rPr>
        <w:t>A</w:t>
      </w:r>
      <w:r w:rsidRPr="00083858">
        <w:rPr>
          <w:rFonts w:ascii="Arial" w:hAnsi="Arial" w:cs="Arial"/>
          <w:color w:val="000000" w:themeColor="text1"/>
          <w:sz w:val="20"/>
          <w:lang w:val="en-GB"/>
        </w:rPr>
        <w:t>ll metabolite levels were log</w:t>
      </w:r>
      <w:r w:rsidRPr="00083858">
        <w:rPr>
          <w:rFonts w:ascii="Arial" w:hAnsi="Arial" w:cs="Arial"/>
          <w:color w:val="000000" w:themeColor="text1"/>
          <w:sz w:val="20"/>
          <w:vertAlign w:val="subscript"/>
          <w:lang w:val="en-GB"/>
        </w:rPr>
        <w:t>2</w:t>
      </w:r>
      <w:r w:rsidRPr="00083858">
        <w:rPr>
          <w:rFonts w:ascii="Arial" w:hAnsi="Arial" w:cs="Arial"/>
          <w:color w:val="000000" w:themeColor="text1"/>
          <w:sz w:val="20"/>
          <w:lang w:val="en-GB"/>
        </w:rPr>
        <w:t xml:space="preserve">-transformed. </w:t>
      </w:r>
      <w:r w:rsidR="00D925D2" w:rsidRPr="00083858">
        <w:rPr>
          <w:rFonts w:ascii="Arial" w:hAnsi="Arial" w:cs="Arial"/>
          <w:color w:val="000000" w:themeColor="text1"/>
          <w:sz w:val="20"/>
          <w:lang w:val="en-GB"/>
        </w:rPr>
        <w:t>W</w:t>
      </w:r>
      <w:r w:rsidRPr="00083858">
        <w:rPr>
          <w:rFonts w:ascii="Arial" w:hAnsi="Arial" w:cs="Arial"/>
          <w:color w:val="000000" w:themeColor="text1"/>
          <w:sz w:val="20"/>
          <w:lang w:val="en-GB"/>
        </w:rPr>
        <w:t xml:space="preserve">e performed multivariate outlier detection using an algorithm proposed by Filzmoser </w:t>
      </w:r>
      <w:r w:rsidRPr="00083858">
        <w:rPr>
          <w:rFonts w:ascii="Arial" w:hAnsi="Arial" w:cs="Arial"/>
          <w:i/>
          <w:color w:val="000000" w:themeColor="text1"/>
          <w:sz w:val="20"/>
          <w:lang w:val="en-GB"/>
        </w:rPr>
        <w:t>et al.</w:t>
      </w:r>
      <w:r w:rsidRPr="00083858">
        <w:rPr>
          <w:rFonts w:ascii="Arial" w:hAnsi="Arial" w:cs="Arial"/>
          <w:color w:val="000000" w:themeColor="text1"/>
          <w:sz w:val="20"/>
          <w:lang w:val="en-GB"/>
        </w:rPr>
        <w:t xml:space="preserve"> </w:t>
      </w:r>
      <w:r w:rsidRPr="00083858">
        <w:rPr>
          <w:rFonts w:ascii="Arial" w:hAnsi="Arial" w:cs="Arial"/>
          <w:color w:val="000000" w:themeColor="text1"/>
          <w:sz w:val="20"/>
          <w:lang w:val="en-GB"/>
        </w:rPr>
        <w:fldChar w:fldCharType="begin"/>
      </w:r>
      <w:r w:rsidR="0078788C" w:rsidRPr="00083858">
        <w:rPr>
          <w:rFonts w:ascii="Arial" w:hAnsi="Arial" w:cs="Arial"/>
          <w:color w:val="000000" w:themeColor="text1"/>
          <w:sz w:val="20"/>
          <w:lang w:val="en-GB"/>
        </w:rPr>
        <w:instrText xml:space="preserve"> ADDIN EN.CITE &lt;EndNote&gt;&lt;Cite&gt;&lt;Author&gt;Filzmoser&lt;/Author&gt;&lt;Year&gt;2008&lt;/Year&gt;&lt;RecNum&gt;117&lt;/RecNum&gt;&lt;DisplayText&gt;[4]&lt;/DisplayText&gt;&lt;record&gt;&lt;rec-number&gt;117&lt;/rec-number&gt;&lt;foreign-keys&gt;&lt;key app="EN" db-id="efsvt2v2x5szages2f65t5p2ee9dzezwz52s" timestamp="1522052434"&gt;117&lt;/key&gt;&lt;/foreign-keys&gt;&lt;ref-type name="Journal Article"&gt;17&lt;/ref-type&gt;&lt;contributors&gt;&lt;authors&gt;&lt;author&gt;Filzmoser, P.&lt;/author&gt;&lt;author&gt;Maronna, R.&lt;/author&gt;&lt;author&gt;Werner, M.&lt;/author&gt;&lt;/authors&gt;&lt;/contributors&gt;&lt;titles&gt;&lt;title&gt;Outlier identification in high dimensions&lt;/title&gt;&lt;secondary-title&gt;Computational Statistics and Data Analysis&lt;/secondary-title&gt;&lt;/titles&gt;&lt;periodical&gt;&lt;full-title&gt;Computational Statistics and Data Analysis&lt;/full-title&gt;&lt;/periodical&gt;&lt;pages&gt;1694-1711&lt;/pages&gt;&lt;volume&gt;52&lt;/volume&gt;&lt;number&gt;3&lt;/number&gt;&lt;dates&gt;&lt;year&gt;2008&lt;/year&gt;&lt;/dates&gt;&lt;urls&gt;&lt;/urls&gt;&lt;/record&gt;&lt;/Cite&gt;&lt;/EndNote&gt;</w:instrText>
      </w:r>
      <w:r w:rsidRPr="00083858">
        <w:rPr>
          <w:rFonts w:ascii="Arial" w:hAnsi="Arial" w:cs="Arial"/>
          <w:color w:val="000000" w:themeColor="text1"/>
          <w:sz w:val="20"/>
          <w:lang w:val="en-GB"/>
        </w:rPr>
        <w:fldChar w:fldCharType="separate"/>
      </w:r>
      <w:r w:rsidR="0078788C" w:rsidRPr="00083858">
        <w:rPr>
          <w:rFonts w:ascii="Arial" w:hAnsi="Arial" w:cs="Arial"/>
          <w:noProof/>
          <w:color w:val="000000" w:themeColor="text1"/>
          <w:sz w:val="20"/>
          <w:lang w:val="en-GB"/>
        </w:rPr>
        <w:t>[</w:t>
      </w:r>
      <w:r w:rsidR="00F94E69" w:rsidRPr="00083858">
        <w:rPr>
          <w:rFonts w:ascii="Arial" w:hAnsi="Arial" w:cs="Arial"/>
          <w:noProof/>
          <w:color w:val="000000" w:themeColor="text1"/>
          <w:sz w:val="20"/>
          <w:lang w:val="en-GB"/>
        </w:rPr>
        <w:t>3</w:t>
      </w:r>
      <w:r w:rsidR="0078788C" w:rsidRPr="00083858">
        <w:rPr>
          <w:rFonts w:ascii="Arial" w:hAnsi="Arial" w:cs="Arial"/>
          <w:noProof/>
          <w:color w:val="000000" w:themeColor="text1"/>
          <w:sz w:val="20"/>
          <w:lang w:val="en-GB"/>
        </w:rPr>
        <w:t>]</w:t>
      </w:r>
      <w:r w:rsidRPr="00083858">
        <w:rPr>
          <w:rFonts w:ascii="Arial" w:hAnsi="Arial" w:cs="Arial"/>
          <w:color w:val="000000" w:themeColor="text1"/>
          <w:sz w:val="20"/>
          <w:lang w:val="en-GB"/>
        </w:rPr>
        <w:fldChar w:fldCharType="end"/>
      </w:r>
      <w:r w:rsidRPr="00083858">
        <w:rPr>
          <w:rFonts w:ascii="Arial" w:hAnsi="Arial" w:cs="Arial"/>
          <w:color w:val="000000" w:themeColor="text1"/>
          <w:sz w:val="20"/>
          <w:lang w:val="en-GB"/>
        </w:rPr>
        <w:t xml:space="preserve"> as implemented in the </w:t>
      </w:r>
      <w:r w:rsidRPr="00083858">
        <w:rPr>
          <w:rFonts w:ascii="Arial" w:hAnsi="Arial" w:cs="Arial"/>
          <w:i/>
          <w:color w:val="000000" w:themeColor="text1"/>
          <w:sz w:val="20"/>
          <w:lang w:val="en-GB"/>
        </w:rPr>
        <w:t>pcout</w:t>
      </w:r>
      <w:r w:rsidRPr="00083858">
        <w:rPr>
          <w:rFonts w:ascii="Arial" w:hAnsi="Arial" w:cs="Arial"/>
          <w:color w:val="000000" w:themeColor="text1"/>
          <w:sz w:val="20"/>
          <w:lang w:val="en-GB"/>
        </w:rPr>
        <w:t xml:space="preserve"> function within the R package </w:t>
      </w:r>
      <w:r w:rsidRPr="00083858">
        <w:rPr>
          <w:rFonts w:ascii="Arial" w:hAnsi="Arial" w:cs="Arial"/>
          <w:i/>
          <w:color w:val="000000" w:themeColor="text1"/>
          <w:sz w:val="20"/>
          <w:lang w:val="en-GB"/>
        </w:rPr>
        <w:t>mvoutlier</w:t>
      </w:r>
      <w:r w:rsidRPr="00083858">
        <w:rPr>
          <w:rFonts w:ascii="Arial" w:hAnsi="Arial" w:cs="Arial"/>
          <w:color w:val="000000" w:themeColor="text1"/>
          <w:sz w:val="20"/>
          <w:lang w:val="en-GB"/>
        </w:rPr>
        <w:t xml:space="preserve">. The algorithm provides an outlier score for each sample based on a weighted combination of location and scatter estimations using </w:t>
      </w:r>
      <w:r w:rsidR="00FD12D3" w:rsidRPr="00083858">
        <w:rPr>
          <w:rFonts w:ascii="Arial" w:hAnsi="Arial" w:cs="Arial"/>
          <w:color w:val="000000" w:themeColor="text1"/>
          <w:sz w:val="20"/>
          <w:lang w:val="en-GB"/>
        </w:rPr>
        <w:t xml:space="preserve">principal </w:t>
      </w:r>
      <w:r w:rsidRPr="00083858">
        <w:rPr>
          <w:rFonts w:ascii="Arial" w:hAnsi="Arial" w:cs="Arial"/>
          <w:color w:val="000000" w:themeColor="text1"/>
          <w:sz w:val="20"/>
          <w:lang w:val="en-GB"/>
        </w:rPr>
        <w:t>component analysis and the Mahalanobis distance on a robustly scaled data matrix. The default parameters were used for the identification process, except the critical value for the location outliers was set to 4, as it corresponds to a 4 SD exclusion criteria. The minimum score was used as cut-off for outlier identification. As a result</w:t>
      </w:r>
      <w:r w:rsidR="00FD12D3" w:rsidRPr="00083858">
        <w:rPr>
          <w:rFonts w:ascii="Arial" w:hAnsi="Arial" w:cs="Arial"/>
          <w:color w:val="000000" w:themeColor="text1"/>
          <w:sz w:val="20"/>
          <w:lang w:val="en-GB"/>
        </w:rPr>
        <w:t>,</w:t>
      </w:r>
      <w:r w:rsidRPr="00083858">
        <w:rPr>
          <w:rFonts w:ascii="Arial" w:hAnsi="Arial" w:cs="Arial"/>
          <w:color w:val="000000" w:themeColor="text1"/>
          <w:sz w:val="20"/>
          <w:lang w:val="en-GB"/>
        </w:rPr>
        <w:t xml:space="preserve"> 13 </w:t>
      </w:r>
      <w:r w:rsidR="00D925D2" w:rsidRPr="00083858">
        <w:rPr>
          <w:rFonts w:ascii="Arial" w:hAnsi="Arial" w:cs="Arial"/>
          <w:color w:val="000000" w:themeColor="text1"/>
          <w:sz w:val="20"/>
          <w:lang w:val="en-GB"/>
        </w:rPr>
        <w:t xml:space="preserve">plasma </w:t>
      </w:r>
      <w:r w:rsidRPr="00083858">
        <w:rPr>
          <w:rFonts w:ascii="Arial" w:hAnsi="Arial" w:cs="Arial"/>
          <w:color w:val="000000" w:themeColor="text1"/>
          <w:sz w:val="20"/>
          <w:lang w:val="en-GB"/>
        </w:rPr>
        <w:t xml:space="preserve">samples were excluded. </w:t>
      </w:r>
    </w:p>
    <w:p w14:paraId="27BA2140" w14:textId="77777777" w:rsidR="000E0B12" w:rsidRPr="00083858" w:rsidRDefault="000E0B12" w:rsidP="000E0B12">
      <w:pPr>
        <w:spacing w:line="480" w:lineRule="auto"/>
        <w:rPr>
          <w:rFonts w:ascii="Arial" w:hAnsi="Arial" w:cs="Arial"/>
          <w:b/>
          <w:i/>
          <w:color w:val="000000" w:themeColor="text1"/>
          <w:lang w:val="en-US"/>
        </w:rPr>
      </w:pPr>
    </w:p>
    <w:p w14:paraId="2A9A5284" w14:textId="77777777" w:rsidR="000E0B12" w:rsidRPr="00083858" w:rsidRDefault="000E0B12" w:rsidP="000E0B12">
      <w:pPr>
        <w:spacing w:line="480" w:lineRule="auto"/>
        <w:rPr>
          <w:rFonts w:ascii="Arial" w:hAnsi="Arial" w:cs="Arial"/>
          <w:b/>
          <w:i/>
          <w:color w:val="000000" w:themeColor="text1"/>
          <w:lang w:val="en-US"/>
        </w:rPr>
      </w:pPr>
      <w:r w:rsidRPr="00083858">
        <w:rPr>
          <w:rFonts w:ascii="Arial" w:hAnsi="Arial" w:cs="Arial"/>
          <w:b/>
          <w:i/>
          <w:color w:val="000000" w:themeColor="text1"/>
          <w:lang w:val="en-US"/>
        </w:rPr>
        <w:t>Targeted LC-MS/MS profiling</w:t>
      </w:r>
    </w:p>
    <w:p w14:paraId="7D5C699E" w14:textId="3BE2E8F9" w:rsidR="000E0B12" w:rsidRPr="00083858" w:rsidRDefault="000E0B12" w:rsidP="000E0B12">
      <w:pPr>
        <w:spacing w:after="0" w:line="480" w:lineRule="auto"/>
        <w:jc w:val="both"/>
        <w:rPr>
          <w:rFonts w:ascii="Arial" w:hAnsi="Arial" w:cs="Arial"/>
          <w:i/>
          <w:color w:val="000000" w:themeColor="text1"/>
          <w:sz w:val="20"/>
          <w:u w:val="single"/>
          <w:lang w:val="en-GB"/>
        </w:rPr>
      </w:pPr>
      <w:r w:rsidRPr="00083858">
        <w:rPr>
          <w:rFonts w:ascii="Arial" w:hAnsi="Arial" w:cs="Arial"/>
          <w:i/>
          <w:color w:val="000000" w:themeColor="text1"/>
          <w:sz w:val="20"/>
          <w:u w:val="single"/>
          <w:lang w:val="en-GB"/>
        </w:rPr>
        <w:t xml:space="preserve">Metabolomics </w:t>
      </w:r>
      <w:r w:rsidR="00653347" w:rsidRPr="00083858">
        <w:rPr>
          <w:rFonts w:ascii="Arial" w:hAnsi="Arial" w:cs="Arial"/>
          <w:i/>
          <w:color w:val="000000" w:themeColor="text1"/>
          <w:sz w:val="20"/>
          <w:u w:val="single"/>
          <w:lang w:val="en-GB"/>
        </w:rPr>
        <w:t>m</w:t>
      </w:r>
      <w:r w:rsidRPr="00083858">
        <w:rPr>
          <w:rFonts w:ascii="Arial" w:hAnsi="Arial" w:cs="Arial"/>
          <w:i/>
          <w:color w:val="000000" w:themeColor="text1"/>
          <w:sz w:val="20"/>
          <w:u w:val="single"/>
          <w:lang w:val="en-GB"/>
        </w:rPr>
        <w:t>easurements</w:t>
      </w:r>
    </w:p>
    <w:p w14:paraId="5D4CC02B" w14:textId="1AD7AE75" w:rsidR="000E0B12" w:rsidRPr="00083858" w:rsidRDefault="000E0B12" w:rsidP="000E0B12">
      <w:pPr>
        <w:spacing w:after="0" w:line="480" w:lineRule="auto"/>
        <w:jc w:val="both"/>
        <w:rPr>
          <w:rFonts w:ascii="Arial" w:hAnsi="Arial" w:cs="Arial"/>
          <w:color w:val="000000" w:themeColor="text1"/>
          <w:sz w:val="20"/>
          <w:lang w:val="en-US"/>
        </w:rPr>
      </w:pPr>
      <w:r w:rsidRPr="00083858">
        <w:rPr>
          <w:rFonts w:ascii="Arial" w:hAnsi="Arial" w:cs="Arial"/>
          <w:color w:val="000000" w:themeColor="text1"/>
          <w:sz w:val="20"/>
          <w:lang w:val="en-US"/>
        </w:rPr>
        <w:t>Targeted metabolomics profiling of the plasma samples was performed using the AbsoluteIDQ p180 Kit (BIOCRATES LifeSciences AG, Innsbruck, Austria, online supplementary methods). 10 µ</w:t>
      </w:r>
      <w:r w:rsidR="00653347" w:rsidRPr="00083858">
        <w:rPr>
          <w:rFonts w:ascii="Arial" w:hAnsi="Arial" w:cs="Arial"/>
          <w:color w:val="000000" w:themeColor="text1"/>
          <w:sz w:val="20"/>
          <w:lang w:val="en-US"/>
        </w:rPr>
        <w:t>L</w:t>
      </w:r>
      <w:r w:rsidRPr="00083858">
        <w:rPr>
          <w:rFonts w:ascii="Arial" w:hAnsi="Arial" w:cs="Arial"/>
          <w:color w:val="000000" w:themeColor="text1"/>
          <w:sz w:val="20"/>
          <w:lang w:val="en-US"/>
        </w:rPr>
        <w:t xml:space="preserve"> aliquots of each plasma sample were processed as recommended by the manufacturer. The fully automated assay combined flow injection (FIA) and LC-MS/MS selective detection using MRM pairs and quantifies up to 188 metabolites from 5 different compound classes. Via FIA acyl carnitines, phospho- and sphingolipids were measured in positive ionization mode and the sum of hexoses in negative ionization mode. With a LC-MS/MS analytical method, under the use of an Agilent C18 column, amino acids and biogenic amines were detected. MS analyses were performed on an AB SCIEX 5500 QTrap™ mass </w:t>
      </w:r>
      <w:r w:rsidRPr="00083858">
        <w:rPr>
          <w:rFonts w:ascii="Arial" w:hAnsi="Arial" w:cs="Arial"/>
          <w:color w:val="000000" w:themeColor="text1"/>
          <w:sz w:val="20"/>
          <w:lang w:val="en-US"/>
        </w:rPr>
        <w:lastRenderedPageBreak/>
        <w:t xml:space="preserve">spectrometer (AB SCIEX, Darmstadt, Germany) with electrospray ionization combined with a HPLC system (Agilent 1260 Infinity Binary LC, Santa Clara, United States) including a degasser unit, column oven, autosampler and a binary pump. Internal standards (isotope labelled) are partially integrated in the Kit plate for metabolite quantification. After the measurement a pre-processing step, includes peak integration and concentration determination from calibration curves, with Analyst software (Version 1.5.1, AB Sciex, Darmstadt, Germany), data were uploaded into Biocrates MetIDQ software (part of the kit) and the metabolite concentrations were automatically calculated with it. </w:t>
      </w:r>
    </w:p>
    <w:p w14:paraId="5F4C8263" w14:textId="77777777" w:rsidR="00546F05" w:rsidRPr="00083858" w:rsidRDefault="00546F05" w:rsidP="000E0B12">
      <w:pPr>
        <w:spacing w:after="0" w:line="480" w:lineRule="auto"/>
        <w:jc w:val="both"/>
        <w:rPr>
          <w:rFonts w:ascii="Arial" w:hAnsi="Arial" w:cs="Arial"/>
          <w:color w:val="000000" w:themeColor="text1"/>
          <w:sz w:val="20"/>
          <w:lang w:val="en-US"/>
        </w:rPr>
      </w:pPr>
    </w:p>
    <w:p w14:paraId="64750F81" w14:textId="70685277" w:rsidR="000E0B12" w:rsidRPr="00083858" w:rsidRDefault="000E0B12" w:rsidP="000E0B12">
      <w:pPr>
        <w:spacing w:after="0" w:line="480" w:lineRule="auto"/>
        <w:jc w:val="both"/>
        <w:rPr>
          <w:rFonts w:ascii="Arial" w:hAnsi="Arial" w:cs="Arial"/>
          <w:b/>
          <w:i/>
          <w:color w:val="000000" w:themeColor="text1"/>
          <w:sz w:val="20"/>
          <w:u w:val="single"/>
          <w:lang w:val="en-GB"/>
        </w:rPr>
      </w:pPr>
      <w:r w:rsidRPr="00083858">
        <w:rPr>
          <w:rFonts w:ascii="Arial" w:hAnsi="Arial" w:cs="Arial"/>
          <w:i/>
          <w:color w:val="000000" w:themeColor="text1"/>
          <w:sz w:val="20"/>
          <w:u w:val="single"/>
          <w:lang w:val="en-GB"/>
        </w:rPr>
        <w:t xml:space="preserve">Metabolomics </w:t>
      </w:r>
      <w:r w:rsidR="00653347" w:rsidRPr="00083858">
        <w:rPr>
          <w:rFonts w:ascii="Arial" w:hAnsi="Arial" w:cs="Arial"/>
          <w:i/>
          <w:color w:val="000000" w:themeColor="text1"/>
          <w:sz w:val="20"/>
          <w:u w:val="single"/>
          <w:lang w:val="en-GB"/>
        </w:rPr>
        <w:t>m</w:t>
      </w:r>
      <w:r w:rsidRPr="00083858">
        <w:rPr>
          <w:rFonts w:ascii="Arial" w:hAnsi="Arial" w:cs="Arial"/>
          <w:i/>
          <w:color w:val="000000" w:themeColor="text1"/>
          <w:sz w:val="20"/>
          <w:u w:val="single"/>
          <w:lang w:val="en-GB"/>
        </w:rPr>
        <w:t xml:space="preserve">easurements: </w:t>
      </w:r>
      <w:r w:rsidR="00653347" w:rsidRPr="00083858">
        <w:rPr>
          <w:rFonts w:ascii="Arial" w:hAnsi="Arial" w:cs="Arial"/>
          <w:i/>
          <w:color w:val="000000" w:themeColor="text1"/>
          <w:sz w:val="20"/>
          <w:u w:val="single"/>
          <w:lang w:val="en-GB"/>
        </w:rPr>
        <w:t>q</w:t>
      </w:r>
      <w:r w:rsidRPr="00083858">
        <w:rPr>
          <w:rFonts w:ascii="Arial" w:hAnsi="Arial" w:cs="Arial"/>
          <w:i/>
          <w:color w:val="000000" w:themeColor="text1"/>
          <w:sz w:val="20"/>
          <w:u w:val="single"/>
          <w:lang w:val="en-GB"/>
        </w:rPr>
        <w:t xml:space="preserve">uality </w:t>
      </w:r>
      <w:r w:rsidR="00653347" w:rsidRPr="00083858">
        <w:rPr>
          <w:rFonts w:ascii="Arial" w:hAnsi="Arial" w:cs="Arial"/>
          <w:i/>
          <w:color w:val="000000" w:themeColor="text1"/>
          <w:sz w:val="20"/>
          <w:u w:val="single"/>
          <w:lang w:val="en-GB"/>
        </w:rPr>
        <w:t>c</w:t>
      </w:r>
      <w:r w:rsidRPr="00083858">
        <w:rPr>
          <w:rFonts w:ascii="Arial" w:hAnsi="Arial" w:cs="Arial"/>
          <w:i/>
          <w:color w:val="000000" w:themeColor="text1"/>
          <w:sz w:val="20"/>
          <w:u w:val="single"/>
          <w:lang w:val="en-GB"/>
        </w:rPr>
        <w:t xml:space="preserve">ontrol and </w:t>
      </w:r>
      <w:r w:rsidR="00653347" w:rsidRPr="00083858">
        <w:rPr>
          <w:rFonts w:ascii="Arial" w:hAnsi="Arial" w:cs="Arial"/>
          <w:i/>
          <w:color w:val="000000" w:themeColor="text1"/>
          <w:sz w:val="20"/>
          <w:u w:val="single"/>
          <w:lang w:val="en-GB"/>
        </w:rPr>
        <w:t>n</w:t>
      </w:r>
      <w:r w:rsidRPr="00083858">
        <w:rPr>
          <w:rFonts w:ascii="Arial" w:hAnsi="Arial" w:cs="Arial"/>
          <w:i/>
          <w:color w:val="000000" w:themeColor="text1"/>
          <w:sz w:val="20"/>
          <w:u w:val="single"/>
          <w:lang w:val="en-GB"/>
        </w:rPr>
        <w:t xml:space="preserve">ormalization of </w:t>
      </w:r>
      <w:r w:rsidR="00653347" w:rsidRPr="00083858">
        <w:rPr>
          <w:rFonts w:ascii="Arial" w:hAnsi="Arial" w:cs="Arial"/>
          <w:i/>
          <w:color w:val="000000" w:themeColor="text1"/>
          <w:sz w:val="20"/>
          <w:u w:val="single"/>
          <w:lang w:val="en-GB"/>
        </w:rPr>
        <w:t>m</w:t>
      </w:r>
      <w:r w:rsidRPr="00083858">
        <w:rPr>
          <w:rFonts w:ascii="Arial" w:hAnsi="Arial" w:cs="Arial"/>
          <w:i/>
          <w:color w:val="000000" w:themeColor="text1"/>
          <w:sz w:val="20"/>
          <w:u w:val="single"/>
          <w:lang w:val="en-GB"/>
        </w:rPr>
        <w:t xml:space="preserve">etabolite </w:t>
      </w:r>
      <w:r w:rsidR="00653347" w:rsidRPr="00083858">
        <w:rPr>
          <w:rFonts w:ascii="Arial" w:hAnsi="Arial" w:cs="Arial"/>
          <w:i/>
          <w:color w:val="000000" w:themeColor="text1"/>
          <w:sz w:val="20"/>
          <w:u w:val="single"/>
          <w:lang w:val="en-GB"/>
        </w:rPr>
        <w:t>l</w:t>
      </w:r>
      <w:r w:rsidRPr="00083858">
        <w:rPr>
          <w:rFonts w:ascii="Arial" w:hAnsi="Arial" w:cs="Arial"/>
          <w:i/>
          <w:color w:val="000000" w:themeColor="text1"/>
          <w:sz w:val="20"/>
          <w:u w:val="single"/>
          <w:lang w:val="en-GB"/>
        </w:rPr>
        <w:t>evels</w:t>
      </w:r>
      <w:r w:rsidRPr="00083858">
        <w:rPr>
          <w:rFonts w:ascii="Arial" w:hAnsi="Arial" w:cs="Arial"/>
          <w:b/>
          <w:i/>
          <w:color w:val="000000" w:themeColor="text1"/>
          <w:sz w:val="20"/>
          <w:u w:val="single"/>
          <w:lang w:val="en-GB"/>
        </w:rPr>
        <w:t xml:space="preserve"> </w:t>
      </w:r>
    </w:p>
    <w:p w14:paraId="79E0B88D" w14:textId="7AF1730E" w:rsidR="000E0B12" w:rsidRPr="00083858" w:rsidRDefault="000E0B12" w:rsidP="000E0B12">
      <w:pPr>
        <w:spacing w:line="480" w:lineRule="auto"/>
        <w:jc w:val="both"/>
        <w:rPr>
          <w:rFonts w:ascii="Arial" w:hAnsi="Arial" w:cs="Arial"/>
          <w:color w:val="000000" w:themeColor="text1"/>
          <w:sz w:val="20"/>
          <w:lang w:val="en-GB"/>
        </w:rPr>
      </w:pPr>
      <w:r w:rsidRPr="00083858">
        <w:rPr>
          <w:rFonts w:ascii="Arial" w:hAnsi="Arial" w:cs="Arial"/>
          <w:color w:val="000000" w:themeColor="text1"/>
          <w:sz w:val="20"/>
          <w:lang w:val="en-GB"/>
        </w:rPr>
        <w:t>To account for between</w:t>
      </w:r>
      <w:r w:rsidR="00653347" w:rsidRPr="00083858">
        <w:rPr>
          <w:rFonts w:ascii="Arial" w:hAnsi="Arial" w:cs="Arial"/>
          <w:color w:val="000000" w:themeColor="text1"/>
          <w:sz w:val="20"/>
          <w:lang w:val="en-GB"/>
        </w:rPr>
        <w:t>-</w:t>
      </w:r>
      <w:r w:rsidRPr="00083858">
        <w:rPr>
          <w:rFonts w:ascii="Arial" w:hAnsi="Arial" w:cs="Arial"/>
          <w:color w:val="000000" w:themeColor="text1"/>
          <w:sz w:val="20"/>
          <w:lang w:val="en-GB"/>
        </w:rPr>
        <w:t>plate variation, a sole sample dependent normalization was performed. To this end for each plate the measured concentrations of the metabolites were divided by the median concentration leading to equal median values for each metabolite on each plate. Subsequently, the median of the plate medians was calculated to reset to the original scale (µM concentrations). No obvious pattern in missing values along the measurement period became obvious. However, only metabolites with at least 20% valid observations were included in the final data sets, resulting in 183 used for subsequent analysis. PCA was performed to detect multivariate outliers. These were defined as samples deviating more than three times the standard deviation (SD) from the mean Mahalanobis distance based on the first ten principle components. As a result, four samples were excluded. Finally, metabolite levels were log</w:t>
      </w:r>
      <w:r w:rsidRPr="00083858">
        <w:rPr>
          <w:rFonts w:ascii="Arial" w:hAnsi="Arial" w:cs="Arial"/>
          <w:color w:val="000000" w:themeColor="text1"/>
          <w:sz w:val="20"/>
          <w:vertAlign w:val="subscript"/>
          <w:lang w:val="en-GB"/>
        </w:rPr>
        <w:t>2</w:t>
      </w:r>
      <w:r w:rsidRPr="00083858">
        <w:rPr>
          <w:rFonts w:ascii="Arial" w:hAnsi="Arial" w:cs="Arial"/>
          <w:color w:val="000000" w:themeColor="text1"/>
          <w:sz w:val="20"/>
          <w:lang w:val="en-GB"/>
        </w:rPr>
        <w:t>-transformed.</w:t>
      </w:r>
    </w:p>
    <w:p w14:paraId="7FD01540" w14:textId="28F37319" w:rsidR="00BA1A41" w:rsidRPr="00083858" w:rsidRDefault="00BA1A41">
      <w:pPr>
        <w:rPr>
          <w:rFonts w:ascii="Arial" w:hAnsi="Arial" w:cs="Arial"/>
          <w:color w:val="000000" w:themeColor="text1"/>
          <w:lang w:val="en-US"/>
        </w:rPr>
      </w:pPr>
      <w:r w:rsidRPr="00083858">
        <w:rPr>
          <w:rFonts w:ascii="Arial" w:hAnsi="Arial" w:cs="Arial"/>
          <w:color w:val="000000" w:themeColor="text1"/>
          <w:lang w:val="en-US"/>
        </w:rPr>
        <w:br w:type="page"/>
      </w:r>
    </w:p>
    <w:p w14:paraId="73C952DA" w14:textId="766C4CF1" w:rsidR="00BA1A41" w:rsidRPr="00083858" w:rsidRDefault="00BA1A41" w:rsidP="006535D1">
      <w:pPr>
        <w:jc w:val="both"/>
        <w:rPr>
          <w:rFonts w:ascii="Arial" w:hAnsi="Arial" w:cs="Arial"/>
          <w:b/>
          <w:color w:val="000000" w:themeColor="text1"/>
          <w:lang w:val="en-US"/>
        </w:rPr>
      </w:pPr>
      <w:r w:rsidRPr="00083858">
        <w:rPr>
          <w:rFonts w:ascii="Arial" w:hAnsi="Arial" w:cs="Arial"/>
          <w:b/>
          <w:color w:val="000000" w:themeColor="text1"/>
          <w:lang w:val="en-US"/>
        </w:rPr>
        <w:lastRenderedPageBreak/>
        <w:t>References</w:t>
      </w:r>
    </w:p>
    <w:p w14:paraId="5BEBBEBB" w14:textId="6B0B6FCE" w:rsidR="0016211A" w:rsidRPr="00083858" w:rsidRDefault="00BA1A41" w:rsidP="00546F05">
      <w:pPr>
        <w:pStyle w:val="EndNoteBibliography"/>
        <w:spacing w:after="0"/>
        <w:ind w:left="426" w:hanging="426"/>
        <w:rPr>
          <w:rFonts w:ascii="Arial" w:hAnsi="Arial" w:cs="Arial"/>
          <w:color w:val="000000" w:themeColor="text1"/>
          <w:sz w:val="20"/>
        </w:rPr>
      </w:pPr>
      <w:r w:rsidRPr="00083858">
        <w:rPr>
          <w:rFonts w:ascii="Arial" w:hAnsi="Arial" w:cs="Arial"/>
          <w:color w:val="000000" w:themeColor="text1"/>
          <w:sz w:val="20"/>
        </w:rPr>
        <w:fldChar w:fldCharType="begin"/>
      </w:r>
      <w:r w:rsidRPr="00083858">
        <w:rPr>
          <w:rFonts w:ascii="Arial" w:hAnsi="Arial" w:cs="Arial"/>
          <w:color w:val="000000" w:themeColor="text1"/>
          <w:sz w:val="20"/>
        </w:rPr>
        <w:instrText xml:space="preserve"> ADDIN EN.REFLIST </w:instrText>
      </w:r>
      <w:r w:rsidRPr="00083858">
        <w:rPr>
          <w:rFonts w:ascii="Arial" w:hAnsi="Arial" w:cs="Arial"/>
          <w:color w:val="000000" w:themeColor="text1"/>
          <w:sz w:val="20"/>
        </w:rPr>
        <w:fldChar w:fldCharType="separate"/>
      </w:r>
      <w:r w:rsidR="0016211A" w:rsidRPr="00083858">
        <w:rPr>
          <w:rFonts w:ascii="Arial" w:hAnsi="Arial" w:cs="Arial"/>
          <w:color w:val="000000" w:themeColor="text1"/>
          <w:sz w:val="20"/>
        </w:rPr>
        <w:t xml:space="preserve">[1] </w:t>
      </w:r>
      <w:r w:rsidR="00546F05" w:rsidRPr="00083858">
        <w:rPr>
          <w:rFonts w:ascii="Arial" w:hAnsi="Arial" w:cs="Arial"/>
          <w:color w:val="000000" w:themeColor="text1"/>
          <w:sz w:val="20"/>
        </w:rPr>
        <w:t xml:space="preserve"> </w:t>
      </w:r>
      <w:r w:rsidR="0016211A" w:rsidRPr="00083858">
        <w:rPr>
          <w:rFonts w:ascii="Arial" w:hAnsi="Arial" w:cs="Arial"/>
          <w:color w:val="000000" w:themeColor="text1"/>
          <w:sz w:val="20"/>
        </w:rPr>
        <w:t>A.M. Evans, C.D. DeHaven, T. Barrett, M. Mitchell, E. Milgram, Integrated, nontargeted ultrahigh performance liquid chromatography/electrospray ionization tandem mass spectrometry platform for the identification and relative quantification of the small-molecule complement of biological systems, Analytical chemistry 81(16) (2009) 6656-67.</w:t>
      </w:r>
    </w:p>
    <w:p w14:paraId="73FFCB0B" w14:textId="77777777" w:rsidR="0016211A" w:rsidRPr="00083858" w:rsidRDefault="0016211A" w:rsidP="00546F05">
      <w:pPr>
        <w:pStyle w:val="EndNoteBibliography"/>
        <w:spacing w:after="0"/>
        <w:ind w:left="426" w:hanging="426"/>
        <w:rPr>
          <w:rFonts w:ascii="Arial" w:hAnsi="Arial" w:cs="Arial"/>
          <w:color w:val="000000" w:themeColor="text1"/>
          <w:sz w:val="20"/>
        </w:rPr>
      </w:pPr>
      <w:r w:rsidRPr="00083858">
        <w:rPr>
          <w:rFonts w:ascii="Arial" w:hAnsi="Arial" w:cs="Arial"/>
          <w:color w:val="000000" w:themeColor="text1"/>
          <w:sz w:val="20"/>
        </w:rPr>
        <w:t>[2] K.A. Lawton, A. Berger, M. Mitchell, K.E. Milgram, A.M. Evans, L. Guo, R.W. Hanson, S.C. Kalhan, J.A. Ryals, M.V. Milburn, Analysis of the adult human plasma metabolome, Pharmacogenomics 9(4) (2008) 383-97.</w:t>
      </w:r>
    </w:p>
    <w:p w14:paraId="0D7C58EE" w14:textId="409BD6F5" w:rsidR="00BA1A41" w:rsidRPr="00083858" w:rsidRDefault="00BA1A41" w:rsidP="00546F05">
      <w:pPr>
        <w:ind w:left="426" w:hanging="426"/>
        <w:jc w:val="both"/>
        <w:rPr>
          <w:rFonts w:ascii="Arial" w:hAnsi="Arial" w:cs="Arial"/>
          <w:color w:val="000000" w:themeColor="text1"/>
          <w:lang w:val="en-US"/>
        </w:rPr>
      </w:pPr>
      <w:r w:rsidRPr="00083858">
        <w:rPr>
          <w:rFonts w:ascii="Arial" w:hAnsi="Arial" w:cs="Arial"/>
          <w:color w:val="000000" w:themeColor="text1"/>
          <w:sz w:val="20"/>
          <w:lang w:val="en-US"/>
        </w:rPr>
        <w:fldChar w:fldCharType="end"/>
      </w:r>
      <w:r w:rsidR="00F94E69" w:rsidRPr="00083858">
        <w:rPr>
          <w:rFonts w:ascii="Arial" w:hAnsi="Arial" w:cs="Arial"/>
          <w:color w:val="000000" w:themeColor="text1"/>
          <w:sz w:val="20"/>
          <w:lang w:val="en-US"/>
        </w:rPr>
        <w:t>[3]</w:t>
      </w:r>
      <w:r w:rsidR="00F94E69" w:rsidRPr="00083858">
        <w:rPr>
          <w:color w:val="000000" w:themeColor="text1"/>
          <w:lang w:val="en-US"/>
        </w:rPr>
        <w:t xml:space="preserve"> </w:t>
      </w:r>
      <w:r w:rsidR="00F94E69" w:rsidRPr="00083858">
        <w:rPr>
          <w:rFonts w:ascii="Arial" w:hAnsi="Arial" w:cs="Arial"/>
          <w:color w:val="000000" w:themeColor="text1"/>
          <w:sz w:val="20"/>
          <w:lang w:val="en-US"/>
        </w:rPr>
        <w:t>Filzmoser, Peter, Ricardo Maronna, and Mark Werner. "Outlier identification in high dimensions." Computational statistics &amp; data analysis 52.3 (2008): 1694-1711.</w:t>
      </w:r>
    </w:p>
    <w:sectPr w:rsidR="00BA1A41" w:rsidRPr="00083858" w:rsidSect="007070F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EC37E" w14:textId="77777777" w:rsidR="00455DEB" w:rsidRDefault="00455DEB" w:rsidP="00642835">
      <w:pPr>
        <w:spacing w:after="0" w:line="240" w:lineRule="auto"/>
      </w:pPr>
      <w:r>
        <w:separator/>
      </w:r>
    </w:p>
  </w:endnote>
  <w:endnote w:type="continuationSeparator" w:id="0">
    <w:p w14:paraId="2C2AC0F9" w14:textId="77777777" w:rsidR="00455DEB" w:rsidRDefault="00455DEB" w:rsidP="00642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DE91" w14:textId="4223B799" w:rsidR="00642835" w:rsidRDefault="00642835">
    <w:pPr>
      <w:pStyle w:val="Footer"/>
      <w:jc w:val="center"/>
    </w:pPr>
  </w:p>
  <w:p w14:paraId="1499283C" w14:textId="77777777" w:rsidR="00642835" w:rsidRDefault="00642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C496" w14:textId="77777777" w:rsidR="00455DEB" w:rsidRDefault="00455DEB" w:rsidP="00642835">
      <w:pPr>
        <w:spacing w:after="0" w:line="240" w:lineRule="auto"/>
      </w:pPr>
      <w:r>
        <w:separator/>
      </w:r>
    </w:p>
  </w:footnote>
  <w:footnote w:type="continuationSeparator" w:id="0">
    <w:p w14:paraId="4300D131" w14:textId="77777777" w:rsidR="00455DEB" w:rsidRDefault="00455DEB" w:rsidP="006428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Clinica Chimica Acta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svt2v2x5szages2f65t5p2ee9dzezwz52s&quot;&gt;Nt-proBNP&lt;record-ids&gt;&lt;item&gt;114&lt;/item&gt;&lt;item&gt;115&lt;/item&gt;&lt;item&gt;116&lt;/item&gt;&lt;item&gt;117&lt;/item&gt;&lt;item&gt;118&lt;/item&gt;&lt;/record-ids&gt;&lt;/item&gt;&lt;/Libraries&gt;"/>
  </w:docVars>
  <w:rsids>
    <w:rsidRoot w:val="000E0B12"/>
    <w:rsid w:val="00005EC4"/>
    <w:rsid w:val="0003685E"/>
    <w:rsid w:val="00083858"/>
    <w:rsid w:val="000E0B12"/>
    <w:rsid w:val="000F26C0"/>
    <w:rsid w:val="00101406"/>
    <w:rsid w:val="001225DD"/>
    <w:rsid w:val="00153A05"/>
    <w:rsid w:val="0016211A"/>
    <w:rsid w:val="001A33BC"/>
    <w:rsid w:val="001C43B8"/>
    <w:rsid w:val="00247314"/>
    <w:rsid w:val="002F7A79"/>
    <w:rsid w:val="003362ED"/>
    <w:rsid w:val="00387C06"/>
    <w:rsid w:val="003A483A"/>
    <w:rsid w:val="003F20A5"/>
    <w:rsid w:val="00422B13"/>
    <w:rsid w:val="00455DEB"/>
    <w:rsid w:val="004930B6"/>
    <w:rsid w:val="004940CB"/>
    <w:rsid w:val="004D7CB2"/>
    <w:rsid w:val="0052742E"/>
    <w:rsid w:val="00546F05"/>
    <w:rsid w:val="0059122C"/>
    <w:rsid w:val="005A2867"/>
    <w:rsid w:val="006109A5"/>
    <w:rsid w:val="00634D11"/>
    <w:rsid w:val="00642835"/>
    <w:rsid w:val="00653347"/>
    <w:rsid w:val="006535D1"/>
    <w:rsid w:val="006C414C"/>
    <w:rsid w:val="007070FC"/>
    <w:rsid w:val="00710D5D"/>
    <w:rsid w:val="0078788C"/>
    <w:rsid w:val="007E327E"/>
    <w:rsid w:val="007F2828"/>
    <w:rsid w:val="007F7AD5"/>
    <w:rsid w:val="008676A3"/>
    <w:rsid w:val="00895A31"/>
    <w:rsid w:val="008C2DC6"/>
    <w:rsid w:val="009236F2"/>
    <w:rsid w:val="00986CFC"/>
    <w:rsid w:val="009D6CAB"/>
    <w:rsid w:val="00A07165"/>
    <w:rsid w:val="00A52566"/>
    <w:rsid w:val="00A572F4"/>
    <w:rsid w:val="00A839E6"/>
    <w:rsid w:val="00A85B6C"/>
    <w:rsid w:val="00AB7068"/>
    <w:rsid w:val="00B17B02"/>
    <w:rsid w:val="00B77473"/>
    <w:rsid w:val="00BA1A41"/>
    <w:rsid w:val="00C01B93"/>
    <w:rsid w:val="00C61F83"/>
    <w:rsid w:val="00C6388C"/>
    <w:rsid w:val="00C76EF6"/>
    <w:rsid w:val="00CC10D6"/>
    <w:rsid w:val="00D057EC"/>
    <w:rsid w:val="00D326D4"/>
    <w:rsid w:val="00D42671"/>
    <w:rsid w:val="00D42BF4"/>
    <w:rsid w:val="00D63BC7"/>
    <w:rsid w:val="00D925D2"/>
    <w:rsid w:val="00DD474E"/>
    <w:rsid w:val="00E201E7"/>
    <w:rsid w:val="00E43D76"/>
    <w:rsid w:val="00EC5EFA"/>
    <w:rsid w:val="00EE1041"/>
    <w:rsid w:val="00F01166"/>
    <w:rsid w:val="00F20548"/>
    <w:rsid w:val="00F24CF6"/>
    <w:rsid w:val="00F44A5F"/>
    <w:rsid w:val="00F844A2"/>
    <w:rsid w:val="00F94E69"/>
    <w:rsid w:val="00FC3F5A"/>
    <w:rsid w:val="00FD1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0EAC5"/>
  <w15:docId w15:val="{43159761-905C-4D3A-8E6E-3C7BEEE6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12"/>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E0B12"/>
    <w:rPr>
      <w:sz w:val="16"/>
      <w:szCs w:val="16"/>
    </w:rPr>
  </w:style>
  <w:style w:type="paragraph" w:styleId="CommentText">
    <w:name w:val="annotation text"/>
    <w:basedOn w:val="Normal"/>
    <w:link w:val="CommentTextChar"/>
    <w:uiPriority w:val="99"/>
    <w:semiHidden/>
    <w:unhideWhenUsed/>
    <w:rsid w:val="000E0B12"/>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0E0B12"/>
    <w:rPr>
      <w:sz w:val="20"/>
      <w:szCs w:val="20"/>
      <w:lang w:val="de-DE"/>
    </w:rPr>
  </w:style>
  <w:style w:type="paragraph" w:styleId="BalloonText">
    <w:name w:val="Balloon Text"/>
    <w:basedOn w:val="Normal"/>
    <w:link w:val="BalloonTextChar"/>
    <w:uiPriority w:val="99"/>
    <w:semiHidden/>
    <w:unhideWhenUsed/>
    <w:rsid w:val="000E0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B12"/>
    <w:rPr>
      <w:rFonts w:ascii="Tahoma" w:hAnsi="Tahoma" w:cs="Tahoma"/>
      <w:sz w:val="16"/>
      <w:szCs w:val="16"/>
      <w:lang w:val="de-DE"/>
    </w:rPr>
  </w:style>
  <w:style w:type="paragraph" w:styleId="CommentSubject">
    <w:name w:val="annotation subject"/>
    <w:basedOn w:val="CommentText"/>
    <w:next w:val="CommentText"/>
    <w:link w:val="CommentSubjectChar"/>
    <w:uiPriority w:val="99"/>
    <w:semiHidden/>
    <w:unhideWhenUsed/>
    <w:rsid w:val="00D42671"/>
    <w:pPr>
      <w:spacing w:after="200"/>
    </w:pPr>
    <w:rPr>
      <w:b/>
      <w:bCs/>
    </w:rPr>
  </w:style>
  <w:style w:type="character" w:customStyle="1" w:styleId="CommentSubjectChar">
    <w:name w:val="Comment Subject Char"/>
    <w:basedOn w:val="CommentTextChar"/>
    <w:link w:val="CommentSubject"/>
    <w:uiPriority w:val="99"/>
    <w:semiHidden/>
    <w:rsid w:val="00D42671"/>
    <w:rPr>
      <w:b/>
      <w:bCs/>
      <w:sz w:val="20"/>
      <w:szCs w:val="20"/>
      <w:lang w:val="de-DE"/>
    </w:rPr>
  </w:style>
  <w:style w:type="paragraph" w:styleId="Header">
    <w:name w:val="header"/>
    <w:basedOn w:val="Normal"/>
    <w:link w:val="HeaderChar"/>
    <w:uiPriority w:val="99"/>
    <w:unhideWhenUsed/>
    <w:rsid w:val="006428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642835"/>
    <w:rPr>
      <w:lang w:val="de-DE"/>
    </w:rPr>
  </w:style>
  <w:style w:type="paragraph" w:styleId="Footer">
    <w:name w:val="footer"/>
    <w:basedOn w:val="Normal"/>
    <w:link w:val="FooterChar"/>
    <w:uiPriority w:val="99"/>
    <w:unhideWhenUsed/>
    <w:rsid w:val="006428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642835"/>
    <w:rPr>
      <w:lang w:val="de-DE"/>
    </w:rPr>
  </w:style>
  <w:style w:type="table" w:styleId="TableGrid">
    <w:name w:val="Table Grid"/>
    <w:basedOn w:val="TableNormal"/>
    <w:uiPriority w:val="59"/>
    <w:rsid w:val="009236F2"/>
    <w:pPr>
      <w:spacing w:after="0" w:line="240" w:lineRule="auto"/>
    </w:pPr>
    <w:rPr>
      <w:rFonts w:ascii="Times New Roman" w:hAnsi="Times New Roman" w:cs="Times New Roman"/>
      <w:sz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Zchn"/>
    <w:rsid w:val="00BA1A41"/>
    <w:pPr>
      <w:spacing w:after="0"/>
      <w:jc w:val="center"/>
    </w:pPr>
    <w:rPr>
      <w:rFonts w:ascii="Calibri" w:hAnsi="Calibri"/>
      <w:noProof/>
      <w:lang w:val="en-US"/>
    </w:rPr>
  </w:style>
  <w:style w:type="character" w:customStyle="1" w:styleId="EndNoteBibliographyTitleZchn">
    <w:name w:val="EndNote Bibliography Title Zchn"/>
    <w:basedOn w:val="DefaultParagraphFont"/>
    <w:link w:val="EndNoteBibliographyTitle"/>
    <w:rsid w:val="00BA1A41"/>
    <w:rPr>
      <w:rFonts w:ascii="Calibri" w:hAnsi="Calibri"/>
      <w:noProof/>
      <w:lang w:val="en-US"/>
    </w:rPr>
  </w:style>
  <w:style w:type="paragraph" w:customStyle="1" w:styleId="EndNoteBibliography">
    <w:name w:val="EndNote Bibliography"/>
    <w:basedOn w:val="Normal"/>
    <w:link w:val="EndNoteBibliographyZchn"/>
    <w:rsid w:val="00BA1A41"/>
    <w:pPr>
      <w:spacing w:line="240" w:lineRule="auto"/>
      <w:jc w:val="both"/>
    </w:pPr>
    <w:rPr>
      <w:rFonts w:ascii="Calibri" w:hAnsi="Calibri"/>
      <w:noProof/>
      <w:lang w:val="en-US"/>
    </w:rPr>
  </w:style>
  <w:style w:type="character" w:customStyle="1" w:styleId="EndNoteBibliographyZchn">
    <w:name w:val="EndNote Bibliography Zchn"/>
    <w:basedOn w:val="DefaultParagraphFont"/>
    <w:link w:val="EndNoteBibliography"/>
    <w:rsid w:val="00BA1A41"/>
    <w:rPr>
      <w:rFonts w:ascii="Calibri" w:hAnsi="Calibri"/>
      <w:noProof/>
      <w:lang w:val="en-US"/>
    </w:rPr>
  </w:style>
  <w:style w:type="character" w:styleId="LineNumber">
    <w:name w:val="line number"/>
    <w:basedOn w:val="DefaultParagraphFont"/>
    <w:uiPriority w:val="99"/>
    <w:semiHidden/>
    <w:unhideWhenUsed/>
    <w:rsid w:val="009D6CAB"/>
  </w:style>
  <w:style w:type="paragraph" w:styleId="Revision">
    <w:name w:val="Revision"/>
    <w:hidden/>
    <w:uiPriority w:val="99"/>
    <w:semiHidden/>
    <w:rsid w:val="00FD12D3"/>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2346</Words>
  <Characters>13824</Characters>
  <Application>Microsoft Office Word</Application>
  <DocSecurity>0</DocSecurity>
  <Lines>209</Lines>
  <Paragraphs>45</Paragraphs>
  <ScaleCrop>false</ScaleCrop>
  <HeadingPairs>
    <vt:vector size="2" baseType="variant">
      <vt:variant>
        <vt:lpstr>Titel</vt:lpstr>
      </vt:variant>
      <vt:variant>
        <vt:i4>1</vt:i4>
      </vt:variant>
    </vt:vector>
  </HeadingPairs>
  <TitlesOfParts>
    <vt:vector size="1" baseType="lpstr">
      <vt:lpstr/>
    </vt:vector>
  </TitlesOfParts>
  <Company>Universitätsmedizin Greifswald</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Maik Pietzner</dc:creator>
  <cp:lastModifiedBy>Thulasidharan, Shalini -</cp:lastModifiedBy>
  <cp:revision>5</cp:revision>
  <dcterms:created xsi:type="dcterms:W3CDTF">2025-02-13T11:34:00Z</dcterms:created>
  <dcterms:modified xsi:type="dcterms:W3CDTF">2025-03-02T09:18:00Z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a68c43b31ec956ce1cdffa6babfa194cb2605316d565db58e655476c77c790d7</vt:lpwstr>
  </property>
</Properties>
</file>