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B96FA" w14:textId="23FAEC54" w:rsidR="006A498B" w:rsidRPr="00847027" w:rsidRDefault="005A5BFB">
      <w:pPr>
        <w:rPr>
          <w:rFonts w:ascii="Times New Roman" w:hAnsi="Times New Roman" w:cs="Times New Roman"/>
          <w:b/>
          <w:sz w:val="24"/>
          <w:lang w:val="en-GB"/>
        </w:rPr>
      </w:pPr>
      <w:r w:rsidRPr="00847027">
        <w:rPr>
          <w:rFonts w:ascii="Times New Roman" w:hAnsi="Times New Roman" w:cs="Times New Roman"/>
          <w:b/>
          <w:sz w:val="24"/>
          <w:lang w:val="en-GB"/>
        </w:rPr>
        <w:t>Supplementary Information</w:t>
      </w:r>
    </w:p>
    <w:p w14:paraId="292B7D05" w14:textId="73712657" w:rsidR="00847027" w:rsidRDefault="00391A97" w:rsidP="00E057C4">
      <w:pPr>
        <w:spacing w:after="0"/>
        <w:rPr>
          <w:rFonts w:ascii="Times New Roman" w:eastAsia="Times New Roman" w:hAnsi="Times New Roman" w:cs="Times New Roman"/>
          <w:bCs/>
          <w:sz w:val="24"/>
          <w:szCs w:val="24"/>
          <w:lang w:val="en-GB"/>
        </w:rPr>
      </w:pPr>
      <w:r w:rsidRPr="00391A97">
        <w:rPr>
          <w:rFonts w:ascii="Times New Roman" w:eastAsia="Times New Roman" w:hAnsi="Times New Roman" w:cs="Times New Roman"/>
          <w:bCs/>
          <w:sz w:val="24"/>
          <w:szCs w:val="24"/>
          <w:lang w:val="en-GB"/>
        </w:rPr>
        <w:t>Plant species richness and the root economics space drive soil fungal communities</w:t>
      </w:r>
    </w:p>
    <w:p w14:paraId="56D8BDF5" w14:textId="1D62EB3B" w:rsidR="00391A97" w:rsidRDefault="00391A97" w:rsidP="00E057C4">
      <w:pPr>
        <w:spacing w:after="0"/>
        <w:rPr>
          <w:rFonts w:ascii="Times New Roman" w:eastAsia="Times New Roman" w:hAnsi="Times New Roman" w:cs="Times New Roman"/>
          <w:bCs/>
          <w:sz w:val="24"/>
          <w:szCs w:val="24"/>
          <w:lang w:val="en-GB"/>
        </w:rPr>
      </w:pPr>
    </w:p>
    <w:p w14:paraId="76E7087A" w14:textId="77777777" w:rsidR="00391A97" w:rsidRDefault="00391A97" w:rsidP="00E057C4">
      <w:pPr>
        <w:spacing w:after="0"/>
        <w:rPr>
          <w:rFonts w:ascii="Times New Roman" w:eastAsia="Times New Roman" w:hAnsi="Times New Roman" w:cs="Times New Roman"/>
          <w:bCs/>
          <w:sz w:val="24"/>
          <w:szCs w:val="24"/>
          <w:lang w:val="en-US" w:eastAsia="de-DE"/>
        </w:rPr>
      </w:pPr>
    </w:p>
    <w:p w14:paraId="28AA5286" w14:textId="77777777" w:rsidR="00E06D9D" w:rsidRPr="00F40F76" w:rsidRDefault="00E06D9D" w:rsidP="00547F67">
      <w:pPr>
        <w:spacing w:after="0"/>
        <w:jc w:val="both"/>
        <w:rPr>
          <w:rFonts w:ascii="Times New Roman" w:eastAsia="Times New Roman" w:hAnsi="Times New Roman" w:cs="Times New Roman"/>
          <w:bCs/>
          <w:sz w:val="12"/>
          <w:szCs w:val="24"/>
          <w:lang w:val="en-GB"/>
        </w:rPr>
      </w:pPr>
    </w:p>
    <w:p w14:paraId="050771F1" w14:textId="77777777" w:rsidR="00F40F76" w:rsidRPr="0055328A" w:rsidRDefault="00F40F76" w:rsidP="00547F67">
      <w:pPr>
        <w:spacing w:after="0"/>
        <w:jc w:val="both"/>
        <w:rPr>
          <w:rFonts w:ascii="Times New Roman" w:eastAsia="Times New Roman" w:hAnsi="Times New Roman" w:cs="Times New Roman"/>
          <w:bCs/>
          <w:sz w:val="24"/>
          <w:szCs w:val="24"/>
          <w:vertAlign w:val="superscript"/>
          <w:lang w:val="en-GB"/>
        </w:rPr>
      </w:pPr>
      <w:r w:rsidRPr="0055328A">
        <w:rPr>
          <w:rFonts w:ascii="Times New Roman" w:eastAsia="Times New Roman" w:hAnsi="Times New Roman" w:cs="Times New Roman"/>
          <w:bCs/>
          <w:sz w:val="24"/>
          <w:szCs w:val="24"/>
          <w:lang w:val="en-GB"/>
        </w:rPr>
        <w:t>Justus Hennecke</w:t>
      </w:r>
      <w:r w:rsidRPr="0055328A">
        <w:rPr>
          <w:rFonts w:ascii="Times New Roman" w:eastAsia="Times New Roman" w:hAnsi="Times New Roman" w:cs="Times New Roman"/>
          <w:bCs/>
          <w:sz w:val="24"/>
          <w:szCs w:val="24"/>
          <w:vertAlign w:val="superscript"/>
          <w:lang w:val="en-GB"/>
        </w:rPr>
        <w:t>1,2,*</w:t>
      </w:r>
      <w:r w:rsidRPr="0055328A">
        <w:rPr>
          <w:rFonts w:ascii="Times New Roman" w:eastAsia="Times New Roman" w:hAnsi="Times New Roman" w:cs="Times New Roman"/>
          <w:bCs/>
          <w:sz w:val="24"/>
          <w:szCs w:val="24"/>
          <w:lang w:val="en-GB"/>
        </w:rPr>
        <w:t>, Leonardo Bassi</w:t>
      </w:r>
      <w:r w:rsidRPr="0055328A">
        <w:rPr>
          <w:rFonts w:ascii="Times New Roman" w:eastAsia="Times New Roman" w:hAnsi="Times New Roman" w:cs="Times New Roman"/>
          <w:bCs/>
          <w:sz w:val="24"/>
          <w:szCs w:val="24"/>
          <w:vertAlign w:val="superscript"/>
          <w:lang w:val="en-GB"/>
        </w:rPr>
        <w:t>1,2</w:t>
      </w:r>
      <w:r w:rsidRPr="0055328A">
        <w:rPr>
          <w:rFonts w:ascii="Times New Roman" w:eastAsia="Times New Roman" w:hAnsi="Times New Roman" w:cs="Times New Roman"/>
          <w:bCs/>
          <w:sz w:val="24"/>
          <w:szCs w:val="24"/>
          <w:lang w:val="en-GB"/>
        </w:rPr>
        <w:t>, Cynthia Albracht</w:t>
      </w:r>
      <w:r w:rsidRPr="0055328A">
        <w:rPr>
          <w:rFonts w:ascii="Times New Roman" w:eastAsia="Times New Roman" w:hAnsi="Times New Roman" w:cs="Times New Roman"/>
          <w:bCs/>
          <w:sz w:val="24"/>
          <w:szCs w:val="24"/>
          <w:vertAlign w:val="superscript"/>
          <w:lang w:val="en-GB"/>
        </w:rPr>
        <w:t>3,4,5</w:t>
      </w:r>
      <w:r w:rsidRPr="0055328A">
        <w:rPr>
          <w:rFonts w:ascii="Times New Roman" w:eastAsia="Times New Roman" w:hAnsi="Times New Roman" w:cs="Times New Roman"/>
          <w:bCs/>
          <w:sz w:val="24"/>
          <w:szCs w:val="24"/>
          <w:lang w:val="en-GB"/>
        </w:rPr>
        <w:t>, Angelos Amyntas</w:t>
      </w:r>
      <w:r w:rsidRPr="0055328A">
        <w:rPr>
          <w:rFonts w:ascii="Times New Roman" w:eastAsia="Times New Roman" w:hAnsi="Times New Roman" w:cs="Times New Roman"/>
          <w:bCs/>
          <w:sz w:val="24"/>
          <w:szCs w:val="24"/>
          <w:vertAlign w:val="superscript"/>
          <w:lang w:val="en-GB"/>
        </w:rPr>
        <w:t>2,6,7</w:t>
      </w:r>
      <w:r w:rsidRPr="0055328A">
        <w:rPr>
          <w:rFonts w:ascii="Times New Roman" w:eastAsia="Times New Roman" w:hAnsi="Times New Roman" w:cs="Times New Roman"/>
          <w:bCs/>
          <w:sz w:val="24"/>
          <w:szCs w:val="24"/>
          <w:lang w:val="en-GB"/>
        </w:rPr>
        <w:t>, Joana Bergmann</w:t>
      </w:r>
      <w:r w:rsidRPr="0055328A">
        <w:rPr>
          <w:rFonts w:ascii="Times New Roman" w:eastAsia="Times New Roman" w:hAnsi="Times New Roman" w:cs="Times New Roman"/>
          <w:bCs/>
          <w:sz w:val="24"/>
          <w:szCs w:val="24"/>
          <w:vertAlign w:val="superscript"/>
          <w:lang w:val="en-GB"/>
        </w:rPr>
        <w:t>8</w:t>
      </w:r>
      <w:r w:rsidRPr="0055328A">
        <w:rPr>
          <w:rFonts w:ascii="Times New Roman" w:eastAsia="Times New Roman" w:hAnsi="Times New Roman" w:cs="Times New Roman"/>
          <w:bCs/>
          <w:sz w:val="24"/>
          <w:szCs w:val="24"/>
          <w:lang w:val="en-GB"/>
        </w:rPr>
        <w:t>, Nico Eisenhauer</w:t>
      </w:r>
      <w:r w:rsidRPr="0055328A">
        <w:rPr>
          <w:rFonts w:ascii="Times New Roman" w:eastAsia="Times New Roman" w:hAnsi="Times New Roman" w:cs="Times New Roman"/>
          <w:bCs/>
          <w:sz w:val="24"/>
          <w:szCs w:val="24"/>
          <w:vertAlign w:val="superscript"/>
          <w:lang w:val="en-GB"/>
        </w:rPr>
        <w:t>2,9</w:t>
      </w:r>
      <w:r w:rsidRPr="0055328A">
        <w:rPr>
          <w:rFonts w:ascii="Times New Roman" w:eastAsia="Times New Roman" w:hAnsi="Times New Roman" w:cs="Times New Roman"/>
          <w:bCs/>
          <w:sz w:val="24"/>
          <w:szCs w:val="24"/>
          <w:lang w:val="en-GB"/>
        </w:rPr>
        <w:t>, Aaron Fox</w:t>
      </w:r>
      <w:r w:rsidRPr="0055328A">
        <w:rPr>
          <w:rFonts w:ascii="Times New Roman" w:eastAsia="Times New Roman" w:hAnsi="Times New Roman" w:cs="Times New Roman"/>
          <w:bCs/>
          <w:sz w:val="24"/>
          <w:szCs w:val="24"/>
          <w:vertAlign w:val="superscript"/>
          <w:lang w:val="en-GB"/>
        </w:rPr>
        <w:t>10,11</w:t>
      </w:r>
      <w:r w:rsidRPr="0055328A">
        <w:rPr>
          <w:rFonts w:ascii="Times New Roman" w:eastAsia="Times New Roman" w:hAnsi="Times New Roman" w:cs="Times New Roman"/>
          <w:bCs/>
          <w:sz w:val="24"/>
          <w:szCs w:val="24"/>
          <w:lang w:val="en-GB"/>
        </w:rPr>
        <w:t xml:space="preserve"> Lea Heimbold</w:t>
      </w:r>
      <w:r w:rsidRPr="0055328A">
        <w:rPr>
          <w:rFonts w:ascii="Times New Roman" w:eastAsia="Times New Roman" w:hAnsi="Times New Roman" w:cs="Times New Roman"/>
          <w:bCs/>
          <w:sz w:val="24"/>
          <w:szCs w:val="24"/>
          <w:vertAlign w:val="superscript"/>
          <w:lang w:val="en-GB"/>
        </w:rPr>
        <w:t>12,2</w:t>
      </w:r>
      <w:r w:rsidRPr="0055328A">
        <w:rPr>
          <w:rFonts w:ascii="Times New Roman" w:eastAsia="Times New Roman" w:hAnsi="Times New Roman" w:cs="Times New Roman"/>
          <w:bCs/>
          <w:sz w:val="24"/>
          <w:szCs w:val="24"/>
          <w:lang w:val="en-GB"/>
        </w:rPr>
        <w:t>, Anna Heintz-Buschart</w:t>
      </w:r>
      <w:r w:rsidRPr="0055328A">
        <w:rPr>
          <w:rFonts w:ascii="Times New Roman" w:eastAsia="Times New Roman" w:hAnsi="Times New Roman" w:cs="Times New Roman"/>
          <w:bCs/>
          <w:sz w:val="24"/>
          <w:szCs w:val="24"/>
          <w:vertAlign w:val="superscript"/>
          <w:lang w:val="en-GB"/>
        </w:rPr>
        <w:t>3</w:t>
      </w:r>
      <w:r w:rsidRPr="0055328A">
        <w:rPr>
          <w:rFonts w:ascii="Times New Roman" w:eastAsia="Times New Roman" w:hAnsi="Times New Roman" w:cs="Times New Roman"/>
          <w:bCs/>
          <w:sz w:val="24"/>
          <w:szCs w:val="24"/>
          <w:lang w:val="en-GB"/>
        </w:rPr>
        <w:t>,</w:t>
      </w:r>
      <w:r w:rsidRPr="0055328A">
        <w:rPr>
          <w:rFonts w:ascii="Times New Roman" w:eastAsia="Times New Roman" w:hAnsi="Times New Roman" w:cs="Times New Roman"/>
          <w:bCs/>
          <w:sz w:val="24"/>
          <w:szCs w:val="24"/>
          <w:vertAlign w:val="superscript"/>
          <w:lang w:val="en-GB"/>
        </w:rPr>
        <w:t xml:space="preserve"> </w:t>
      </w:r>
      <w:r w:rsidRPr="0055328A">
        <w:rPr>
          <w:rFonts w:ascii="Times New Roman" w:eastAsia="Times New Roman" w:hAnsi="Times New Roman" w:cs="Times New Roman"/>
          <w:bCs/>
          <w:sz w:val="24"/>
          <w:szCs w:val="24"/>
          <w:lang w:val="en-GB"/>
        </w:rPr>
        <w:t>Thomas W. Kuyper</w:t>
      </w:r>
      <w:r w:rsidRPr="0055328A">
        <w:rPr>
          <w:rFonts w:ascii="Times New Roman" w:eastAsia="Times New Roman" w:hAnsi="Times New Roman" w:cs="Times New Roman"/>
          <w:bCs/>
          <w:sz w:val="24"/>
          <w:szCs w:val="24"/>
          <w:vertAlign w:val="superscript"/>
          <w:lang w:val="en-GB"/>
        </w:rPr>
        <w:t>13</w:t>
      </w:r>
      <w:r w:rsidRPr="0055328A">
        <w:rPr>
          <w:rFonts w:ascii="Times New Roman" w:eastAsia="Times New Roman" w:hAnsi="Times New Roman" w:cs="Times New Roman"/>
          <w:bCs/>
          <w:sz w:val="24"/>
          <w:szCs w:val="24"/>
          <w:lang w:val="en-GB"/>
        </w:rPr>
        <w:t>, Markus Lange</w:t>
      </w:r>
      <w:r w:rsidRPr="0055328A">
        <w:rPr>
          <w:rFonts w:ascii="Times New Roman" w:eastAsia="Times New Roman" w:hAnsi="Times New Roman" w:cs="Times New Roman"/>
          <w:bCs/>
          <w:sz w:val="24"/>
          <w:szCs w:val="24"/>
          <w:vertAlign w:val="superscript"/>
          <w:lang w:val="en-GB"/>
        </w:rPr>
        <w:t>14</w:t>
      </w:r>
      <w:r w:rsidRPr="0055328A">
        <w:rPr>
          <w:rFonts w:ascii="Times New Roman" w:eastAsia="Times New Roman" w:hAnsi="Times New Roman" w:cs="Times New Roman"/>
          <w:bCs/>
          <w:sz w:val="24"/>
          <w:szCs w:val="24"/>
          <w:lang w:val="en-GB"/>
        </w:rPr>
        <w:t>, Yuri Pinheiro Alves de Souza</w:t>
      </w:r>
      <w:r w:rsidRPr="0055328A">
        <w:rPr>
          <w:rFonts w:ascii="Times New Roman" w:eastAsia="Times New Roman" w:hAnsi="Times New Roman" w:cs="Times New Roman"/>
          <w:bCs/>
          <w:sz w:val="24"/>
          <w:szCs w:val="24"/>
          <w:vertAlign w:val="superscript"/>
          <w:lang w:val="en-GB"/>
        </w:rPr>
        <w:t>10,15</w:t>
      </w:r>
      <w:r w:rsidRPr="0055328A">
        <w:rPr>
          <w:rFonts w:ascii="Times New Roman" w:eastAsia="Times New Roman" w:hAnsi="Times New Roman" w:cs="Times New Roman"/>
          <w:bCs/>
          <w:sz w:val="24"/>
          <w:szCs w:val="24"/>
          <w:lang w:val="en-GB"/>
        </w:rPr>
        <w:t>, Akanksha Rai</w:t>
      </w:r>
      <w:r w:rsidRPr="0055328A">
        <w:rPr>
          <w:rFonts w:ascii="Times New Roman" w:eastAsia="Times New Roman" w:hAnsi="Times New Roman" w:cs="Times New Roman"/>
          <w:bCs/>
          <w:sz w:val="24"/>
          <w:szCs w:val="24"/>
          <w:vertAlign w:val="superscript"/>
          <w:lang w:val="en-GB"/>
        </w:rPr>
        <w:t>14</w:t>
      </w:r>
      <w:r w:rsidRPr="0055328A">
        <w:rPr>
          <w:rFonts w:ascii="Times New Roman" w:eastAsia="Times New Roman" w:hAnsi="Times New Roman" w:cs="Times New Roman"/>
          <w:bCs/>
          <w:sz w:val="24"/>
          <w:szCs w:val="24"/>
          <w:lang w:val="en-GB"/>
        </w:rPr>
        <w:t>, Marcel Dominik Solbach</w:t>
      </w:r>
      <w:r w:rsidRPr="0055328A">
        <w:rPr>
          <w:rFonts w:ascii="Times New Roman" w:eastAsia="Times New Roman" w:hAnsi="Times New Roman" w:cs="Times New Roman"/>
          <w:bCs/>
          <w:sz w:val="24"/>
          <w:szCs w:val="24"/>
          <w:vertAlign w:val="superscript"/>
          <w:lang w:val="en-GB"/>
        </w:rPr>
        <w:t>16</w:t>
      </w:r>
      <w:r w:rsidRPr="0055328A">
        <w:rPr>
          <w:rFonts w:ascii="Times New Roman" w:eastAsia="Times New Roman" w:hAnsi="Times New Roman" w:cs="Times New Roman"/>
          <w:bCs/>
          <w:sz w:val="24"/>
          <w:szCs w:val="24"/>
          <w:lang w:val="en-GB"/>
        </w:rPr>
        <w:t>, Liesje Mommer</w:t>
      </w:r>
      <w:r w:rsidRPr="0055328A">
        <w:rPr>
          <w:rFonts w:ascii="Times New Roman" w:eastAsia="Times New Roman" w:hAnsi="Times New Roman" w:cs="Times New Roman"/>
          <w:bCs/>
          <w:sz w:val="24"/>
          <w:szCs w:val="24"/>
          <w:vertAlign w:val="superscript"/>
          <w:lang w:val="en-GB"/>
        </w:rPr>
        <w:t>17</w:t>
      </w:r>
      <w:r w:rsidRPr="0055328A">
        <w:rPr>
          <w:rFonts w:ascii="Times New Roman" w:eastAsia="Times New Roman" w:hAnsi="Times New Roman" w:cs="Times New Roman"/>
          <w:bCs/>
          <w:sz w:val="24"/>
          <w:szCs w:val="24"/>
          <w:lang w:val="en-GB"/>
        </w:rPr>
        <w:t>&amp; Alexandra Weigelt</w:t>
      </w:r>
      <w:r w:rsidRPr="0055328A">
        <w:rPr>
          <w:rFonts w:ascii="Times New Roman" w:eastAsia="Times New Roman" w:hAnsi="Times New Roman" w:cs="Times New Roman"/>
          <w:bCs/>
          <w:sz w:val="24"/>
          <w:szCs w:val="24"/>
          <w:vertAlign w:val="superscript"/>
          <w:lang w:val="en-GB"/>
        </w:rPr>
        <w:t>1,2</w:t>
      </w:r>
    </w:p>
    <w:p w14:paraId="09AAD111" w14:textId="77777777" w:rsidR="00F40F76" w:rsidRPr="0055328A" w:rsidRDefault="00F40F76" w:rsidP="00F40F76">
      <w:pPr>
        <w:spacing w:after="0" w:line="240" w:lineRule="auto"/>
        <w:ind w:right="-79"/>
        <w:rPr>
          <w:rFonts w:ascii="Times New Roman" w:eastAsia="Times New Roman" w:hAnsi="Times New Roman" w:cs="Times New Roman"/>
          <w:sz w:val="24"/>
          <w:vertAlign w:val="superscript"/>
          <w:lang w:val="en-GB"/>
        </w:rPr>
      </w:pPr>
    </w:p>
    <w:p w14:paraId="79233A96"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lang w:val="en-GB"/>
        </w:rPr>
      </w:pPr>
      <w:r w:rsidRPr="00F40F76">
        <w:rPr>
          <w:rFonts w:ascii="Times New Roman" w:eastAsia="Times New Roman" w:hAnsi="Times New Roman" w:cs="Times New Roman"/>
          <w:vertAlign w:val="superscript"/>
          <w:lang w:val="en-GB"/>
        </w:rPr>
        <w:t xml:space="preserve">1 </w:t>
      </w:r>
      <w:r w:rsidRPr="00F40F76">
        <w:rPr>
          <w:rFonts w:ascii="Times New Roman" w:eastAsia="Times New Roman" w:hAnsi="Times New Roman" w:cs="Times New Roman"/>
          <w:lang w:val="en-GB"/>
        </w:rPr>
        <w:t>Systematic Botany and Functional Biodiversity, Institute of Biology, Leipzig University, 04103 Leipzig, Germany</w:t>
      </w:r>
    </w:p>
    <w:p w14:paraId="578B7C49"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lang w:val="en-GB"/>
        </w:rPr>
      </w:pPr>
      <w:r w:rsidRPr="00F40F76">
        <w:rPr>
          <w:rFonts w:ascii="Times New Roman" w:eastAsia="Times New Roman" w:hAnsi="Times New Roman" w:cs="Times New Roman"/>
          <w:vertAlign w:val="superscript"/>
          <w:lang w:val="en-GB"/>
        </w:rPr>
        <w:t xml:space="preserve">2 </w:t>
      </w:r>
      <w:r w:rsidRPr="00F40F76">
        <w:rPr>
          <w:rFonts w:ascii="Times New Roman" w:eastAsia="Times New Roman" w:hAnsi="Times New Roman" w:cs="Times New Roman"/>
          <w:lang w:val="en-GB"/>
        </w:rPr>
        <w:t>German Centre for Integrative Biodiversity Research (iDiv) Halle-Jena-Leipzig, 04103 Leipzig, Germany</w:t>
      </w:r>
    </w:p>
    <w:p w14:paraId="1D2BD6A9"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lang w:val="en-GB"/>
        </w:rPr>
      </w:pPr>
      <w:r w:rsidRPr="00F40F76">
        <w:rPr>
          <w:rFonts w:ascii="Times New Roman" w:eastAsia="Times New Roman" w:hAnsi="Times New Roman" w:cs="Times New Roman"/>
          <w:vertAlign w:val="superscript"/>
          <w:lang w:val="en-GB"/>
        </w:rPr>
        <w:t>3</w:t>
      </w:r>
      <w:r w:rsidRPr="00F40F76">
        <w:rPr>
          <w:rFonts w:ascii="Times New Roman" w:hAnsi="Times New Roman" w:cs="Times New Roman"/>
          <w:lang w:val="en-GB"/>
        </w:rPr>
        <w:t xml:space="preserve"> </w:t>
      </w:r>
      <w:r w:rsidRPr="00F40F76">
        <w:rPr>
          <w:rFonts w:ascii="Times New Roman" w:eastAsia="Times New Roman" w:hAnsi="Times New Roman" w:cs="Times New Roman"/>
          <w:lang w:val="en-GB"/>
        </w:rPr>
        <w:t>Biosystems Data Analysis, Swammerdam Institute for Life Sciences, University of Amsterdam, 1098XH Amsterdam, the Netherlands</w:t>
      </w:r>
    </w:p>
    <w:p w14:paraId="35D6D894"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lang w:val="en-GB"/>
        </w:rPr>
      </w:pPr>
      <w:r w:rsidRPr="00F40F76">
        <w:rPr>
          <w:rFonts w:ascii="Times New Roman" w:eastAsia="Times New Roman" w:hAnsi="Times New Roman" w:cs="Times New Roman"/>
          <w:vertAlign w:val="superscript"/>
          <w:lang w:val="en-GB"/>
        </w:rPr>
        <w:t>4</w:t>
      </w:r>
      <w:r w:rsidRPr="00F40F76">
        <w:rPr>
          <w:rFonts w:ascii="Times New Roman" w:eastAsia="Times New Roman" w:hAnsi="Times New Roman" w:cs="Times New Roman"/>
          <w:lang w:val="en-GB"/>
        </w:rPr>
        <w:t xml:space="preserve"> Department Soil Ecology, Helmholtz Centre for Environmental Research – UFZ, 06120 Halle (Saale), Germany</w:t>
      </w:r>
    </w:p>
    <w:p w14:paraId="0E3F6EAD"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lang w:val="en-GB"/>
        </w:rPr>
      </w:pPr>
      <w:r w:rsidRPr="00F40F76">
        <w:rPr>
          <w:rFonts w:ascii="Times New Roman" w:eastAsia="Times New Roman" w:hAnsi="Times New Roman" w:cs="Times New Roman"/>
          <w:vertAlign w:val="superscript"/>
          <w:lang w:val="en-GB"/>
        </w:rPr>
        <w:t xml:space="preserve">5 </w:t>
      </w:r>
      <w:r w:rsidRPr="00F40F76">
        <w:rPr>
          <w:rFonts w:ascii="Times New Roman" w:eastAsia="Times New Roman" w:hAnsi="Times New Roman" w:cs="Times New Roman"/>
          <w:lang w:val="en-GB"/>
        </w:rPr>
        <w:t>Institute for Biosafety in Plant Biotechnology, Julius Kühn Institute, 06484 Quedlinburg, Germany</w:t>
      </w:r>
    </w:p>
    <w:p w14:paraId="32858C36"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vertAlign w:val="superscript"/>
          <w:lang w:val="en-GB"/>
        </w:rPr>
      </w:pPr>
      <w:r w:rsidRPr="00F40F76">
        <w:rPr>
          <w:rFonts w:ascii="Times New Roman" w:eastAsia="Times New Roman" w:hAnsi="Times New Roman" w:cs="Times New Roman"/>
          <w:vertAlign w:val="superscript"/>
          <w:lang w:val="en-GB"/>
        </w:rPr>
        <w:t>6</w:t>
      </w:r>
      <w:r w:rsidRPr="00F40F76">
        <w:rPr>
          <w:rFonts w:ascii="Times New Roman" w:eastAsia="Times New Roman" w:hAnsi="Times New Roman" w:cs="Times New Roman"/>
          <w:lang w:val="en-GB"/>
        </w:rPr>
        <w:t xml:space="preserve"> Institute of Biodiversity, Friedrich Schiller University Jena, 07743 Jena, Germany</w:t>
      </w:r>
    </w:p>
    <w:p w14:paraId="4860B148"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lang w:val="en-GB"/>
        </w:rPr>
      </w:pPr>
      <w:r w:rsidRPr="00F40F76">
        <w:rPr>
          <w:rFonts w:ascii="Times New Roman" w:eastAsia="Times New Roman" w:hAnsi="Times New Roman" w:cs="Times New Roman"/>
          <w:vertAlign w:val="superscript"/>
          <w:lang w:val="en-GB"/>
        </w:rPr>
        <w:t>7</w:t>
      </w:r>
      <w:r w:rsidRPr="00F40F76">
        <w:rPr>
          <w:rFonts w:ascii="Times New Roman" w:eastAsia="Times New Roman" w:hAnsi="Times New Roman" w:cs="Times New Roman"/>
          <w:lang w:val="en-GB"/>
        </w:rPr>
        <w:t xml:space="preserve"> J.F. Blumenbach Institute of Zoology and Anthropology, University of Göttingen, 37073 Göttingen, Germany</w:t>
      </w:r>
    </w:p>
    <w:p w14:paraId="407E03CD"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lang w:val="en-GB"/>
        </w:rPr>
      </w:pPr>
      <w:r w:rsidRPr="00F40F76">
        <w:rPr>
          <w:rFonts w:ascii="Times New Roman" w:eastAsia="Times New Roman" w:hAnsi="Times New Roman" w:cs="Times New Roman"/>
          <w:vertAlign w:val="superscript"/>
          <w:lang w:val="en-GB"/>
        </w:rPr>
        <w:t xml:space="preserve">8 </w:t>
      </w:r>
      <w:r w:rsidRPr="00F40F76">
        <w:rPr>
          <w:rFonts w:ascii="Times New Roman" w:eastAsia="Times New Roman" w:hAnsi="Times New Roman" w:cs="Times New Roman"/>
          <w:lang w:val="en-GB"/>
        </w:rPr>
        <w:t xml:space="preserve">Leibniz Centre for Agricultural Landscape Research (ZALF), 15374 Müncheberg, Germany </w:t>
      </w:r>
    </w:p>
    <w:p w14:paraId="3D64B7D9"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vertAlign w:val="superscript"/>
          <w:lang w:val="en-GB"/>
        </w:rPr>
      </w:pPr>
      <w:r w:rsidRPr="00F40F76">
        <w:rPr>
          <w:rFonts w:ascii="Times New Roman" w:eastAsia="Times New Roman" w:hAnsi="Times New Roman" w:cs="Times New Roman"/>
          <w:vertAlign w:val="superscript"/>
          <w:lang w:val="en-GB"/>
        </w:rPr>
        <w:t>9</w:t>
      </w:r>
      <w:r w:rsidRPr="00F40F76">
        <w:rPr>
          <w:rFonts w:ascii="Times New Roman" w:eastAsia="Times New Roman" w:hAnsi="Times New Roman" w:cs="Times New Roman"/>
          <w:lang w:val="en-GB"/>
        </w:rPr>
        <w:t xml:space="preserve"> Institute of Biology, Leipzig University, 04103 </w:t>
      </w:r>
      <w:r w:rsidRPr="00F40F76">
        <w:rPr>
          <w:rFonts w:ascii="Times New Roman" w:hAnsi="Times New Roman" w:cs="Times New Roman"/>
          <w:shd w:val="clear" w:color="auto" w:fill="FFFFFF"/>
          <w:lang w:val="en-GB"/>
        </w:rPr>
        <w:t>Leipzig, Germany</w:t>
      </w:r>
    </w:p>
    <w:p w14:paraId="5BEDDAA5"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vertAlign w:val="superscript"/>
          <w:lang w:val="en-GB"/>
        </w:rPr>
      </w:pPr>
      <w:r w:rsidRPr="00F40F76">
        <w:rPr>
          <w:rFonts w:ascii="Times New Roman" w:eastAsia="Times New Roman" w:hAnsi="Times New Roman" w:cs="Times New Roman"/>
          <w:vertAlign w:val="superscript"/>
          <w:lang w:val="en-GB"/>
        </w:rPr>
        <w:t>10</w:t>
      </w:r>
      <w:r w:rsidRPr="00F40F76">
        <w:rPr>
          <w:rFonts w:ascii="Times New Roman" w:eastAsia="Times New Roman" w:hAnsi="Times New Roman" w:cs="Times New Roman"/>
          <w:lang w:val="en-GB"/>
        </w:rPr>
        <w:t xml:space="preserve"> Chair of Environmental Microbiology, TUM School of Life Science, Technical University of Munich, 85354 Freising, Germany</w:t>
      </w:r>
    </w:p>
    <w:p w14:paraId="4EE9CB79"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lang w:val="en-GB"/>
        </w:rPr>
      </w:pPr>
      <w:r w:rsidRPr="00F40F76">
        <w:rPr>
          <w:rFonts w:ascii="Times New Roman" w:eastAsia="Times New Roman" w:hAnsi="Times New Roman" w:cs="Times New Roman"/>
          <w:vertAlign w:val="superscript"/>
          <w:lang w:val="en-GB"/>
        </w:rPr>
        <w:t xml:space="preserve">11 </w:t>
      </w:r>
      <w:r w:rsidRPr="00F40F76">
        <w:rPr>
          <w:rFonts w:ascii="Times New Roman" w:eastAsia="Times New Roman" w:hAnsi="Times New Roman" w:cs="Times New Roman"/>
          <w:color w:val="000000" w:themeColor="text1"/>
          <w:lang w:val="en-GB"/>
        </w:rPr>
        <w:t>Environment, Soils and Land Use, Teagasc, Johnstown Castle, Co. Wexford, Y35HK54, Ireland.</w:t>
      </w:r>
    </w:p>
    <w:p w14:paraId="7A2FD17F" w14:textId="77777777" w:rsidR="00F40F76" w:rsidRPr="00F40F76" w:rsidRDefault="00F40F76" w:rsidP="00547F67">
      <w:pPr>
        <w:spacing w:after="120" w:line="276" w:lineRule="auto"/>
        <w:ind w:left="142" w:right="-79" w:hanging="142"/>
        <w:contextualSpacing/>
        <w:jc w:val="both"/>
        <w:rPr>
          <w:rFonts w:ascii="Times New Roman" w:eastAsia="Segoe UI" w:hAnsi="Times New Roman" w:cs="Times New Roman"/>
          <w:lang w:val="en-GB"/>
        </w:rPr>
      </w:pPr>
      <w:r w:rsidRPr="00F40F76">
        <w:rPr>
          <w:rFonts w:ascii="Times New Roman" w:eastAsia="Times New Roman" w:hAnsi="Times New Roman" w:cs="Times New Roman"/>
          <w:vertAlign w:val="superscript"/>
          <w:lang w:val="en-GB"/>
        </w:rPr>
        <w:t xml:space="preserve">12 </w:t>
      </w:r>
      <w:r w:rsidRPr="00F40F76">
        <w:rPr>
          <w:rFonts w:ascii="Times New Roman" w:eastAsia="Times New Roman" w:hAnsi="Times New Roman" w:cs="Times New Roman"/>
          <w:lang w:val="en-GB"/>
        </w:rPr>
        <w:t>Institute of Biology, Martin-Luther-University Halle-Wittenberg, 06120 Halle (Saale), Germany</w:t>
      </w:r>
    </w:p>
    <w:p w14:paraId="1784EE99"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vertAlign w:val="superscript"/>
          <w:lang w:val="en-GB"/>
        </w:rPr>
      </w:pPr>
      <w:r w:rsidRPr="00F40F76">
        <w:rPr>
          <w:rFonts w:ascii="Times New Roman" w:eastAsia="Times New Roman" w:hAnsi="Times New Roman" w:cs="Times New Roman"/>
          <w:vertAlign w:val="superscript"/>
          <w:lang w:val="en-GB"/>
        </w:rPr>
        <w:t xml:space="preserve">13 </w:t>
      </w:r>
      <w:r w:rsidRPr="00F40F76">
        <w:rPr>
          <w:rFonts w:ascii="Times New Roman" w:eastAsia="Times New Roman" w:hAnsi="Times New Roman" w:cs="Times New Roman"/>
          <w:lang w:val="en-GB"/>
        </w:rPr>
        <w:t>Soil Biology Group, Wageningen University, 6708 PB Wageningen, the Netherlands</w:t>
      </w:r>
      <w:r w:rsidRPr="00F40F76">
        <w:rPr>
          <w:rFonts w:ascii="Times New Roman" w:eastAsia="Times New Roman" w:hAnsi="Times New Roman" w:cs="Times New Roman"/>
          <w:vertAlign w:val="superscript"/>
          <w:lang w:val="en-GB"/>
        </w:rPr>
        <w:t xml:space="preserve"> </w:t>
      </w:r>
    </w:p>
    <w:p w14:paraId="61C227FD"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lang w:val="en-GB"/>
        </w:rPr>
      </w:pPr>
      <w:r w:rsidRPr="00F40F76">
        <w:rPr>
          <w:rFonts w:ascii="Times New Roman" w:eastAsia="Times New Roman" w:hAnsi="Times New Roman" w:cs="Times New Roman"/>
          <w:vertAlign w:val="superscript"/>
          <w:lang w:val="en-GB"/>
        </w:rPr>
        <w:t xml:space="preserve">14 </w:t>
      </w:r>
      <w:r w:rsidRPr="00F40F76">
        <w:rPr>
          <w:rFonts w:ascii="Times New Roman" w:eastAsia="Times New Roman" w:hAnsi="Times New Roman" w:cs="Times New Roman"/>
          <w:lang w:val="en-GB"/>
        </w:rPr>
        <w:t>Department of Biogeochemical Processes, Max Planck Institute for Biogeochemistry, 07745 Jena, Germany</w:t>
      </w:r>
    </w:p>
    <w:p w14:paraId="70850EE4" w14:textId="77777777" w:rsidR="00F40F76" w:rsidRPr="007D5213" w:rsidRDefault="00F40F76" w:rsidP="00547F67">
      <w:pPr>
        <w:spacing w:after="120" w:line="276" w:lineRule="auto"/>
        <w:ind w:left="142" w:right="-79" w:hanging="142"/>
        <w:contextualSpacing/>
        <w:jc w:val="both"/>
        <w:rPr>
          <w:rFonts w:ascii="Times New Roman" w:eastAsia="Times New Roman" w:hAnsi="Times New Roman" w:cs="Times New Roman"/>
          <w:vertAlign w:val="superscript"/>
        </w:rPr>
      </w:pPr>
      <w:r w:rsidRPr="007D5213">
        <w:rPr>
          <w:rFonts w:ascii="Times New Roman" w:eastAsia="Times New Roman" w:hAnsi="Times New Roman" w:cs="Times New Roman"/>
          <w:vertAlign w:val="superscript"/>
        </w:rPr>
        <w:t>15</w:t>
      </w:r>
      <w:r w:rsidRPr="007D5213">
        <w:rPr>
          <w:rFonts w:ascii="Times New Roman" w:eastAsia="Times New Roman" w:hAnsi="Times New Roman" w:cs="Times New Roman"/>
        </w:rPr>
        <w:t xml:space="preserve"> Research Unit </w:t>
      </w:r>
      <w:proofErr w:type="spellStart"/>
      <w:r w:rsidRPr="007D5213">
        <w:rPr>
          <w:rFonts w:ascii="Times New Roman" w:eastAsia="Times New Roman" w:hAnsi="Times New Roman" w:cs="Times New Roman"/>
        </w:rPr>
        <w:t>Comparative</w:t>
      </w:r>
      <w:proofErr w:type="spellEnd"/>
      <w:r w:rsidRPr="007D5213">
        <w:rPr>
          <w:rFonts w:ascii="Times New Roman" w:eastAsia="Times New Roman" w:hAnsi="Times New Roman" w:cs="Times New Roman"/>
        </w:rPr>
        <w:t xml:space="preserve"> </w:t>
      </w:r>
      <w:proofErr w:type="spellStart"/>
      <w:r w:rsidRPr="007D5213">
        <w:rPr>
          <w:rFonts w:ascii="Times New Roman" w:eastAsia="Times New Roman" w:hAnsi="Times New Roman" w:cs="Times New Roman"/>
        </w:rPr>
        <w:t>Microbiome</w:t>
      </w:r>
      <w:proofErr w:type="spellEnd"/>
      <w:r w:rsidRPr="007D5213">
        <w:rPr>
          <w:rFonts w:ascii="Times New Roman" w:eastAsia="Times New Roman" w:hAnsi="Times New Roman" w:cs="Times New Roman"/>
        </w:rPr>
        <w:t xml:space="preserve"> Analysis, Helmholtz Zentrum München, 85764 Neuherberg, Germany</w:t>
      </w:r>
    </w:p>
    <w:p w14:paraId="3B9935F1"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lang w:val="en-GB"/>
        </w:rPr>
      </w:pPr>
      <w:r w:rsidRPr="00F40F76">
        <w:rPr>
          <w:rFonts w:ascii="Times New Roman" w:eastAsia="Times New Roman" w:hAnsi="Times New Roman" w:cs="Times New Roman"/>
          <w:vertAlign w:val="superscript"/>
          <w:lang w:val="en-GB"/>
        </w:rPr>
        <w:t>16</w:t>
      </w:r>
      <w:r w:rsidRPr="00F40F76">
        <w:rPr>
          <w:rFonts w:ascii="Times New Roman" w:eastAsia="Times New Roman" w:hAnsi="Times New Roman" w:cs="Times New Roman"/>
          <w:lang w:val="en-GB"/>
        </w:rPr>
        <w:t xml:space="preserve"> Terrestrial Ecology G</w:t>
      </w:r>
      <w:bookmarkStart w:id="0" w:name="_GoBack"/>
      <w:bookmarkEnd w:id="0"/>
      <w:r w:rsidRPr="00F40F76">
        <w:rPr>
          <w:rFonts w:ascii="Times New Roman" w:eastAsia="Times New Roman" w:hAnsi="Times New Roman" w:cs="Times New Roman"/>
          <w:lang w:val="en-GB"/>
        </w:rPr>
        <w:t xml:space="preserve">roup, Institute of Zoology, University of Cologne, 50674 Cologne, Germany </w:t>
      </w:r>
    </w:p>
    <w:p w14:paraId="7FB734CA" w14:textId="77777777" w:rsidR="00F40F76" w:rsidRPr="00F40F76" w:rsidRDefault="00F40F76" w:rsidP="00547F67">
      <w:pPr>
        <w:spacing w:after="120" w:line="276" w:lineRule="auto"/>
        <w:ind w:left="142" w:right="-79" w:hanging="142"/>
        <w:contextualSpacing/>
        <w:jc w:val="both"/>
        <w:rPr>
          <w:rFonts w:ascii="Times New Roman" w:eastAsia="Times New Roman" w:hAnsi="Times New Roman" w:cs="Times New Roman"/>
          <w:lang w:val="en-GB"/>
        </w:rPr>
      </w:pPr>
      <w:r w:rsidRPr="00F40F76">
        <w:rPr>
          <w:rFonts w:ascii="Times New Roman" w:eastAsia="Times New Roman" w:hAnsi="Times New Roman" w:cs="Times New Roman"/>
          <w:vertAlign w:val="superscript"/>
          <w:lang w:val="en-GB"/>
        </w:rPr>
        <w:t xml:space="preserve">17 </w:t>
      </w:r>
      <w:r w:rsidRPr="00F40F76">
        <w:rPr>
          <w:rFonts w:ascii="Times New Roman" w:eastAsia="Times New Roman" w:hAnsi="Times New Roman" w:cs="Times New Roman"/>
          <w:lang w:val="en-GB"/>
        </w:rPr>
        <w:t>Forest Ecology and Forest Management Group, Wageningen University &amp; Research, PO box 47, 6700 AA Wageningen, the Netherlands</w:t>
      </w:r>
    </w:p>
    <w:p w14:paraId="57CC1143" w14:textId="77777777" w:rsidR="00773830" w:rsidRDefault="00773830" w:rsidP="00547F67">
      <w:pPr>
        <w:jc w:val="both"/>
        <w:rPr>
          <w:rFonts w:ascii="Times New Roman" w:eastAsia="Times New Roman" w:hAnsi="Times New Roman" w:cs="Times New Roman"/>
          <w:vertAlign w:val="superscript"/>
          <w:lang w:val="en-US" w:eastAsia="de-DE"/>
        </w:rPr>
      </w:pPr>
      <w:r>
        <w:rPr>
          <w:rFonts w:ascii="Times New Roman" w:eastAsia="Times New Roman" w:hAnsi="Times New Roman" w:cs="Times New Roman"/>
          <w:vertAlign w:val="superscript"/>
          <w:lang w:val="en-US" w:eastAsia="de-DE"/>
        </w:rPr>
        <w:br w:type="page"/>
      </w:r>
    </w:p>
    <w:p w14:paraId="0EEE277F" w14:textId="19867F3D" w:rsidR="00C012DE" w:rsidRPr="00212F76" w:rsidRDefault="66F98E1F" w:rsidP="00C012DE">
      <w:pPr>
        <w:spacing w:line="240" w:lineRule="auto"/>
        <w:jc w:val="both"/>
        <w:rPr>
          <w:rFonts w:ascii="Times New Roman" w:eastAsia="Times New Roman" w:hAnsi="Times New Roman" w:cs="Times New Roman"/>
          <w:sz w:val="24"/>
          <w:szCs w:val="24"/>
          <w:lang w:val="en-US"/>
        </w:rPr>
      </w:pPr>
      <w:r w:rsidRPr="66F98E1F">
        <w:rPr>
          <w:rFonts w:ascii="Times New Roman" w:eastAsia="Times New Roman" w:hAnsi="Times New Roman" w:cs="Times New Roman"/>
          <w:b/>
          <w:bCs/>
          <w:sz w:val="24"/>
          <w:szCs w:val="24"/>
          <w:lang w:val="en-US"/>
        </w:rPr>
        <w:lastRenderedPageBreak/>
        <w:t xml:space="preserve">Supplementary Table S1: Summary of ANOVA results for the effect of plant </w:t>
      </w:r>
      <w:r w:rsidR="00A9350A">
        <w:rPr>
          <w:rFonts w:ascii="Times New Roman" w:eastAsia="Times New Roman" w:hAnsi="Times New Roman" w:cs="Times New Roman"/>
          <w:b/>
          <w:bCs/>
          <w:sz w:val="24"/>
          <w:szCs w:val="24"/>
          <w:lang w:val="en-US"/>
        </w:rPr>
        <w:t>species richness</w:t>
      </w:r>
      <w:r w:rsidRPr="66F98E1F">
        <w:rPr>
          <w:rFonts w:ascii="Times New Roman" w:eastAsia="Times New Roman" w:hAnsi="Times New Roman" w:cs="Times New Roman"/>
          <w:b/>
          <w:bCs/>
          <w:sz w:val="24"/>
          <w:szCs w:val="24"/>
          <w:lang w:val="en-US"/>
        </w:rPr>
        <w:t xml:space="preserve"> on the rotated components of the root trait PCA and on the individual fine root traits.</w:t>
      </w:r>
      <w:r w:rsidR="00C012DE" w:rsidRPr="00C012DE">
        <w:rPr>
          <w:rFonts w:ascii="Times New Roman" w:eastAsia="Times New Roman" w:hAnsi="Times New Roman" w:cs="Times New Roman"/>
          <w:sz w:val="24"/>
          <w:szCs w:val="24"/>
          <w:lang w:val="en-US"/>
        </w:rPr>
        <w:t xml:space="preserve"> </w:t>
      </w:r>
      <w:r w:rsidR="00C012DE" w:rsidRPr="00212F76">
        <w:rPr>
          <w:rFonts w:ascii="Times New Roman" w:eastAsia="Times New Roman" w:hAnsi="Times New Roman" w:cs="Times New Roman"/>
          <w:sz w:val="24"/>
          <w:szCs w:val="24"/>
          <w:lang w:val="en-US"/>
        </w:rPr>
        <w:t xml:space="preserve">The scores of each plant community </w:t>
      </w:r>
      <w:r w:rsidR="00C012DE">
        <w:rPr>
          <w:rFonts w:ascii="Times New Roman" w:eastAsia="Times New Roman" w:hAnsi="Times New Roman" w:cs="Times New Roman"/>
          <w:sz w:val="24"/>
          <w:szCs w:val="24"/>
          <w:lang w:val="en-US"/>
        </w:rPr>
        <w:t xml:space="preserve">(n = 73) </w:t>
      </w:r>
      <w:r w:rsidR="00C012DE" w:rsidRPr="00212F76">
        <w:rPr>
          <w:rFonts w:ascii="Times New Roman" w:eastAsia="Times New Roman" w:hAnsi="Times New Roman" w:cs="Times New Roman"/>
          <w:sz w:val="24"/>
          <w:szCs w:val="24"/>
          <w:lang w:val="en-US"/>
        </w:rPr>
        <w:t xml:space="preserve">along the first and second rotated </w:t>
      </w:r>
      <w:r w:rsidR="00C012DE">
        <w:rPr>
          <w:rFonts w:ascii="Times New Roman" w:eastAsia="Times New Roman" w:hAnsi="Times New Roman" w:cs="Times New Roman"/>
          <w:sz w:val="24"/>
          <w:szCs w:val="24"/>
          <w:lang w:val="en-US"/>
        </w:rPr>
        <w:t>component (RC)</w:t>
      </w:r>
      <w:r w:rsidR="00C012DE" w:rsidRPr="00212F76">
        <w:rPr>
          <w:rFonts w:ascii="Times New Roman" w:eastAsia="Times New Roman" w:hAnsi="Times New Roman" w:cs="Times New Roman"/>
          <w:sz w:val="24"/>
          <w:szCs w:val="24"/>
          <w:lang w:val="en-US"/>
        </w:rPr>
        <w:t xml:space="preserve"> in the root trait PCA were extracted and used as </w:t>
      </w:r>
      <w:r w:rsidR="00C012DE">
        <w:rPr>
          <w:rFonts w:ascii="Times New Roman" w:eastAsia="Times New Roman" w:hAnsi="Times New Roman" w:cs="Times New Roman"/>
          <w:sz w:val="24"/>
          <w:szCs w:val="24"/>
          <w:lang w:val="en-US"/>
        </w:rPr>
        <w:t>response</w:t>
      </w:r>
      <w:r w:rsidR="00C012DE" w:rsidRPr="00212F76">
        <w:rPr>
          <w:rFonts w:ascii="Times New Roman" w:eastAsia="Times New Roman" w:hAnsi="Times New Roman" w:cs="Times New Roman"/>
          <w:sz w:val="24"/>
          <w:szCs w:val="24"/>
          <w:lang w:val="en-US"/>
        </w:rPr>
        <w:t xml:space="preserve"> in the model. Experimental block was included as a random effect to account for spatial effects in the field site.</w:t>
      </w:r>
      <w:r w:rsidR="00C012DE">
        <w:rPr>
          <w:rFonts w:ascii="Times New Roman" w:eastAsia="Times New Roman" w:hAnsi="Times New Roman" w:cs="Times New Roman"/>
          <w:sz w:val="24"/>
          <w:szCs w:val="24"/>
          <w:lang w:val="en-US"/>
        </w:rPr>
        <w:t xml:space="preserve"> </w:t>
      </w:r>
      <w:proofErr w:type="spellStart"/>
      <w:proofErr w:type="gramStart"/>
      <w:r w:rsidR="00C012DE">
        <w:rPr>
          <w:rFonts w:ascii="Times New Roman" w:eastAsia="Times New Roman" w:hAnsi="Times New Roman" w:cs="Times New Roman"/>
          <w:sz w:val="24"/>
          <w:szCs w:val="24"/>
          <w:lang w:val="en-US"/>
        </w:rPr>
        <w:t>df</w:t>
      </w:r>
      <w:r w:rsidR="00C012DE" w:rsidRPr="00BA6B7B">
        <w:rPr>
          <w:rFonts w:ascii="Times New Roman" w:eastAsia="Times New Roman" w:hAnsi="Times New Roman" w:cs="Times New Roman"/>
          <w:sz w:val="24"/>
          <w:szCs w:val="24"/>
          <w:vertAlign w:val="subscript"/>
          <w:lang w:val="en-US"/>
        </w:rPr>
        <w:t>error</w:t>
      </w:r>
      <w:proofErr w:type="spellEnd"/>
      <w:proofErr w:type="gramEnd"/>
      <w:r w:rsidR="00C012DE">
        <w:rPr>
          <w:rFonts w:ascii="Times New Roman" w:hAnsi="Times New Roman" w:cs="Times New Roman"/>
          <w:sz w:val="24"/>
          <w:szCs w:val="24"/>
          <w:lang w:val="en-US"/>
        </w:rPr>
        <w:t xml:space="preserve">, error degrees of freedom; </w:t>
      </w:r>
      <w:r w:rsidR="00C012DE" w:rsidRPr="00212F76">
        <w:rPr>
          <w:rFonts w:ascii="Times New Roman" w:hAnsi="Times New Roman" w:cs="Times New Roman"/>
          <w:sz w:val="24"/>
          <w:szCs w:val="24"/>
          <w:lang w:val="en-US"/>
        </w:rPr>
        <w:t>SE, standard error</w:t>
      </w:r>
      <w:r w:rsidR="00C012DE">
        <w:rPr>
          <w:rFonts w:ascii="Times New Roman" w:hAnsi="Times New Roman" w:cs="Times New Roman"/>
          <w:sz w:val="24"/>
          <w:szCs w:val="24"/>
          <w:lang w:val="en-US"/>
        </w:rPr>
        <w:t xml:space="preserve">. </w:t>
      </w:r>
    </w:p>
    <w:tbl>
      <w:tblPr>
        <w:tblW w:w="5000" w:type="pct"/>
        <w:tblCellMar>
          <w:left w:w="70" w:type="dxa"/>
          <w:right w:w="70" w:type="dxa"/>
        </w:tblCellMar>
        <w:tblLook w:val="04A0" w:firstRow="1" w:lastRow="0" w:firstColumn="1" w:lastColumn="0" w:noHBand="0" w:noVBand="1"/>
      </w:tblPr>
      <w:tblGrid>
        <w:gridCol w:w="2733"/>
        <w:gridCol w:w="1269"/>
        <w:gridCol w:w="1268"/>
        <w:gridCol w:w="1268"/>
        <w:gridCol w:w="1268"/>
        <w:gridCol w:w="1266"/>
      </w:tblGrid>
      <w:tr w:rsidR="00BA6B7B" w:rsidRPr="00547F67" w14:paraId="38B6AC1E" w14:textId="77777777" w:rsidTr="00BA6B7B">
        <w:trPr>
          <w:trHeight w:val="397"/>
        </w:trPr>
        <w:tc>
          <w:tcPr>
            <w:tcW w:w="1506" w:type="pct"/>
            <w:tcBorders>
              <w:top w:val="single" w:sz="4" w:space="0" w:color="auto"/>
              <w:left w:val="nil"/>
              <w:right w:val="nil"/>
            </w:tcBorders>
            <w:shd w:val="clear" w:color="auto" w:fill="auto"/>
            <w:noWrap/>
            <w:vAlign w:val="center"/>
          </w:tcPr>
          <w:p w14:paraId="4F075BB2" w14:textId="77777777" w:rsidR="00BA6B7B" w:rsidRPr="00030D49" w:rsidRDefault="00BA6B7B" w:rsidP="00BA6B7B">
            <w:pPr>
              <w:spacing w:after="0" w:line="240" w:lineRule="auto"/>
              <w:jc w:val="center"/>
              <w:rPr>
                <w:rFonts w:ascii="Times New Roman" w:eastAsia="Times New Roman" w:hAnsi="Times New Roman" w:cs="Times New Roman"/>
                <w:b/>
                <w:color w:val="000000"/>
                <w:lang w:val="en-US"/>
              </w:rPr>
            </w:pPr>
          </w:p>
        </w:tc>
        <w:tc>
          <w:tcPr>
            <w:tcW w:w="3494" w:type="pct"/>
            <w:gridSpan w:val="5"/>
            <w:tcBorders>
              <w:top w:val="single" w:sz="4" w:space="0" w:color="auto"/>
              <w:left w:val="nil"/>
              <w:bottom w:val="single" w:sz="4" w:space="0" w:color="auto"/>
              <w:right w:val="nil"/>
            </w:tcBorders>
            <w:vAlign w:val="center"/>
          </w:tcPr>
          <w:p w14:paraId="6855A563" w14:textId="25AE7495" w:rsidR="00BA6B7B" w:rsidRPr="00030D49" w:rsidRDefault="00BA6B7B" w:rsidP="00A9350A">
            <w:pPr>
              <w:spacing w:after="0" w:line="240" w:lineRule="auto"/>
              <w:jc w:val="center"/>
              <w:rPr>
                <w:rFonts w:ascii="Times New Roman" w:eastAsia="Times New Roman" w:hAnsi="Times New Roman" w:cs="Times New Roman"/>
                <w:b/>
                <w:color w:val="000000"/>
                <w:lang w:val="en-US"/>
              </w:rPr>
            </w:pPr>
            <w:r w:rsidRPr="00030D49">
              <w:rPr>
                <w:rFonts w:ascii="Times New Roman" w:eastAsia="Times New Roman" w:hAnsi="Times New Roman" w:cs="Times New Roman"/>
                <w:b/>
                <w:color w:val="000000"/>
                <w:lang w:val="en-US"/>
              </w:rPr>
              <w:t xml:space="preserve">Effect of plant </w:t>
            </w:r>
            <w:r w:rsidR="00A9350A">
              <w:rPr>
                <w:rFonts w:ascii="Times New Roman" w:eastAsia="Times New Roman" w:hAnsi="Times New Roman" w:cs="Times New Roman"/>
                <w:b/>
                <w:color w:val="000000"/>
                <w:lang w:val="en-US"/>
              </w:rPr>
              <w:t>species richness</w:t>
            </w:r>
            <w:r w:rsidRPr="00030D49">
              <w:rPr>
                <w:rFonts w:ascii="Times New Roman" w:eastAsia="Times New Roman" w:hAnsi="Times New Roman" w:cs="Times New Roman"/>
                <w:b/>
                <w:color w:val="000000"/>
                <w:lang w:val="en-US"/>
              </w:rPr>
              <w:t xml:space="preserve"> (log)</w:t>
            </w:r>
          </w:p>
        </w:tc>
      </w:tr>
      <w:tr w:rsidR="00BA6B7B" w:rsidRPr="0084119D" w14:paraId="07C9EFB2" w14:textId="77777777" w:rsidTr="00683AAF">
        <w:trPr>
          <w:trHeight w:val="397"/>
        </w:trPr>
        <w:tc>
          <w:tcPr>
            <w:tcW w:w="1506" w:type="pct"/>
            <w:tcBorders>
              <w:left w:val="nil"/>
              <w:bottom w:val="single" w:sz="4" w:space="0" w:color="auto"/>
              <w:right w:val="nil"/>
            </w:tcBorders>
            <w:shd w:val="clear" w:color="auto" w:fill="auto"/>
            <w:noWrap/>
            <w:vAlign w:val="center"/>
            <w:hideMark/>
          </w:tcPr>
          <w:p w14:paraId="52F5DCFB" w14:textId="77777777" w:rsidR="00BA6B7B" w:rsidRPr="00030D49" w:rsidRDefault="00BA6B7B" w:rsidP="00BA6B7B">
            <w:pPr>
              <w:spacing w:after="0" w:line="240" w:lineRule="auto"/>
              <w:jc w:val="center"/>
              <w:rPr>
                <w:rFonts w:ascii="Times New Roman" w:eastAsia="Times New Roman" w:hAnsi="Times New Roman" w:cs="Times New Roman"/>
                <w:b/>
                <w:color w:val="000000"/>
                <w:lang w:val="en-US"/>
              </w:rPr>
            </w:pPr>
            <w:r w:rsidRPr="00030D49">
              <w:rPr>
                <w:rFonts w:ascii="Times New Roman" w:eastAsia="Times New Roman" w:hAnsi="Times New Roman" w:cs="Times New Roman"/>
                <w:b/>
                <w:color w:val="000000"/>
                <w:lang w:val="en-US"/>
              </w:rPr>
              <w:t>Response</w:t>
            </w:r>
          </w:p>
        </w:tc>
        <w:tc>
          <w:tcPr>
            <w:tcW w:w="699" w:type="pct"/>
            <w:tcBorders>
              <w:top w:val="single" w:sz="4" w:space="0" w:color="auto"/>
              <w:left w:val="nil"/>
              <w:bottom w:val="single" w:sz="4" w:space="0" w:color="auto"/>
              <w:right w:val="nil"/>
            </w:tcBorders>
            <w:vAlign w:val="center"/>
          </w:tcPr>
          <w:p w14:paraId="3D2B5A1B" w14:textId="77777777" w:rsidR="00BA6B7B" w:rsidRPr="00030D49" w:rsidRDefault="00BA6B7B" w:rsidP="00BA6B7B">
            <w:pPr>
              <w:spacing w:after="0" w:line="240" w:lineRule="auto"/>
              <w:jc w:val="center"/>
              <w:rPr>
                <w:rFonts w:ascii="Times New Roman" w:eastAsia="Times New Roman" w:hAnsi="Times New Roman" w:cs="Times New Roman"/>
                <w:b/>
                <w:color w:val="000000"/>
                <w:lang w:val="en-US"/>
              </w:rPr>
            </w:pPr>
            <w:proofErr w:type="spellStart"/>
            <w:r w:rsidRPr="00030D49">
              <w:rPr>
                <w:rFonts w:ascii="Times New Roman" w:eastAsia="Times New Roman" w:hAnsi="Times New Roman" w:cs="Times New Roman"/>
                <w:b/>
                <w:color w:val="000000"/>
                <w:lang w:val="en-US"/>
              </w:rPr>
              <w:t>df</w:t>
            </w:r>
            <w:r w:rsidRPr="00030D49">
              <w:rPr>
                <w:rFonts w:ascii="Times New Roman" w:eastAsia="Times New Roman" w:hAnsi="Times New Roman" w:cs="Times New Roman"/>
                <w:b/>
                <w:color w:val="000000"/>
                <w:vertAlign w:val="subscript"/>
                <w:lang w:val="en-US"/>
              </w:rPr>
              <w:t>error</w:t>
            </w:r>
            <w:proofErr w:type="spellEnd"/>
          </w:p>
        </w:tc>
        <w:tc>
          <w:tcPr>
            <w:tcW w:w="699" w:type="pct"/>
            <w:tcBorders>
              <w:top w:val="single" w:sz="4" w:space="0" w:color="auto"/>
              <w:left w:val="nil"/>
              <w:bottom w:val="single" w:sz="4" w:space="0" w:color="auto"/>
              <w:right w:val="nil"/>
            </w:tcBorders>
            <w:shd w:val="clear" w:color="auto" w:fill="auto"/>
            <w:noWrap/>
            <w:vAlign w:val="center"/>
            <w:hideMark/>
          </w:tcPr>
          <w:p w14:paraId="432C9E3E" w14:textId="77777777" w:rsidR="00BA6B7B" w:rsidRPr="00030D49" w:rsidRDefault="00BA6B7B" w:rsidP="00BA6B7B">
            <w:pPr>
              <w:spacing w:after="0" w:line="240" w:lineRule="auto"/>
              <w:jc w:val="center"/>
              <w:rPr>
                <w:rFonts w:ascii="Times New Roman" w:eastAsia="Times New Roman" w:hAnsi="Times New Roman" w:cs="Times New Roman"/>
                <w:b/>
                <w:color w:val="000000"/>
                <w:lang w:val="en-US"/>
              </w:rPr>
            </w:pPr>
            <w:r w:rsidRPr="00030D49">
              <w:rPr>
                <w:rFonts w:ascii="Times New Roman" w:eastAsia="Times New Roman" w:hAnsi="Times New Roman" w:cs="Times New Roman"/>
                <w:b/>
                <w:color w:val="000000"/>
                <w:lang w:val="en-US"/>
              </w:rPr>
              <w:t>Coefficient</w:t>
            </w:r>
          </w:p>
        </w:tc>
        <w:tc>
          <w:tcPr>
            <w:tcW w:w="699" w:type="pct"/>
            <w:tcBorders>
              <w:top w:val="single" w:sz="4" w:space="0" w:color="auto"/>
              <w:left w:val="nil"/>
              <w:bottom w:val="single" w:sz="4" w:space="0" w:color="auto"/>
              <w:right w:val="nil"/>
            </w:tcBorders>
            <w:shd w:val="clear" w:color="auto" w:fill="auto"/>
            <w:noWrap/>
            <w:vAlign w:val="center"/>
            <w:hideMark/>
          </w:tcPr>
          <w:p w14:paraId="21BF8199" w14:textId="77777777" w:rsidR="00BA6B7B" w:rsidRPr="00030D49" w:rsidRDefault="00BA6B7B" w:rsidP="00BA6B7B">
            <w:pPr>
              <w:spacing w:after="0" w:line="240" w:lineRule="auto"/>
              <w:jc w:val="center"/>
              <w:rPr>
                <w:rFonts w:ascii="Times New Roman" w:eastAsia="Times New Roman" w:hAnsi="Times New Roman" w:cs="Times New Roman"/>
                <w:b/>
                <w:color w:val="000000"/>
                <w:lang w:val="en-US"/>
              </w:rPr>
            </w:pPr>
            <w:r w:rsidRPr="00030D49">
              <w:rPr>
                <w:rFonts w:ascii="Times New Roman" w:eastAsia="Times New Roman" w:hAnsi="Times New Roman" w:cs="Times New Roman"/>
                <w:b/>
                <w:color w:val="000000"/>
                <w:lang w:val="en-US"/>
              </w:rPr>
              <w:t>SE</w:t>
            </w:r>
          </w:p>
        </w:tc>
        <w:tc>
          <w:tcPr>
            <w:tcW w:w="699" w:type="pct"/>
            <w:tcBorders>
              <w:top w:val="single" w:sz="4" w:space="0" w:color="auto"/>
              <w:left w:val="nil"/>
              <w:bottom w:val="single" w:sz="4" w:space="0" w:color="auto"/>
              <w:right w:val="nil"/>
            </w:tcBorders>
            <w:shd w:val="clear" w:color="auto" w:fill="auto"/>
            <w:noWrap/>
            <w:vAlign w:val="center"/>
            <w:hideMark/>
          </w:tcPr>
          <w:p w14:paraId="4ADB9296" w14:textId="77777777" w:rsidR="00BA6B7B" w:rsidRPr="00030D49" w:rsidRDefault="00BA6B7B" w:rsidP="00BA6B7B">
            <w:pPr>
              <w:spacing w:after="0" w:line="240" w:lineRule="auto"/>
              <w:jc w:val="center"/>
              <w:rPr>
                <w:rFonts w:ascii="Times New Roman" w:eastAsia="Times New Roman" w:hAnsi="Times New Roman" w:cs="Times New Roman"/>
                <w:b/>
                <w:i/>
                <w:color w:val="000000"/>
                <w:lang w:val="en-US"/>
              </w:rPr>
            </w:pPr>
            <w:r w:rsidRPr="00030D49">
              <w:rPr>
                <w:rFonts w:ascii="Times New Roman" w:eastAsia="Times New Roman" w:hAnsi="Times New Roman" w:cs="Times New Roman"/>
                <w:b/>
                <w:i/>
                <w:color w:val="000000"/>
                <w:lang w:val="en-US"/>
              </w:rPr>
              <w:t>F</w:t>
            </w:r>
          </w:p>
        </w:tc>
        <w:tc>
          <w:tcPr>
            <w:tcW w:w="698" w:type="pct"/>
            <w:tcBorders>
              <w:top w:val="single" w:sz="4" w:space="0" w:color="auto"/>
              <w:left w:val="nil"/>
              <w:bottom w:val="single" w:sz="4" w:space="0" w:color="auto"/>
              <w:right w:val="nil"/>
            </w:tcBorders>
            <w:shd w:val="clear" w:color="auto" w:fill="auto"/>
            <w:noWrap/>
            <w:vAlign w:val="center"/>
            <w:hideMark/>
          </w:tcPr>
          <w:p w14:paraId="649373AF" w14:textId="77777777" w:rsidR="00BA6B7B" w:rsidRPr="00030D49" w:rsidRDefault="00BA6B7B" w:rsidP="00BA6B7B">
            <w:pPr>
              <w:spacing w:after="0" w:line="240" w:lineRule="auto"/>
              <w:jc w:val="center"/>
              <w:rPr>
                <w:rFonts w:ascii="Times New Roman" w:eastAsia="Times New Roman" w:hAnsi="Times New Roman" w:cs="Times New Roman"/>
                <w:b/>
                <w:i/>
                <w:color w:val="000000"/>
                <w:lang w:val="en-US"/>
              </w:rPr>
            </w:pPr>
            <w:r w:rsidRPr="00030D49">
              <w:rPr>
                <w:rFonts w:ascii="Times New Roman" w:eastAsia="Times New Roman" w:hAnsi="Times New Roman" w:cs="Times New Roman"/>
                <w:b/>
                <w:i/>
                <w:color w:val="000000"/>
                <w:lang w:val="en-US"/>
              </w:rPr>
              <w:t>p</w:t>
            </w:r>
          </w:p>
        </w:tc>
      </w:tr>
      <w:tr w:rsidR="00683AAF" w:rsidRPr="0084119D" w14:paraId="3C4F6414" w14:textId="77777777" w:rsidTr="00683AAF">
        <w:trPr>
          <w:trHeight w:val="397"/>
        </w:trPr>
        <w:tc>
          <w:tcPr>
            <w:tcW w:w="1506" w:type="pct"/>
            <w:tcBorders>
              <w:top w:val="single" w:sz="4" w:space="0" w:color="auto"/>
              <w:left w:val="nil"/>
              <w:right w:val="nil"/>
            </w:tcBorders>
            <w:shd w:val="clear" w:color="auto" w:fill="auto"/>
            <w:noWrap/>
            <w:vAlign w:val="center"/>
            <w:hideMark/>
          </w:tcPr>
          <w:p w14:paraId="68FD4173" w14:textId="77777777" w:rsidR="00683AAF" w:rsidRPr="0084119D" w:rsidRDefault="00683AAF" w:rsidP="00683AAF">
            <w:pPr>
              <w:spacing w:after="0" w:line="240" w:lineRule="auto"/>
              <w:rPr>
                <w:rFonts w:ascii="Times New Roman" w:eastAsia="Times New Roman" w:hAnsi="Times New Roman" w:cs="Times New Roman"/>
                <w:color w:val="000000"/>
                <w:lang w:eastAsia="de-DE"/>
              </w:rPr>
            </w:pPr>
            <w:r w:rsidRPr="0084119D">
              <w:rPr>
                <w:rFonts w:ascii="Times New Roman" w:eastAsia="Times New Roman" w:hAnsi="Times New Roman" w:cs="Times New Roman"/>
                <w:color w:val="000000"/>
                <w:lang w:eastAsia="de-DE"/>
              </w:rPr>
              <w:t>RC1 (</w:t>
            </w:r>
            <w:proofErr w:type="spellStart"/>
            <w:r w:rsidRPr="0084119D">
              <w:rPr>
                <w:rFonts w:ascii="Times New Roman" w:eastAsia="Times New Roman" w:hAnsi="Times New Roman" w:cs="Times New Roman"/>
                <w:color w:val="000000"/>
                <w:lang w:eastAsia="de-DE"/>
              </w:rPr>
              <w:t>Collaboration</w:t>
            </w:r>
            <w:proofErr w:type="spellEnd"/>
            <w:r w:rsidRPr="0084119D">
              <w:rPr>
                <w:rFonts w:ascii="Times New Roman" w:eastAsia="Times New Roman" w:hAnsi="Times New Roman" w:cs="Times New Roman"/>
                <w:color w:val="000000"/>
                <w:lang w:eastAsia="de-DE"/>
              </w:rPr>
              <w:t xml:space="preserve"> </w:t>
            </w:r>
            <w:proofErr w:type="spellStart"/>
            <w:r w:rsidRPr="0084119D">
              <w:rPr>
                <w:rFonts w:ascii="Times New Roman" w:eastAsia="Times New Roman" w:hAnsi="Times New Roman" w:cs="Times New Roman"/>
                <w:color w:val="000000"/>
                <w:lang w:eastAsia="de-DE"/>
              </w:rPr>
              <w:t>gradient</w:t>
            </w:r>
            <w:proofErr w:type="spellEnd"/>
            <w:r w:rsidRPr="0084119D">
              <w:rPr>
                <w:rFonts w:ascii="Times New Roman" w:eastAsia="Times New Roman" w:hAnsi="Times New Roman" w:cs="Times New Roman"/>
                <w:color w:val="000000"/>
                <w:lang w:eastAsia="de-DE"/>
              </w:rPr>
              <w:t>)</w:t>
            </w:r>
          </w:p>
        </w:tc>
        <w:tc>
          <w:tcPr>
            <w:tcW w:w="699" w:type="pct"/>
            <w:tcBorders>
              <w:top w:val="single" w:sz="4" w:space="0" w:color="auto"/>
              <w:left w:val="nil"/>
              <w:right w:val="nil"/>
            </w:tcBorders>
            <w:vAlign w:val="center"/>
          </w:tcPr>
          <w:p w14:paraId="56C4C50C"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68.301</w:t>
            </w:r>
          </w:p>
        </w:tc>
        <w:tc>
          <w:tcPr>
            <w:tcW w:w="699" w:type="pct"/>
            <w:tcBorders>
              <w:top w:val="single" w:sz="4" w:space="0" w:color="auto"/>
              <w:left w:val="nil"/>
              <w:right w:val="nil"/>
            </w:tcBorders>
            <w:shd w:val="clear" w:color="auto" w:fill="auto"/>
            <w:noWrap/>
            <w:vAlign w:val="center"/>
            <w:hideMark/>
          </w:tcPr>
          <w:p w14:paraId="55C84941"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0.092</w:t>
            </w:r>
          </w:p>
        </w:tc>
        <w:tc>
          <w:tcPr>
            <w:tcW w:w="699" w:type="pct"/>
            <w:tcBorders>
              <w:top w:val="single" w:sz="4" w:space="0" w:color="auto"/>
              <w:left w:val="nil"/>
              <w:right w:val="nil"/>
            </w:tcBorders>
            <w:shd w:val="clear" w:color="auto" w:fill="auto"/>
            <w:noWrap/>
            <w:vAlign w:val="center"/>
            <w:hideMark/>
          </w:tcPr>
          <w:p w14:paraId="7FAF3207"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0.110</w:t>
            </w:r>
          </w:p>
        </w:tc>
        <w:tc>
          <w:tcPr>
            <w:tcW w:w="699" w:type="pct"/>
            <w:tcBorders>
              <w:top w:val="single" w:sz="4" w:space="0" w:color="auto"/>
              <w:left w:val="nil"/>
              <w:right w:val="nil"/>
            </w:tcBorders>
            <w:shd w:val="clear" w:color="auto" w:fill="auto"/>
            <w:noWrap/>
            <w:vAlign w:val="center"/>
            <w:hideMark/>
          </w:tcPr>
          <w:p w14:paraId="7F1F3A90" w14:textId="77777777" w:rsidR="00683AAF" w:rsidRPr="0084119D"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0.704</w:t>
            </w:r>
          </w:p>
        </w:tc>
        <w:tc>
          <w:tcPr>
            <w:tcW w:w="698" w:type="pct"/>
            <w:tcBorders>
              <w:top w:val="single" w:sz="4" w:space="0" w:color="auto"/>
              <w:left w:val="nil"/>
              <w:right w:val="nil"/>
            </w:tcBorders>
            <w:shd w:val="clear" w:color="auto" w:fill="auto"/>
            <w:noWrap/>
            <w:vAlign w:val="center"/>
            <w:hideMark/>
          </w:tcPr>
          <w:p w14:paraId="6C16A89C"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0.404</w:t>
            </w:r>
          </w:p>
        </w:tc>
      </w:tr>
      <w:tr w:rsidR="00683AAF" w:rsidRPr="00683AAF" w14:paraId="54FA6CDB" w14:textId="77777777" w:rsidTr="00683AAF">
        <w:trPr>
          <w:trHeight w:val="397"/>
        </w:trPr>
        <w:tc>
          <w:tcPr>
            <w:tcW w:w="1506" w:type="pct"/>
            <w:tcBorders>
              <w:top w:val="nil"/>
              <w:left w:val="nil"/>
              <w:right w:val="nil"/>
            </w:tcBorders>
            <w:shd w:val="clear" w:color="auto" w:fill="auto"/>
            <w:noWrap/>
            <w:vAlign w:val="center"/>
            <w:hideMark/>
          </w:tcPr>
          <w:p w14:paraId="4CBF3366" w14:textId="77777777" w:rsidR="00683AAF" w:rsidRPr="0084119D" w:rsidRDefault="00683AAF" w:rsidP="00683AAF">
            <w:pPr>
              <w:spacing w:after="0" w:line="240" w:lineRule="auto"/>
              <w:rPr>
                <w:rFonts w:ascii="Times New Roman" w:eastAsia="Times New Roman" w:hAnsi="Times New Roman" w:cs="Times New Roman"/>
                <w:color w:val="000000"/>
                <w:lang w:eastAsia="de-DE"/>
              </w:rPr>
            </w:pPr>
            <w:r w:rsidRPr="0084119D">
              <w:rPr>
                <w:rFonts w:ascii="Times New Roman" w:eastAsia="Times New Roman" w:hAnsi="Times New Roman" w:cs="Times New Roman"/>
                <w:color w:val="000000"/>
                <w:lang w:eastAsia="de-DE"/>
              </w:rPr>
              <w:t>RC2 (</w:t>
            </w:r>
            <w:proofErr w:type="spellStart"/>
            <w:r w:rsidRPr="0084119D">
              <w:rPr>
                <w:rFonts w:ascii="Times New Roman" w:eastAsia="Times New Roman" w:hAnsi="Times New Roman" w:cs="Times New Roman"/>
                <w:color w:val="000000"/>
                <w:lang w:eastAsia="de-DE"/>
              </w:rPr>
              <w:t>Conservation</w:t>
            </w:r>
            <w:proofErr w:type="spellEnd"/>
            <w:r w:rsidRPr="0084119D">
              <w:rPr>
                <w:rFonts w:ascii="Times New Roman" w:eastAsia="Times New Roman" w:hAnsi="Times New Roman" w:cs="Times New Roman"/>
                <w:color w:val="000000"/>
                <w:lang w:eastAsia="de-DE"/>
              </w:rPr>
              <w:t xml:space="preserve"> </w:t>
            </w:r>
            <w:proofErr w:type="spellStart"/>
            <w:r w:rsidRPr="0084119D">
              <w:rPr>
                <w:rFonts w:ascii="Times New Roman" w:eastAsia="Times New Roman" w:hAnsi="Times New Roman" w:cs="Times New Roman"/>
                <w:color w:val="000000"/>
                <w:lang w:eastAsia="de-DE"/>
              </w:rPr>
              <w:t>gradient</w:t>
            </w:r>
            <w:proofErr w:type="spellEnd"/>
            <w:r w:rsidRPr="0084119D">
              <w:rPr>
                <w:rFonts w:ascii="Times New Roman" w:eastAsia="Times New Roman" w:hAnsi="Times New Roman" w:cs="Times New Roman"/>
                <w:color w:val="000000"/>
                <w:lang w:eastAsia="de-DE"/>
              </w:rPr>
              <w:t>)</w:t>
            </w:r>
          </w:p>
        </w:tc>
        <w:tc>
          <w:tcPr>
            <w:tcW w:w="699" w:type="pct"/>
            <w:tcBorders>
              <w:top w:val="nil"/>
              <w:left w:val="nil"/>
              <w:right w:val="nil"/>
            </w:tcBorders>
            <w:vAlign w:val="center"/>
          </w:tcPr>
          <w:p w14:paraId="5E23AB9E"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68.416</w:t>
            </w:r>
          </w:p>
        </w:tc>
        <w:tc>
          <w:tcPr>
            <w:tcW w:w="699" w:type="pct"/>
            <w:tcBorders>
              <w:top w:val="nil"/>
              <w:left w:val="nil"/>
              <w:right w:val="nil"/>
            </w:tcBorders>
            <w:shd w:val="clear" w:color="auto" w:fill="auto"/>
            <w:noWrap/>
            <w:vAlign w:val="center"/>
            <w:hideMark/>
          </w:tcPr>
          <w:p w14:paraId="197BA4E4"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-0.246</w:t>
            </w:r>
          </w:p>
        </w:tc>
        <w:tc>
          <w:tcPr>
            <w:tcW w:w="699" w:type="pct"/>
            <w:tcBorders>
              <w:top w:val="nil"/>
              <w:left w:val="nil"/>
              <w:right w:val="nil"/>
            </w:tcBorders>
            <w:shd w:val="clear" w:color="auto" w:fill="auto"/>
            <w:noWrap/>
            <w:vAlign w:val="center"/>
            <w:hideMark/>
          </w:tcPr>
          <w:p w14:paraId="37718629"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0.106</w:t>
            </w:r>
          </w:p>
        </w:tc>
        <w:tc>
          <w:tcPr>
            <w:tcW w:w="699" w:type="pct"/>
            <w:tcBorders>
              <w:top w:val="nil"/>
              <w:left w:val="nil"/>
              <w:right w:val="nil"/>
            </w:tcBorders>
            <w:shd w:val="clear" w:color="auto" w:fill="auto"/>
            <w:noWrap/>
            <w:vAlign w:val="center"/>
            <w:hideMark/>
          </w:tcPr>
          <w:p w14:paraId="1934A9BD" w14:textId="77777777" w:rsidR="00683AAF" w:rsidRPr="0084119D"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5.412</w:t>
            </w:r>
          </w:p>
        </w:tc>
        <w:tc>
          <w:tcPr>
            <w:tcW w:w="698" w:type="pct"/>
            <w:tcBorders>
              <w:top w:val="nil"/>
              <w:left w:val="nil"/>
              <w:right w:val="nil"/>
            </w:tcBorders>
            <w:shd w:val="clear" w:color="auto" w:fill="auto"/>
            <w:noWrap/>
            <w:vAlign w:val="center"/>
            <w:hideMark/>
          </w:tcPr>
          <w:p w14:paraId="14607F25" w14:textId="77777777" w:rsidR="00683AAF" w:rsidRPr="00683AAF" w:rsidRDefault="00683AAF" w:rsidP="00683AAF">
            <w:pPr>
              <w:spacing w:after="0" w:line="240" w:lineRule="auto"/>
              <w:jc w:val="right"/>
              <w:rPr>
                <w:rFonts w:ascii="Times New Roman" w:eastAsia="Times New Roman" w:hAnsi="Times New Roman" w:cs="Times New Roman"/>
                <w:b/>
                <w:color w:val="000000"/>
                <w:lang w:eastAsia="de-DE"/>
              </w:rPr>
            </w:pPr>
            <w:r w:rsidRPr="00683AAF">
              <w:rPr>
                <w:rFonts w:ascii="Times New Roman" w:eastAsia="Times New Roman" w:hAnsi="Times New Roman" w:cs="Times New Roman"/>
                <w:b/>
                <w:color w:val="000000"/>
                <w:lang w:eastAsia="de-DE"/>
              </w:rPr>
              <w:t>0.023</w:t>
            </w:r>
          </w:p>
        </w:tc>
      </w:tr>
      <w:tr w:rsidR="00BA6B7B" w:rsidRPr="0084119D" w14:paraId="04BAF9F1" w14:textId="77777777" w:rsidTr="00320D4D">
        <w:trPr>
          <w:trHeight w:val="20"/>
        </w:trPr>
        <w:tc>
          <w:tcPr>
            <w:tcW w:w="1506" w:type="pct"/>
            <w:tcBorders>
              <w:left w:val="nil"/>
              <w:right w:val="nil"/>
            </w:tcBorders>
            <w:shd w:val="clear" w:color="auto" w:fill="auto"/>
            <w:noWrap/>
            <w:vAlign w:val="center"/>
          </w:tcPr>
          <w:p w14:paraId="262EF32A" w14:textId="77777777" w:rsidR="00BA6B7B" w:rsidRPr="00BA6B7B" w:rsidRDefault="00BA6B7B" w:rsidP="00BA6B7B">
            <w:pPr>
              <w:spacing w:after="0" w:line="240" w:lineRule="auto"/>
              <w:rPr>
                <w:rFonts w:ascii="Times New Roman" w:eastAsia="Times New Roman" w:hAnsi="Times New Roman" w:cs="Times New Roman"/>
                <w:color w:val="000000"/>
                <w:lang w:eastAsia="de-DE"/>
              </w:rPr>
            </w:pPr>
          </w:p>
        </w:tc>
        <w:tc>
          <w:tcPr>
            <w:tcW w:w="699" w:type="pct"/>
            <w:tcBorders>
              <w:left w:val="nil"/>
              <w:right w:val="nil"/>
            </w:tcBorders>
            <w:vAlign w:val="center"/>
          </w:tcPr>
          <w:p w14:paraId="7233516B" w14:textId="77777777" w:rsidR="00BA6B7B" w:rsidRPr="00683AAF" w:rsidRDefault="00BA6B7B" w:rsidP="00683AAF">
            <w:pPr>
              <w:spacing w:after="0" w:line="240" w:lineRule="auto"/>
              <w:jc w:val="right"/>
              <w:rPr>
                <w:rFonts w:ascii="Times New Roman" w:eastAsia="Times New Roman" w:hAnsi="Times New Roman" w:cs="Times New Roman"/>
                <w:color w:val="000000"/>
                <w:lang w:eastAsia="de-DE"/>
              </w:rPr>
            </w:pPr>
          </w:p>
        </w:tc>
        <w:tc>
          <w:tcPr>
            <w:tcW w:w="699" w:type="pct"/>
            <w:tcBorders>
              <w:left w:val="nil"/>
              <w:right w:val="nil"/>
            </w:tcBorders>
            <w:shd w:val="clear" w:color="auto" w:fill="auto"/>
            <w:noWrap/>
            <w:vAlign w:val="center"/>
          </w:tcPr>
          <w:p w14:paraId="35C77ACB" w14:textId="77777777" w:rsidR="00BA6B7B" w:rsidRPr="00683AAF" w:rsidRDefault="00BA6B7B" w:rsidP="00683AAF">
            <w:pPr>
              <w:spacing w:after="0" w:line="240" w:lineRule="auto"/>
              <w:jc w:val="right"/>
              <w:rPr>
                <w:rFonts w:ascii="Times New Roman" w:eastAsia="Times New Roman" w:hAnsi="Times New Roman" w:cs="Times New Roman"/>
                <w:color w:val="000000"/>
                <w:lang w:eastAsia="de-DE"/>
              </w:rPr>
            </w:pPr>
          </w:p>
        </w:tc>
        <w:tc>
          <w:tcPr>
            <w:tcW w:w="699" w:type="pct"/>
            <w:tcBorders>
              <w:left w:val="nil"/>
              <w:right w:val="nil"/>
            </w:tcBorders>
            <w:shd w:val="clear" w:color="auto" w:fill="auto"/>
            <w:noWrap/>
            <w:vAlign w:val="center"/>
          </w:tcPr>
          <w:p w14:paraId="40BEA094" w14:textId="77777777" w:rsidR="00BA6B7B" w:rsidRPr="00683AAF" w:rsidRDefault="00BA6B7B" w:rsidP="00683AAF">
            <w:pPr>
              <w:spacing w:after="0" w:line="240" w:lineRule="auto"/>
              <w:jc w:val="right"/>
              <w:rPr>
                <w:rFonts w:ascii="Times New Roman" w:eastAsia="Times New Roman" w:hAnsi="Times New Roman" w:cs="Times New Roman"/>
                <w:color w:val="000000"/>
                <w:lang w:eastAsia="de-DE"/>
              </w:rPr>
            </w:pPr>
          </w:p>
        </w:tc>
        <w:tc>
          <w:tcPr>
            <w:tcW w:w="699" w:type="pct"/>
            <w:tcBorders>
              <w:left w:val="nil"/>
              <w:right w:val="nil"/>
            </w:tcBorders>
            <w:shd w:val="clear" w:color="auto" w:fill="auto"/>
            <w:noWrap/>
            <w:vAlign w:val="center"/>
          </w:tcPr>
          <w:p w14:paraId="6C2317A4" w14:textId="77777777" w:rsidR="00BA6B7B" w:rsidRPr="00683AAF" w:rsidRDefault="00BA6B7B" w:rsidP="00683AAF">
            <w:pPr>
              <w:spacing w:after="0" w:line="240" w:lineRule="auto"/>
              <w:jc w:val="right"/>
              <w:rPr>
                <w:rFonts w:ascii="Times New Roman" w:eastAsia="Times New Roman" w:hAnsi="Times New Roman" w:cs="Times New Roman"/>
                <w:color w:val="000000"/>
                <w:lang w:eastAsia="de-DE"/>
              </w:rPr>
            </w:pPr>
          </w:p>
        </w:tc>
        <w:tc>
          <w:tcPr>
            <w:tcW w:w="698" w:type="pct"/>
            <w:tcBorders>
              <w:left w:val="nil"/>
              <w:right w:val="nil"/>
            </w:tcBorders>
            <w:shd w:val="clear" w:color="auto" w:fill="auto"/>
            <w:noWrap/>
            <w:vAlign w:val="center"/>
          </w:tcPr>
          <w:p w14:paraId="194EF288" w14:textId="77777777" w:rsidR="00BA6B7B" w:rsidRPr="00683AAF" w:rsidRDefault="00BA6B7B" w:rsidP="00683AAF">
            <w:pPr>
              <w:spacing w:after="0" w:line="240" w:lineRule="auto"/>
              <w:jc w:val="right"/>
              <w:rPr>
                <w:rFonts w:ascii="Times New Roman" w:eastAsia="Times New Roman" w:hAnsi="Times New Roman" w:cs="Times New Roman"/>
                <w:color w:val="000000"/>
                <w:lang w:eastAsia="de-DE"/>
              </w:rPr>
            </w:pPr>
          </w:p>
        </w:tc>
      </w:tr>
      <w:tr w:rsidR="00683AAF" w:rsidRPr="0084119D" w14:paraId="3AE44A86" w14:textId="77777777" w:rsidTr="00BA178C">
        <w:trPr>
          <w:trHeight w:val="397"/>
        </w:trPr>
        <w:tc>
          <w:tcPr>
            <w:tcW w:w="1506" w:type="pct"/>
            <w:tcBorders>
              <w:left w:val="nil"/>
              <w:bottom w:val="nil"/>
              <w:right w:val="nil"/>
            </w:tcBorders>
            <w:shd w:val="clear" w:color="auto" w:fill="auto"/>
            <w:noWrap/>
            <w:vAlign w:val="center"/>
          </w:tcPr>
          <w:p w14:paraId="14133E50" w14:textId="370B061C" w:rsidR="00683AAF" w:rsidRPr="00BA6B7B" w:rsidRDefault="00683AAF" w:rsidP="00683AAF">
            <w:pPr>
              <w:rPr>
                <w:rFonts w:ascii="Times New Roman" w:hAnsi="Times New Roman" w:cs="Times New Roman"/>
                <w:color w:val="000000"/>
              </w:rPr>
            </w:pPr>
            <w:r w:rsidRPr="00BA6B7B">
              <w:rPr>
                <w:rFonts w:ascii="Times New Roman" w:hAnsi="Times New Roman" w:cs="Times New Roman"/>
                <w:color w:val="000000"/>
              </w:rPr>
              <w:t>R</w:t>
            </w:r>
            <w:r w:rsidR="00E057C4">
              <w:rPr>
                <w:rFonts w:ascii="Times New Roman" w:hAnsi="Times New Roman" w:cs="Times New Roman"/>
                <w:color w:val="000000"/>
              </w:rPr>
              <w:t xml:space="preserve">oot </w:t>
            </w:r>
            <w:proofErr w:type="spellStart"/>
            <w:r w:rsidR="00E057C4">
              <w:rPr>
                <w:rFonts w:ascii="Times New Roman" w:hAnsi="Times New Roman" w:cs="Times New Roman"/>
                <w:color w:val="000000"/>
              </w:rPr>
              <w:t>diameter</w:t>
            </w:r>
            <w:proofErr w:type="spellEnd"/>
          </w:p>
        </w:tc>
        <w:tc>
          <w:tcPr>
            <w:tcW w:w="699" w:type="pct"/>
            <w:tcBorders>
              <w:left w:val="nil"/>
              <w:bottom w:val="nil"/>
              <w:right w:val="nil"/>
            </w:tcBorders>
            <w:shd w:val="clear" w:color="auto" w:fill="auto"/>
            <w:vAlign w:val="center"/>
          </w:tcPr>
          <w:p w14:paraId="414A3989"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72.000</w:t>
            </w:r>
          </w:p>
        </w:tc>
        <w:tc>
          <w:tcPr>
            <w:tcW w:w="699" w:type="pct"/>
            <w:tcBorders>
              <w:left w:val="nil"/>
              <w:bottom w:val="nil"/>
              <w:right w:val="nil"/>
            </w:tcBorders>
            <w:shd w:val="clear" w:color="auto" w:fill="auto"/>
            <w:noWrap/>
            <w:vAlign w:val="center"/>
          </w:tcPr>
          <w:p w14:paraId="578E18A1" w14:textId="77777777" w:rsidR="00683AAF" w:rsidRPr="00683AAF" w:rsidRDefault="00683AAF" w:rsidP="00BA178C">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0.004</w:t>
            </w:r>
          </w:p>
        </w:tc>
        <w:tc>
          <w:tcPr>
            <w:tcW w:w="699" w:type="pct"/>
            <w:tcBorders>
              <w:left w:val="nil"/>
              <w:bottom w:val="nil"/>
              <w:right w:val="nil"/>
            </w:tcBorders>
            <w:shd w:val="clear" w:color="auto" w:fill="auto"/>
            <w:noWrap/>
            <w:vAlign w:val="center"/>
          </w:tcPr>
          <w:p w14:paraId="0153CCDB"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0.004</w:t>
            </w:r>
          </w:p>
        </w:tc>
        <w:tc>
          <w:tcPr>
            <w:tcW w:w="699" w:type="pct"/>
            <w:tcBorders>
              <w:left w:val="nil"/>
              <w:bottom w:val="nil"/>
              <w:right w:val="nil"/>
            </w:tcBorders>
            <w:shd w:val="clear" w:color="auto" w:fill="auto"/>
            <w:noWrap/>
            <w:vAlign w:val="center"/>
          </w:tcPr>
          <w:p w14:paraId="06E6A469"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0.925</w:t>
            </w:r>
          </w:p>
        </w:tc>
        <w:tc>
          <w:tcPr>
            <w:tcW w:w="698" w:type="pct"/>
            <w:tcBorders>
              <w:left w:val="nil"/>
              <w:bottom w:val="nil"/>
              <w:right w:val="nil"/>
            </w:tcBorders>
            <w:shd w:val="clear" w:color="auto" w:fill="auto"/>
            <w:noWrap/>
            <w:vAlign w:val="center"/>
          </w:tcPr>
          <w:p w14:paraId="593E021F"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0.339</w:t>
            </w:r>
          </w:p>
        </w:tc>
      </w:tr>
      <w:tr w:rsidR="00683AAF" w:rsidRPr="0084119D" w14:paraId="017A0F16" w14:textId="77777777" w:rsidTr="00683AAF">
        <w:trPr>
          <w:trHeight w:val="397"/>
        </w:trPr>
        <w:tc>
          <w:tcPr>
            <w:tcW w:w="1506" w:type="pct"/>
            <w:tcBorders>
              <w:top w:val="nil"/>
              <w:left w:val="nil"/>
              <w:bottom w:val="nil"/>
              <w:right w:val="nil"/>
            </w:tcBorders>
            <w:shd w:val="clear" w:color="auto" w:fill="auto"/>
            <w:noWrap/>
            <w:vAlign w:val="center"/>
          </w:tcPr>
          <w:p w14:paraId="630BBE02" w14:textId="4E1C2B40" w:rsidR="00683AAF" w:rsidRPr="00BA6B7B" w:rsidRDefault="00683AAF" w:rsidP="00683AAF">
            <w:pPr>
              <w:rPr>
                <w:rFonts w:ascii="Times New Roman" w:hAnsi="Times New Roman" w:cs="Times New Roman"/>
                <w:color w:val="000000"/>
              </w:rPr>
            </w:pPr>
            <w:proofErr w:type="spellStart"/>
            <w:r w:rsidRPr="00BA6B7B">
              <w:rPr>
                <w:rFonts w:ascii="Times New Roman" w:hAnsi="Times New Roman" w:cs="Times New Roman"/>
                <w:color w:val="000000"/>
              </w:rPr>
              <w:t>S</w:t>
            </w:r>
            <w:r w:rsidR="00E057C4">
              <w:rPr>
                <w:rFonts w:ascii="Times New Roman" w:hAnsi="Times New Roman" w:cs="Times New Roman"/>
                <w:color w:val="000000"/>
              </w:rPr>
              <w:t>pecific</w:t>
            </w:r>
            <w:proofErr w:type="spellEnd"/>
            <w:r w:rsidR="00E057C4">
              <w:rPr>
                <w:rFonts w:ascii="Times New Roman" w:hAnsi="Times New Roman" w:cs="Times New Roman"/>
                <w:color w:val="000000"/>
              </w:rPr>
              <w:t xml:space="preserve"> </w:t>
            </w:r>
            <w:proofErr w:type="spellStart"/>
            <w:r w:rsidR="00E057C4">
              <w:rPr>
                <w:rFonts w:ascii="Times New Roman" w:hAnsi="Times New Roman" w:cs="Times New Roman"/>
                <w:color w:val="000000"/>
              </w:rPr>
              <w:t>root</w:t>
            </w:r>
            <w:proofErr w:type="spellEnd"/>
            <w:r w:rsidR="00E057C4">
              <w:rPr>
                <w:rFonts w:ascii="Times New Roman" w:hAnsi="Times New Roman" w:cs="Times New Roman"/>
                <w:color w:val="000000"/>
              </w:rPr>
              <w:t xml:space="preserve"> </w:t>
            </w:r>
            <w:proofErr w:type="spellStart"/>
            <w:r w:rsidR="00E057C4">
              <w:rPr>
                <w:rFonts w:ascii="Times New Roman" w:hAnsi="Times New Roman" w:cs="Times New Roman"/>
                <w:color w:val="000000"/>
              </w:rPr>
              <w:t>length</w:t>
            </w:r>
            <w:proofErr w:type="spellEnd"/>
          </w:p>
        </w:tc>
        <w:tc>
          <w:tcPr>
            <w:tcW w:w="699" w:type="pct"/>
            <w:tcBorders>
              <w:top w:val="nil"/>
              <w:left w:val="nil"/>
              <w:bottom w:val="nil"/>
              <w:right w:val="nil"/>
            </w:tcBorders>
            <w:shd w:val="clear" w:color="auto" w:fill="auto"/>
            <w:vAlign w:val="center"/>
          </w:tcPr>
          <w:p w14:paraId="54854FEE"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69.180</w:t>
            </w:r>
          </w:p>
        </w:tc>
        <w:tc>
          <w:tcPr>
            <w:tcW w:w="699" w:type="pct"/>
            <w:tcBorders>
              <w:top w:val="nil"/>
              <w:left w:val="nil"/>
              <w:bottom w:val="nil"/>
              <w:right w:val="nil"/>
            </w:tcBorders>
            <w:shd w:val="clear" w:color="auto" w:fill="auto"/>
            <w:noWrap/>
            <w:vAlign w:val="center"/>
          </w:tcPr>
          <w:p w14:paraId="19584B4F"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-11.678</w:t>
            </w:r>
          </w:p>
        </w:tc>
        <w:tc>
          <w:tcPr>
            <w:tcW w:w="699" w:type="pct"/>
            <w:tcBorders>
              <w:top w:val="nil"/>
              <w:left w:val="nil"/>
              <w:bottom w:val="nil"/>
              <w:right w:val="nil"/>
            </w:tcBorders>
            <w:shd w:val="clear" w:color="auto" w:fill="auto"/>
            <w:noWrap/>
            <w:vAlign w:val="center"/>
          </w:tcPr>
          <w:p w14:paraId="6B4DD41D"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8.121</w:t>
            </w:r>
          </w:p>
        </w:tc>
        <w:tc>
          <w:tcPr>
            <w:tcW w:w="699" w:type="pct"/>
            <w:tcBorders>
              <w:top w:val="nil"/>
              <w:left w:val="nil"/>
              <w:bottom w:val="nil"/>
              <w:right w:val="nil"/>
            </w:tcBorders>
            <w:shd w:val="clear" w:color="auto" w:fill="auto"/>
            <w:noWrap/>
            <w:vAlign w:val="center"/>
          </w:tcPr>
          <w:p w14:paraId="23CF4224"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2.068</w:t>
            </w:r>
          </w:p>
        </w:tc>
        <w:tc>
          <w:tcPr>
            <w:tcW w:w="698" w:type="pct"/>
            <w:tcBorders>
              <w:top w:val="nil"/>
              <w:left w:val="nil"/>
              <w:right w:val="nil"/>
            </w:tcBorders>
            <w:shd w:val="clear" w:color="auto" w:fill="auto"/>
            <w:noWrap/>
            <w:vAlign w:val="center"/>
          </w:tcPr>
          <w:p w14:paraId="61291E3E"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0.155</w:t>
            </w:r>
          </w:p>
        </w:tc>
      </w:tr>
      <w:tr w:rsidR="00683AAF" w:rsidRPr="0084119D" w14:paraId="12E8698A" w14:textId="77777777" w:rsidTr="00683AAF">
        <w:trPr>
          <w:trHeight w:val="397"/>
        </w:trPr>
        <w:tc>
          <w:tcPr>
            <w:tcW w:w="1506" w:type="pct"/>
            <w:tcBorders>
              <w:top w:val="nil"/>
              <w:left w:val="nil"/>
              <w:right w:val="nil"/>
            </w:tcBorders>
            <w:shd w:val="clear" w:color="auto" w:fill="auto"/>
            <w:noWrap/>
            <w:vAlign w:val="center"/>
          </w:tcPr>
          <w:p w14:paraId="42A17B4F" w14:textId="5C46AD7A" w:rsidR="00683AAF" w:rsidRPr="00BA6B7B" w:rsidRDefault="00683AAF" w:rsidP="00E057C4">
            <w:pPr>
              <w:rPr>
                <w:rFonts w:ascii="Times New Roman" w:hAnsi="Times New Roman" w:cs="Times New Roman"/>
                <w:color w:val="000000"/>
              </w:rPr>
            </w:pPr>
            <w:r w:rsidRPr="00BA6B7B">
              <w:rPr>
                <w:rFonts w:ascii="Times New Roman" w:hAnsi="Times New Roman" w:cs="Times New Roman"/>
                <w:color w:val="000000"/>
              </w:rPr>
              <w:t>R</w:t>
            </w:r>
            <w:r w:rsidR="00E057C4">
              <w:rPr>
                <w:rFonts w:ascii="Times New Roman" w:hAnsi="Times New Roman" w:cs="Times New Roman"/>
                <w:color w:val="000000"/>
              </w:rPr>
              <w:t xml:space="preserve">oot </w:t>
            </w:r>
            <w:proofErr w:type="spellStart"/>
            <w:r w:rsidR="00E057C4">
              <w:rPr>
                <w:rFonts w:ascii="Times New Roman" w:hAnsi="Times New Roman" w:cs="Times New Roman"/>
                <w:color w:val="000000"/>
              </w:rPr>
              <w:t>nitrogen</w:t>
            </w:r>
            <w:proofErr w:type="spellEnd"/>
            <w:r w:rsidR="00E057C4">
              <w:rPr>
                <w:rFonts w:ascii="Times New Roman" w:hAnsi="Times New Roman" w:cs="Times New Roman"/>
                <w:color w:val="000000"/>
              </w:rPr>
              <w:t xml:space="preserve"> </w:t>
            </w:r>
          </w:p>
        </w:tc>
        <w:tc>
          <w:tcPr>
            <w:tcW w:w="699" w:type="pct"/>
            <w:tcBorders>
              <w:top w:val="nil"/>
              <w:left w:val="nil"/>
              <w:right w:val="nil"/>
            </w:tcBorders>
            <w:shd w:val="clear" w:color="auto" w:fill="auto"/>
            <w:vAlign w:val="center"/>
          </w:tcPr>
          <w:p w14:paraId="48046802"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71.000</w:t>
            </w:r>
          </w:p>
        </w:tc>
        <w:tc>
          <w:tcPr>
            <w:tcW w:w="699" w:type="pct"/>
            <w:tcBorders>
              <w:top w:val="nil"/>
              <w:left w:val="nil"/>
              <w:right w:val="nil"/>
            </w:tcBorders>
            <w:shd w:val="clear" w:color="auto" w:fill="auto"/>
            <w:noWrap/>
            <w:vAlign w:val="center"/>
          </w:tcPr>
          <w:p w14:paraId="6C16DFA7"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-0.176</w:t>
            </w:r>
          </w:p>
        </w:tc>
        <w:tc>
          <w:tcPr>
            <w:tcW w:w="699" w:type="pct"/>
            <w:tcBorders>
              <w:top w:val="nil"/>
              <w:left w:val="nil"/>
              <w:right w:val="nil"/>
            </w:tcBorders>
            <w:shd w:val="clear" w:color="auto" w:fill="auto"/>
            <w:noWrap/>
            <w:vAlign w:val="center"/>
          </w:tcPr>
          <w:p w14:paraId="448EFC15"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0.046</w:t>
            </w:r>
          </w:p>
        </w:tc>
        <w:tc>
          <w:tcPr>
            <w:tcW w:w="699" w:type="pct"/>
            <w:tcBorders>
              <w:top w:val="nil"/>
              <w:left w:val="nil"/>
              <w:right w:val="nil"/>
            </w:tcBorders>
            <w:shd w:val="clear" w:color="auto" w:fill="auto"/>
            <w:noWrap/>
            <w:vAlign w:val="center"/>
          </w:tcPr>
          <w:p w14:paraId="3C69998E"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14.417</w:t>
            </w:r>
          </w:p>
        </w:tc>
        <w:tc>
          <w:tcPr>
            <w:tcW w:w="698" w:type="pct"/>
            <w:tcBorders>
              <w:top w:val="nil"/>
              <w:left w:val="nil"/>
              <w:right w:val="nil"/>
            </w:tcBorders>
            <w:shd w:val="clear" w:color="auto" w:fill="auto"/>
            <w:noWrap/>
            <w:vAlign w:val="center"/>
          </w:tcPr>
          <w:p w14:paraId="3A34B3F4" w14:textId="77777777" w:rsidR="00683AAF" w:rsidRPr="00683AAF" w:rsidRDefault="00683AAF" w:rsidP="00683AAF">
            <w:pPr>
              <w:spacing w:after="0" w:line="240" w:lineRule="auto"/>
              <w:jc w:val="right"/>
              <w:rPr>
                <w:rFonts w:ascii="Times New Roman" w:eastAsia="Times New Roman" w:hAnsi="Times New Roman" w:cs="Times New Roman"/>
                <w:b/>
                <w:color w:val="000000"/>
                <w:lang w:eastAsia="de-DE"/>
              </w:rPr>
            </w:pPr>
            <w:r w:rsidRPr="00683AAF">
              <w:rPr>
                <w:rFonts w:ascii="Times New Roman" w:eastAsia="Times New Roman" w:hAnsi="Times New Roman" w:cs="Times New Roman"/>
                <w:b/>
                <w:color w:val="000000"/>
                <w:lang w:eastAsia="de-DE"/>
              </w:rPr>
              <w:t>&lt;0.001</w:t>
            </w:r>
          </w:p>
        </w:tc>
      </w:tr>
      <w:tr w:rsidR="00683AAF" w:rsidRPr="0084119D" w14:paraId="04A9AF05" w14:textId="77777777" w:rsidTr="00683AAF">
        <w:trPr>
          <w:trHeight w:val="397"/>
        </w:trPr>
        <w:tc>
          <w:tcPr>
            <w:tcW w:w="1506" w:type="pct"/>
            <w:tcBorders>
              <w:top w:val="nil"/>
              <w:left w:val="nil"/>
              <w:bottom w:val="single" w:sz="2" w:space="0" w:color="auto"/>
              <w:right w:val="nil"/>
            </w:tcBorders>
            <w:shd w:val="clear" w:color="auto" w:fill="auto"/>
            <w:noWrap/>
            <w:vAlign w:val="center"/>
          </w:tcPr>
          <w:p w14:paraId="79259B10" w14:textId="6AFCFAF5" w:rsidR="00683AAF" w:rsidRPr="00BA6B7B" w:rsidRDefault="00683AAF" w:rsidP="00683AAF">
            <w:pPr>
              <w:rPr>
                <w:rFonts w:ascii="Times New Roman" w:hAnsi="Times New Roman" w:cs="Times New Roman"/>
                <w:color w:val="000000"/>
              </w:rPr>
            </w:pPr>
            <w:r w:rsidRPr="00BA6B7B">
              <w:rPr>
                <w:rFonts w:ascii="Times New Roman" w:hAnsi="Times New Roman" w:cs="Times New Roman"/>
                <w:color w:val="000000"/>
              </w:rPr>
              <w:t>R</w:t>
            </w:r>
            <w:r w:rsidR="00E057C4">
              <w:rPr>
                <w:rFonts w:ascii="Times New Roman" w:hAnsi="Times New Roman" w:cs="Times New Roman"/>
                <w:color w:val="000000"/>
              </w:rPr>
              <w:t xml:space="preserve">oot </w:t>
            </w:r>
            <w:proofErr w:type="spellStart"/>
            <w:r w:rsidR="00E057C4">
              <w:rPr>
                <w:rFonts w:ascii="Times New Roman" w:hAnsi="Times New Roman" w:cs="Times New Roman"/>
                <w:color w:val="000000"/>
              </w:rPr>
              <w:t>tissue</w:t>
            </w:r>
            <w:proofErr w:type="spellEnd"/>
            <w:r w:rsidR="00E057C4">
              <w:rPr>
                <w:rFonts w:ascii="Times New Roman" w:hAnsi="Times New Roman" w:cs="Times New Roman"/>
                <w:color w:val="000000"/>
              </w:rPr>
              <w:t xml:space="preserve"> </w:t>
            </w:r>
            <w:proofErr w:type="spellStart"/>
            <w:r w:rsidR="00E057C4">
              <w:rPr>
                <w:rFonts w:ascii="Times New Roman" w:hAnsi="Times New Roman" w:cs="Times New Roman"/>
                <w:color w:val="000000"/>
              </w:rPr>
              <w:t>density</w:t>
            </w:r>
            <w:proofErr w:type="spellEnd"/>
          </w:p>
        </w:tc>
        <w:tc>
          <w:tcPr>
            <w:tcW w:w="699" w:type="pct"/>
            <w:tcBorders>
              <w:top w:val="nil"/>
              <w:left w:val="nil"/>
              <w:bottom w:val="single" w:sz="2" w:space="0" w:color="auto"/>
              <w:right w:val="nil"/>
            </w:tcBorders>
            <w:shd w:val="clear" w:color="auto" w:fill="auto"/>
            <w:vAlign w:val="center"/>
          </w:tcPr>
          <w:p w14:paraId="32BA9D0A"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69.328</w:t>
            </w:r>
          </w:p>
        </w:tc>
        <w:tc>
          <w:tcPr>
            <w:tcW w:w="699" w:type="pct"/>
            <w:tcBorders>
              <w:top w:val="nil"/>
              <w:left w:val="nil"/>
              <w:bottom w:val="single" w:sz="2" w:space="0" w:color="auto"/>
              <w:right w:val="nil"/>
            </w:tcBorders>
            <w:shd w:val="clear" w:color="auto" w:fill="auto"/>
            <w:noWrap/>
            <w:vAlign w:val="center"/>
          </w:tcPr>
          <w:p w14:paraId="3C275596"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0.003</w:t>
            </w:r>
          </w:p>
        </w:tc>
        <w:tc>
          <w:tcPr>
            <w:tcW w:w="699" w:type="pct"/>
            <w:tcBorders>
              <w:top w:val="nil"/>
              <w:left w:val="nil"/>
              <w:bottom w:val="single" w:sz="2" w:space="0" w:color="auto"/>
              <w:right w:val="nil"/>
            </w:tcBorders>
            <w:shd w:val="clear" w:color="auto" w:fill="auto"/>
            <w:noWrap/>
            <w:vAlign w:val="center"/>
          </w:tcPr>
          <w:p w14:paraId="4C0B23DF"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0.003</w:t>
            </w:r>
          </w:p>
        </w:tc>
        <w:tc>
          <w:tcPr>
            <w:tcW w:w="699" w:type="pct"/>
            <w:tcBorders>
              <w:top w:val="nil"/>
              <w:left w:val="nil"/>
              <w:bottom w:val="single" w:sz="2" w:space="0" w:color="auto"/>
              <w:right w:val="nil"/>
            </w:tcBorders>
            <w:shd w:val="clear" w:color="auto" w:fill="auto"/>
            <w:noWrap/>
            <w:vAlign w:val="center"/>
          </w:tcPr>
          <w:p w14:paraId="626C0DAF"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0.8616</w:t>
            </w:r>
          </w:p>
        </w:tc>
        <w:tc>
          <w:tcPr>
            <w:tcW w:w="698" w:type="pct"/>
            <w:tcBorders>
              <w:left w:val="nil"/>
              <w:bottom w:val="single" w:sz="2" w:space="0" w:color="auto"/>
              <w:right w:val="nil"/>
            </w:tcBorders>
            <w:shd w:val="clear" w:color="auto" w:fill="auto"/>
            <w:noWrap/>
            <w:vAlign w:val="center"/>
          </w:tcPr>
          <w:p w14:paraId="6655CD16" w14:textId="77777777" w:rsidR="00683AAF" w:rsidRPr="00683AAF" w:rsidRDefault="00683AAF" w:rsidP="00683AAF">
            <w:pPr>
              <w:spacing w:after="0" w:line="240" w:lineRule="auto"/>
              <w:jc w:val="right"/>
              <w:rPr>
                <w:rFonts w:ascii="Times New Roman" w:eastAsia="Times New Roman" w:hAnsi="Times New Roman" w:cs="Times New Roman"/>
                <w:color w:val="000000"/>
                <w:lang w:eastAsia="de-DE"/>
              </w:rPr>
            </w:pPr>
            <w:r w:rsidRPr="00683AAF">
              <w:rPr>
                <w:rFonts w:ascii="Times New Roman" w:eastAsia="Times New Roman" w:hAnsi="Times New Roman" w:cs="Times New Roman"/>
                <w:color w:val="000000"/>
                <w:lang w:eastAsia="de-DE"/>
              </w:rPr>
              <w:t>0.357</w:t>
            </w:r>
          </w:p>
        </w:tc>
      </w:tr>
    </w:tbl>
    <w:p w14:paraId="6E99DB7E" w14:textId="77777777" w:rsidR="0084119D" w:rsidRDefault="0084119D">
      <w:pP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br w:type="page"/>
      </w:r>
    </w:p>
    <w:p w14:paraId="6E74F44D" w14:textId="77777777" w:rsidR="00E057C4" w:rsidRPr="00212F76" w:rsidRDefault="005A5BFB" w:rsidP="00E057C4">
      <w:pPr>
        <w:spacing w:line="240" w:lineRule="auto"/>
        <w:jc w:val="both"/>
        <w:rPr>
          <w:rFonts w:ascii="Times New Roman" w:eastAsia="Times New Roman" w:hAnsi="Times New Roman" w:cs="Times New Roman"/>
          <w:sz w:val="24"/>
          <w:szCs w:val="24"/>
          <w:lang w:val="en-US"/>
        </w:rPr>
      </w:pPr>
      <w:r w:rsidRPr="005A5BFB">
        <w:rPr>
          <w:rFonts w:ascii="Times New Roman" w:eastAsia="Times New Roman" w:hAnsi="Times New Roman" w:cs="Times New Roman"/>
          <w:b/>
          <w:sz w:val="24"/>
          <w:lang w:val="en-US"/>
        </w:rPr>
        <w:lastRenderedPageBreak/>
        <w:t>Supplementary Table S</w:t>
      </w:r>
      <w:r w:rsidR="0084119D">
        <w:rPr>
          <w:rFonts w:ascii="Times New Roman" w:eastAsia="Times New Roman" w:hAnsi="Times New Roman" w:cs="Times New Roman"/>
          <w:b/>
          <w:sz w:val="24"/>
          <w:lang w:val="en-US"/>
        </w:rPr>
        <w:t>2</w:t>
      </w:r>
      <w:r w:rsidRPr="005A5BFB">
        <w:rPr>
          <w:rFonts w:ascii="Times New Roman" w:eastAsia="Times New Roman" w:hAnsi="Times New Roman" w:cs="Times New Roman"/>
          <w:b/>
          <w:sz w:val="24"/>
          <w:lang w:val="en-US"/>
        </w:rPr>
        <w:t>: Summary of ANOVA</w:t>
      </w:r>
      <w:r>
        <w:rPr>
          <w:rFonts w:ascii="Times New Roman" w:eastAsia="Times New Roman" w:hAnsi="Times New Roman" w:cs="Times New Roman"/>
          <w:b/>
          <w:sz w:val="24"/>
          <w:lang w:val="en-US"/>
        </w:rPr>
        <w:t xml:space="preserve"> with type 1 sum-of-squares</w:t>
      </w:r>
      <w:r w:rsidRPr="005A5BFB">
        <w:rPr>
          <w:rFonts w:ascii="Times New Roman" w:eastAsia="Times New Roman" w:hAnsi="Times New Roman" w:cs="Times New Roman"/>
          <w:b/>
          <w:sz w:val="24"/>
          <w:lang w:val="en-US"/>
        </w:rPr>
        <w:t xml:space="preserve"> results for fungal diversity and relative abundance of guilds.</w:t>
      </w:r>
      <w:r>
        <w:rPr>
          <w:rFonts w:ascii="Times New Roman" w:eastAsia="Times New Roman" w:hAnsi="Times New Roman" w:cs="Times New Roman"/>
          <w:b/>
          <w:sz w:val="24"/>
          <w:lang w:val="en-US"/>
        </w:rPr>
        <w:t xml:space="preserve"> </w:t>
      </w:r>
      <w:r w:rsidR="00E057C4" w:rsidRPr="00212F76">
        <w:rPr>
          <w:rFonts w:ascii="Times New Roman" w:eastAsia="Times New Roman" w:hAnsi="Times New Roman" w:cs="Times New Roman"/>
          <w:sz w:val="24"/>
          <w:szCs w:val="24"/>
          <w:lang w:val="en-US"/>
        </w:rPr>
        <w:t xml:space="preserve">The scores of each plant community </w:t>
      </w:r>
      <w:r w:rsidR="00E057C4">
        <w:rPr>
          <w:rFonts w:ascii="Times New Roman" w:eastAsia="Times New Roman" w:hAnsi="Times New Roman" w:cs="Times New Roman"/>
          <w:sz w:val="24"/>
          <w:szCs w:val="24"/>
          <w:lang w:val="en-US"/>
        </w:rPr>
        <w:t xml:space="preserve">(n = 73) </w:t>
      </w:r>
      <w:r w:rsidR="00E057C4" w:rsidRPr="00212F76">
        <w:rPr>
          <w:rFonts w:ascii="Times New Roman" w:eastAsia="Times New Roman" w:hAnsi="Times New Roman" w:cs="Times New Roman"/>
          <w:sz w:val="24"/>
          <w:szCs w:val="24"/>
          <w:lang w:val="en-US"/>
        </w:rPr>
        <w:t>along the first and second rotated axis in the root trait PCA were extracted and used as fixed effect in the model. Experimental block was included as a random effect to account for spatial effects in the field site. AMF,</w:t>
      </w:r>
      <w:r w:rsidR="00E057C4" w:rsidRPr="00212F76">
        <w:rPr>
          <w:rFonts w:ascii="Times New Roman" w:hAnsi="Times New Roman" w:cs="Times New Roman"/>
          <w:sz w:val="24"/>
          <w:szCs w:val="24"/>
          <w:lang w:val="en-US"/>
        </w:rPr>
        <w:t xml:space="preserve"> arbuscular mycorrhizal fungi; </w:t>
      </w:r>
      <w:proofErr w:type="spellStart"/>
      <w:r w:rsidR="00E057C4">
        <w:rPr>
          <w:rFonts w:ascii="Times New Roman" w:eastAsia="Times New Roman" w:hAnsi="Times New Roman" w:cs="Times New Roman"/>
          <w:sz w:val="24"/>
          <w:szCs w:val="24"/>
          <w:lang w:val="en-US"/>
        </w:rPr>
        <w:t>df</w:t>
      </w:r>
      <w:r w:rsidR="00E057C4" w:rsidRPr="00BA6B7B">
        <w:rPr>
          <w:rFonts w:ascii="Times New Roman" w:eastAsia="Times New Roman" w:hAnsi="Times New Roman" w:cs="Times New Roman"/>
          <w:sz w:val="24"/>
          <w:szCs w:val="24"/>
          <w:vertAlign w:val="subscript"/>
          <w:lang w:val="en-US"/>
        </w:rPr>
        <w:t>error</w:t>
      </w:r>
      <w:proofErr w:type="spellEnd"/>
      <w:r w:rsidR="00E057C4">
        <w:rPr>
          <w:rFonts w:ascii="Times New Roman" w:hAnsi="Times New Roman" w:cs="Times New Roman"/>
          <w:sz w:val="24"/>
          <w:szCs w:val="24"/>
          <w:lang w:val="en-US"/>
        </w:rPr>
        <w:t xml:space="preserve">, error degrees of freedom; </w:t>
      </w:r>
      <w:r w:rsidR="00E057C4" w:rsidRPr="00212F76">
        <w:rPr>
          <w:rFonts w:ascii="Times New Roman" w:hAnsi="Times New Roman" w:cs="Times New Roman"/>
          <w:sz w:val="24"/>
          <w:szCs w:val="24"/>
          <w:lang w:val="en-US"/>
        </w:rPr>
        <w:t>SE, standard error.</w:t>
      </w:r>
    </w:p>
    <w:tbl>
      <w:tblPr>
        <w:tblW w:w="9565" w:type="dxa"/>
        <w:tblLayout w:type="fixed"/>
        <w:tblCellMar>
          <w:left w:w="70" w:type="dxa"/>
          <w:right w:w="70" w:type="dxa"/>
        </w:tblCellMar>
        <w:tblLook w:val="04A0" w:firstRow="1" w:lastRow="0" w:firstColumn="1" w:lastColumn="0" w:noHBand="0" w:noVBand="1"/>
      </w:tblPr>
      <w:tblGrid>
        <w:gridCol w:w="1276"/>
        <w:gridCol w:w="1559"/>
        <w:gridCol w:w="3544"/>
        <w:gridCol w:w="796"/>
        <w:gridCol w:w="796"/>
        <w:gridCol w:w="797"/>
        <w:gridCol w:w="797"/>
      </w:tblGrid>
      <w:tr w:rsidR="00D623AB" w:rsidRPr="00212F76" w14:paraId="19C976C4" w14:textId="77777777" w:rsidTr="7D2DA67B">
        <w:trPr>
          <w:trHeight w:val="288"/>
        </w:trPr>
        <w:tc>
          <w:tcPr>
            <w:tcW w:w="1276" w:type="dxa"/>
            <w:tcBorders>
              <w:top w:val="single" w:sz="4" w:space="0" w:color="auto"/>
              <w:left w:val="nil"/>
              <w:bottom w:val="single" w:sz="4" w:space="0" w:color="auto"/>
              <w:right w:val="nil"/>
            </w:tcBorders>
            <w:shd w:val="clear" w:color="auto" w:fill="auto"/>
            <w:noWrap/>
            <w:hideMark/>
          </w:tcPr>
          <w:p w14:paraId="028F453F" w14:textId="5405DCCE" w:rsidR="00D623AB" w:rsidRPr="00030D49" w:rsidRDefault="00D623AB" w:rsidP="002A6238">
            <w:pPr>
              <w:spacing w:after="0" w:line="240" w:lineRule="auto"/>
              <w:rPr>
                <w:rFonts w:ascii="Times New Roman" w:eastAsia="Times New Roman" w:hAnsi="Times New Roman" w:cs="Times New Roman"/>
                <w:b/>
                <w:color w:val="000000"/>
                <w:lang w:val="en-US"/>
              </w:rPr>
            </w:pPr>
            <w:r w:rsidRPr="00030D49">
              <w:rPr>
                <w:rFonts w:ascii="Times New Roman" w:eastAsia="Times New Roman" w:hAnsi="Times New Roman" w:cs="Times New Roman"/>
                <w:b/>
                <w:color w:val="000000"/>
                <w:lang w:val="en-US"/>
              </w:rPr>
              <w:t>Response</w:t>
            </w:r>
          </w:p>
        </w:tc>
        <w:tc>
          <w:tcPr>
            <w:tcW w:w="1559" w:type="dxa"/>
            <w:tcBorders>
              <w:top w:val="single" w:sz="4" w:space="0" w:color="auto"/>
              <w:left w:val="nil"/>
              <w:bottom w:val="single" w:sz="4" w:space="0" w:color="auto"/>
              <w:right w:val="nil"/>
            </w:tcBorders>
            <w:shd w:val="clear" w:color="auto" w:fill="auto"/>
            <w:noWrap/>
            <w:hideMark/>
          </w:tcPr>
          <w:p w14:paraId="4D6029C0" w14:textId="77777777" w:rsidR="00D623AB" w:rsidRPr="00030D49" w:rsidRDefault="00D623AB" w:rsidP="002A6238">
            <w:pPr>
              <w:spacing w:after="0" w:line="240" w:lineRule="auto"/>
              <w:rPr>
                <w:rFonts w:ascii="Times New Roman" w:eastAsia="Times New Roman" w:hAnsi="Times New Roman" w:cs="Times New Roman"/>
                <w:b/>
                <w:color w:val="000000"/>
                <w:lang w:val="en-US"/>
              </w:rPr>
            </w:pPr>
            <w:r w:rsidRPr="00030D49">
              <w:rPr>
                <w:rFonts w:ascii="Times New Roman" w:eastAsia="Times New Roman" w:hAnsi="Times New Roman" w:cs="Times New Roman"/>
                <w:b/>
                <w:color w:val="000000"/>
                <w:lang w:val="en-US"/>
              </w:rPr>
              <w:t>Guild</w:t>
            </w:r>
          </w:p>
        </w:tc>
        <w:tc>
          <w:tcPr>
            <w:tcW w:w="3544" w:type="dxa"/>
            <w:tcBorders>
              <w:top w:val="single" w:sz="4" w:space="0" w:color="auto"/>
              <w:left w:val="nil"/>
              <w:bottom w:val="single" w:sz="4" w:space="0" w:color="auto"/>
              <w:right w:val="nil"/>
            </w:tcBorders>
            <w:shd w:val="clear" w:color="auto" w:fill="auto"/>
            <w:noWrap/>
            <w:hideMark/>
          </w:tcPr>
          <w:p w14:paraId="7D2E7680" w14:textId="77777777" w:rsidR="00D623AB" w:rsidRPr="00030D49" w:rsidRDefault="00D623AB" w:rsidP="002A6238">
            <w:pPr>
              <w:spacing w:after="0" w:line="240" w:lineRule="auto"/>
              <w:rPr>
                <w:rFonts w:ascii="Times New Roman" w:eastAsia="Times New Roman" w:hAnsi="Times New Roman" w:cs="Times New Roman"/>
                <w:b/>
                <w:color w:val="000000"/>
                <w:lang w:val="en-US"/>
              </w:rPr>
            </w:pPr>
            <w:r w:rsidRPr="00030D49">
              <w:rPr>
                <w:rFonts w:ascii="Times New Roman" w:eastAsia="Times New Roman" w:hAnsi="Times New Roman" w:cs="Times New Roman"/>
                <w:b/>
                <w:color w:val="000000"/>
                <w:lang w:val="en-US"/>
              </w:rPr>
              <w:t>Predictor</w:t>
            </w:r>
          </w:p>
        </w:tc>
        <w:tc>
          <w:tcPr>
            <w:tcW w:w="796" w:type="dxa"/>
            <w:tcBorders>
              <w:top w:val="single" w:sz="4" w:space="0" w:color="auto"/>
              <w:left w:val="nil"/>
              <w:bottom w:val="single" w:sz="4" w:space="0" w:color="auto"/>
              <w:right w:val="nil"/>
            </w:tcBorders>
          </w:tcPr>
          <w:p w14:paraId="7A8515D7" w14:textId="77777777" w:rsidR="00D623AB" w:rsidRPr="00030D49" w:rsidRDefault="00D623AB" w:rsidP="00727494">
            <w:pPr>
              <w:spacing w:after="0" w:line="240" w:lineRule="auto"/>
              <w:jc w:val="center"/>
              <w:rPr>
                <w:rFonts w:ascii="Times New Roman" w:eastAsia="Times New Roman" w:hAnsi="Times New Roman" w:cs="Times New Roman"/>
                <w:b/>
                <w:color w:val="000000"/>
                <w:lang w:val="en-US"/>
              </w:rPr>
            </w:pPr>
            <w:proofErr w:type="spellStart"/>
            <w:r w:rsidRPr="00030D49">
              <w:rPr>
                <w:rFonts w:ascii="Times New Roman" w:eastAsia="Times New Roman" w:hAnsi="Times New Roman" w:cs="Times New Roman"/>
                <w:b/>
                <w:color w:val="000000"/>
                <w:lang w:val="en-US"/>
              </w:rPr>
              <w:t>df</w:t>
            </w:r>
            <w:proofErr w:type="spellEnd"/>
          </w:p>
        </w:tc>
        <w:tc>
          <w:tcPr>
            <w:tcW w:w="796" w:type="dxa"/>
            <w:tcBorders>
              <w:top w:val="single" w:sz="4" w:space="0" w:color="auto"/>
              <w:left w:val="nil"/>
              <w:bottom w:val="single" w:sz="4" w:space="0" w:color="auto"/>
              <w:right w:val="nil"/>
            </w:tcBorders>
            <w:shd w:val="clear" w:color="auto" w:fill="auto"/>
            <w:noWrap/>
            <w:vAlign w:val="center"/>
            <w:hideMark/>
          </w:tcPr>
          <w:p w14:paraId="5EA3D75C" w14:textId="77777777" w:rsidR="00D623AB" w:rsidRPr="00030D49" w:rsidRDefault="00D623AB" w:rsidP="00727494">
            <w:pPr>
              <w:spacing w:after="0" w:line="240" w:lineRule="auto"/>
              <w:jc w:val="center"/>
              <w:rPr>
                <w:rFonts w:ascii="Times New Roman" w:eastAsia="Times New Roman" w:hAnsi="Times New Roman" w:cs="Times New Roman"/>
                <w:b/>
                <w:color w:val="000000"/>
                <w:lang w:val="en-US"/>
              </w:rPr>
            </w:pPr>
            <w:proofErr w:type="spellStart"/>
            <w:r w:rsidRPr="00030D49">
              <w:rPr>
                <w:rFonts w:ascii="Times New Roman" w:eastAsia="Times New Roman" w:hAnsi="Times New Roman" w:cs="Times New Roman"/>
                <w:b/>
                <w:color w:val="000000"/>
                <w:lang w:val="en-US"/>
              </w:rPr>
              <w:t>df</w:t>
            </w:r>
            <w:r w:rsidRPr="00030D49">
              <w:rPr>
                <w:rFonts w:ascii="Times New Roman" w:eastAsia="Times New Roman" w:hAnsi="Times New Roman" w:cs="Times New Roman"/>
                <w:b/>
                <w:color w:val="000000"/>
                <w:vertAlign w:val="subscript"/>
                <w:lang w:val="en-US"/>
              </w:rPr>
              <w:t>error</w:t>
            </w:r>
            <w:proofErr w:type="spellEnd"/>
          </w:p>
        </w:tc>
        <w:tc>
          <w:tcPr>
            <w:tcW w:w="797" w:type="dxa"/>
            <w:tcBorders>
              <w:top w:val="single" w:sz="4" w:space="0" w:color="auto"/>
              <w:left w:val="nil"/>
              <w:bottom w:val="single" w:sz="4" w:space="0" w:color="auto"/>
              <w:right w:val="nil"/>
            </w:tcBorders>
            <w:shd w:val="clear" w:color="auto" w:fill="auto"/>
            <w:noWrap/>
            <w:vAlign w:val="center"/>
            <w:hideMark/>
          </w:tcPr>
          <w:p w14:paraId="4E89C0CF" w14:textId="77777777" w:rsidR="00D623AB" w:rsidRPr="00030D49" w:rsidRDefault="00D623AB" w:rsidP="00727494">
            <w:pPr>
              <w:spacing w:after="0" w:line="240" w:lineRule="auto"/>
              <w:jc w:val="center"/>
              <w:rPr>
                <w:rFonts w:ascii="Times New Roman" w:eastAsia="Times New Roman" w:hAnsi="Times New Roman" w:cs="Times New Roman"/>
                <w:b/>
                <w:i/>
                <w:color w:val="000000"/>
                <w:lang w:val="en-US"/>
              </w:rPr>
            </w:pPr>
            <w:r w:rsidRPr="00030D49">
              <w:rPr>
                <w:rFonts w:ascii="Times New Roman" w:eastAsia="Times New Roman" w:hAnsi="Times New Roman" w:cs="Times New Roman"/>
                <w:b/>
                <w:i/>
                <w:color w:val="000000"/>
                <w:lang w:val="en-US"/>
              </w:rPr>
              <w:t>F</w:t>
            </w:r>
          </w:p>
        </w:tc>
        <w:tc>
          <w:tcPr>
            <w:tcW w:w="797" w:type="dxa"/>
            <w:tcBorders>
              <w:top w:val="single" w:sz="4" w:space="0" w:color="auto"/>
              <w:left w:val="nil"/>
              <w:bottom w:val="single" w:sz="4" w:space="0" w:color="auto"/>
              <w:right w:val="nil"/>
            </w:tcBorders>
            <w:shd w:val="clear" w:color="auto" w:fill="auto"/>
            <w:noWrap/>
            <w:vAlign w:val="center"/>
            <w:hideMark/>
          </w:tcPr>
          <w:p w14:paraId="15B69D9E" w14:textId="77777777" w:rsidR="00D623AB" w:rsidRPr="00030D49" w:rsidRDefault="00D623AB" w:rsidP="00727494">
            <w:pPr>
              <w:spacing w:after="0" w:line="240" w:lineRule="auto"/>
              <w:jc w:val="center"/>
              <w:rPr>
                <w:rFonts w:ascii="Times New Roman" w:eastAsia="Times New Roman" w:hAnsi="Times New Roman" w:cs="Times New Roman"/>
                <w:b/>
                <w:i/>
                <w:color w:val="000000"/>
                <w:lang w:val="en-US"/>
              </w:rPr>
            </w:pPr>
            <w:r w:rsidRPr="00030D49">
              <w:rPr>
                <w:rFonts w:ascii="Times New Roman" w:eastAsia="Times New Roman" w:hAnsi="Times New Roman" w:cs="Times New Roman"/>
                <w:b/>
                <w:i/>
                <w:color w:val="000000"/>
                <w:lang w:val="en-US"/>
              </w:rPr>
              <w:t>p</w:t>
            </w:r>
          </w:p>
        </w:tc>
      </w:tr>
      <w:tr w:rsidR="0055328A" w:rsidRPr="00212F76" w14:paraId="6455BF86" w14:textId="77777777" w:rsidTr="0055328A">
        <w:trPr>
          <w:trHeight w:val="397"/>
        </w:trPr>
        <w:tc>
          <w:tcPr>
            <w:tcW w:w="1276" w:type="dxa"/>
            <w:vMerge w:val="restart"/>
            <w:tcBorders>
              <w:top w:val="single" w:sz="4" w:space="0" w:color="auto"/>
              <w:left w:val="nil"/>
              <w:right w:val="nil"/>
            </w:tcBorders>
            <w:shd w:val="clear" w:color="auto" w:fill="auto"/>
            <w:noWrap/>
            <w:hideMark/>
          </w:tcPr>
          <w:p w14:paraId="60DDF1CD" w14:textId="77777777"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Shannon diversity</w:t>
            </w:r>
          </w:p>
        </w:tc>
        <w:tc>
          <w:tcPr>
            <w:tcW w:w="1559" w:type="dxa"/>
            <w:vMerge w:val="restart"/>
            <w:tcBorders>
              <w:top w:val="single" w:sz="4" w:space="0" w:color="auto"/>
              <w:left w:val="nil"/>
              <w:bottom w:val="single" w:sz="4" w:space="0" w:color="auto"/>
              <w:right w:val="nil"/>
            </w:tcBorders>
            <w:shd w:val="clear" w:color="auto" w:fill="auto"/>
            <w:noWrap/>
            <w:hideMark/>
          </w:tcPr>
          <w:p w14:paraId="3D9232F2" w14:textId="77777777"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Saprotrophs</w:t>
            </w:r>
          </w:p>
        </w:tc>
        <w:tc>
          <w:tcPr>
            <w:tcW w:w="3544" w:type="dxa"/>
            <w:tcBorders>
              <w:top w:val="single" w:sz="4" w:space="0" w:color="auto"/>
              <w:left w:val="nil"/>
              <w:bottom w:val="nil"/>
              <w:right w:val="nil"/>
            </w:tcBorders>
            <w:shd w:val="clear" w:color="auto" w:fill="auto"/>
            <w:noWrap/>
            <w:vAlign w:val="center"/>
            <w:hideMark/>
          </w:tcPr>
          <w:p w14:paraId="2CB92FDA" w14:textId="1E3B9745"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 xml:space="preserve">Plant </w:t>
            </w:r>
            <w:r>
              <w:rPr>
                <w:rFonts w:ascii="Times New Roman" w:eastAsia="Times New Roman" w:hAnsi="Times New Roman" w:cs="Times New Roman"/>
                <w:color w:val="000000"/>
                <w:lang w:val="en-US"/>
              </w:rPr>
              <w:t>species richness</w:t>
            </w:r>
            <w:r w:rsidRPr="002A6238">
              <w:rPr>
                <w:rFonts w:ascii="Times New Roman" w:eastAsia="Times New Roman" w:hAnsi="Times New Roman" w:cs="Times New Roman"/>
                <w:color w:val="000000"/>
                <w:lang w:val="en-US"/>
              </w:rPr>
              <w:t xml:space="preserve"> (log)</w:t>
            </w:r>
          </w:p>
        </w:tc>
        <w:tc>
          <w:tcPr>
            <w:tcW w:w="796" w:type="dxa"/>
            <w:tcBorders>
              <w:top w:val="nil"/>
              <w:left w:val="nil"/>
              <w:bottom w:val="nil"/>
              <w:right w:val="nil"/>
            </w:tcBorders>
            <w:shd w:val="clear" w:color="auto" w:fill="auto"/>
            <w:vAlign w:val="center"/>
          </w:tcPr>
          <w:p w14:paraId="576D920A"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bottom w:val="nil"/>
              <w:right w:val="nil"/>
            </w:tcBorders>
            <w:shd w:val="clear" w:color="auto" w:fill="auto"/>
            <w:noWrap/>
            <w:vAlign w:val="center"/>
          </w:tcPr>
          <w:p w14:paraId="21886D4A" w14:textId="503EB115"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66.615</w:t>
            </w:r>
          </w:p>
        </w:tc>
        <w:tc>
          <w:tcPr>
            <w:tcW w:w="797" w:type="dxa"/>
            <w:tcBorders>
              <w:top w:val="nil"/>
              <w:left w:val="nil"/>
              <w:bottom w:val="nil"/>
              <w:right w:val="nil"/>
            </w:tcBorders>
            <w:shd w:val="clear" w:color="auto" w:fill="auto"/>
            <w:noWrap/>
            <w:vAlign w:val="center"/>
          </w:tcPr>
          <w:p w14:paraId="09D579B1" w14:textId="2BFB833F"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11.589</w:t>
            </w:r>
          </w:p>
        </w:tc>
        <w:tc>
          <w:tcPr>
            <w:tcW w:w="797" w:type="dxa"/>
            <w:tcBorders>
              <w:top w:val="nil"/>
              <w:left w:val="nil"/>
              <w:bottom w:val="nil"/>
              <w:right w:val="nil"/>
            </w:tcBorders>
            <w:shd w:val="clear" w:color="auto" w:fill="auto"/>
            <w:noWrap/>
            <w:vAlign w:val="center"/>
          </w:tcPr>
          <w:p w14:paraId="5DAA2B8E" w14:textId="3304958F" w:rsidR="0055328A" w:rsidRPr="0055328A" w:rsidRDefault="0055328A" w:rsidP="0055328A">
            <w:pPr>
              <w:spacing w:after="0" w:line="240" w:lineRule="auto"/>
              <w:jc w:val="right"/>
              <w:rPr>
                <w:rFonts w:ascii="Times New Roman" w:eastAsia="Times New Roman" w:hAnsi="Times New Roman" w:cs="Times New Roman"/>
                <w:b/>
                <w:color w:val="000000"/>
                <w:lang w:eastAsia="de-DE"/>
              </w:rPr>
            </w:pPr>
            <w:r w:rsidRPr="0055328A">
              <w:rPr>
                <w:rFonts w:ascii="Times New Roman" w:eastAsia="Times New Roman" w:hAnsi="Times New Roman" w:cs="Times New Roman"/>
                <w:b/>
                <w:color w:val="000000"/>
                <w:lang w:eastAsia="de-DE"/>
              </w:rPr>
              <w:t>0.001</w:t>
            </w:r>
          </w:p>
        </w:tc>
      </w:tr>
      <w:tr w:rsidR="0055328A" w:rsidRPr="00212F76" w14:paraId="56DEFB66" w14:textId="77777777" w:rsidTr="0055328A">
        <w:trPr>
          <w:trHeight w:val="397"/>
        </w:trPr>
        <w:tc>
          <w:tcPr>
            <w:tcW w:w="1276" w:type="dxa"/>
            <w:vMerge/>
            <w:noWrap/>
            <w:hideMark/>
          </w:tcPr>
          <w:p w14:paraId="48A168D2"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noWrap/>
          </w:tcPr>
          <w:p w14:paraId="733F24C4"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right w:val="nil"/>
            </w:tcBorders>
            <w:shd w:val="clear" w:color="auto" w:fill="auto"/>
            <w:noWrap/>
            <w:vAlign w:val="center"/>
            <w:hideMark/>
          </w:tcPr>
          <w:p w14:paraId="5872634B"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Collaboration gradient (</w:t>
            </w:r>
            <w:r>
              <w:rPr>
                <w:rFonts w:ascii="Times New Roman" w:eastAsia="Times New Roman" w:hAnsi="Times New Roman" w:cs="Times New Roman"/>
                <w:color w:val="000000"/>
                <w:lang w:val="en-US"/>
              </w:rPr>
              <w:t>‘o</w:t>
            </w:r>
            <w:r w:rsidRPr="00212F76">
              <w:rPr>
                <w:rFonts w:ascii="Times New Roman" w:eastAsia="Times New Roman" w:hAnsi="Times New Roman" w:cs="Times New Roman"/>
                <w:color w:val="000000"/>
                <w:lang w:val="en-US"/>
              </w:rPr>
              <w:t>utsourcing</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right w:val="nil"/>
            </w:tcBorders>
            <w:shd w:val="clear" w:color="auto" w:fill="auto"/>
            <w:vAlign w:val="center"/>
          </w:tcPr>
          <w:p w14:paraId="37582A42"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right w:val="nil"/>
            </w:tcBorders>
            <w:shd w:val="clear" w:color="auto" w:fill="auto"/>
            <w:noWrap/>
            <w:vAlign w:val="center"/>
          </w:tcPr>
          <w:p w14:paraId="4C5A0309" w14:textId="26BD7656"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68.995</w:t>
            </w:r>
          </w:p>
        </w:tc>
        <w:tc>
          <w:tcPr>
            <w:tcW w:w="797" w:type="dxa"/>
            <w:tcBorders>
              <w:top w:val="nil"/>
              <w:left w:val="nil"/>
              <w:right w:val="nil"/>
            </w:tcBorders>
            <w:shd w:val="clear" w:color="auto" w:fill="auto"/>
            <w:noWrap/>
            <w:vAlign w:val="center"/>
          </w:tcPr>
          <w:p w14:paraId="3433610A" w14:textId="1674B30D"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0.013</w:t>
            </w:r>
          </w:p>
        </w:tc>
        <w:tc>
          <w:tcPr>
            <w:tcW w:w="797" w:type="dxa"/>
            <w:tcBorders>
              <w:top w:val="nil"/>
              <w:left w:val="nil"/>
              <w:right w:val="nil"/>
            </w:tcBorders>
            <w:shd w:val="clear" w:color="auto" w:fill="auto"/>
            <w:noWrap/>
            <w:vAlign w:val="center"/>
          </w:tcPr>
          <w:p w14:paraId="321E7E45" w14:textId="73B844DA"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0.908</w:t>
            </w:r>
          </w:p>
        </w:tc>
      </w:tr>
      <w:tr w:rsidR="0055328A" w:rsidRPr="00212F76" w14:paraId="5505A833" w14:textId="77777777" w:rsidTr="0055328A">
        <w:trPr>
          <w:trHeight w:val="397"/>
        </w:trPr>
        <w:tc>
          <w:tcPr>
            <w:tcW w:w="1276" w:type="dxa"/>
            <w:vMerge/>
            <w:noWrap/>
            <w:hideMark/>
          </w:tcPr>
          <w:p w14:paraId="435F6C32"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noWrap/>
          </w:tcPr>
          <w:p w14:paraId="3EC68278"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bottom w:val="single" w:sz="2" w:space="0" w:color="auto"/>
              <w:right w:val="nil"/>
            </w:tcBorders>
            <w:shd w:val="clear" w:color="auto" w:fill="auto"/>
            <w:noWrap/>
            <w:vAlign w:val="center"/>
            <w:hideMark/>
          </w:tcPr>
          <w:p w14:paraId="60881A4C"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Conservation gradient (</w:t>
            </w:r>
            <w:r>
              <w:rPr>
                <w:rFonts w:ascii="Times New Roman" w:eastAsia="Times New Roman" w:hAnsi="Times New Roman" w:cs="Times New Roman"/>
                <w:color w:val="000000"/>
                <w:lang w:val="en-US"/>
              </w:rPr>
              <w:t>‘f</w:t>
            </w:r>
            <w:r w:rsidRPr="00212F76">
              <w:rPr>
                <w:rFonts w:ascii="Times New Roman" w:eastAsia="Times New Roman" w:hAnsi="Times New Roman" w:cs="Times New Roman"/>
                <w:color w:val="000000"/>
                <w:lang w:val="en-US"/>
              </w:rPr>
              <w:t>ast</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bottom w:val="single" w:sz="2" w:space="0" w:color="auto"/>
              <w:right w:val="nil"/>
            </w:tcBorders>
            <w:shd w:val="clear" w:color="auto" w:fill="auto"/>
            <w:vAlign w:val="center"/>
          </w:tcPr>
          <w:p w14:paraId="6065B43E"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bottom w:val="single" w:sz="2" w:space="0" w:color="auto"/>
              <w:right w:val="nil"/>
            </w:tcBorders>
            <w:shd w:val="clear" w:color="auto" w:fill="auto"/>
            <w:noWrap/>
            <w:vAlign w:val="center"/>
          </w:tcPr>
          <w:p w14:paraId="38C0982C" w14:textId="607B85E4"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68.798</w:t>
            </w:r>
          </w:p>
        </w:tc>
        <w:tc>
          <w:tcPr>
            <w:tcW w:w="797" w:type="dxa"/>
            <w:tcBorders>
              <w:top w:val="nil"/>
              <w:left w:val="nil"/>
              <w:bottom w:val="single" w:sz="2" w:space="0" w:color="auto"/>
              <w:right w:val="nil"/>
            </w:tcBorders>
            <w:shd w:val="clear" w:color="auto" w:fill="auto"/>
            <w:noWrap/>
            <w:vAlign w:val="center"/>
          </w:tcPr>
          <w:p w14:paraId="4F9AAE2B" w14:textId="25B6F37F"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7.231</w:t>
            </w:r>
          </w:p>
        </w:tc>
        <w:tc>
          <w:tcPr>
            <w:tcW w:w="797" w:type="dxa"/>
            <w:tcBorders>
              <w:top w:val="nil"/>
              <w:left w:val="nil"/>
              <w:bottom w:val="single" w:sz="2" w:space="0" w:color="auto"/>
              <w:right w:val="nil"/>
            </w:tcBorders>
            <w:shd w:val="clear" w:color="auto" w:fill="auto"/>
            <w:noWrap/>
            <w:vAlign w:val="center"/>
          </w:tcPr>
          <w:p w14:paraId="7C188DD2" w14:textId="2C2D5103" w:rsidR="0055328A" w:rsidRPr="0055328A" w:rsidRDefault="0055328A" w:rsidP="0055328A">
            <w:pPr>
              <w:spacing w:after="0" w:line="240" w:lineRule="auto"/>
              <w:jc w:val="right"/>
              <w:rPr>
                <w:rFonts w:ascii="Times New Roman" w:eastAsia="Times New Roman" w:hAnsi="Times New Roman" w:cs="Times New Roman"/>
                <w:b/>
                <w:color w:val="000000"/>
                <w:lang w:eastAsia="de-DE"/>
              </w:rPr>
            </w:pPr>
            <w:r w:rsidRPr="0055328A">
              <w:rPr>
                <w:rFonts w:ascii="Times New Roman" w:eastAsia="Times New Roman" w:hAnsi="Times New Roman" w:cs="Times New Roman"/>
                <w:b/>
                <w:color w:val="000000"/>
                <w:lang w:eastAsia="de-DE"/>
              </w:rPr>
              <w:t>0.009</w:t>
            </w:r>
          </w:p>
        </w:tc>
      </w:tr>
      <w:tr w:rsidR="0055328A" w:rsidRPr="00212F76" w14:paraId="294012A9" w14:textId="77777777" w:rsidTr="0055328A">
        <w:trPr>
          <w:trHeight w:val="397"/>
        </w:trPr>
        <w:tc>
          <w:tcPr>
            <w:tcW w:w="1276" w:type="dxa"/>
            <w:vMerge/>
            <w:noWrap/>
            <w:hideMark/>
          </w:tcPr>
          <w:p w14:paraId="5512908E"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val="restart"/>
            <w:tcBorders>
              <w:top w:val="nil"/>
              <w:left w:val="nil"/>
              <w:bottom w:val="single" w:sz="4" w:space="0" w:color="auto"/>
              <w:right w:val="nil"/>
            </w:tcBorders>
            <w:shd w:val="clear" w:color="auto" w:fill="auto"/>
            <w:noWrap/>
            <w:hideMark/>
          </w:tcPr>
          <w:p w14:paraId="4440843B" w14:textId="77777777" w:rsidR="0055328A" w:rsidRPr="002A6238" w:rsidRDefault="0055328A" w:rsidP="0055328A">
            <w:pPr>
              <w:spacing w:after="0" w:line="240" w:lineRule="auto"/>
              <w:rPr>
                <w:rFonts w:ascii="Times New Roman" w:eastAsia="Times New Roman" w:hAnsi="Times New Roman" w:cs="Times New Roman"/>
                <w:color w:val="000000"/>
                <w:lang w:val="en-US"/>
              </w:rPr>
            </w:pPr>
            <w:r w:rsidRPr="7D2DA67B">
              <w:rPr>
                <w:rFonts w:ascii="Times New Roman" w:eastAsia="Times New Roman" w:hAnsi="Times New Roman" w:cs="Times New Roman"/>
                <w:color w:val="000000" w:themeColor="text1"/>
                <w:lang w:val="en-US"/>
              </w:rPr>
              <w:t xml:space="preserve">Plant </w:t>
            </w:r>
            <w:bookmarkStart w:id="1" w:name="_Int_1g8zl18G"/>
            <w:r w:rsidRPr="7D2DA67B">
              <w:rPr>
                <w:rFonts w:ascii="Times New Roman" w:eastAsia="Times New Roman" w:hAnsi="Times New Roman" w:cs="Times New Roman"/>
                <w:color w:val="000000" w:themeColor="text1"/>
                <w:lang w:val="en-US"/>
              </w:rPr>
              <w:t>pathogens</w:t>
            </w:r>
            <w:bookmarkEnd w:id="1"/>
          </w:p>
        </w:tc>
        <w:tc>
          <w:tcPr>
            <w:tcW w:w="3544" w:type="dxa"/>
            <w:tcBorders>
              <w:top w:val="single" w:sz="2" w:space="0" w:color="auto"/>
              <w:left w:val="nil"/>
              <w:bottom w:val="nil"/>
              <w:right w:val="nil"/>
            </w:tcBorders>
            <w:shd w:val="clear" w:color="auto" w:fill="auto"/>
            <w:noWrap/>
            <w:vAlign w:val="center"/>
            <w:hideMark/>
          </w:tcPr>
          <w:p w14:paraId="7A1DB3CE" w14:textId="4B48E4B8"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 xml:space="preserve">Plant </w:t>
            </w:r>
            <w:r>
              <w:rPr>
                <w:rFonts w:ascii="Times New Roman" w:eastAsia="Times New Roman" w:hAnsi="Times New Roman" w:cs="Times New Roman"/>
                <w:color w:val="000000"/>
                <w:lang w:val="en-US"/>
              </w:rPr>
              <w:t>species richness</w:t>
            </w:r>
            <w:r w:rsidRPr="002A6238">
              <w:rPr>
                <w:rFonts w:ascii="Times New Roman" w:eastAsia="Times New Roman" w:hAnsi="Times New Roman" w:cs="Times New Roman"/>
                <w:color w:val="000000"/>
                <w:lang w:val="en-US"/>
              </w:rPr>
              <w:t xml:space="preserve"> (log)</w:t>
            </w:r>
          </w:p>
        </w:tc>
        <w:tc>
          <w:tcPr>
            <w:tcW w:w="796" w:type="dxa"/>
            <w:tcBorders>
              <w:top w:val="single" w:sz="2" w:space="0" w:color="auto"/>
              <w:left w:val="nil"/>
              <w:bottom w:val="nil"/>
              <w:right w:val="nil"/>
            </w:tcBorders>
            <w:shd w:val="clear" w:color="auto" w:fill="auto"/>
            <w:vAlign w:val="center"/>
          </w:tcPr>
          <w:p w14:paraId="6087E703"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single" w:sz="2" w:space="0" w:color="auto"/>
              <w:left w:val="nil"/>
              <w:bottom w:val="nil"/>
              <w:right w:val="nil"/>
            </w:tcBorders>
            <w:shd w:val="clear" w:color="auto" w:fill="auto"/>
            <w:noWrap/>
            <w:vAlign w:val="center"/>
          </w:tcPr>
          <w:p w14:paraId="58B63D9F" w14:textId="785BD769"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66.236</w:t>
            </w:r>
          </w:p>
        </w:tc>
        <w:tc>
          <w:tcPr>
            <w:tcW w:w="797" w:type="dxa"/>
            <w:tcBorders>
              <w:top w:val="single" w:sz="2" w:space="0" w:color="auto"/>
              <w:left w:val="nil"/>
              <w:bottom w:val="nil"/>
              <w:right w:val="nil"/>
            </w:tcBorders>
            <w:shd w:val="clear" w:color="auto" w:fill="auto"/>
            <w:noWrap/>
            <w:vAlign w:val="center"/>
          </w:tcPr>
          <w:p w14:paraId="6266ED4D" w14:textId="6E0D114D"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0.003</w:t>
            </w:r>
          </w:p>
        </w:tc>
        <w:tc>
          <w:tcPr>
            <w:tcW w:w="797" w:type="dxa"/>
            <w:tcBorders>
              <w:top w:val="single" w:sz="2" w:space="0" w:color="auto"/>
              <w:left w:val="nil"/>
              <w:bottom w:val="nil"/>
              <w:right w:val="nil"/>
            </w:tcBorders>
            <w:shd w:val="clear" w:color="auto" w:fill="auto"/>
            <w:noWrap/>
            <w:vAlign w:val="center"/>
          </w:tcPr>
          <w:p w14:paraId="21AA9C6F" w14:textId="5437CBDF"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0.960</w:t>
            </w:r>
          </w:p>
        </w:tc>
      </w:tr>
      <w:tr w:rsidR="0055328A" w:rsidRPr="00212F76" w14:paraId="3DC1969A" w14:textId="77777777" w:rsidTr="0055328A">
        <w:trPr>
          <w:trHeight w:val="397"/>
        </w:trPr>
        <w:tc>
          <w:tcPr>
            <w:tcW w:w="1276" w:type="dxa"/>
            <w:vMerge/>
            <w:noWrap/>
            <w:hideMark/>
          </w:tcPr>
          <w:p w14:paraId="1A18AA0C"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noWrap/>
          </w:tcPr>
          <w:p w14:paraId="3F40613B"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right w:val="nil"/>
            </w:tcBorders>
            <w:shd w:val="clear" w:color="auto" w:fill="auto"/>
            <w:noWrap/>
            <w:vAlign w:val="center"/>
            <w:hideMark/>
          </w:tcPr>
          <w:p w14:paraId="23DEEA3B"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Collaboration gradient (</w:t>
            </w:r>
            <w:r>
              <w:rPr>
                <w:rFonts w:ascii="Times New Roman" w:eastAsia="Times New Roman" w:hAnsi="Times New Roman" w:cs="Times New Roman"/>
                <w:color w:val="000000"/>
                <w:lang w:val="en-US"/>
              </w:rPr>
              <w:t>‘o</w:t>
            </w:r>
            <w:r w:rsidRPr="00212F76">
              <w:rPr>
                <w:rFonts w:ascii="Times New Roman" w:eastAsia="Times New Roman" w:hAnsi="Times New Roman" w:cs="Times New Roman"/>
                <w:color w:val="000000"/>
                <w:lang w:val="en-US"/>
              </w:rPr>
              <w:t>utsourcing</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right w:val="nil"/>
            </w:tcBorders>
            <w:shd w:val="clear" w:color="auto" w:fill="auto"/>
            <w:vAlign w:val="center"/>
          </w:tcPr>
          <w:p w14:paraId="39CC8C16"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right w:val="nil"/>
            </w:tcBorders>
            <w:shd w:val="clear" w:color="auto" w:fill="auto"/>
            <w:noWrap/>
            <w:vAlign w:val="center"/>
          </w:tcPr>
          <w:p w14:paraId="7726F9BC" w14:textId="1DB08028"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68.542</w:t>
            </w:r>
          </w:p>
        </w:tc>
        <w:tc>
          <w:tcPr>
            <w:tcW w:w="797" w:type="dxa"/>
            <w:tcBorders>
              <w:top w:val="nil"/>
              <w:left w:val="nil"/>
              <w:right w:val="nil"/>
            </w:tcBorders>
            <w:shd w:val="clear" w:color="auto" w:fill="auto"/>
            <w:noWrap/>
            <w:vAlign w:val="center"/>
          </w:tcPr>
          <w:p w14:paraId="2D47A805" w14:textId="5677BB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5.248</w:t>
            </w:r>
          </w:p>
        </w:tc>
        <w:tc>
          <w:tcPr>
            <w:tcW w:w="797" w:type="dxa"/>
            <w:tcBorders>
              <w:top w:val="nil"/>
              <w:left w:val="nil"/>
              <w:right w:val="nil"/>
            </w:tcBorders>
            <w:shd w:val="clear" w:color="auto" w:fill="auto"/>
            <w:noWrap/>
            <w:vAlign w:val="center"/>
          </w:tcPr>
          <w:p w14:paraId="31059212" w14:textId="52AA19EA" w:rsidR="0055328A" w:rsidRPr="0055328A" w:rsidRDefault="0055328A" w:rsidP="0055328A">
            <w:pPr>
              <w:spacing w:after="0" w:line="240" w:lineRule="auto"/>
              <w:jc w:val="right"/>
              <w:rPr>
                <w:rFonts w:ascii="Times New Roman" w:eastAsia="Times New Roman" w:hAnsi="Times New Roman" w:cs="Times New Roman"/>
                <w:b/>
                <w:color w:val="000000"/>
                <w:lang w:eastAsia="de-DE"/>
              </w:rPr>
            </w:pPr>
            <w:r w:rsidRPr="0055328A">
              <w:rPr>
                <w:rFonts w:ascii="Times New Roman" w:eastAsia="Times New Roman" w:hAnsi="Times New Roman" w:cs="Times New Roman"/>
                <w:b/>
                <w:color w:val="000000"/>
                <w:lang w:eastAsia="de-DE"/>
              </w:rPr>
              <w:t>0.025</w:t>
            </w:r>
          </w:p>
        </w:tc>
      </w:tr>
      <w:tr w:rsidR="0055328A" w:rsidRPr="00212F76" w14:paraId="6B7BE0D2" w14:textId="77777777" w:rsidTr="0055328A">
        <w:trPr>
          <w:trHeight w:val="397"/>
        </w:trPr>
        <w:tc>
          <w:tcPr>
            <w:tcW w:w="1276" w:type="dxa"/>
            <w:vMerge/>
            <w:noWrap/>
            <w:hideMark/>
          </w:tcPr>
          <w:p w14:paraId="46BB7886"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noWrap/>
          </w:tcPr>
          <w:p w14:paraId="210B79B5"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bottom w:val="single" w:sz="2" w:space="0" w:color="auto"/>
              <w:right w:val="nil"/>
            </w:tcBorders>
            <w:shd w:val="clear" w:color="auto" w:fill="auto"/>
            <w:noWrap/>
            <w:vAlign w:val="center"/>
            <w:hideMark/>
          </w:tcPr>
          <w:p w14:paraId="5048E41A"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Conservation gradient (</w:t>
            </w:r>
            <w:r>
              <w:rPr>
                <w:rFonts w:ascii="Times New Roman" w:eastAsia="Times New Roman" w:hAnsi="Times New Roman" w:cs="Times New Roman"/>
                <w:color w:val="000000"/>
                <w:lang w:val="en-US"/>
              </w:rPr>
              <w:t>‘f</w:t>
            </w:r>
            <w:r w:rsidRPr="00212F76">
              <w:rPr>
                <w:rFonts w:ascii="Times New Roman" w:eastAsia="Times New Roman" w:hAnsi="Times New Roman" w:cs="Times New Roman"/>
                <w:color w:val="000000"/>
                <w:lang w:val="en-US"/>
              </w:rPr>
              <w:t>ast</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bottom w:val="single" w:sz="2" w:space="0" w:color="auto"/>
              <w:right w:val="nil"/>
            </w:tcBorders>
            <w:shd w:val="clear" w:color="auto" w:fill="auto"/>
            <w:vAlign w:val="center"/>
          </w:tcPr>
          <w:p w14:paraId="1763A100"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bottom w:val="single" w:sz="2" w:space="0" w:color="auto"/>
              <w:right w:val="nil"/>
            </w:tcBorders>
            <w:shd w:val="clear" w:color="auto" w:fill="auto"/>
            <w:noWrap/>
            <w:vAlign w:val="center"/>
          </w:tcPr>
          <w:p w14:paraId="64243186" w14:textId="3DEEDB80"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68.767</w:t>
            </w:r>
          </w:p>
        </w:tc>
        <w:tc>
          <w:tcPr>
            <w:tcW w:w="797" w:type="dxa"/>
            <w:tcBorders>
              <w:top w:val="nil"/>
              <w:left w:val="nil"/>
              <w:bottom w:val="single" w:sz="2" w:space="0" w:color="auto"/>
              <w:right w:val="nil"/>
            </w:tcBorders>
            <w:shd w:val="clear" w:color="auto" w:fill="auto"/>
            <w:noWrap/>
            <w:vAlign w:val="center"/>
          </w:tcPr>
          <w:p w14:paraId="5B8CC82E" w14:textId="148771E2"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6.824</w:t>
            </w:r>
          </w:p>
        </w:tc>
        <w:tc>
          <w:tcPr>
            <w:tcW w:w="797" w:type="dxa"/>
            <w:tcBorders>
              <w:top w:val="nil"/>
              <w:left w:val="nil"/>
              <w:bottom w:val="single" w:sz="2" w:space="0" w:color="auto"/>
              <w:right w:val="nil"/>
            </w:tcBorders>
            <w:shd w:val="clear" w:color="auto" w:fill="auto"/>
            <w:noWrap/>
            <w:vAlign w:val="center"/>
          </w:tcPr>
          <w:p w14:paraId="42E87922" w14:textId="5246CF31" w:rsidR="0055328A" w:rsidRPr="0055328A" w:rsidRDefault="0055328A" w:rsidP="0055328A">
            <w:pPr>
              <w:spacing w:after="0" w:line="240" w:lineRule="auto"/>
              <w:jc w:val="right"/>
              <w:rPr>
                <w:rFonts w:ascii="Times New Roman" w:eastAsia="Times New Roman" w:hAnsi="Times New Roman" w:cs="Times New Roman"/>
                <w:b/>
                <w:color w:val="000000"/>
                <w:lang w:eastAsia="de-DE"/>
              </w:rPr>
            </w:pPr>
            <w:r w:rsidRPr="0055328A">
              <w:rPr>
                <w:rFonts w:ascii="Times New Roman" w:eastAsia="Times New Roman" w:hAnsi="Times New Roman" w:cs="Times New Roman"/>
                <w:b/>
                <w:color w:val="000000"/>
                <w:lang w:eastAsia="de-DE"/>
              </w:rPr>
              <w:t>0.011</w:t>
            </w:r>
          </w:p>
        </w:tc>
      </w:tr>
      <w:tr w:rsidR="0055328A" w:rsidRPr="00212F76" w14:paraId="489A45C8" w14:textId="77777777" w:rsidTr="0055328A">
        <w:trPr>
          <w:trHeight w:val="397"/>
        </w:trPr>
        <w:tc>
          <w:tcPr>
            <w:tcW w:w="1276" w:type="dxa"/>
            <w:vMerge/>
            <w:noWrap/>
            <w:hideMark/>
          </w:tcPr>
          <w:p w14:paraId="0A6CBF78"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val="restart"/>
            <w:tcBorders>
              <w:top w:val="nil"/>
              <w:left w:val="nil"/>
              <w:bottom w:val="single" w:sz="4" w:space="0" w:color="auto"/>
              <w:right w:val="nil"/>
            </w:tcBorders>
            <w:shd w:val="clear" w:color="auto" w:fill="auto"/>
            <w:noWrap/>
            <w:hideMark/>
          </w:tcPr>
          <w:p w14:paraId="08FA16B8" w14:textId="77777777"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AMF</w:t>
            </w:r>
          </w:p>
        </w:tc>
        <w:tc>
          <w:tcPr>
            <w:tcW w:w="3544" w:type="dxa"/>
            <w:tcBorders>
              <w:top w:val="single" w:sz="2" w:space="0" w:color="auto"/>
              <w:left w:val="nil"/>
              <w:bottom w:val="nil"/>
              <w:right w:val="nil"/>
            </w:tcBorders>
            <w:shd w:val="clear" w:color="auto" w:fill="auto"/>
            <w:noWrap/>
            <w:vAlign w:val="center"/>
            <w:hideMark/>
          </w:tcPr>
          <w:p w14:paraId="7D464630" w14:textId="4ABD2F0A"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 xml:space="preserve">Plant </w:t>
            </w:r>
            <w:r>
              <w:rPr>
                <w:rFonts w:ascii="Times New Roman" w:eastAsia="Times New Roman" w:hAnsi="Times New Roman" w:cs="Times New Roman"/>
                <w:color w:val="000000"/>
                <w:lang w:val="en-US"/>
              </w:rPr>
              <w:t>species richness</w:t>
            </w:r>
            <w:r w:rsidRPr="002A6238">
              <w:rPr>
                <w:rFonts w:ascii="Times New Roman" w:eastAsia="Times New Roman" w:hAnsi="Times New Roman" w:cs="Times New Roman"/>
                <w:color w:val="000000"/>
                <w:lang w:val="en-US"/>
              </w:rPr>
              <w:t xml:space="preserve"> (log)</w:t>
            </w:r>
          </w:p>
        </w:tc>
        <w:tc>
          <w:tcPr>
            <w:tcW w:w="796" w:type="dxa"/>
            <w:tcBorders>
              <w:top w:val="single" w:sz="2" w:space="0" w:color="auto"/>
              <w:left w:val="nil"/>
              <w:bottom w:val="nil"/>
              <w:right w:val="nil"/>
            </w:tcBorders>
            <w:shd w:val="clear" w:color="auto" w:fill="auto"/>
            <w:vAlign w:val="center"/>
          </w:tcPr>
          <w:p w14:paraId="0BFFAC3B"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single" w:sz="2" w:space="0" w:color="auto"/>
              <w:left w:val="nil"/>
              <w:bottom w:val="nil"/>
              <w:right w:val="nil"/>
            </w:tcBorders>
            <w:shd w:val="clear" w:color="auto" w:fill="auto"/>
            <w:noWrap/>
            <w:vAlign w:val="center"/>
          </w:tcPr>
          <w:p w14:paraId="6A7F1299" w14:textId="451DD75E"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66.533</w:t>
            </w:r>
          </w:p>
        </w:tc>
        <w:tc>
          <w:tcPr>
            <w:tcW w:w="797" w:type="dxa"/>
            <w:tcBorders>
              <w:top w:val="single" w:sz="2" w:space="0" w:color="auto"/>
              <w:left w:val="nil"/>
              <w:bottom w:val="nil"/>
              <w:right w:val="nil"/>
            </w:tcBorders>
            <w:shd w:val="clear" w:color="auto" w:fill="auto"/>
            <w:noWrap/>
            <w:vAlign w:val="center"/>
          </w:tcPr>
          <w:p w14:paraId="27F95625" w14:textId="27B87365"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2.079</w:t>
            </w:r>
          </w:p>
        </w:tc>
        <w:tc>
          <w:tcPr>
            <w:tcW w:w="797" w:type="dxa"/>
            <w:tcBorders>
              <w:top w:val="single" w:sz="2" w:space="0" w:color="auto"/>
              <w:left w:val="nil"/>
              <w:bottom w:val="nil"/>
              <w:right w:val="nil"/>
            </w:tcBorders>
            <w:shd w:val="clear" w:color="auto" w:fill="auto"/>
            <w:noWrap/>
            <w:vAlign w:val="center"/>
          </w:tcPr>
          <w:p w14:paraId="236A85C3" w14:textId="41D25398"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0.154</w:t>
            </w:r>
          </w:p>
        </w:tc>
      </w:tr>
      <w:tr w:rsidR="0055328A" w:rsidRPr="00212F76" w14:paraId="1BF21B86" w14:textId="77777777" w:rsidTr="0055328A">
        <w:trPr>
          <w:trHeight w:val="397"/>
        </w:trPr>
        <w:tc>
          <w:tcPr>
            <w:tcW w:w="1276" w:type="dxa"/>
            <w:vMerge/>
            <w:noWrap/>
            <w:hideMark/>
          </w:tcPr>
          <w:p w14:paraId="6173EF7B"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noWrap/>
          </w:tcPr>
          <w:p w14:paraId="37B73C1E"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right w:val="nil"/>
            </w:tcBorders>
            <w:shd w:val="clear" w:color="auto" w:fill="auto"/>
            <w:noWrap/>
            <w:vAlign w:val="center"/>
            <w:hideMark/>
          </w:tcPr>
          <w:p w14:paraId="0B8A1D19"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Collaboration gradient (</w:t>
            </w:r>
            <w:r>
              <w:rPr>
                <w:rFonts w:ascii="Times New Roman" w:eastAsia="Times New Roman" w:hAnsi="Times New Roman" w:cs="Times New Roman"/>
                <w:color w:val="000000"/>
                <w:lang w:val="en-US"/>
              </w:rPr>
              <w:t>‘o</w:t>
            </w:r>
            <w:r w:rsidRPr="00212F76">
              <w:rPr>
                <w:rFonts w:ascii="Times New Roman" w:eastAsia="Times New Roman" w:hAnsi="Times New Roman" w:cs="Times New Roman"/>
                <w:color w:val="000000"/>
                <w:lang w:val="en-US"/>
              </w:rPr>
              <w:t>utsourcing</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right w:val="nil"/>
            </w:tcBorders>
            <w:shd w:val="clear" w:color="auto" w:fill="auto"/>
            <w:vAlign w:val="center"/>
          </w:tcPr>
          <w:p w14:paraId="4C8B0586"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right w:val="nil"/>
            </w:tcBorders>
            <w:shd w:val="clear" w:color="auto" w:fill="auto"/>
            <w:noWrap/>
            <w:vAlign w:val="center"/>
          </w:tcPr>
          <w:p w14:paraId="0C5FBD6D" w14:textId="2045BC2C"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67.964</w:t>
            </w:r>
          </w:p>
        </w:tc>
        <w:tc>
          <w:tcPr>
            <w:tcW w:w="797" w:type="dxa"/>
            <w:tcBorders>
              <w:top w:val="nil"/>
              <w:left w:val="nil"/>
              <w:right w:val="nil"/>
            </w:tcBorders>
            <w:shd w:val="clear" w:color="auto" w:fill="auto"/>
            <w:noWrap/>
            <w:vAlign w:val="center"/>
          </w:tcPr>
          <w:p w14:paraId="4FF2A69C" w14:textId="6561F4F1"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7.861</w:t>
            </w:r>
          </w:p>
        </w:tc>
        <w:tc>
          <w:tcPr>
            <w:tcW w:w="797" w:type="dxa"/>
            <w:tcBorders>
              <w:top w:val="nil"/>
              <w:left w:val="nil"/>
              <w:right w:val="nil"/>
            </w:tcBorders>
            <w:shd w:val="clear" w:color="auto" w:fill="auto"/>
            <w:noWrap/>
            <w:vAlign w:val="center"/>
          </w:tcPr>
          <w:p w14:paraId="2AEE885D" w14:textId="3A8A5B3F" w:rsidR="0055328A" w:rsidRPr="0055328A" w:rsidRDefault="0055328A" w:rsidP="0055328A">
            <w:pPr>
              <w:spacing w:after="0" w:line="240" w:lineRule="auto"/>
              <w:jc w:val="right"/>
              <w:rPr>
                <w:rFonts w:ascii="Times New Roman" w:eastAsia="Times New Roman" w:hAnsi="Times New Roman" w:cs="Times New Roman"/>
                <w:b/>
                <w:color w:val="000000"/>
                <w:lang w:eastAsia="de-DE"/>
              </w:rPr>
            </w:pPr>
            <w:r w:rsidRPr="0055328A">
              <w:rPr>
                <w:rFonts w:ascii="Times New Roman" w:eastAsia="Times New Roman" w:hAnsi="Times New Roman" w:cs="Times New Roman"/>
                <w:b/>
                <w:color w:val="000000"/>
                <w:lang w:eastAsia="de-DE"/>
              </w:rPr>
              <w:t>0.007</w:t>
            </w:r>
          </w:p>
        </w:tc>
      </w:tr>
      <w:tr w:rsidR="0055328A" w:rsidRPr="00212F76" w14:paraId="68CE2BB0" w14:textId="77777777" w:rsidTr="0055328A">
        <w:trPr>
          <w:trHeight w:val="397"/>
        </w:trPr>
        <w:tc>
          <w:tcPr>
            <w:tcW w:w="1276" w:type="dxa"/>
            <w:vMerge/>
            <w:tcBorders>
              <w:bottom w:val="single" w:sz="4" w:space="0" w:color="auto"/>
            </w:tcBorders>
            <w:noWrap/>
            <w:hideMark/>
          </w:tcPr>
          <w:p w14:paraId="32169EF3"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noWrap/>
          </w:tcPr>
          <w:p w14:paraId="28DC9DC1"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bottom w:val="single" w:sz="2" w:space="0" w:color="auto"/>
              <w:right w:val="nil"/>
            </w:tcBorders>
            <w:shd w:val="clear" w:color="auto" w:fill="auto"/>
            <w:noWrap/>
            <w:vAlign w:val="center"/>
            <w:hideMark/>
          </w:tcPr>
          <w:p w14:paraId="329CC7E9"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Conservation gradient (</w:t>
            </w:r>
            <w:r>
              <w:rPr>
                <w:rFonts w:ascii="Times New Roman" w:eastAsia="Times New Roman" w:hAnsi="Times New Roman" w:cs="Times New Roman"/>
                <w:color w:val="000000"/>
                <w:lang w:val="en-US"/>
              </w:rPr>
              <w:t>‘f</w:t>
            </w:r>
            <w:r w:rsidRPr="00212F76">
              <w:rPr>
                <w:rFonts w:ascii="Times New Roman" w:eastAsia="Times New Roman" w:hAnsi="Times New Roman" w:cs="Times New Roman"/>
                <w:color w:val="000000"/>
                <w:lang w:val="en-US"/>
              </w:rPr>
              <w:t>ast</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bottom w:val="single" w:sz="2" w:space="0" w:color="auto"/>
              <w:right w:val="nil"/>
            </w:tcBorders>
            <w:shd w:val="clear" w:color="auto" w:fill="auto"/>
            <w:vAlign w:val="center"/>
          </w:tcPr>
          <w:p w14:paraId="43AE0478"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bottom w:val="single" w:sz="2" w:space="0" w:color="auto"/>
              <w:right w:val="nil"/>
            </w:tcBorders>
            <w:shd w:val="clear" w:color="auto" w:fill="auto"/>
            <w:noWrap/>
            <w:vAlign w:val="center"/>
          </w:tcPr>
          <w:p w14:paraId="05EE4CBC" w14:textId="41C90959"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66.026</w:t>
            </w:r>
          </w:p>
        </w:tc>
        <w:tc>
          <w:tcPr>
            <w:tcW w:w="797" w:type="dxa"/>
            <w:tcBorders>
              <w:top w:val="nil"/>
              <w:left w:val="nil"/>
              <w:bottom w:val="single" w:sz="2" w:space="0" w:color="auto"/>
              <w:right w:val="nil"/>
            </w:tcBorders>
            <w:shd w:val="clear" w:color="auto" w:fill="auto"/>
            <w:noWrap/>
            <w:vAlign w:val="center"/>
          </w:tcPr>
          <w:p w14:paraId="2202734F" w14:textId="1DB5C75E"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0.708</w:t>
            </w:r>
          </w:p>
        </w:tc>
        <w:tc>
          <w:tcPr>
            <w:tcW w:w="797" w:type="dxa"/>
            <w:tcBorders>
              <w:top w:val="nil"/>
              <w:left w:val="nil"/>
              <w:bottom w:val="single" w:sz="2" w:space="0" w:color="auto"/>
              <w:right w:val="nil"/>
            </w:tcBorders>
            <w:shd w:val="clear" w:color="auto" w:fill="auto"/>
            <w:noWrap/>
            <w:vAlign w:val="center"/>
          </w:tcPr>
          <w:p w14:paraId="530E5B37" w14:textId="73285871"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0.403</w:t>
            </w:r>
          </w:p>
        </w:tc>
      </w:tr>
      <w:tr w:rsidR="0055328A" w:rsidRPr="00212F76" w14:paraId="650AB75A" w14:textId="77777777" w:rsidTr="0055328A">
        <w:trPr>
          <w:trHeight w:val="397"/>
        </w:trPr>
        <w:tc>
          <w:tcPr>
            <w:tcW w:w="1276" w:type="dxa"/>
            <w:vMerge w:val="restart"/>
            <w:tcBorders>
              <w:top w:val="single" w:sz="4" w:space="0" w:color="auto"/>
              <w:left w:val="nil"/>
              <w:bottom w:val="single" w:sz="4" w:space="0" w:color="auto"/>
              <w:right w:val="nil"/>
            </w:tcBorders>
            <w:shd w:val="clear" w:color="auto" w:fill="auto"/>
            <w:noWrap/>
            <w:hideMark/>
          </w:tcPr>
          <w:p w14:paraId="486EEF8E" w14:textId="77777777"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Relative abundance</w:t>
            </w:r>
          </w:p>
        </w:tc>
        <w:tc>
          <w:tcPr>
            <w:tcW w:w="1559" w:type="dxa"/>
            <w:vMerge w:val="restart"/>
            <w:tcBorders>
              <w:top w:val="single" w:sz="4" w:space="0" w:color="auto"/>
              <w:left w:val="nil"/>
              <w:bottom w:val="single" w:sz="4" w:space="0" w:color="auto"/>
              <w:right w:val="nil"/>
            </w:tcBorders>
            <w:shd w:val="clear" w:color="auto" w:fill="auto"/>
            <w:noWrap/>
            <w:hideMark/>
          </w:tcPr>
          <w:p w14:paraId="62E8F4A6" w14:textId="77777777"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Saprotrophs</w:t>
            </w:r>
          </w:p>
        </w:tc>
        <w:tc>
          <w:tcPr>
            <w:tcW w:w="3544" w:type="dxa"/>
            <w:tcBorders>
              <w:top w:val="single" w:sz="2" w:space="0" w:color="auto"/>
              <w:left w:val="nil"/>
              <w:bottom w:val="nil"/>
              <w:right w:val="nil"/>
            </w:tcBorders>
            <w:shd w:val="clear" w:color="auto" w:fill="auto"/>
            <w:noWrap/>
            <w:vAlign w:val="center"/>
            <w:hideMark/>
          </w:tcPr>
          <w:p w14:paraId="1DFE6AE2" w14:textId="6377306D"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 xml:space="preserve">Plant </w:t>
            </w:r>
            <w:r>
              <w:rPr>
                <w:rFonts w:ascii="Times New Roman" w:eastAsia="Times New Roman" w:hAnsi="Times New Roman" w:cs="Times New Roman"/>
                <w:color w:val="000000"/>
                <w:lang w:val="en-US"/>
              </w:rPr>
              <w:t>species richness</w:t>
            </w:r>
            <w:r w:rsidRPr="002A6238">
              <w:rPr>
                <w:rFonts w:ascii="Times New Roman" w:eastAsia="Times New Roman" w:hAnsi="Times New Roman" w:cs="Times New Roman"/>
                <w:color w:val="000000"/>
                <w:lang w:val="en-US"/>
              </w:rPr>
              <w:t xml:space="preserve"> (log)</w:t>
            </w:r>
          </w:p>
        </w:tc>
        <w:tc>
          <w:tcPr>
            <w:tcW w:w="796" w:type="dxa"/>
            <w:tcBorders>
              <w:top w:val="single" w:sz="2" w:space="0" w:color="auto"/>
              <w:left w:val="nil"/>
              <w:bottom w:val="nil"/>
              <w:right w:val="nil"/>
            </w:tcBorders>
            <w:shd w:val="clear" w:color="auto" w:fill="auto"/>
            <w:vAlign w:val="center"/>
          </w:tcPr>
          <w:p w14:paraId="44572D21"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single" w:sz="2" w:space="0" w:color="auto"/>
              <w:left w:val="nil"/>
              <w:bottom w:val="nil"/>
              <w:right w:val="nil"/>
            </w:tcBorders>
            <w:shd w:val="clear" w:color="auto" w:fill="auto"/>
            <w:noWrap/>
            <w:vAlign w:val="center"/>
          </w:tcPr>
          <w:p w14:paraId="5F6B1A56" w14:textId="4226B996"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66.136</w:t>
            </w:r>
          </w:p>
        </w:tc>
        <w:tc>
          <w:tcPr>
            <w:tcW w:w="797" w:type="dxa"/>
            <w:tcBorders>
              <w:top w:val="single" w:sz="2" w:space="0" w:color="auto"/>
              <w:left w:val="nil"/>
              <w:bottom w:val="nil"/>
              <w:right w:val="nil"/>
            </w:tcBorders>
            <w:shd w:val="clear" w:color="auto" w:fill="auto"/>
            <w:noWrap/>
            <w:vAlign w:val="center"/>
          </w:tcPr>
          <w:p w14:paraId="2ADE3CCB" w14:textId="40ABB2D9"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0.162</w:t>
            </w:r>
          </w:p>
        </w:tc>
        <w:tc>
          <w:tcPr>
            <w:tcW w:w="797" w:type="dxa"/>
            <w:tcBorders>
              <w:top w:val="single" w:sz="2" w:space="0" w:color="auto"/>
              <w:left w:val="nil"/>
              <w:bottom w:val="nil"/>
              <w:right w:val="nil"/>
            </w:tcBorders>
            <w:shd w:val="clear" w:color="auto" w:fill="auto"/>
            <w:noWrap/>
            <w:vAlign w:val="center"/>
          </w:tcPr>
          <w:p w14:paraId="2ACF12A3" w14:textId="0DB78132"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0.689</w:t>
            </w:r>
          </w:p>
        </w:tc>
      </w:tr>
      <w:tr w:rsidR="0055328A" w:rsidRPr="00212F76" w14:paraId="55A7E950" w14:textId="77777777" w:rsidTr="0055328A">
        <w:trPr>
          <w:trHeight w:val="397"/>
        </w:trPr>
        <w:tc>
          <w:tcPr>
            <w:tcW w:w="1276" w:type="dxa"/>
            <w:vMerge/>
            <w:tcBorders>
              <w:bottom w:val="single" w:sz="4" w:space="0" w:color="auto"/>
            </w:tcBorders>
            <w:noWrap/>
          </w:tcPr>
          <w:p w14:paraId="6728E41D"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noWrap/>
          </w:tcPr>
          <w:p w14:paraId="26C4265F"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right w:val="nil"/>
            </w:tcBorders>
            <w:shd w:val="clear" w:color="auto" w:fill="auto"/>
            <w:noWrap/>
            <w:vAlign w:val="center"/>
            <w:hideMark/>
          </w:tcPr>
          <w:p w14:paraId="4E00CB53"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Collaboration gradient (</w:t>
            </w:r>
            <w:r>
              <w:rPr>
                <w:rFonts w:ascii="Times New Roman" w:eastAsia="Times New Roman" w:hAnsi="Times New Roman" w:cs="Times New Roman"/>
                <w:color w:val="000000"/>
                <w:lang w:val="en-US"/>
              </w:rPr>
              <w:t>‘o</w:t>
            </w:r>
            <w:r w:rsidRPr="00212F76">
              <w:rPr>
                <w:rFonts w:ascii="Times New Roman" w:eastAsia="Times New Roman" w:hAnsi="Times New Roman" w:cs="Times New Roman"/>
                <w:color w:val="000000"/>
                <w:lang w:val="en-US"/>
              </w:rPr>
              <w:t>utsourcing</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right w:val="nil"/>
            </w:tcBorders>
            <w:shd w:val="clear" w:color="auto" w:fill="auto"/>
            <w:vAlign w:val="center"/>
          </w:tcPr>
          <w:p w14:paraId="0F850D91"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right w:val="nil"/>
            </w:tcBorders>
            <w:shd w:val="clear" w:color="auto" w:fill="auto"/>
            <w:noWrap/>
            <w:vAlign w:val="center"/>
          </w:tcPr>
          <w:p w14:paraId="7E66220E" w14:textId="6E324556"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67.629</w:t>
            </w:r>
          </w:p>
        </w:tc>
        <w:tc>
          <w:tcPr>
            <w:tcW w:w="797" w:type="dxa"/>
            <w:tcBorders>
              <w:top w:val="nil"/>
              <w:left w:val="nil"/>
              <w:right w:val="nil"/>
            </w:tcBorders>
            <w:shd w:val="clear" w:color="auto" w:fill="auto"/>
            <w:noWrap/>
            <w:vAlign w:val="center"/>
          </w:tcPr>
          <w:p w14:paraId="2F355DA3" w14:textId="64FD350F"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5.832</w:t>
            </w:r>
          </w:p>
        </w:tc>
        <w:tc>
          <w:tcPr>
            <w:tcW w:w="797" w:type="dxa"/>
            <w:tcBorders>
              <w:top w:val="nil"/>
              <w:left w:val="nil"/>
              <w:right w:val="nil"/>
            </w:tcBorders>
            <w:shd w:val="clear" w:color="auto" w:fill="auto"/>
            <w:noWrap/>
            <w:vAlign w:val="center"/>
          </w:tcPr>
          <w:p w14:paraId="2D55F515" w14:textId="78D3FA05" w:rsidR="0055328A" w:rsidRPr="0055328A" w:rsidRDefault="0055328A" w:rsidP="0055328A">
            <w:pPr>
              <w:spacing w:after="0" w:line="240" w:lineRule="auto"/>
              <w:jc w:val="right"/>
              <w:rPr>
                <w:rFonts w:ascii="Times New Roman" w:eastAsia="Times New Roman" w:hAnsi="Times New Roman" w:cs="Times New Roman"/>
                <w:b/>
                <w:color w:val="000000"/>
                <w:lang w:eastAsia="de-DE"/>
              </w:rPr>
            </w:pPr>
            <w:r w:rsidRPr="0055328A">
              <w:rPr>
                <w:rFonts w:ascii="Times New Roman" w:eastAsia="Times New Roman" w:hAnsi="Times New Roman" w:cs="Times New Roman"/>
                <w:b/>
                <w:color w:val="000000"/>
                <w:lang w:eastAsia="de-DE"/>
              </w:rPr>
              <w:t>0.018</w:t>
            </w:r>
          </w:p>
        </w:tc>
      </w:tr>
      <w:tr w:rsidR="0055328A" w:rsidRPr="00212F76" w14:paraId="56AEF05D" w14:textId="77777777" w:rsidTr="0055328A">
        <w:trPr>
          <w:trHeight w:val="397"/>
        </w:trPr>
        <w:tc>
          <w:tcPr>
            <w:tcW w:w="1276" w:type="dxa"/>
            <w:vMerge/>
            <w:tcBorders>
              <w:bottom w:val="single" w:sz="4" w:space="0" w:color="auto"/>
            </w:tcBorders>
            <w:noWrap/>
          </w:tcPr>
          <w:p w14:paraId="25AE953B"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noWrap/>
          </w:tcPr>
          <w:p w14:paraId="359FB2E1"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bottom w:val="single" w:sz="2" w:space="0" w:color="auto"/>
              <w:right w:val="nil"/>
            </w:tcBorders>
            <w:shd w:val="clear" w:color="auto" w:fill="auto"/>
            <w:noWrap/>
            <w:vAlign w:val="center"/>
            <w:hideMark/>
          </w:tcPr>
          <w:p w14:paraId="4A9E2F4A"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Conservation gradient (</w:t>
            </w:r>
            <w:r>
              <w:rPr>
                <w:rFonts w:ascii="Times New Roman" w:eastAsia="Times New Roman" w:hAnsi="Times New Roman" w:cs="Times New Roman"/>
                <w:color w:val="000000"/>
                <w:lang w:val="en-US"/>
              </w:rPr>
              <w:t>‘f</w:t>
            </w:r>
            <w:r w:rsidRPr="00212F76">
              <w:rPr>
                <w:rFonts w:ascii="Times New Roman" w:eastAsia="Times New Roman" w:hAnsi="Times New Roman" w:cs="Times New Roman"/>
                <w:color w:val="000000"/>
                <w:lang w:val="en-US"/>
              </w:rPr>
              <w:t>ast</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bottom w:val="single" w:sz="2" w:space="0" w:color="auto"/>
              <w:right w:val="nil"/>
            </w:tcBorders>
            <w:shd w:val="clear" w:color="auto" w:fill="auto"/>
            <w:vAlign w:val="center"/>
          </w:tcPr>
          <w:p w14:paraId="318903A6"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bottom w:val="single" w:sz="2" w:space="0" w:color="auto"/>
              <w:right w:val="nil"/>
            </w:tcBorders>
            <w:shd w:val="clear" w:color="auto" w:fill="auto"/>
            <w:noWrap/>
            <w:vAlign w:val="center"/>
          </w:tcPr>
          <w:p w14:paraId="705DC201" w14:textId="5A04243A"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67.830</w:t>
            </w:r>
          </w:p>
        </w:tc>
        <w:tc>
          <w:tcPr>
            <w:tcW w:w="797" w:type="dxa"/>
            <w:tcBorders>
              <w:top w:val="nil"/>
              <w:left w:val="nil"/>
              <w:bottom w:val="single" w:sz="2" w:space="0" w:color="auto"/>
              <w:right w:val="nil"/>
            </w:tcBorders>
            <w:shd w:val="clear" w:color="auto" w:fill="auto"/>
            <w:noWrap/>
            <w:vAlign w:val="center"/>
          </w:tcPr>
          <w:p w14:paraId="57E8A43C" w14:textId="3B562DB3"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2.323</w:t>
            </w:r>
          </w:p>
        </w:tc>
        <w:tc>
          <w:tcPr>
            <w:tcW w:w="797" w:type="dxa"/>
            <w:tcBorders>
              <w:top w:val="nil"/>
              <w:left w:val="nil"/>
              <w:bottom w:val="single" w:sz="2" w:space="0" w:color="auto"/>
              <w:right w:val="nil"/>
            </w:tcBorders>
            <w:shd w:val="clear" w:color="auto" w:fill="auto"/>
            <w:noWrap/>
            <w:vAlign w:val="center"/>
          </w:tcPr>
          <w:p w14:paraId="12F18604" w14:textId="21D18C0D"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0.132</w:t>
            </w:r>
          </w:p>
        </w:tc>
      </w:tr>
      <w:tr w:rsidR="0055328A" w:rsidRPr="00212F76" w14:paraId="3962D29C" w14:textId="77777777" w:rsidTr="0055328A">
        <w:trPr>
          <w:trHeight w:val="397"/>
        </w:trPr>
        <w:tc>
          <w:tcPr>
            <w:tcW w:w="1276" w:type="dxa"/>
            <w:vMerge/>
            <w:tcBorders>
              <w:bottom w:val="single" w:sz="4" w:space="0" w:color="auto"/>
            </w:tcBorders>
            <w:noWrap/>
          </w:tcPr>
          <w:p w14:paraId="1048005F"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val="restart"/>
            <w:tcBorders>
              <w:left w:val="nil"/>
              <w:bottom w:val="single" w:sz="4" w:space="0" w:color="auto"/>
              <w:right w:val="nil"/>
            </w:tcBorders>
            <w:shd w:val="clear" w:color="auto" w:fill="auto"/>
            <w:noWrap/>
            <w:hideMark/>
          </w:tcPr>
          <w:p w14:paraId="3542F529" w14:textId="77777777" w:rsidR="0055328A" w:rsidRPr="002A6238" w:rsidRDefault="0055328A" w:rsidP="0055328A">
            <w:pPr>
              <w:spacing w:after="0" w:line="240" w:lineRule="auto"/>
              <w:rPr>
                <w:rFonts w:ascii="Times New Roman" w:eastAsia="Times New Roman" w:hAnsi="Times New Roman" w:cs="Times New Roman"/>
                <w:color w:val="000000"/>
                <w:lang w:val="en-US"/>
              </w:rPr>
            </w:pPr>
            <w:r w:rsidRPr="7D2DA67B">
              <w:rPr>
                <w:rFonts w:ascii="Times New Roman" w:eastAsia="Times New Roman" w:hAnsi="Times New Roman" w:cs="Times New Roman"/>
                <w:color w:val="000000" w:themeColor="text1"/>
                <w:lang w:val="en-US"/>
              </w:rPr>
              <w:t xml:space="preserve">Plant </w:t>
            </w:r>
            <w:bookmarkStart w:id="2" w:name="_Int_2BcGGYGQ"/>
            <w:r w:rsidRPr="7D2DA67B">
              <w:rPr>
                <w:rFonts w:ascii="Times New Roman" w:eastAsia="Times New Roman" w:hAnsi="Times New Roman" w:cs="Times New Roman"/>
                <w:color w:val="000000" w:themeColor="text1"/>
                <w:lang w:val="en-US"/>
              </w:rPr>
              <w:t>pathogens</w:t>
            </w:r>
            <w:bookmarkEnd w:id="2"/>
          </w:p>
        </w:tc>
        <w:tc>
          <w:tcPr>
            <w:tcW w:w="3544" w:type="dxa"/>
            <w:tcBorders>
              <w:top w:val="single" w:sz="2" w:space="0" w:color="auto"/>
              <w:left w:val="nil"/>
              <w:bottom w:val="nil"/>
              <w:right w:val="nil"/>
            </w:tcBorders>
            <w:shd w:val="clear" w:color="auto" w:fill="auto"/>
            <w:noWrap/>
            <w:vAlign w:val="center"/>
            <w:hideMark/>
          </w:tcPr>
          <w:p w14:paraId="64C3E5A8" w14:textId="57140053"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 xml:space="preserve">Plant </w:t>
            </w:r>
            <w:r>
              <w:rPr>
                <w:rFonts w:ascii="Times New Roman" w:eastAsia="Times New Roman" w:hAnsi="Times New Roman" w:cs="Times New Roman"/>
                <w:color w:val="000000"/>
                <w:lang w:val="en-US"/>
              </w:rPr>
              <w:t>species richness</w:t>
            </w:r>
            <w:r w:rsidRPr="002A6238">
              <w:rPr>
                <w:rFonts w:ascii="Times New Roman" w:eastAsia="Times New Roman" w:hAnsi="Times New Roman" w:cs="Times New Roman"/>
                <w:color w:val="000000"/>
                <w:lang w:val="en-US"/>
              </w:rPr>
              <w:t xml:space="preserve"> (log)</w:t>
            </w:r>
          </w:p>
        </w:tc>
        <w:tc>
          <w:tcPr>
            <w:tcW w:w="796" w:type="dxa"/>
            <w:tcBorders>
              <w:top w:val="single" w:sz="2" w:space="0" w:color="auto"/>
              <w:left w:val="nil"/>
              <w:bottom w:val="nil"/>
              <w:right w:val="nil"/>
            </w:tcBorders>
            <w:shd w:val="clear" w:color="auto" w:fill="auto"/>
            <w:vAlign w:val="center"/>
          </w:tcPr>
          <w:p w14:paraId="4A4E4DF9"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single" w:sz="2" w:space="0" w:color="auto"/>
              <w:left w:val="nil"/>
              <w:bottom w:val="nil"/>
              <w:right w:val="nil"/>
            </w:tcBorders>
            <w:shd w:val="clear" w:color="auto" w:fill="auto"/>
            <w:noWrap/>
            <w:vAlign w:val="center"/>
          </w:tcPr>
          <w:p w14:paraId="39123188" w14:textId="54CD8F1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69.000</w:t>
            </w:r>
          </w:p>
        </w:tc>
        <w:tc>
          <w:tcPr>
            <w:tcW w:w="797" w:type="dxa"/>
            <w:tcBorders>
              <w:top w:val="single" w:sz="2" w:space="0" w:color="auto"/>
              <w:left w:val="nil"/>
              <w:bottom w:val="nil"/>
              <w:right w:val="nil"/>
            </w:tcBorders>
            <w:shd w:val="clear" w:color="auto" w:fill="auto"/>
            <w:noWrap/>
            <w:vAlign w:val="center"/>
          </w:tcPr>
          <w:p w14:paraId="0A0313B7" w14:textId="6714923E"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0.917</w:t>
            </w:r>
          </w:p>
        </w:tc>
        <w:tc>
          <w:tcPr>
            <w:tcW w:w="797" w:type="dxa"/>
            <w:tcBorders>
              <w:top w:val="single" w:sz="2" w:space="0" w:color="auto"/>
              <w:left w:val="nil"/>
              <w:bottom w:val="nil"/>
              <w:right w:val="nil"/>
            </w:tcBorders>
            <w:shd w:val="clear" w:color="auto" w:fill="auto"/>
            <w:noWrap/>
            <w:vAlign w:val="center"/>
          </w:tcPr>
          <w:p w14:paraId="3317F6C6" w14:textId="4DBB3A6A"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0.342</w:t>
            </w:r>
          </w:p>
        </w:tc>
      </w:tr>
      <w:tr w:rsidR="0055328A" w:rsidRPr="00212F76" w14:paraId="34CDAB9E" w14:textId="77777777" w:rsidTr="0055328A">
        <w:trPr>
          <w:trHeight w:val="397"/>
        </w:trPr>
        <w:tc>
          <w:tcPr>
            <w:tcW w:w="1276" w:type="dxa"/>
            <w:vMerge/>
            <w:tcBorders>
              <w:bottom w:val="single" w:sz="4" w:space="0" w:color="auto"/>
            </w:tcBorders>
            <w:noWrap/>
          </w:tcPr>
          <w:p w14:paraId="1F368BDB"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noWrap/>
          </w:tcPr>
          <w:p w14:paraId="0AA01A97"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right w:val="nil"/>
            </w:tcBorders>
            <w:shd w:val="clear" w:color="auto" w:fill="auto"/>
            <w:noWrap/>
            <w:vAlign w:val="center"/>
            <w:hideMark/>
          </w:tcPr>
          <w:p w14:paraId="3B28D804"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Collaboration gradient (</w:t>
            </w:r>
            <w:r>
              <w:rPr>
                <w:rFonts w:ascii="Times New Roman" w:eastAsia="Times New Roman" w:hAnsi="Times New Roman" w:cs="Times New Roman"/>
                <w:color w:val="000000"/>
                <w:lang w:val="en-US"/>
              </w:rPr>
              <w:t>‘o</w:t>
            </w:r>
            <w:r w:rsidRPr="00212F76">
              <w:rPr>
                <w:rFonts w:ascii="Times New Roman" w:eastAsia="Times New Roman" w:hAnsi="Times New Roman" w:cs="Times New Roman"/>
                <w:color w:val="000000"/>
                <w:lang w:val="en-US"/>
              </w:rPr>
              <w:t>utsourcing</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right w:val="nil"/>
            </w:tcBorders>
            <w:shd w:val="clear" w:color="auto" w:fill="auto"/>
            <w:vAlign w:val="center"/>
          </w:tcPr>
          <w:p w14:paraId="28F3DE08"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right w:val="nil"/>
            </w:tcBorders>
            <w:shd w:val="clear" w:color="auto" w:fill="auto"/>
            <w:noWrap/>
            <w:vAlign w:val="center"/>
          </w:tcPr>
          <w:p w14:paraId="2E99A4CF" w14:textId="41E8AB1F"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69.000</w:t>
            </w:r>
          </w:p>
        </w:tc>
        <w:tc>
          <w:tcPr>
            <w:tcW w:w="797" w:type="dxa"/>
            <w:tcBorders>
              <w:top w:val="nil"/>
              <w:left w:val="nil"/>
              <w:right w:val="nil"/>
            </w:tcBorders>
            <w:shd w:val="clear" w:color="auto" w:fill="auto"/>
            <w:noWrap/>
            <w:vAlign w:val="center"/>
          </w:tcPr>
          <w:p w14:paraId="5754731D" w14:textId="25F388F2"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5.996</w:t>
            </w:r>
          </w:p>
        </w:tc>
        <w:tc>
          <w:tcPr>
            <w:tcW w:w="797" w:type="dxa"/>
            <w:tcBorders>
              <w:top w:val="nil"/>
              <w:left w:val="nil"/>
              <w:right w:val="nil"/>
            </w:tcBorders>
            <w:shd w:val="clear" w:color="auto" w:fill="auto"/>
            <w:noWrap/>
            <w:vAlign w:val="center"/>
          </w:tcPr>
          <w:p w14:paraId="5DD0F82D" w14:textId="518081BD" w:rsidR="0055328A" w:rsidRPr="0055328A" w:rsidRDefault="0055328A" w:rsidP="0055328A">
            <w:pPr>
              <w:spacing w:after="0" w:line="240" w:lineRule="auto"/>
              <w:jc w:val="right"/>
              <w:rPr>
                <w:rFonts w:ascii="Times New Roman" w:eastAsia="Times New Roman" w:hAnsi="Times New Roman" w:cs="Times New Roman"/>
                <w:b/>
                <w:color w:val="000000"/>
                <w:lang w:eastAsia="de-DE"/>
              </w:rPr>
            </w:pPr>
            <w:r w:rsidRPr="0055328A">
              <w:rPr>
                <w:rFonts w:ascii="Times New Roman" w:eastAsia="Times New Roman" w:hAnsi="Times New Roman" w:cs="Times New Roman"/>
                <w:b/>
                <w:color w:val="000000"/>
                <w:lang w:eastAsia="de-DE"/>
              </w:rPr>
              <w:t>0.017</w:t>
            </w:r>
          </w:p>
        </w:tc>
      </w:tr>
      <w:tr w:rsidR="0055328A" w:rsidRPr="00212F76" w14:paraId="729C50F1" w14:textId="77777777" w:rsidTr="0055328A">
        <w:trPr>
          <w:trHeight w:val="397"/>
        </w:trPr>
        <w:tc>
          <w:tcPr>
            <w:tcW w:w="1276" w:type="dxa"/>
            <w:vMerge/>
            <w:tcBorders>
              <w:bottom w:val="single" w:sz="4" w:space="0" w:color="auto"/>
            </w:tcBorders>
            <w:noWrap/>
          </w:tcPr>
          <w:p w14:paraId="513D9AFF"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noWrap/>
          </w:tcPr>
          <w:p w14:paraId="4370173B"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bottom w:val="single" w:sz="2" w:space="0" w:color="auto"/>
              <w:right w:val="nil"/>
            </w:tcBorders>
            <w:shd w:val="clear" w:color="auto" w:fill="auto"/>
            <w:noWrap/>
            <w:vAlign w:val="center"/>
            <w:hideMark/>
          </w:tcPr>
          <w:p w14:paraId="3E38102B"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Conservation gradient (</w:t>
            </w:r>
            <w:r>
              <w:rPr>
                <w:rFonts w:ascii="Times New Roman" w:eastAsia="Times New Roman" w:hAnsi="Times New Roman" w:cs="Times New Roman"/>
                <w:color w:val="000000"/>
                <w:lang w:val="en-US"/>
              </w:rPr>
              <w:t>‘f</w:t>
            </w:r>
            <w:r w:rsidRPr="00212F76">
              <w:rPr>
                <w:rFonts w:ascii="Times New Roman" w:eastAsia="Times New Roman" w:hAnsi="Times New Roman" w:cs="Times New Roman"/>
                <w:color w:val="000000"/>
                <w:lang w:val="en-US"/>
              </w:rPr>
              <w:t>ast</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bottom w:val="single" w:sz="2" w:space="0" w:color="auto"/>
              <w:right w:val="nil"/>
            </w:tcBorders>
            <w:shd w:val="clear" w:color="auto" w:fill="auto"/>
            <w:vAlign w:val="center"/>
          </w:tcPr>
          <w:p w14:paraId="07D12461"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bottom w:val="single" w:sz="2" w:space="0" w:color="auto"/>
              <w:right w:val="nil"/>
            </w:tcBorders>
            <w:shd w:val="clear" w:color="auto" w:fill="auto"/>
            <w:noWrap/>
            <w:vAlign w:val="center"/>
          </w:tcPr>
          <w:p w14:paraId="7D6D6025" w14:textId="338B307B"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69.000</w:t>
            </w:r>
          </w:p>
        </w:tc>
        <w:tc>
          <w:tcPr>
            <w:tcW w:w="797" w:type="dxa"/>
            <w:tcBorders>
              <w:top w:val="nil"/>
              <w:left w:val="nil"/>
              <w:bottom w:val="single" w:sz="2" w:space="0" w:color="auto"/>
              <w:right w:val="nil"/>
            </w:tcBorders>
            <w:shd w:val="clear" w:color="auto" w:fill="auto"/>
            <w:noWrap/>
            <w:vAlign w:val="center"/>
          </w:tcPr>
          <w:p w14:paraId="680E7382" w14:textId="23C18B8B"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2.001</w:t>
            </w:r>
          </w:p>
        </w:tc>
        <w:tc>
          <w:tcPr>
            <w:tcW w:w="797" w:type="dxa"/>
            <w:tcBorders>
              <w:top w:val="nil"/>
              <w:left w:val="nil"/>
              <w:bottom w:val="single" w:sz="2" w:space="0" w:color="auto"/>
              <w:right w:val="nil"/>
            </w:tcBorders>
            <w:shd w:val="clear" w:color="auto" w:fill="auto"/>
            <w:noWrap/>
            <w:vAlign w:val="center"/>
          </w:tcPr>
          <w:p w14:paraId="0D723D0A" w14:textId="216E918A"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0.162</w:t>
            </w:r>
          </w:p>
        </w:tc>
      </w:tr>
      <w:tr w:rsidR="0055328A" w:rsidRPr="00212F76" w14:paraId="6F3D954A" w14:textId="77777777" w:rsidTr="0055328A">
        <w:trPr>
          <w:trHeight w:val="397"/>
        </w:trPr>
        <w:tc>
          <w:tcPr>
            <w:tcW w:w="1276" w:type="dxa"/>
            <w:vMerge/>
            <w:tcBorders>
              <w:bottom w:val="single" w:sz="4" w:space="0" w:color="auto"/>
            </w:tcBorders>
            <w:noWrap/>
          </w:tcPr>
          <w:p w14:paraId="71DA231C"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val="restart"/>
            <w:tcBorders>
              <w:left w:val="nil"/>
              <w:bottom w:val="single" w:sz="4" w:space="0" w:color="auto"/>
              <w:right w:val="nil"/>
            </w:tcBorders>
            <w:shd w:val="clear" w:color="auto" w:fill="auto"/>
            <w:noWrap/>
            <w:hideMark/>
          </w:tcPr>
          <w:p w14:paraId="5881E939" w14:textId="77777777"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AMF</w:t>
            </w:r>
          </w:p>
        </w:tc>
        <w:tc>
          <w:tcPr>
            <w:tcW w:w="3544" w:type="dxa"/>
            <w:tcBorders>
              <w:top w:val="single" w:sz="2" w:space="0" w:color="auto"/>
              <w:left w:val="nil"/>
              <w:bottom w:val="nil"/>
              <w:right w:val="nil"/>
            </w:tcBorders>
            <w:shd w:val="clear" w:color="auto" w:fill="auto"/>
            <w:noWrap/>
            <w:vAlign w:val="center"/>
            <w:hideMark/>
          </w:tcPr>
          <w:p w14:paraId="0ADD19E2" w14:textId="4483D371" w:rsidR="0055328A" w:rsidRPr="002A6238" w:rsidRDefault="0055328A" w:rsidP="0055328A">
            <w:pPr>
              <w:spacing w:after="0" w:line="240" w:lineRule="auto"/>
              <w:rPr>
                <w:rFonts w:ascii="Times New Roman" w:eastAsia="Times New Roman" w:hAnsi="Times New Roman" w:cs="Times New Roman"/>
                <w:color w:val="000000"/>
                <w:lang w:val="en-US"/>
              </w:rPr>
            </w:pPr>
            <w:r w:rsidRPr="002A6238">
              <w:rPr>
                <w:rFonts w:ascii="Times New Roman" w:eastAsia="Times New Roman" w:hAnsi="Times New Roman" w:cs="Times New Roman"/>
                <w:color w:val="000000"/>
                <w:lang w:val="en-US"/>
              </w:rPr>
              <w:t xml:space="preserve">Plant </w:t>
            </w:r>
            <w:r>
              <w:rPr>
                <w:rFonts w:ascii="Times New Roman" w:eastAsia="Times New Roman" w:hAnsi="Times New Roman" w:cs="Times New Roman"/>
                <w:color w:val="000000"/>
                <w:lang w:val="en-US"/>
              </w:rPr>
              <w:t>species richness</w:t>
            </w:r>
            <w:r w:rsidRPr="002A6238">
              <w:rPr>
                <w:rFonts w:ascii="Times New Roman" w:eastAsia="Times New Roman" w:hAnsi="Times New Roman" w:cs="Times New Roman"/>
                <w:color w:val="000000"/>
                <w:lang w:val="en-US"/>
              </w:rPr>
              <w:t xml:space="preserve"> (log)</w:t>
            </w:r>
          </w:p>
        </w:tc>
        <w:tc>
          <w:tcPr>
            <w:tcW w:w="796" w:type="dxa"/>
            <w:tcBorders>
              <w:top w:val="single" w:sz="2" w:space="0" w:color="auto"/>
              <w:left w:val="nil"/>
              <w:bottom w:val="nil"/>
              <w:right w:val="nil"/>
            </w:tcBorders>
            <w:shd w:val="clear" w:color="auto" w:fill="auto"/>
            <w:vAlign w:val="center"/>
          </w:tcPr>
          <w:p w14:paraId="5F36B556"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single" w:sz="2" w:space="0" w:color="auto"/>
              <w:left w:val="nil"/>
              <w:bottom w:val="nil"/>
              <w:right w:val="nil"/>
            </w:tcBorders>
            <w:shd w:val="clear" w:color="auto" w:fill="auto"/>
            <w:noWrap/>
            <w:vAlign w:val="center"/>
          </w:tcPr>
          <w:p w14:paraId="50D793F6" w14:textId="7A818899"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66.209</w:t>
            </w:r>
          </w:p>
        </w:tc>
        <w:tc>
          <w:tcPr>
            <w:tcW w:w="797" w:type="dxa"/>
            <w:tcBorders>
              <w:top w:val="single" w:sz="2" w:space="0" w:color="auto"/>
              <w:left w:val="nil"/>
              <w:bottom w:val="nil"/>
              <w:right w:val="nil"/>
            </w:tcBorders>
            <w:shd w:val="clear" w:color="auto" w:fill="auto"/>
            <w:noWrap/>
            <w:vAlign w:val="center"/>
          </w:tcPr>
          <w:p w14:paraId="79541789" w14:textId="16ACC452"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0.402</w:t>
            </w:r>
          </w:p>
        </w:tc>
        <w:tc>
          <w:tcPr>
            <w:tcW w:w="797" w:type="dxa"/>
            <w:tcBorders>
              <w:top w:val="single" w:sz="2" w:space="0" w:color="auto"/>
              <w:left w:val="nil"/>
              <w:bottom w:val="nil"/>
              <w:right w:val="nil"/>
            </w:tcBorders>
            <w:shd w:val="clear" w:color="auto" w:fill="auto"/>
            <w:noWrap/>
            <w:vAlign w:val="center"/>
          </w:tcPr>
          <w:p w14:paraId="2A17D470" w14:textId="3F0FEF81"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0.528</w:t>
            </w:r>
          </w:p>
        </w:tc>
      </w:tr>
      <w:tr w:rsidR="0055328A" w:rsidRPr="00212F76" w14:paraId="500CA091" w14:textId="77777777" w:rsidTr="0055328A">
        <w:trPr>
          <w:trHeight w:val="397"/>
        </w:trPr>
        <w:tc>
          <w:tcPr>
            <w:tcW w:w="1276" w:type="dxa"/>
            <w:vMerge/>
            <w:tcBorders>
              <w:bottom w:val="single" w:sz="4" w:space="0" w:color="auto"/>
            </w:tcBorders>
            <w:noWrap/>
            <w:vAlign w:val="center"/>
          </w:tcPr>
          <w:p w14:paraId="28953876"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1559" w:type="dxa"/>
            <w:vMerge/>
            <w:tcBorders>
              <w:bottom w:val="single" w:sz="4" w:space="0" w:color="auto"/>
            </w:tcBorders>
            <w:noWrap/>
            <w:vAlign w:val="center"/>
          </w:tcPr>
          <w:p w14:paraId="7FA3D504" w14:textId="77777777" w:rsidR="0055328A" w:rsidRPr="002A6238"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right w:val="nil"/>
            </w:tcBorders>
            <w:shd w:val="clear" w:color="auto" w:fill="auto"/>
            <w:noWrap/>
            <w:vAlign w:val="center"/>
            <w:hideMark/>
          </w:tcPr>
          <w:p w14:paraId="4B2FE59A"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Collaboration gradient (</w:t>
            </w:r>
            <w:r>
              <w:rPr>
                <w:rFonts w:ascii="Times New Roman" w:eastAsia="Times New Roman" w:hAnsi="Times New Roman" w:cs="Times New Roman"/>
                <w:color w:val="000000"/>
                <w:lang w:val="en-US"/>
              </w:rPr>
              <w:t>‘o</w:t>
            </w:r>
            <w:r w:rsidRPr="00212F76">
              <w:rPr>
                <w:rFonts w:ascii="Times New Roman" w:eastAsia="Times New Roman" w:hAnsi="Times New Roman" w:cs="Times New Roman"/>
                <w:color w:val="000000"/>
                <w:lang w:val="en-US"/>
              </w:rPr>
              <w:t>utsourcing</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right w:val="nil"/>
            </w:tcBorders>
            <w:shd w:val="clear" w:color="auto" w:fill="auto"/>
            <w:vAlign w:val="center"/>
          </w:tcPr>
          <w:p w14:paraId="07881533"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right w:val="nil"/>
            </w:tcBorders>
            <w:shd w:val="clear" w:color="auto" w:fill="auto"/>
            <w:noWrap/>
            <w:vAlign w:val="center"/>
          </w:tcPr>
          <w:p w14:paraId="0AA1E740" w14:textId="5531E198"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68.333</w:t>
            </w:r>
          </w:p>
        </w:tc>
        <w:tc>
          <w:tcPr>
            <w:tcW w:w="797" w:type="dxa"/>
            <w:tcBorders>
              <w:top w:val="nil"/>
              <w:left w:val="nil"/>
              <w:right w:val="nil"/>
            </w:tcBorders>
            <w:shd w:val="clear" w:color="auto" w:fill="auto"/>
            <w:noWrap/>
            <w:vAlign w:val="center"/>
          </w:tcPr>
          <w:p w14:paraId="00312BB1" w14:textId="5AB98E41"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0.981</w:t>
            </w:r>
          </w:p>
        </w:tc>
        <w:tc>
          <w:tcPr>
            <w:tcW w:w="797" w:type="dxa"/>
            <w:tcBorders>
              <w:top w:val="nil"/>
              <w:left w:val="nil"/>
              <w:right w:val="nil"/>
            </w:tcBorders>
            <w:shd w:val="clear" w:color="auto" w:fill="auto"/>
            <w:noWrap/>
            <w:vAlign w:val="center"/>
          </w:tcPr>
          <w:p w14:paraId="7965C392" w14:textId="788889B5"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0.326</w:t>
            </w:r>
          </w:p>
        </w:tc>
      </w:tr>
      <w:tr w:rsidR="0055328A" w:rsidRPr="00212F76" w14:paraId="1532A977" w14:textId="77777777" w:rsidTr="0055328A">
        <w:trPr>
          <w:trHeight w:val="397"/>
        </w:trPr>
        <w:tc>
          <w:tcPr>
            <w:tcW w:w="1276" w:type="dxa"/>
            <w:vMerge/>
            <w:tcBorders>
              <w:bottom w:val="single" w:sz="4" w:space="0" w:color="auto"/>
            </w:tcBorders>
            <w:noWrap/>
            <w:vAlign w:val="center"/>
          </w:tcPr>
          <w:p w14:paraId="0F78AB87" w14:textId="77777777" w:rsidR="0055328A" w:rsidRPr="00212F76" w:rsidRDefault="0055328A" w:rsidP="0055328A">
            <w:pPr>
              <w:spacing w:after="0" w:line="240" w:lineRule="auto"/>
              <w:rPr>
                <w:rFonts w:ascii="Times New Roman" w:eastAsia="Times New Roman" w:hAnsi="Times New Roman" w:cs="Times New Roman"/>
                <w:color w:val="000000"/>
                <w:lang w:val="en-US"/>
              </w:rPr>
            </w:pPr>
          </w:p>
        </w:tc>
        <w:tc>
          <w:tcPr>
            <w:tcW w:w="1559" w:type="dxa"/>
            <w:vMerge/>
            <w:tcBorders>
              <w:bottom w:val="single" w:sz="4" w:space="0" w:color="auto"/>
            </w:tcBorders>
            <w:noWrap/>
            <w:vAlign w:val="center"/>
          </w:tcPr>
          <w:p w14:paraId="23590D25" w14:textId="77777777" w:rsidR="0055328A" w:rsidRPr="00212F76" w:rsidRDefault="0055328A" w:rsidP="0055328A">
            <w:pPr>
              <w:spacing w:after="0" w:line="240" w:lineRule="auto"/>
              <w:rPr>
                <w:rFonts w:ascii="Times New Roman" w:eastAsia="Times New Roman" w:hAnsi="Times New Roman" w:cs="Times New Roman"/>
                <w:color w:val="000000"/>
                <w:lang w:val="en-US"/>
              </w:rPr>
            </w:pPr>
          </w:p>
        </w:tc>
        <w:tc>
          <w:tcPr>
            <w:tcW w:w="3544" w:type="dxa"/>
            <w:tcBorders>
              <w:top w:val="nil"/>
              <w:left w:val="nil"/>
              <w:bottom w:val="single" w:sz="2" w:space="0" w:color="auto"/>
              <w:right w:val="nil"/>
            </w:tcBorders>
            <w:shd w:val="clear" w:color="auto" w:fill="auto"/>
            <w:noWrap/>
            <w:vAlign w:val="center"/>
            <w:hideMark/>
          </w:tcPr>
          <w:p w14:paraId="2A5A19A3" w14:textId="77777777" w:rsidR="0055328A" w:rsidRPr="00212F76" w:rsidRDefault="0055328A" w:rsidP="0055328A">
            <w:pPr>
              <w:spacing w:after="0" w:line="240" w:lineRule="auto"/>
              <w:rPr>
                <w:rFonts w:ascii="Times New Roman" w:eastAsia="Times New Roman" w:hAnsi="Times New Roman" w:cs="Times New Roman"/>
                <w:color w:val="000000"/>
                <w:lang w:val="en-US"/>
              </w:rPr>
            </w:pPr>
            <w:r w:rsidRPr="00212F76">
              <w:rPr>
                <w:rFonts w:ascii="Times New Roman" w:eastAsia="Times New Roman" w:hAnsi="Times New Roman" w:cs="Times New Roman"/>
                <w:color w:val="000000"/>
                <w:lang w:val="en-US"/>
              </w:rPr>
              <w:t>Conservation gradient (</w:t>
            </w:r>
            <w:r>
              <w:rPr>
                <w:rFonts w:ascii="Times New Roman" w:eastAsia="Times New Roman" w:hAnsi="Times New Roman" w:cs="Times New Roman"/>
                <w:color w:val="000000"/>
                <w:lang w:val="en-US"/>
              </w:rPr>
              <w:t>‘f</w:t>
            </w:r>
            <w:r w:rsidRPr="00212F76">
              <w:rPr>
                <w:rFonts w:ascii="Times New Roman" w:eastAsia="Times New Roman" w:hAnsi="Times New Roman" w:cs="Times New Roman"/>
                <w:color w:val="000000"/>
                <w:lang w:val="en-US"/>
              </w:rPr>
              <w:t>ast</w:t>
            </w:r>
            <w:r>
              <w:rPr>
                <w:rFonts w:ascii="Times New Roman" w:eastAsia="Times New Roman" w:hAnsi="Times New Roman" w:cs="Times New Roman"/>
                <w:color w:val="000000"/>
                <w:lang w:val="en-US"/>
              </w:rPr>
              <w:t>’</w:t>
            </w:r>
            <w:r w:rsidRPr="00212F76">
              <w:rPr>
                <w:rFonts w:ascii="Times New Roman" w:eastAsia="Times New Roman" w:hAnsi="Times New Roman" w:cs="Times New Roman"/>
                <w:color w:val="000000"/>
                <w:lang w:val="en-US"/>
              </w:rPr>
              <w:t>)</w:t>
            </w:r>
          </w:p>
        </w:tc>
        <w:tc>
          <w:tcPr>
            <w:tcW w:w="796" w:type="dxa"/>
            <w:tcBorders>
              <w:top w:val="nil"/>
              <w:left w:val="nil"/>
              <w:bottom w:val="single" w:sz="2" w:space="0" w:color="auto"/>
              <w:right w:val="nil"/>
            </w:tcBorders>
            <w:shd w:val="clear" w:color="auto" w:fill="auto"/>
            <w:vAlign w:val="center"/>
          </w:tcPr>
          <w:p w14:paraId="5D9649D8" w14:textId="77777777"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894079">
              <w:rPr>
                <w:rFonts w:ascii="Times New Roman" w:eastAsia="Times New Roman" w:hAnsi="Times New Roman" w:cs="Times New Roman"/>
                <w:color w:val="000000"/>
                <w:lang w:eastAsia="de-DE"/>
              </w:rPr>
              <w:t>1</w:t>
            </w:r>
          </w:p>
        </w:tc>
        <w:tc>
          <w:tcPr>
            <w:tcW w:w="796" w:type="dxa"/>
            <w:tcBorders>
              <w:top w:val="nil"/>
              <w:left w:val="nil"/>
              <w:bottom w:val="single" w:sz="2" w:space="0" w:color="auto"/>
              <w:right w:val="nil"/>
            </w:tcBorders>
            <w:shd w:val="clear" w:color="auto" w:fill="auto"/>
            <w:noWrap/>
            <w:vAlign w:val="center"/>
          </w:tcPr>
          <w:p w14:paraId="699BD62F" w14:textId="115343CF"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68.572</w:t>
            </w:r>
          </w:p>
        </w:tc>
        <w:tc>
          <w:tcPr>
            <w:tcW w:w="797" w:type="dxa"/>
            <w:tcBorders>
              <w:top w:val="nil"/>
              <w:left w:val="nil"/>
              <w:bottom w:val="single" w:sz="2" w:space="0" w:color="auto"/>
              <w:right w:val="nil"/>
            </w:tcBorders>
            <w:shd w:val="clear" w:color="auto" w:fill="auto"/>
            <w:noWrap/>
            <w:vAlign w:val="center"/>
          </w:tcPr>
          <w:p w14:paraId="1A74A670" w14:textId="0AB2E90B"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 xml:space="preserve"> 0.000</w:t>
            </w:r>
          </w:p>
        </w:tc>
        <w:tc>
          <w:tcPr>
            <w:tcW w:w="797" w:type="dxa"/>
            <w:tcBorders>
              <w:top w:val="nil"/>
              <w:left w:val="nil"/>
              <w:bottom w:val="single" w:sz="2" w:space="0" w:color="auto"/>
              <w:right w:val="nil"/>
            </w:tcBorders>
            <w:shd w:val="clear" w:color="auto" w:fill="auto"/>
            <w:noWrap/>
            <w:vAlign w:val="center"/>
          </w:tcPr>
          <w:p w14:paraId="0821D69B" w14:textId="6622C171" w:rsidR="0055328A" w:rsidRPr="00894079" w:rsidRDefault="0055328A" w:rsidP="0055328A">
            <w:pPr>
              <w:spacing w:after="0" w:line="240" w:lineRule="auto"/>
              <w:jc w:val="right"/>
              <w:rPr>
                <w:rFonts w:ascii="Times New Roman" w:eastAsia="Times New Roman" w:hAnsi="Times New Roman" w:cs="Times New Roman"/>
                <w:color w:val="000000"/>
                <w:lang w:eastAsia="de-DE"/>
              </w:rPr>
            </w:pPr>
            <w:r w:rsidRPr="0055328A">
              <w:rPr>
                <w:rFonts w:ascii="Times New Roman" w:eastAsia="Times New Roman" w:hAnsi="Times New Roman" w:cs="Times New Roman"/>
                <w:color w:val="000000"/>
                <w:lang w:eastAsia="de-DE"/>
              </w:rPr>
              <w:t>0.995</w:t>
            </w:r>
          </w:p>
        </w:tc>
      </w:tr>
    </w:tbl>
    <w:p w14:paraId="20E10015" w14:textId="77777777" w:rsidR="00654312" w:rsidRDefault="00654312">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2DB4217A" w14:textId="7EF5B61D" w:rsidR="00895AE5" w:rsidRDefault="00895AE5" w:rsidP="00895AE5">
      <w:pPr>
        <w:rPr>
          <w:rFonts w:ascii="Times New Roman" w:eastAsia="Times New Roman" w:hAnsi="Times New Roman" w:cs="Times New Roman"/>
          <w:lang w:val="en-US"/>
        </w:rPr>
      </w:pPr>
      <w:r>
        <w:rPr>
          <w:rFonts w:ascii="Times New Roman" w:eastAsia="Times New Roman" w:hAnsi="Times New Roman" w:cs="Times New Roman"/>
          <w:noProof/>
          <w:lang w:eastAsia="de-DE"/>
        </w:rPr>
        <w:lastRenderedPageBreak/>
        <w:drawing>
          <wp:inline distT="0" distB="0" distL="0" distR="0" wp14:anchorId="3DCEB2C4" wp14:editId="49B687DB">
            <wp:extent cx="5393690" cy="5393690"/>
            <wp:effectExtent l="0" t="0" r="0" b="0"/>
            <wp:docPr id="1" name="Grafik 1" descr="Rarefaction_I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refaction_ITS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3690" cy="5393690"/>
                    </a:xfrm>
                    <a:prstGeom prst="rect">
                      <a:avLst/>
                    </a:prstGeom>
                    <a:noFill/>
                    <a:ln>
                      <a:noFill/>
                    </a:ln>
                  </pic:spPr>
                </pic:pic>
              </a:graphicData>
            </a:graphic>
          </wp:inline>
        </w:drawing>
      </w:r>
    </w:p>
    <w:p w14:paraId="576AD041" w14:textId="02ED253A" w:rsidR="00030D49" w:rsidRDefault="66F98E1F" w:rsidP="00547F67">
      <w:pPr>
        <w:spacing w:after="0" w:line="276"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66F98E1F">
        <w:rPr>
          <w:rFonts w:ascii="Times New Roman" w:hAnsi="Times New Roman" w:cs="Times New Roman"/>
          <w:b/>
          <w:bCs/>
          <w:sz w:val="24"/>
          <w:szCs w:val="24"/>
          <w:lang w:val="en-US"/>
        </w:rPr>
        <w:t>Supplementary Fig. S1:</w:t>
      </w:r>
      <w:r w:rsidRPr="66F98E1F">
        <w:rPr>
          <w:rFonts w:ascii="Times New Roman" w:eastAsia="Times New Roman" w:hAnsi="Times New Roman" w:cs="Times New Roman"/>
          <w:b/>
          <w:bCs/>
          <w:sz w:val="24"/>
          <w:szCs w:val="24"/>
          <w:lang w:val="en-US"/>
        </w:rPr>
        <w:t xml:space="preserve"> Rarefaction curves of the ITS2 sequence data. </w:t>
      </w:r>
      <w:r w:rsidRPr="66F98E1F">
        <w:rPr>
          <w:rFonts w:ascii="Times New Roman" w:eastAsia="Times New Roman" w:hAnsi="Times New Roman" w:cs="Times New Roman"/>
          <w:sz w:val="24"/>
          <w:szCs w:val="24"/>
          <w:lang w:val="en-US"/>
        </w:rPr>
        <w:t>Each line represents one of the 73 samples, showing increasing number of amplicon sequence variants (ASVs) with the number of reads until saturation is reached.</w:t>
      </w:r>
      <w:r w:rsidR="00030D49" w:rsidRPr="00030D4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2CCE83D" w14:textId="498C718F" w:rsidR="00654312" w:rsidRPr="00654312" w:rsidRDefault="00030D49" w:rsidP="00547F67">
      <w:pPr>
        <w:jc w:val="both"/>
        <w:rPr>
          <w:rFonts w:ascii="Times New Roman" w:hAnsi="Times New Roman" w:cs="Times New Roman"/>
          <w:sz w:val="24"/>
          <w:szCs w:val="24"/>
          <w:lang w:val="en-US"/>
        </w:rPr>
      </w:pPr>
      <w:r w:rsidRPr="00030D49">
        <w:rPr>
          <w:rFonts w:ascii="Times New Roman" w:hAnsi="Times New Roman" w:cs="Times New Roman"/>
          <w:b/>
          <w:bCs/>
          <w:sz w:val="24"/>
          <w:szCs w:val="24"/>
          <w:lang w:val="en-US"/>
        </w:rPr>
        <w:lastRenderedPageBreak/>
        <w:t xml:space="preserve"> </w:t>
      </w:r>
      <w:r w:rsidR="00C012DE" w:rsidRPr="00C012DE">
        <w:rPr>
          <w:rFonts w:ascii="Times New Roman" w:hAnsi="Times New Roman" w:cs="Times New Roman"/>
          <w:b/>
          <w:bCs/>
          <w:noProof/>
          <w:sz w:val="24"/>
          <w:szCs w:val="24"/>
          <w:lang w:eastAsia="de-DE"/>
        </w:rPr>
        <w:drawing>
          <wp:inline distT="0" distB="0" distL="0" distR="0" wp14:anchorId="47BDA41B" wp14:editId="00FC949F">
            <wp:extent cx="5760000" cy="4608000"/>
            <wp:effectExtent l="0" t="0" r="0" b="2540"/>
            <wp:docPr id="3" name="Grafik 3" descr="C:\Users\justus_hennecke\Nextcloud\PhD\Data\2022\Community\Plots\Manuscript_updated\Supplement\Unrotated_PCA_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us_hennecke\Nextcloud\PhD\Data\2022\Community\Plots\Manuscript_updated\Supplement\Unrotated_PCA_edit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00" cy="4608000"/>
                    </a:xfrm>
                    <a:prstGeom prst="rect">
                      <a:avLst/>
                    </a:prstGeom>
                    <a:noFill/>
                    <a:ln>
                      <a:noFill/>
                    </a:ln>
                  </pic:spPr>
                </pic:pic>
              </a:graphicData>
            </a:graphic>
          </wp:inline>
        </w:drawing>
      </w:r>
      <w:r w:rsidR="00C012DE" w:rsidRPr="00C012DE">
        <w:rPr>
          <w:rFonts w:ascii="Times New Roman" w:hAnsi="Times New Roman" w:cs="Times New Roman"/>
          <w:b/>
          <w:bCs/>
          <w:sz w:val="24"/>
          <w:szCs w:val="24"/>
          <w:lang w:val="en-US"/>
        </w:rPr>
        <w:t xml:space="preserve"> </w:t>
      </w:r>
      <w:r w:rsidR="7D2DA67B" w:rsidRPr="7D2DA67B">
        <w:rPr>
          <w:rFonts w:ascii="Times New Roman" w:hAnsi="Times New Roman" w:cs="Times New Roman"/>
          <w:b/>
          <w:bCs/>
          <w:sz w:val="24"/>
          <w:szCs w:val="24"/>
          <w:lang w:val="en-US"/>
        </w:rPr>
        <w:t xml:space="preserve">Supplementary Fig. S2: </w:t>
      </w:r>
      <w:proofErr w:type="spellStart"/>
      <w:r w:rsidR="7D2DA67B" w:rsidRPr="7D2DA67B">
        <w:rPr>
          <w:rFonts w:ascii="Times New Roman" w:hAnsi="Times New Roman" w:cs="Times New Roman"/>
          <w:b/>
          <w:bCs/>
          <w:sz w:val="24"/>
          <w:szCs w:val="24"/>
          <w:lang w:val="en-US"/>
        </w:rPr>
        <w:t>Unrotated</w:t>
      </w:r>
      <w:proofErr w:type="spellEnd"/>
      <w:r w:rsidR="7D2DA67B" w:rsidRPr="7D2DA67B">
        <w:rPr>
          <w:rFonts w:ascii="Times New Roman" w:hAnsi="Times New Roman" w:cs="Times New Roman"/>
          <w:b/>
          <w:bCs/>
          <w:sz w:val="24"/>
          <w:szCs w:val="24"/>
          <w:lang w:val="en-US"/>
        </w:rPr>
        <w:t xml:space="preserve"> PCA of the community root traits. </w:t>
      </w:r>
      <w:r w:rsidR="7D2DA67B" w:rsidRPr="7D2DA67B">
        <w:rPr>
          <w:rFonts w:ascii="Times New Roman" w:hAnsi="Times New Roman" w:cs="Times New Roman"/>
          <w:sz w:val="24"/>
          <w:szCs w:val="24"/>
          <w:lang w:val="en-US"/>
        </w:rPr>
        <w:t>Each point represents a plant community (</w:t>
      </w:r>
      <w:r w:rsidR="7D2DA67B" w:rsidRPr="7D2DA67B">
        <w:rPr>
          <w:rFonts w:ascii="Times New Roman" w:hAnsi="Times New Roman" w:cs="Times New Roman"/>
          <w:i/>
          <w:iCs/>
          <w:sz w:val="24"/>
          <w:szCs w:val="24"/>
          <w:lang w:val="en-US"/>
        </w:rPr>
        <w:t>n</w:t>
      </w:r>
      <w:r w:rsidR="7D2DA67B" w:rsidRPr="7D2DA67B">
        <w:rPr>
          <w:rFonts w:ascii="Times New Roman" w:hAnsi="Times New Roman" w:cs="Times New Roman"/>
          <w:sz w:val="24"/>
          <w:szCs w:val="24"/>
          <w:lang w:val="en-US"/>
        </w:rPr>
        <w:t xml:space="preserve"> = 73). Points are color-coded for plant </w:t>
      </w:r>
      <w:r w:rsidR="00E057C4">
        <w:rPr>
          <w:rFonts w:ascii="Times New Roman" w:hAnsi="Times New Roman" w:cs="Times New Roman"/>
          <w:sz w:val="24"/>
          <w:szCs w:val="24"/>
          <w:lang w:val="en-US"/>
        </w:rPr>
        <w:t>s</w:t>
      </w:r>
      <w:r w:rsidR="00176C5B">
        <w:rPr>
          <w:rFonts w:ascii="Times New Roman" w:hAnsi="Times New Roman" w:cs="Times New Roman"/>
          <w:sz w:val="24"/>
          <w:szCs w:val="24"/>
          <w:lang w:val="en-US"/>
        </w:rPr>
        <w:t>pe</w:t>
      </w:r>
      <w:r w:rsidR="00E057C4">
        <w:rPr>
          <w:rFonts w:ascii="Times New Roman" w:hAnsi="Times New Roman" w:cs="Times New Roman"/>
          <w:sz w:val="24"/>
          <w:szCs w:val="24"/>
          <w:lang w:val="en-US"/>
        </w:rPr>
        <w:t>c</w:t>
      </w:r>
      <w:r w:rsidR="00176C5B">
        <w:rPr>
          <w:rFonts w:ascii="Times New Roman" w:hAnsi="Times New Roman" w:cs="Times New Roman"/>
          <w:sz w:val="24"/>
          <w:szCs w:val="24"/>
          <w:lang w:val="en-US"/>
        </w:rPr>
        <w:t>i</w:t>
      </w:r>
      <w:r w:rsidR="00E057C4">
        <w:rPr>
          <w:rFonts w:ascii="Times New Roman" w:hAnsi="Times New Roman" w:cs="Times New Roman"/>
          <w:sz w:val="24"/>
          <w:szCs w:val="24"/>
          <w:lang w:val="en-US"/>
        </w:rPr>
        <w:t>es richness</w:t>
      </w:r>
      <w:r w:rsidR="00E057C4" w:rsidRPr="7D2DA67B">
        <w:rPr>
          <w:rFonts w:ascii="Times New Roman" w:hAnsi="Times New Roman" w:cs="Times New Roman"/>
          <w:sz w:val="24"/>
          <w:szCs w:val="24"/>
          <w:lang w:val="en-US"/>
        </w:rPr>
        <w:t xml:space="preserve"> </w:t>
      </w:r>
      <w:r w:rsidR="7D2DA67B" w:rsidRPr="7D2DA67B">
        <w:rPr>
          <w:rFonts w:ascii="Times New Roman" w:hAnsi="Times New Roman" w:cs="Times New Roman"/>
          <w:sz w:val="24"/>
          <w:szCs w:val="24"/>
          <w:lang w:val="en-US"/>
        </w:rPr>
        <w:t xml:space="preserve">of the plot. </w:t>
      </w:r>
      <w:bookmarkStart w:id="3" w:name="_Int_oIHiOaBi"/>
      <w:r w:rsidR="7D2DA67B" w:rsidRPr="7D2DA67B">
        <w:rPr>
          <w:rFonts w:ascii="Times New Roman" w:hAnsi="Times New Roman" w:cs="Times New Roman"/>
          <w:sz w:val="24"/>
          <w:szCs w:val="24"/>
          <w:lang w:val="en-US"/>
        </w:rPr>
        <w:t>RC,</w:t>
      </w:r>
      <w:bookmarkEnd w:id="3"/>
      <w:r w:rsidR="7D2DA67B" w:rsidRPr="7D2DA67B">
        <w:rPr>
          <w:rFonts w:ascii="Times New Roman" w:hAnsi="Times New Roman" w:cs="Times New Roman"/>
          <w:sz w:val="24"/>
          <w:szCs w:val="24"/>
          <w:lang w:val="en-US"/>
        </w:rPr>
        <w:t xml:space="preserve"> rotated component</w:t>
      </w:r>
      <w:r w:rsidR="00F43445">
        <w:rPr>
          <w:rFonts w:ascii="Times New Roman" w:hAnsi="Times New Roman" w:cs="Times New Roman"/>
          <w:sz w:val="24"/>
          <w:szCs w:val="24"/>
          <w:lang w:val="en-US"/>
        </w:rPr>
        <w:t>.</w:t>
      </w:r>
    </w:p>
    <w:p w14:paraId="38B55B47" w14:textId="77777777" w:rsidR="00FC46FB" w:rsidRDefault="000E6095">
      <w:pPr>
        <w:rPr>
          <w:rFonts w:ascii="Times New Roman" w:eastAsia="Times New Roman" w:hAnsi="Times New Roman" w:cs="Times New Roman"/>
          <w:b/>
          <w:sz w:val="24"/>
          <w:szCs w:val="24"/>
          <w:lang w:val="en-US"/>
        </w:rPr>
        <w:sectPr w:rsidR="00FC46FB" w:rsidSect="005A5BFB">
          <w:pgSz w:w="11906" w:h="16838"/>
          <w:pgMar w:top="1417" w:right="1417" w:bottom="1134" w:left="1417" w:header="708" w:footer="708" w:gutter="0"/>
          <w:lnNumType w:countBy="1" w:restart="continuous"/>
          <w:cols w:space="708"/>
          <w:docGrid w:linePitch="360"/>
        </w:sectPr>
      </w:pPr>
      <w:r>
        <w:rPr>
          <w:rFonts w:ascii="Times New Roman" w:eastAsia="Times New Roman" w:hAnsi="Times New Roman" w:cs="Times New Roman"/>
          <w:b/>
          <w:sz w:val="24"/>
          <w:szCs w:val="24"/>
          <w:lang w:val="en-US"/>
        </w:rPr>
        <w:br w:type="page"/>
      </w:r>
    </w:p>
    <w:p w14:paraId="58898B7E" w14:textId="531EF1D1" w:rsidR="00A24AD7" w:rsidRDefault="00A24AD7" w:rsidP="000E6095">
      <w:pPr>
        <w:spacing w:after="0" w:line="276" w:lineRule="auto"/>
        <w:rPr>
          <w:rFonts w:ascii="Times New Roman" w:hAnsi="Times New Roman" w:cs="Times New Roman"/>
          <w:b/>
          <w:sz w:val="24"/>
          <w:szCs w:val="24"/>
          <w:lang w:val="en-US"/>
        </w:rPr>
      </w:pPr>
      <w:r w:rsidRPr="00654312">
        <w:rPr>
          <w:rFonts w:ascii="Times New Roman" w:hAnsi="Times New Roman" w:cs="Times New Roman"/>
          <w:b/>
          <w:sz w:val="24"/>
          <w:lang w:val="en-US"/>
        </w:rPr>
        <w:lastRenderedPageBreak/>
        <w:t xml:space="preserve">Supplementary </w:t>
      </w:r>
      <w:r>
        <w:rPr>
          <w:rFonts w:ascii="Times New Roman" w:hAnsi="Times New Roman" w:cs="Times New Roman"/>
          <w:b/>
          <w:sz w:val="24"/>
          <w:lang w:val="en-US"/>
        </w:rPr>
        <w:t>Methods</w:t>
      </w:r>
      <w:r w:rsidRPr="00654312">
        <w:rPr>
          <w:rFonts w:ascii="Times New Roman" w:hAnsi="Times New Roman" w:cs="Times New Roman"/>
          <w:b/>
          <w:sz w:val="24"/>
          <w:lang w:val="en-US"/>
        </w:rPr>
        <w:t xml:space="preserve"> </w:t>
      </w:r>
      <w:r w:rsidRPr="00E75975">
        <w:rPr>
          <w:rFonts w:ascii="Times New Roman" w:hAnsi="Times New Roman" w:cs="Times New Roman"/>
          <w:b/>
          <w:sz w:val="24"/>
          <w:szCs w:val="24"/>
          <w:lang w:val="en-US"/>
        </w:rPr>
        <w:t>S</w:t>
      </w:r>
      <w:r>
        <w:rPr>
          <w:rFonts w:ascii="Times New Roman" w:hAnsi="Times New Roman" w:cs="Times New Roman"/>
          <w:b/>
          <w:sz w:val="24"/>
          <w:szCs w:val="24"/>
          <w:lang w:val="en-US"/>
        </w:rPr>
        <w:t xml:space="preserve">1: Nitrogen measurement using </w:t>
      </w:r>
      <w:r w:rsidR="003116F8">
        <w:rPr>
          <w:rFonts w:ascii="Times New Roman" w:hAnsi="Times New Roman" w:cs="Times New Roman"/>
          <w:b/>
          <w:sz w:val="24"/>
          <w:szCs w:val="24"/>
          <w:lang w:val="en-US"/>
        </w:rPr>
        <w:t>near-i</w:t>
      </w:r>
      <w:r w:rsidR="003116F8" w:rsidRPr="003116F8">
        <w:rPr>
          <w:rFonts w:ascii="Times New Roman" w:hAnsi="Times New Roman" w:cs="Times New Roman"/>
          <w:b/>
          <w:sz w:val="24"/>
          <w:szCs w:val="24"/>
          <w:lang w:val="en-US"/>
        </w:rPr>
        <w:t>nfrared spectroscopy</w:t>
      </w:r>
      <w:r w:rsidR="003116F8">
        <w:rPr>
          <w:rFonts w:ascii="Times New Roman" w:hAnsi="Times New Roman" w:cs="Times New Roman"/>
          <w:b/>
          <w:sz w:val="24"/>
          <w:szCs w:val="24"/>
          <w:lang w:val="en-US"/>
        </w:rPr>
        <w:t xml:space="preserve"> (</w:t>
      </w:r>
      <w:r>
        <w:rPr>
          <w:rFonts w:ascii="Times New Roman" w:hAnsi="Times New Roman" w:cs="Times New Roman"/>
          <w:b/>
          <w:sz w:val="24"/>
          <w:szCs w:val="24"/>
          <w:lang w:val="en-US"/>
        </w:rPr>
        <w:t>NIR</w:t>
      </w:r>
      <w:r w:rsidR="003116F8">
        <w:rPr>
          <w:rFonts w:ascii="Times New Roman" w:hAnsi="Times New Roman" w:cs="Times New Roman"/>
          <w:b/>
          <w:sz w:val="24"/>
          <w:szCs w:val="24"/>
          <w:lang w:val="en-US"/>
        </w:rPr>
        <w:t>)</w:t>
      </w:r>
    </w:p>
    <w:p w14:paraId="492F725F" w14:textId="54EE4023" w:rsidR="00A24AD7" w:rsidRDefault="00A24AD7" w:rsidP="000E6095">
      <w:pPr>
        <w:spacing w:after="0" w:line="276" w:lineRule="auto"/>
        <w:rPr>
          <w:rFonts w:ascii="Times New Roman" w:hAnsi="Times New Roman" w:cs="Times New Roman"/>
          <w:b/>
          <w:sz w:val="24"/>
          <w:szCs w:val="24"/>
          <w:lang w:val="en-GB"/>
        </w:rPr>
      </w:pPr>
    </w:p>
    <w:p w14:paraId="531F503C" w14:textId="60BAA1E2" w:rsidR="00A24AD7" w:rsidRPr="00A24AD7" w:rsidRDefault="00A24AD7" w:rsidP="00547F67">
      <w:pPr>
        <w:spacing w:after="0" w:line="360" w:lineRule="auto"/>
        <w:jc w:val="both"/>
        <w:rPr>
          <w:rFonts w:ascii="Times New Roman" w:hAnsi="Times New Roman" w:cs="Times New Roman"/>
          <w:b/>
          <w:sz w:val="24"/>
          <w:szCs w:val="24"/>
          <w:lang w:val="en-GB"/>
        </w:rPr>
      </w:pPr>
      <w:r>
        <w:rPr>
          <w:rFonts w:ascii="Times New Roman" w:eastAsia="Times New Roman" w:hAnsi="Times New Roman" w:cs="Times New Roman"/>
          <w:sz w:val="24"/>
          <w:szCs w:val="24"/>
          <w:lang w:val="en-GB"/>
        </w:rPr>
        <w:t>Milled root samples</w:t>
      </w:r>
      <w:r w:rsidRPr="00A24AD7">
        <w:rPr>
          <w:rFonts w:ascii="Times New Roman" w:eastAsia="Times New Roman" w:hAnsi="Times New Roman" w:cs="Times New Roman"/>
          <w:sz w:val="24"/>
          <w:szCs w:val="24"/>
          <w:lang w:val="en-GB"/>
        </w:rPr>
        <w:t xml:space="preserve"> were freeze-dried again to measure NIR in the range of 9090–4000cm</w:t>
      </w:r>
      <w:r w:rsidRPr="00A24AD7">
        <w:rPr>
          <w:rFonts w:ascii="Times New Roman" w:eastAsia="Times New Roman" w:hAnsi="Times New Roman" w:cs="Times New Roman"/>
          <w:sz w:val="24"/>
          <w:szCs w:val="24"/>
          <w:vertAlign w:val="superscript"/>
          <w:lang w:val="en-GB"/>
        </w:rPr>
        <w:t>−1</w:t>
      </w:r>
      <w:r w:rsidRPr="00A24AD7">
        <w:rPr>
          <w:rFonts w:ascii="Times New Roman" w:eastAsia="Times New Roman" w:hAnsi="Times New Roman" w:cs="Times New Roman"/>
          <w:sz w:val="24"/>
          <w:szCs w:val="24"/>
          <w:lang w:val="en-GB"/>
        </w:rPr>
        <w:t xml:space="preserve"> at 8cm</w:t>
      </w:r>
      <w:r w:rsidRPr="00A24AD7">
        <w:rPr>
          <w:rFonts w:ascii="Times New Roman" w:eastAsia="Times New Roman" w:hAnsi="Times New Roman" w:cs="Times New Roman"/>
          <w:sz w:val="24"/>
          <w:szCs w:val="24"/>
          <w:vertAlign w:val="superscript"/>
          <w:lang w:val="en-GB"/>
        </w:rPr>
        <w:t>−1</w:t>
      </w:r>
      <w:r w:rsidRPr="00A24AD7">
        <w:rPr>
          <w:rFonts w:ascii="Times New Roman" w:eastAsia="Times New Roman" w:hAnsi="Times New Roman" w:cs="Times New Roman"/>
          <w:sz w:val="24"/>
          <w:szCs w:val="24"/>
          <w:lang w:val="en-GB"/>
        </w:rPr>
        <w:t xml:space="preserve"> resolution in transmission mode (Multi-Purpose FT-NIR-</w:t>
      </w:r>
      <w:proofErr w:type="spellStart"/>
      <w:r w:rsidRPr="00A24AD7">
        <w:rPr>
          <w:rFonts w:ascii="Times New Roman" w:eastAsia="Times New Roman" w:hAnsi="Times New Roman" w:cs="Times New Roman"/>
          <w:sz w:val="24"/>
          <w:szCs w:val="24"/>
          <w:lang w:val="en-GB"/>
        </w:rPr>
        <w:t>Analyzer</w:t>
      </w:r>
      <w:proofErr w:type="spellEnd"/>
      <w:r w:rsidRPr="00A24AD7">
        <w:rPr>
          <w:rFonts w:ascii="Times New Roman" w:eastAsia="Times New Roman" w:hAnsi="Times New Roman" w:cs="Times New Roman"/>
          <w:sz w:val="24"/>
          <w:szCs w:val="24"/>
          <w:lang w:val="en-GB"/>
        </w:rPr>
        <w:t>, Bruker Corporation, Billerica, USA). For each sample, five independent measurements were averaged. We converted transmission to absorbance as log</w:t>
      </w:r>
      <w:r w:rsidRPr="00A24AD7">
        <w:rPr>
          <w:rFonts w:ascii="Times New Roman" w:eastAsia="Times New Roman" w:hAnsi="Times New Roman" w:cs="Times New Roman"/>
          <w:sz w:val="24"/>
          <w:szCs w:val="24"/>
          <w:vertAlign w:val="subscript"/>
          <w:lang w:val="en-GB"/>
        </w:rPr>
        <w:t>10</w:t>
      </w:r>
      <w:r w:rsidRPr="00A24AD7">
        <w:rPr>
          <w:rFonts w:ascii="Times New Roman" w:eastAsia="Times New Roman" w:hAnsi="Times New Roman" w:cs="Times New Roman"/>
          <w:sz w:val="24"/>
          <w:szCs w:val="24"/>
          <w:lang w:val="en-GB"/>
        </w:rPr>
        <w:t>(1/Transmission) and used it in combination with a bootstrapped CARS-PLSR procedure</w:t>
      </w:r>
      <w:r w:rsidRPr="003B0886">
        <w:rPr>
          <w:rFonts w:ascii="Times New Roman" w:eastAsia="Times New Roman" w:hAnsi="Times New Roman" w:cs="Times New Roman"/>
          <w:sz w:val="24"/>
          <w:szCs w:val="24"/>
        </w:rPr>
        <w:fldChar w:fldCharType="begin"/>
      </w:r>
      <w:r w:rsidR="00547F67">
        <w:rPr>
          <w:rFonts w:ascii="Times New Roman" w:eastAsia="Times New Roman" w:hAnsi="Times New Roman" w:cs="Times New Roman"/>
          <w:sz w:val="24"/>
          <w:szCs w:val="24"/>
          <w:lang w:val="en-GB"/>
        </w:rPr>
        <w:instrText xml:space="preserve"> ADDIN ZOTERO_ITEM CSL_CITATION {"citationID":"a15tloef1v4","properties":{"formattedCitation":"(Richter &amp; Bassi 2023)","plainCitation":"(Richter &amp; Bassi 2023)","noteIndex":0},"citationItems":[{"id":7304,"uris":["http://zotero.org/users/10168430/items/QENTKT37"],"itemData":{"id":7304,"type":"dataset","DOI":"10.25829/D6F2-ZP34","language":"en","publisher":"Jena Experiment Information System","source":"DOI.org (Datacite)","title":"Bagging-CARS-PLS model R code","URL":"https://jexis.idiv.de/ddm/data/Showdata/510?version=11","version":"11","author":[{"family":"Richter","given":"Ronny"},{"family":"Bassi","given":"Leonardo"}],"accessed":{"date-parts":[["2024",1,9]]},"issued":{"date-parts":[["2023"]]}}}],"schema":"https://github.com/citation-style-language/schema/raw/master/csl-citation.json"} </w:instrText>
      </w:r>
      <w:r w:rsidRPr="003B0886">
        <w:rPr>
          <w:rFonts w:ascii="Times New Roman" w:eastAsia="Times New Roman" w:hAnsi="Times New Roman" w:cs="Times New Roman"/>
          <w:sz w:val="24"/>
          <w:szCs w:val="24"/>
        </w:rPr>
        <w:fldChar w:fldCharType="separate"/>
      </w:r>
      <w:r w:rsidR="00547F67" w:rsidRPr="00547F67">
        <w:rPr>
          <w:rFonts w:ascii="Times New Roman" w:hAnsi="Times New Roman" w:cs="Times New Roman"/>
          <w:sz w:val="24"/>
          <w:lang w:val="en-GB"/>
        </w:rPr>
        <w:t>(Richter &amp; Bassi 2023)</w:t>
      </w:r>
      <w:r w:rsidRPr="003B0886">
        <w:rPr>
          <w:rFonts w:ascii="Times New Roman" w:eastAsia="Times New Roman" w:hAnsi="Times New Roman" w:cs="Times New Roman"/>
          <w:sz w:val="24"/>
          <w:szCs w:val="24"/>
        </w:rPr>
        <w:fldChar w:fldCharType="end"/>
      </w:r>
      <w:r w:rsidRPr="00A24AD7">
        <w:rPr>
          <w:rFonts w:ascii="Times New Roman" w:eastAsia="Times New Roman" w:hAnsi="Times New Roman" w:cs="Times New Roman"/>
          <w:sz w:val="24"/>
          <w:szCs w:val="24"/>
          <w:lang w:val="en-GB"/>
        </w:rPr>
        <w:t xml:space="preserve"> to predict nitrogen content. These 26 samples were distributed among plots with 1, 2, 4, 8, 16 and 60 species plots with 2, 1, 3, 9, 8 and 3 samples, respectively.</w:t>
      </w:r>
    </w:p>
    <w:p w14:paraId="54CF0F0D" w14:textId="1597C133" w:rsidR="00A24AD7" w:rsidRPr="00A24AD7" w:rsidRDefault="00A24AD7" w:rsidP="00A24AD7">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3FA3AAF4" w14:textId="6239A55B" w:rsidR="000E6095" w:rsidRPr="00B92BA5" w:rsidRDefault="000E6095" w:rsidP="000E6095">
      <w:pPr>
        <w:spacing w:after="0" w:line="276" w:lineRule="auto"/>
        <w:rPr>
          <w:rFonts w:ascii="Times New Roman" w:eastAsia="Times New Roman" w:hAnsi="Times New Roman" w:cs="Times New Roman"/>
          <w:b/>
          <w:sz w:val="24"/>
          <w:szCs w:val="24"/>
          <w:lang w:val="en-GB"/>
        </w:rPr>
      </w:pPr>
      <w:r w:rsidRPr="00654312">
        <w:rPr>
          <w:rFonts w:ascii="Times New Roman" w:hAnsi="Times New Roman" w:cs="Times New Roman"/>
          <w:b/>
          <w:sz w:val="24"/>
          <w:lang w:val="en-US"/>
        </w:rPr>
        <w:lastRenderedPageBreak/>
        <w:t xml:space="preserve">Supplementary </w:t>
      </w:r>
      <w:r>
        <w:rPr>
          <w:rFonts w:ascii="Times New Roman" w:hAnsi="Times New Roman" w:cs="Times New Roman"/>
          <w:b/>
          <w:sz w:val="24"/>
          <w:lang w:val="en-US"/>
        </w:rPr>
        <w:t>Methods</w:t>
      </w:r>
      <w:r w:rsidRPr="00654312">
        <w:rPr>
          <w:rFonts w:ascii="Times New Roman" w:hAnsi="Times New Roman" w:cs="Times New Roman"/>
          <w:b/>
          <w:sz w:val="24"/>
          <w:lang w:val="en-US"/>
        </w:rPr>
        <w:t xml:space="preserve"> </w:t>
      </w:r>
      <w:r w:rsidRPr="00E75975">
        <w:rPr>
          <w:rFonts w:ascii="Times New Roman" w:hAnsi="Times New Roman" w:cs="Times New Roman"/>
          <w:b/>
          <w:sz w:val="24"/>
          <w:szCs w:val="24"/>
          <w:lang w:val="en-US"/>
        </w:rPr>
        <w:t>S</w:t>
      </w:r>
      <w:r w:rsidR="00A24AD7">
        <w:rPr>
          <w:rFonts w:ascii="Times New Roman" w:hAnsi="Times New Roman" w:cs="Times New Roman"/>
          <w:b/>
          <w:sz w:val="24"/>
          <w:szCs w:val="24"/>
          <w:lang w:val="en-US"/>
        </w:rPr>
        <w:t>2</w:t>
      </w:r>
      <w:r w:rsidRPr="00E75975">
        <w:rPr>
          <w:rFonts w:ascii="Times New Roman" w:hAnsi="Times New Roman" w:cs="Times New Roman"/>
          <w:b/>
          <w:sz w:val="24"/>
          <w:szCs w:val="24"/>
          <w:lang w:val="en-US"/>
        </w:rPr>
        <w:t>:</w:t>
      </w:r>
      <w:r w:rsidRPr="00E75975">
        <w:rPr>
          <w:rFonts w:ascii="Times New Roman" w:eastAsia="Times New Roman" w:hAnsi="Times New Roman" w:cs="Times New Roman"/>
          <w:b/>
          <w:sz w:val="24"/>
          <w:szCs w:val="24"/>
          <w:lang w:val="en-US"/>
        </w:rPr>
        <w:t xml:space="preserve"> </w:t>
      </w:r>
      <w:r w:rsidR="00B92BA5">
        <w:rPr>
          <w:rFonts w:ascii="Times New Roman" w:eastAsia="Times New Roman" w:hAnsi="Times New Roman" w:cs="Times New Roman"/>
          <w:b/>
          <w:sz w:val="24"/>
          <w:szCs w:val="24"/>
          <w:lang w:val="en-US"/>
        </w:rPr>
        <w:t>Amplicon sequencing and description of ITS2 dataset</w:t>
      </w:r>
    </w:p>
    <w:p w14:paraId="04E22DFB" w14:textId="77777777" w:rsidR="000E6095" w:rsidRPr="00FC46FB" w:rsidRDefault="000E6095" w:rsidP="000E6095">
      <w:pPr>
        <w:spacing w:after="0" w:line="276" w:lineRule="auto"/>
        <w:rPr>
          <w:rFonts w:ascii="Times New Roman" w:eastAsia="Times New Roman" w:hAnsi="Times New Roman" w:cs="Times New Roman"/>
          <w:sz w:val="24"/>
          <w:szCs w:val="24"/>
          <w:lang w:val="en-US"/>
        </w:rPr>
      </w:pPr>
    </w:p>
    <w:p w14:paraId="7D75BC3D" w14:textId="3D15F00E" w:rsidR="00B92BA5" w:rsidRPr="00B92BA5" w:rsidRDefault="00B92BA5" w:rsidP="00B92BA5">
      <w:p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After PCR, </w:t>
      </w:r>
      <w:r w:rsidRPr="00B92BA5">
        <w:rPr>
          <w:rFonts w:ascii="Times New Roman" w:eastAsia="Times New Roman" w:hAnsi="Times New Roman" w:cs="Times New Roman"/>
          <w:sz w:val="24"/>
          <w:szCs w:val="24"/>
          <w:lang w:val="en-GB"/>
        </w:rPr>
        <w:t xml:space="preserve">three positive PCR products were pooled, purified with </w:t>
      </w:r>
      <w:proofErr w:type="spellStart"/>
      <w:r w:rsidRPr="00B92BA5">
        <w:rPr>
          <w:rFonts w:ascii="Times New Roman" w:eastAsia="Times New Roman" w:hAnsi="Times New Roman" w:cs="Times New Roman"/>
          <w:sz w:val="24"/>
          <w:szCs w:val="24"/>
          <w:lang w:val="en-GB"/>
        </w:rPr>
        <w:t>AMPure</w:t>
      </w:r>
      <w:proofErr w:type="spellEnd"/>
      <w:r w:rsidRPr="00B92BA5">
        <w:rPr>
          <w:rFonts w:ascii="Times New Roman" w:eastAsia="Times New Roman" w:hAnsi="Times New Roman" w:cs="Times New Roman"/>
          <w:sz w:val="24"/>
          <w:szCs w:val="24"/>
          <w:lang w:val="en-GB"/>
        </w:rPr>
        <w:t xml:space="preserve"> XP beads (Beckman Coulter), and indexed with the </w:t>
      </w:r>
      <w:proofErr w:type="spellStart"/>
      <w:r w:rsidRPr="00B92BA5">
        <w:rPr>
          <w:rFonts w:ascii="Times New Roman" w:eastAsia="Times New Roman" w:hAnsi="Times New Roman" w:cs="Times New Roman"/>
          <w:sz w:val="24"/>
          <w:szCs w:val="24"/>
          <w:lang w:val="en-GB"/>
        </w:rPr>
        <w:t>Nextera</w:t>
      </w:r>
      <w:proofErr w:type="spellEnd"/>
      <w:r w:rsidRPr="00B92BA5">
        <w:rPr>
          <w:rFonts w:ascii="Times New Roman" w:eastAsia="Times New Roman" w:hAnsi="Times New Roman" w:cs="Times New Roman"/>
          <w:sz w:val="24"/>
          <w:szCs w:val="24"/>
          <w:lang w:val="en-GB"/>
        </w:rPr>
        <w:t xml:space="preserve"> XT Illumina Index Kit (Illumina Inc., San Diego, USA). The samples were then pooled to equal molarity and the paired-end sequencing of 2 × 300 </w:t>
      </w:r>
      <w:proofErr w:type="spellStart"/>
      <w:r w:rsidRPr="00B92BA5">
        <w:rPr>
          <w:rFonts w:ascii="Times New Roman" w:eastAsia="Times New Roman" w:hAnsi="Times New Roman" w:cs="Times New Roman"/>
          <w:sz w:val="24"/>
          <w:szCs w:val="24"/>
          <w:lang w:val="en-GB"/>
        </w:rPr>
        <w:t>bp</w:t>
      </w:r>
      <w:proofErr w:type="spellEnd"/>
      <w:r w:rsidRPr="00B92BA5">
        <w:rPr>
          <w:rFonts w:ascii="Times New Roman" w:eastAsia="Times New Roman" w:hAnsi="Times New Roman" w:cs="Times New Roman"/>
          <w:sz w:val="24"/>
          <w:szCs w:val="24"/>
          <w:lang w:val="en-GB"/>
        </w:rPr>
        <w:t xml:space="preserve"> was performed using a </w:t>
      </w:r>
      <w:proofErr w:type="spellStart"/>
      <w:r w:rsidRPr="00B92BA5">
        <w:rPr>
          <w:rFonts w:ascii="Times New Roman" w:eastAsia="Times New Roman" w:hAnsi="Times New Roman" w:cs="Times New Roman"/>
          <w:sz w:val="24"/>
          <w:szCs w:val="24"/>
          <w:lang w:val="en-GB"/>
        </w:rPr>
        <w:t>MiSeq</w:t>
      </w:r>
      <w:proofErr w:type="spellEnd"/>
      <w:r w:rsidRPr="00B92BA5">
        <w:rPr>
          <w:rFonts w:ascii="Times New Roman" w:eastAsia="Times New Roman" w:hAnsi="Times New Roman" w:cs="Times New Roman"/>
          <w:sz w:val="24"/>
          <w:szCs w:val="24"/>
          <w:lang w:val="en-GB"/>
        </w:rPr>
        <w:t xml:space="preserve"> Reagent Kit v3 on an Illumina </w:t>
      </w:r>
      <w:proofErr w:type="spellStart"/>
      <w:r w:rsidRPr="00B92BA5">
        <w:rPr>
          <w:rFonts w:ascii="Times New Roman" w:eastAsia="Times New Roman" w:hAnsi="Times New Roman" w:cs="Times New Roman"/>
          <w:sz w:val="24"/>
          <w:szCs w:val="24"/>
          <w:lang w:val="en-GB"/>
        </w:rPr>
        <w:t>MiSeq</w:t>
      </w:r>
      <w:proofErr w:type="spellEnd"/>
      <w:r w:rsidRPr="00B92BA5">
        <w:rPr>
          <w:rFonts w:ascii="Times New Roman" w:eastAsia="Times New Roman" w:hAnsi="Times New Roman" w:cs="Times New Roman"/>
          <w:sz w:val="24"/>
          <w:szCs w:val="24"/>
          <w:lang w:val="en-GB"/>
        </w:rPr>
        <w:t xml:space="preserve"> System at the Department of Soil Ecology of the Helmholtz-Centre for Environmental Research (UFZ, Halle/Saale, </w:t>
      </w:r>
      <w:proofErr w:type="gramStart"/>
      <w:r w:rsidRPr="00B92BA5">
        <w:rPr>
          <w:rFonts w:ascii="Times New Roman" w:eastAsia="Times New Roman" w:hAnsi="Times New Roman" w:cs="Times New Roman"/>
          <w:sz w:val="24"/>
          <w:szCs w:val="24"/>
          <w:lang w:val="en-GB"/>
        </w:rPr>
        <w:t>Germany</w:t>
      </w:r>
      <w:proofErr w:type="gramEnd"/>
      <w:r w:rsidRPr="00B92BA5">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Pr="00B92BA5">
        <w:rPr>
          <w:rFonts w:ascii="Times New Roman" w:eastAsia="Times New Roman" w:hAnsi="Times New Roman" w:cs="Times New Roman"/>
          <w:sz w:val="24"/>
          <w:szCs w:val="24"/>
          <w:lang w:val="en-GB"/>
        </w:rPr>
        <w:t>To overcome the amplification bias against AMF with ITS primers</w:t>
      </w:r>
      <w:r w:rsidR="00547F67">
        <w:rPr>
          <w:rFonts w:ascii="Times New Roman" w:eastAsia="Times New Roman" w:hAnsi="Times New Roman" w:cs="Times New Roman"/>
          <w:sz w:val="24"/>
          <w:szCs w:val="24"/>
          <w:lang w:val="en-GB"/>
        </w:rPr>
        <w:t xml:space="preserve"> </w:t>
      </w:r>
      <w:r w:rsidRPr="003B0886">
        <w:rPr>
          <w:rFonts w:ascii="Times New Roman" w:eastAsia="Times New Roman" w:hAnsi="Times New Roman" w:cs="Times New Roman"/>
          <w:sz w:val="24"/>
          <w:szCs w:val="24"/>
        </w:rPr>
        <w:fldChar w:fldCharType="begin"/>
      </w:r>
      <w:r w:rsidR="00547F67">
        <w:rPr>
          <w:rFonts w:ascii="Times New Roman" w:eastAsia="Times New Roman" w:hAnsi="Times New Roman" w:cs="Times New Roman"/>
          <w:sz w:val="24"/>
          <w:szCs w:val="24"/>
          <w:lang w:val="en-GB"/>
        </w:rPr>
        <w:instrText xml:space="preserve"> ADDIN ZOTERO_ITEM CSL_CITATION {"citationID":"ask85p9o73","properties":{"formattedCitation":"(Tedersoo {\\i{}et al.} 2015)","plainCitation":"(Tedersoo et al. 2015)","noteIndex":0},"citationItems":[{"id":2347,"uris":["http://zotero.org/users/10168430/items/BWJ3FKNW"],"itemData":{"id":2347,"type":"article-journal","abstract":"Rapid development of high-throughput (HTS) molecular identification methods has revolutionized our knowledge about taxonomic diversity and ecology of fungi. However, PCR-based methods exhibit multiple technical shortcomings that may bias our understanding of the fungal kingdom. This study was initiated to quantify potential biases in fungal community ecology by comparing the relative performance of amplicon-free shotgun metagenomics and amplicons of nine primer pairs over seven nuclear ribosomal DNA (rDNA) regions often used in metabarcoding analyses. The internal transcribed spacer (ITS) barcodes ITS1 and ITS2 provided greater taxonomic and functional resolution and richness of operational taxonomic units (OTUs) at the 97% similarity threshold compared to barcodes located within the ribosomal small subunit (SSU) and large subunit (LSU) genes. All barcode-primer pair combinations provided consistent results in ranking taxonomic richness and recovering the importance of floristic variables in driving fungal community composition in soils of Papua New Guinea. The choice of forward primer explained up to 2.0% of the variation in OTU-level analysis of the ITS1 and ITS2 barcode data sets. Across the whole data set, barcode-primer pair combination explained 37.6-38.1% of the variation, which surpassed any environmental signal. Overall, the metagenomics data set recovered a similar taxonomic overview, but resulted in much lower fungal rDNA sequencing depth, inability to infer OTUs, and high uncertainty in identification. We recommend the use of ITS2 or the whole ITS region for metabarcoding and we advocate careful choice of primer pairs in consideration of the relative proportion of fungal DNA and expected dominant groups.","container-title":"MycoKeys","DOI":"10.3897/MYCOKEYS.10.4852","ISSN":"1314-4049","note":"publisher: Pensoft Publishers","page":"1-43","title":"Shotgun metagenomes and multiple primer pair-barcode combinations of amplicons reveal biases in metabarcoding analyses of fungi","volume":"10","author":[{"family":"Tedersoo","given":"Leho"},{"family":"Anslan","given":"Sten"},{"family":"Bahram","given":"Mohammad"},{"family":"Põlme","given":"Sergei"},{"family":"Riit","given":"Taavi"},{"family":"Liiv","given":"Ingrid"},{"family":"Kõljalg","given":"Urmas"},{"family":"Kisand","given":"Veljo"},{"family":"Nilsson","given":"R. Henrik"},{"family":"Hildebrand","given":"Falk"},{"family":"Bork","given":"Peer"},{"family":"Abarenkov","given":"Kessy"}],"issued":{"date-parts":[["2015",5,13]]}}}],"schema":"https://github.com/citation-style-language/schema/raw/master/csl-citation.json"} </w:instrText>
      </w:r>
      <w:r w:rsidRPr="003B0886">
        <w:rPr>
          <w:rFonts w:ascii="Times New Roman" w:eastAsia="Times New Roman" w:hAnsi="Times New Roman" w:cs="Times New Roman"/>
          <w:sz w:val="24"/>
          <w:szCs w:val="24"/>
        </w:rPr>
        <w:fldChar w:fldCharType="separate"/>
      </w:r>
      <w:r w:rsidR="00547F67" w:rsidRPr="00547F67">
        <w:rPr>
          <w:rFonts w:ascii="Times New Roman" w:hAnsi="Times New Roman" w:cs="Times New Roman"/>
          <w:sz w:val="24"/>
          <w:szCs w:val="24"/>
          <w:lang w:val="en-GB"/>
        </w:rPr>
        <w:t>(</w:t>
      </w:r>
      <w:proofErr w:type="spellStart"/>
      <w:r w:rsidR="00547F67" w:rsidRPr="00547F67">
        <w:rPr>
          <w:rFonts w:ascii="Times New Roman" w:hAnsi="Times New Roman" w:cs="Times New Roman"/>
          <w:sz w:val="24"/>
          <w:szCs w:val="24"/>
          <w:lang w:val="en-GB"/>
        </w:rPr>
        <w:t>Tedersoo</w:t>
      </w:r>
      <w:proofErr w:type="spellEnd"/>
      <w:r w:rsidR="00547F67" w:rsidRPr="00547F67">
        <w:rPr>
          <w:rFonts w:ascii="Times New Roman" w:hAnsi="Times New Roman" w:cs="Times New Roman"/>
          <w:sz w:val="24"/>
          <w:szCs w:val="24"/>
          <w:lang w:val="en-GB"/>
        </w:rPr>
        <w:t xml:space="preserve"> </w:t>
      </w:r>
      <w:r w:rsidR="00547F67" w:rsidRPr="00547F67">
        <w:rPr>
          <w:rFonts w:ascii="Times New Roman" w:hAnsi="Times New Roman" w:cs="Times New Roman"/>
          <w:i/>
          <w:iCs/>
          <w:sz w:val="24"/>
          <w:szCs w:val="24"/>
          <w:lang w:val="en-GB"/>
        </w:rPr>
        <w:t>et al.</w:t>
      </w:r>
      <w:r w:rsidR="00547F67" w:rsidRPr="00547F67">
        <w:rPr>
          <w:rFonts w:ascii="Times New Roman" w:hAnsi="Times New Roman" w:cs="Times New Roman"/>
          <w:sz w:val="24"/>
          <w:szCs w:val="24"/>
          <w:lang w:val="en-GB"/>
        </w:rPr>
        <w:t xml:space="preserve"> 2015)</w:t>
      </w:r>
      <w:r w:rsidRPr="003B0886">
        <w:rPr>
          <w:rFonts w:ascii="Times New Roman" w:eastAsia="Times New Roman" w:hAnsi="Times New Roman" w:cs="Times New Roman"/>
          <w:sz w:val="24"/>
          <w:szCs w:val="24"/>
        </w:rPr>
        <w:fldChar w:fldCharType="end"/>
      </w:r>
      <w:r w:rsidRPr="00B92BA5">
        <w:rPr>
          <w:rFonts w:ascii="Times New Roman" w:eastAsia="Times New Roman" w:hAnsi="Times New Roman" w:cs="Times New Roman"/>
          <w:sz w:val="24"/>
          <w:szCs w:val="24"/>
          <w:lang w:val="en-GB"/>
        </w:rPr>
        <w:t xml:space="preserve">, we used the sequence data from Albracht </w:t>
      </w:r>
      <w:r w:rsidRPr="00B92BA5">
        <w:rPr>
          <w:rFonts w:ascii="Times New Roman" w:eastAsia="Times New Roman" w:hAnsi="Times New Roman" w:cs="Times New Roman"/>
          <w:i/>
          <w:sz w:val="24"/>
          <w:szCs w:val="24"/>
          <w:lang w:val="en-GB"/>
        </w:rPr>
        <w:t xml:space="preserve">et al. </w:t>
      </w:r>
      <w:r w:rsidRPr="003B0886">
        <w:rPr>
          <w:rFonts w:ascii="Times New Roman" w:eastAsia="Times New Roman" w:hAnsi="Times New Roman" w:cs="Times New Roman"/>
          <w:i/>
          <w:sz w:val="24"/>
          <w:szCs w:val="24"/>
        </w:rPr>
        <w:fldChar w:fldCharType="begin"/>
      </w:r>
      <w:r w:rsidR="00547F67">
        <w:rPr>
          <w:rFonts w:ascii="Times New Roman" w:eastAsia="Times New Roman" w:hAnsi="Times New Roman" w:cs="Times New Roman"/>
          <w:i/>
          <w:sz w:val="24"/>
          <w:szCs w:val="24"/>
          <w:lang w:val="en-GB"/>
        </w:rPr>
        <w:instrText xml:space="preserve"> ADDIN ZOTERO_ITEM CSL_CITATION {"citationID":"pjY8WBJC","properties":{"formattedCitation":"(2024)","plainCitation":"(2024)","noteIndex":0},"citationItems":[{"id":9116,"uris":["http://zotero.org/users/10168430/items/53W7SU4E","http://zotero.org/users/10168430/items/BWGKKIZ5"],"itemData":{"id":9116,"type":"article-journal","abstract":"The relationship between biodiversity and ecosystem functioning strengthens with ecosystem age. However, the interplay between the plant diversity - ecosystem functioning relationship and Glomeromycotinian arbuscular mycorrhizal fungi (AMF) community assembly has not yet been scrutinized in this context, despite AMF’s role in plant survival and niche exploration. We study the development of AMF communities by disentangling soil- and plant-driven effects from calendar year effects. Within a long-term grassland biodiversity experiment, the pre-existing plant communities of varying plant diversity were re-established as split plots with combinations of common plant and soil histories: split plots with neither common plant nor soil history, with only soil but no plant history, and with both common plant and soil history. We found that bulk soil AMF communities were primarily shaped by common soil history, and additional common plant history had little effect. Further, the steepness of AMF diversity and plant diversity relationship did not strengthen over time, but AMF community evenness increased with common history. Specialisation of AMF towards plant species was low throughout, giving no indication of AMF communities specialising or diversifying over time. The potential of bulk soil AMF as mediators of variation in plant and microbial biomass over time and hence as drivers of biodiversity and ecosystem relationships was low. Our results suggest that soil processes may be key for the build-up of plant community-specific mycorrhizal communities with likely feedback effects on ecosystem productivity, but the plant-available mycorrhizal pool in bulk soil itself does not explain the strengthening of biodiversity and ecosystem relationships over time.","container-title":"Biology and Fertility of Soils","DOI":"10.1007/s00374-024-01821-0","ISSN":"1432-0789","issue":"4","journalAbbreviation":"Biol Fertil Soils","language":"en","page":"547-562","source":"Springer Link","title":"Common soil history is more important than plant history for arbuscular mycorrhizal community assembly in an experimental grassland diversity gradient","volume":"60","author":[{"family":"Albracht","given":"Cynthia"},{"family":"Solbach","given":"Marcel Dominik"},{"family":"Hennecke","given":"Justus"},{"family":"Bassi","given":"Leonardo"},{"family":"Ploeg","given":"Geert Roelof","non-dropping-particle":"van der"},{"family":"Eisenhauer","given":"Nico"},{"family":"Weigelt","given":"Alexandra"},{"family":"Buscot","given":"François"},{"family":"Heintz-Buschart","given":"Anna"}],"issued":{"date-parts":[["2024",5,1]]}},"label":"page","suppress-author":true}],"schema":"https://github.com/citation-style-language/schema/raw/master/csl-citation.json"} </w:instrText>
      </w:r>
      <w:r w:rsidRPr="003B0886">
        <w:rPr>
          <w:rFonts w:ascii="Times New Roman" w:eastAsia="Times New Roman" w:hAnsi="Times New Roman" w:cs="Times New Roman"/>
          <w:i/>
          <w:sz w:val="24"/>
          <w:szCs w:val="24"/>
        </w:rPr>
        <w:fldChar w:fldCharType="separate"/>
      </w:r>
      <w:r w:rsidR="00547F67" w:rsidRPr="00547F67">
        <w:rPr>
          <w:rFonts w:ascii="Times New Roman" w:hAnsi="Times New Roman" w:cs="Times New Roman"/>
          <w:sz w:val="24"/>
          <w:lang w:val="en-GB"/>
        </w:rPr>
        <w:t>(2024)</w:t>
      </w:r>
      <w:r w:rsidRPr="003B0886">
        <w:rPr>
          <w:rFonts w:ascii="Times New Roman" w:eastAsia="Times New Roman" w:hAnsi="Times New Roman" w:cs="Times New Roman"/>
          <w:i/>
          <w:sz w:val="24"/>
          <w:szCs w:val="24"/>
        </w:rPr>
        <w:fldChar w:fldCharType="end"/>
      </w:r>
      <w:r w:rsidRPr="00B92BA5">
        <w:rPr>
          <w:rFonts w:ascii="Times New Roman" w:eastAsia="Times New Roman" w:hAnsi="Times New Roman" w:cs="Times New Roman"/>
          <w:sz w:val="24"/>
          <w:szCs w:val="24"/>
          <w:lang w:val="en-GB"/>
        </w:rPr>
        <w:t xml:space="preserve">. In short, the SSU of AMF was amplified using a nested PCR with primer pair </w:t>
      </w:r>
      <w:proofErr w:type="spellStart"/>
      <w:r w:rsidRPr="00B92BA5">
        <w:rPr>
          <w:rFonts w:ascii="Times New Roman" w:eastAsia="Times New Roman" w:hAnsi="Times New Roman" w:cs="Times New Roman"/>
          <w:sz w:val="24"/>
          <w:szCs w:val="24"/>
          <w:lang w:val="en-GB"/>
        </w:rPr>
        <w:t>Glomer</w:t>
      </w:r>
      <w:proofErr w:type="spellEnd"/>
      <w:r w:rsidRPr="00B92BA5">
        <w:rPr>
          <w:rFonts w:ascii="Times New Roman" w:eastAsia="Times New Roman" w:hAnsi="Times New Roman" w:cs="Times New Roman"/>
          <w:sz w:val="24"/>
          <w:szCs w:val="24"/>
          <w:lang w:val="en-GB"/>
        </w:rPr>
        <w:t xml:space="preserve"> 1536 / WT0 for the first PCR and NS31 / AML2 for the second PCR according to </w:t>
      </w:r>
      <w:proofErr w:type="spellStart"/>
      <w:r w:rsidRPr="00B92BA5">
        <w:rPr>
          <w:rFonts w:ascii="Times New Roman" w:eastAsia="Times New Roman" w:hAnsi="Times New Roman" w:cs="Times New Roman"/>
          <w:sz w:val="24"/>
          <w:szCs w:val="24"/>
          <w:lang w:val="en-GB"/>
        </w:rPr>
        <w:t>Wahdan</w:t>
      </w:r>
      <w:proofErr w:type="spellEnd"/>
      <w:r w:rsidRPr="00B92BA5">
        <w:rPr>
          <w:rFonts w:ascii="Times New Roman" w:eastAsia="Times New Roman" w:hAnsi="Times New Roman" w:cs="Times New Roman"/>
          <w:sz w:val="24"/>
          <w:szCs w:val="24"/>
          <w:lang w:val="en-GB"/>
        </w:rPr>
        <w:t xml:space="preserve"> </w:t>
      </w:r>
      <w:r w:rsidRPr="00B92BA5">
        <w:rPr>
          <w:rFonts w:ascii="Times New Roman" w:eastAsia="Times New Roman" w:hAnsi="Times New Roman" w:cs="Times New Roman"/>
          <w:i/>
          <w:iCs/>
          <w:sz w:val="24"/>
          <w:szCs w:val="24"/>
          <w:lang w:val="en-GB"/>
        </w:rPr>
        <w:t>et al.</w:t>
      </w:r>
      <w:r w:rsidR="00547F67">
        <w:rPr>
          <w:rFonts w:ascii="Times New Roman" w:eastAsia="Times New Roman" w:hAnsi="Times New Roman" w:cs="Times New Roman"/>
          <w:i/>
          <w:iCs/>
          <w:sz w:val="24"/>
          <w:szCs w:val="24"/>
          <w:lang w:val="en-GB"/>
        </w:rPr>
        <w:t xml:space="preserve"> </w:t>
      </w:r>
      <w:r w:rsidRPr="003B0886">
        <w:rPr>
          <w:rFonts w:ascii="Times New Roman" w:eastAsia="Times New Roman" w:hAnsi="Times New Roman" w:cs="Times New Roman"/>
          <w:sz w:val="24"/>
          <w:szCs w:val="24"/>
        </w:rPr>
        <w:fldChar w:fldCharType="begin"/>
      </w:r>
      <w:r w:rsidR="00547F67">
        <w:rPr>
          <w:rFonts w:ascii="Times New Roman" w:eastAsia="Times New Roman" w:hAnsi="Times New Roman" w:cs="Times New Roman"/>
          <w:sz w:val="24"/>
          <w:szCs w:val="24"/>
          <w:lang w:val="en-GB"/>
        </w:rPr>
        <w:instrText xml:space="preserve"> ADDIN ZOTERO_ITEM CSL_CITATION {"citationID":"a21jdilqm13","properties":{"formattedCitation":"(2021)","plainCitation":"(2021)","noteIndex":0},"citationItems":[{"id":6977,"uris":["http://zotero.org/users/10168430/items/VBU9K3A4"],"itemData":{"id":6977,"type":"article-journal","abstract":"Climate and agricultural practice interact to influence both crop production and soil microbes in agroecosystems. Here, we carried out a unique experiment in Central Germany to simultaneously investigate the effects of climates (ambient climate vs. future climate expected in 50–70 years), agricultural practices (conventional vs. organic farming), and their interaction on arbuscular mycorrhizal fungi (AMF) inside wheat (Triticum aestivum L.) roots. AMF communities were characterized using Illumina sequencing of 18S rRNA gene amplicons. We showed that climatic conditions and agricultural practices significantly altered total AMF community composition. Conventional farming significantly affected the AMF community and caused a decline in AMF richness. Factors shaping AMF community composition and richness at family level differed greatly among Glomeraceae, Gigasporaceae and Diversisporaceae. An interactive impact of climate and agricultural practices was detected in the community composition of Diversisporaceae. Organic farming mitigated the negative effect of future climate and promoted total AMF and Gigasporaceae richness. AMF richness was significantly linked with nutrient content of wheat grains under both agricultural practices.","container-title":"Environmental Microbiology","DOI":"10.1111/1462-2920.15492","ISSN":"1462-2920","issue":"10","language":"en","license":"© 2021 The Authors. Environmental Microbiology published by Society for Applied Microbiology and John Wiley &amp; Sons Ltd.","note":"_eprint: https://onlinelibrary.wiley.com/doi/pdf/10.1111/1462-2920.15492","page":"6163-6176","source":"Wiley Online Library","title":"Organic agricultural practice enhances arbuscular mycorrhizal symbiosis in correspondence to soil warming and altered precipitation patterns","volume":"23","author":[{"family":"Wahdan","given":"Sara Fareed Mohamed"},{"family":"Reitz","given":"Thomas"},{"family":"Heintz-Buschart","given":"Anna"},{"family":"Schädler","given":"Martin"},{"family":"Roscher","given":"Christiane"},{"family":"Breitkreuz","given":"Claudia"},{"family":"Schnabel","given":"Beatrix"},{"family":"Purahong","given":"Witoon"},{"family":"Buscot","given":"François"}],"issued":{"date-parts":[["2021"]]}},"label":"page","suppress-author":true}],"schema":"https://github.com/citation-style-language/schema/raw/master/csl-citation.json"} </w:instrText>
      </w:r>
      <w:r w:rsidRPr="003B0886">
        <w:rPr>
          <w:rFonts w:ascii="Times New Roman" w:eastAsia="Times New Roman" w:hAnsi="Times New Roman" w:cs="Times New Roman"/>
          <w:sz w:val="24"/>
          <w:szCs w:val="24"/>
        </w:rPr>
        <w:fldChar w:fldCharType="separate"/>
      </w:r>
      <w:r w:rsidR="00547F67" w:rsidRPr="00547F67">
        <w:rPr>
          <w:rFonts w:ascii="Times New Roman" w:hAnsi="Times New Roman" w:cs="Times New Roman"/>
          <w:sz w:val="24"/>
          <w:lang w:val="en-GB"/>
        </w:rPr>
        <w:t>(2021)</w:t>
      </w:r>
      <w:r w:rsidRPr="003B0886">
        <w:rPr>
          <w:rFonts w:ascii="Times New Roman" w:eastAsia="Times New Roman" w:hAnsi="Times New Roman" w:cs="Times New Roman"/>
          <w:sz w:val="24"/>
          <w:szCs w:val="24"/>
        </w:rPr>
        <w:fldChar w:fldCharType="end"/>
      </w:r>
      <w:r w:rsidRPr="00B92BA5">
        <w:rPr>
          <w:rFonts w:ascii="Times New Roman" w:eastAsia="Times New Roman" w:hAnsi="Times New Roman" w:cs="Times New Roman"/>
          <w:sz w:val="24"/>
          <w:szCs w:val="24"/>
          <w:lang w:val="en-GB"/>
        </w:rPr>
        <w:t xml:space="preserve"> and the sequencing was performed as for the ITS</w:t>
      </w:r>
      <w:r>
        <w:rPr>
          <w:rFonts w:ascii="Times New Roman" w:eastAsia="Times New Roman" w:hAnsi="Times New Roman" w:cs="Times New Roman"/>
          <w:sz w:val="24"/>
          <w:szCs w:val="24"/>
          <w:lang w:val="en-GB"/>
        </w:rPr>
        <w:t>2</w:t>
      </w:r>
      <w:r w:rsidRPr="00B92BA5">
        <w:rPr>
          <w:rFonts w:ascii="Times New Roman" w:eastAsia="Times New Roman" w:hAnsi="Times New Roman" w:cs="Times New Roman"/>
          <w:sz w:val="24"/>
          <w:szCs w:val="24"/>
          <w:lang w:val="en-GB"/>
        </w:rPr>
        <w:t xml:space="preserve"> sequencing. For a detailed description of the sequencing of AMF communities we refer to Albracht </w:t>
      </w:r>
      <w:r w:rsidRPr="00B92BA5">
        <w:rPr>
          <w:rFonts w:ascii="Times New Roman" w:eastAsia="Times New Roman" w:hAnsi="Times New Roman" w:cs="Times New Roman"/>
          <w:i/>
          <w:sz w:val="24"/>
          <w:szCs w:val="24"/>
          <w:lang w:val="en-GB"/>
        </w:rPr>
        <w:t>et al.</w:t>
      </w:r>
      <w:r w:rsidRPr="003B0886">
        <w:rPr>
          <w:rFonts w:ascii="Times New Roman" w:eastAsia="Times New Roman" w:hAnsi="Times New Roman" w:cs="Times New Roman"/>
          <w:i/>
          <w:sz w:val="24"/>
          <w:szCs w:val="24"/>
        </w:rPr>
        <w:fldChar w:fldCharType="begin"/>
      </w:r>
      <w:r w:rsidR="00547F67">
        <w:rPr>
          <w:rFonts w:ascii="Times New Roman" w:eastAsia="Times New Roman" w:hAnsi="Times New Roman" w:cs="Times New Roman"/>
          <w:i/>
          <w:sz w:val="24"/>
          <w:szCs w:val="24"/>
          <w:lang w:val="en-GB"/>
        </w:rPr>
        <w:instrText xml:space="preserve"> ADDIN ZOTERO_ITEM CSL_CITATION {"citationID":"ONEeBKES","properties":{"formattedCitation":"(2024)","plainCitation":"(2024)","noteIndex":0},"citationItems":[{"id":9116,"uris":["http://zotero.org/users/10168430/items/53W7SU4E","http://zotero.org/users/10168430/items/BWGKKIZ5"],"itemData":{"id":9116,"type":"article-journal","abstract":"The relationship between biodiversity and ecosystem functioning strengthens with ecosystem age. However, the interplay between the plant diversity - ecosystem functioning relationship and Glomeromycotinian arbuscular mycorrhizal fungi (AMF) community assembly has not yet been scrutinized in this context, despite AMF’s role in plant survival and niche exploration. We study the development of AMF communities by disentangling soil- and plant-driven effects from calendar year effects. Within a long-term grassland biodiversity experiment, the pre-existing plant communities of varying plant diversity were re-established as split plots with combinations of common plant and soil histories: split plots with neither common plant nor soil history, with only soil but no plant history, and with both common plant and soil history. We found that bulk soil AMF communities were primarily shaped by common soil history, and additional common plant history had little effect. Further, the steepness of AMF diversity and plant diversity relationship did not strengthen over time, but AMF community evenness increased with common history. Specialisation of AMF towards plant species was low throughout, giving no indication of AMF communities specialising or diversifying over time. The potential of bulk soil AMF as mediators of variation in plant and microbial biomass over time and hence as drivers of biodiversity and ecosystem relationships was low. Our results suggest that soil processes may be key for the build-up of plant community-specific mycorrhizal communities with likely feedback effects on ecosystem productivity, but the plant-available mycorrhizal pool in bulk soil itself does not explain the strengthening of biodiversity and ecosystem relationships over time.","container-title":"Biology and Fertility of Soils","DOI":"10.1007/s00374-024-01821-0","ISSN":"1432-0789","issue":"4","journalAbbreviation":"Biol Fertil Soils","language":"en","page":"547-562","source":"Springer Link","title":"Common soil history is more important than plant history for arbuscular mycorrhizal community assembly in an experimental grassland diversity gradient","volume":"60","author":[{"family":"Albracht","given":"Cynthia"},{"family":"Solbach","given":"Marcel Dominik"},{"family":"Hennecke","given":"Justus"},{"family":"Bassi","given":"Leonardo"},{"family":"Ploeg","given":"Geert Roelof","non-dropping-particle":"van der"},{"family":"Eisenhauer","given":"Nico"},{"family":"Weigelt","given":"Alexandra"},{"family":"Buscot","given":"François"},{"family":"Heintz-Buschart","given":"Anna"}],"issued":{"date-parts":[["2024",5,1]]}},"label":"page","suppress-author":true}],"schema":"https://github.com/citation-style-language/schema/raw/master/csl-citation.json"} </w:instrText>
      </w:r>
      <w:r w:rsidRPr="003B0886">
        <w:rPr>
          <w:rFonts w:ascii="Times New Roman" w:eastAsia="Times New Roman" w:hAnsi="Times New Roman" w:cs="Times New Roman"/>
          <w:i/>
          <w:sz w:val="24"/>
          <w:szCs w:val="24"/>
        </w:rPr>
        <w:fldChar w:fldCharType="separate"/>
      </w:r>
      <w:r w:rsidR="00547F67" w:rsidRPr="00547F67">
        <w:rPr>
          <w:rFonts w:ascii="Times New Roman" w:hAnsi="Times New Roman" w:cs="Times New Roman"/>
          <w:sz w:val="24"/>
        </w:rPr>
        <w:t>(2024)</w:t>
      </w:r>
      <w:r w:rsidRPr="003B0886">
        <w:rPr>
          <w:rFonts w:ascii="Times New Roman" w:eastAsia="Times New Roman" w:hAnsi="Times New Roman" w:cs="Times New Roman"/>
          <w:i/>
          <w:sz w:val="24"/>
          <w:szCs w:val="24"/>
        </w:rPr>
        <w:fldChar w:fldCharType="end"/>
      </w:r>
      <w:r w:rsidRPr="00B92BA5">
        <w:rPr>
          <w:rFonts w:ascii="Times New Roman" w:eastAsia="Times New Roman" w:hAnsi="Times New Roman" w:cs="Times New Roman"/>
          <w:i/>
          <w:sz w:val="24"/>
          <w:szCs w:val="24"/>
          <w:lang w:val="en-GB"/>
        </w:rPr>
        <w:t>.</w:t>
      </w:r>
    </w:p>
    <w:p w14:paraId="30FCC6DD" w14:textId="07053AA9" w:rsidR="00B92BA5" w:rsidRPr="00B92BA5" w:rsidRDefault="00B92BA5" w:rsidP="00F55DF3">
      <w:pPr>
        <w:spacing w:after="0" w:line="360" w:lineRule="auto"/>
        <w:jc w:val="both"/>
        <w:rPr>
          <w:rFonts w:ascii="Times New Roman" w:eastAsia="Times New Roman" w:hAnsi="Times New Roman" w:cs="Times New Roman"/>
          <w:sz w:val="24"/>
          <w:szCs w:val="24"/>
          <w:lang w:val="en-GB"/>
        </w:rPr>
      </w:pPr>
      <w:r w:rsidRPr="00B92BA5">
        <w:rPr>
          <w:rFonts w:ascii="Times New Roman" w:eastAsia="Times New Roman" w:hAnsi="Times New Roman" w:cs="Times New Roman"/>
          <w:sz w:val="24"/>
          <w:szCs w:val="24"/>
          <w:lang w:val="en-GB"/>
        </w:rPr>
        <w:t xml:space="preserve">To summarize, </w:t>
      </w:r>
      <w:proofErr w:type="spellStart"/>
      <w:r w:rsidRPr="00B92BA5">
        <w:rPr>
          <w:rFonts w:ascii="Times New Roman" w:eastAsia="Times New Roman" w:hAnsi="Times New Roman" w:cs="Times New Roman"/>
          <w:i/>
          <w:iCs/>
          <w:sz w:val="24"/>
          <w:szCs w:val="24"/>
          <w:lang w:val="en-GB"/>
        </w:rPr>
        <w:t>cutadapt</w:t>
      </w:r>
      <w:proofErr w:type="spellEnd"/>
      <w:r w:rsidRPr="003B0886">
        <w:rPr>
          <w:rFonts w:ascii="Times New Roman" w:eastAsia="Times New Roman" w:hAnsi="Times New Roman" w:cs="Times New Roman"/>
          <w:sz w:val="24"/>
          <w:szCs w:val="24"/>
        </w:rPr>
        <w:fldChar w:fldCharType="begin"/>
      </w:r>
      <w:r w:rsidR="00547F67">
        <w:rPr>
          <w:rFonts w:ascii="Times New Roman" w:eastAsia="Times New Roman" w:hAnsi="Times New Roman" w:cs="Times New Roman"/>
          <w:sz w:val="24"/>
          <w:szCs w:val="24"/>
          <w:lang w:val="en-GB"/>
        </w:rPr>
        <w:instrText xml:space="preserve"> ADDIN ZOTERO_ITEM CSL_CITATION {"citationID":"a1fgcjum62l","properties":{"formattedCitation":"(Martin 2011)","plainCitation":"(Martin 2011)","noteIndex":0},"citationItems":[{"id":3389,"uris":["http://zotero.org/users/10168430/items/T59MCPQ8"],"itemData":{"id":3389,"type":"article-journal","container-title":"EMBnet.journal","DOI":"10.14806/ej.17.1.200","ISSN":"2226-6089","issue":"1","page":"10-12","title":"Cutadapt removes adapter sequences from high-throughput sequencing reads","volume":"17","author":[{"family":"Martin","given":"Marcel"}],"issued":{"date-parts":[["2011"]]}}}],"schema":"https://github.com/citation-style-language/schema/raw/master/csl-citation.json"} </w:instrText>
      </w:r>
      <w:r w:rsidRPr="003B0886">
        <w:rPr>
          <w:rFonts w:ascii="Times New Roman" w:eastAsia="Times New Roman" w:hAnsi="Times New Roman" w:cs="Times New Roman"/>
          <w:sz w:val="24"/>
          <w:szCs w:val="24"/>
        </w:rPr>
        <w:fldChar w:fldCharType="separate"/>
      </w:r>
      <w:r w:rsidR="00547F67" w:rsidRPr="00547F67">
        <w:rPr>
          <w:rFonts w:ascii="Times New Roman" w:hAnsi="Times New Roman" w:cs="Times New Roman"/>
          <w:sz w:val="24"/>
          <w:lang w:val="en-GB"/>
        </w:rPr>
        <w:t>(Martin 2011)</w:t>
      </w:r>
      <w:r w:rsidRPr="003B0886">
        <w:rPr>
          <w:rFonts w:ascii="Times New Roman" w:eastAsia="Times New Roman" w:hAnsi="Times New Roman" w:cs="Times New Roman"/>
          <w:sz w:val="24"/>
          <w:szCs w:val="24"/>
        </w:rPr>
        <w:fldChar w:fldCharType="end"/>
      </w:r>
      <w:r w:rsidRPr="00B92BA5">
        <w:rPr>
          <w:rFonts w:ascii="Times New Roman" w:eastAsia="Times New Roman" w:hAnsi="Times New Roman" w:cs="Times New Roman"/>
          <w:sz w:val="24"/>
          <w:szCs w:val="24"/>
          <w:lang w:val="en-GB"/>
        </w:rPr>
        <w:t xml:space="preserve"> was used to trim the primer sequences from raw reads. Quality trimming was performed with a minimum length of 70 </w:t>
      </w:r>
      <w:proofErr w:type="spellStart"/>
      <w:r w:rsidRPr="00B92BA5">
        <w:rPr>
          <w:rFonts w:ascii="Times New Roman" w:eastAsia="Times New Roman" w:hAnsi="Times New Roman" w:cs="Times New Roman"/>
          <w:sz w:val="24"/>
          <w:szCs w:val="24"/>
          <w:lang w:val="en-GB"/>
        </w:rPr>
        <w:t>bp</w:t>
      </w:r>
      <w:proofErr w:type="spellEnd"/>
      <w:r w:rsidRPr="00B92BA5">
        <w:rPr>
          <w:rFonts w:ascii="Times New Roman" w:eastAsia="Times New Roman" w:hAnsi="Times New Roman" w:cs="Times New Roman"/>
          <w:sz w:val="24"/>
          <w:szCs w:val="24"/>
          <w:lang w:val="en-GB"/>
        </w:rPr>
        <w:t xml:space="preserve"> for ITS and</w:t>
      </w:r>
      <w:r w:rsidRPr="00B92BA5">
        <w:rPr>
          <w:lang w:val="en-GB"/>
        </w:rPr>
        <w:t xml:space="preserve"> </w:t>
      </w:r>
      <w:r w:rsidRPr="00B92BA5">
        <w:rPr>
          <w:rFonts w:ascii="Times New Roman" w:eastAsia="Times New Roman" w:hAnsi="Times New Roman" w:cs="Times New Roman"/>
          <w:sz w:val="24"/>
          <w:szCs w:val="24"/>
          <w:lang w:val="en-GB"/>
        </w:rPr>
        <w:t xml:space="preserve">260 </w:t>
      </w:r>
      <w:proofErr w:type="spellStart"/>
      <w:r w:rsidRPr="00B92BA5">
        <w:rPr>
          <w:rFonts w:ascii="Times New Roman" w:eastAsia="Times New Roman" w:hAnsi="Times New Roman" w:cs="Times New Roman"/>
          <w:sz w:val="24"/>
          <w:szCs w:val="24"/>
          <w:lang w:val="en-GB"/>
        </w:rPr>
        <w:t>bp</w:t>
      </w:r>
      <w:proofErr w:type="spellEnd"/>
      <w:r w:rsidRPr="00B92BA5">
        <w:rPr>
          <w:rFonts w:ascii="Times New Roman" w:eastAsia="Times New Roman" w:hAnsi="Times New Roman" w:cs="Times New Roman"/>
          <w:sz w:val="24"/>
          <w:szCs w:val="24"/>
          <w:lang w:val="en-GB"/>
        </w:rPr>
        <w:t xml:space="preserve"> (</w:t>
      </w:r>
      <w:proofErr w:type="spellStart"/>
      <w:r w:rsidRPr="00B92BA5">
        <w:rPr>
          <w:rFonts w:ascii="Times New Roman" w:eastAsia="Times New Roman" w:hAnsi="Times New Roman" w:cs="Times New Roman"/>
          <w:sz w:val="24"/>
          <w:szCs w:val="24"/>
          <w:lang w:val="en-GB"/>
        </w:rPr>
        <w:t>fwd</w:t>
      </w:r>
      <w:proofErr w:type="spellEnd"/>
      <w:r w:rsidRPr="00B92BA5">
        <w:rPr>
          <w:rFonts w:ascii="Times New Roman" w:eastAsia="Times New Roman" w:hAnsi="Times New Roman" w:cs="Times New Roman"/>
          <w:sz w:val="24"/>
          <w:szCs w:val="24"/>
          <w:lang w:val="en-GB"/>
        </w:rPr>
        <w:t xml:space="preserve">) / 210 </w:t>
      </w:r>
      <w:proofErr w:type="spellStart"/>
      <w:r w:rsidRPr="00B92BA5">
        <w:rPr>
          <w:rFonts w:ascii="Times New Roman" w:eastAsia="Times New Roman" w:hAnsi="Times New Roman" w:cs="Times New Roman"/>
          <w:sz w:val="24"/>
          <w:szCs w:val="24"/>
          <w:lang w:val="en-GB"/>
        </w:rPr>
        <w:t>bp</w:t>
      </w:r>
      <w:proofErr w:type="spellEnd"/>
      <w:r w:rsidRPr="00B92BA5">
        <w:rPr>
          <w:rFonts w:ascii="Times New Roman" w:eastAsia="Times New Roman" w:hAnsi="Times New Roman" w:cs="Times New Roman"/>
          <w:sz w:val="24"/>
          <w:szCs w:val="24"/>
          <w:lang w:val="en-GB"/>
        </w:rPr>
        <w:t xml:space="preserve"> (</w:t>
      </w:r>
      <w:proofErr w:type="spellStart"/>
      <w:r w:rsidRPr="00B92BA5">
        <w:rPr>
          <w:rFonts w:ascii="Times New Roman" w:eastAsia="Times New Roman" w:hAnsi="Times New Roman" w:cs="Times New Roman"/>
          <w:sz w:val="24"/>
          <w:szCs w:val="24"/>
          <w:lang w:val="en-GB"/>
        </w:rPr>
        <w:t>rvs</w:t>
      </w:r>
      <w:proofErr w:type="spellEnd"/>
      <w:r w:rsidRPr="00B92BA5">
        <w:rPr>
          <w:rFonts w:ascii="Times New Roman" w:eastAsia="Times New Roman" w:hAnsi="Times New Roman" w:cs="Times New Roman"/>
          <w:sz w:val="24"/>
          <w:szCs w:val="24"/>
          <w:lang w:val="en-GB"/>
        </w:rPr>
        <w:t xml:space="preserve">) for AMF, truncation of reads at positions with a PHRED score below 15 for ITS, and exclusion of reads with an expected error higher than 2. The identification of exact sequence variants (Amplicon Sequence Variants, ASVs) included merging read pairs with a minimum overlap of 15 </w:t>
      </w:r>
      <w:proofErr w:type="spellStart"/>
      <w:r w:rsidRPr="00B92BA5">
        <w:rPr>
          <w:rFonts w:ascii="Times New Roman" w:eastAsia="Times New Roman" w:hAnsi="Times New Roman" w:cs="Times New Roman"/>
          <w:sz w:val="24"/>
          <w:szCs w:val="24"/>
          <w:lang w:val="en-GB"/>
        </w:rPr>
        <w:t>bp</w:t>
      </w:r>
      <w:proofErr w:type="spellEnd"/>
      <w:r w:rsidRPr="00B92BA5">
        <w:rPr>
          <w:rFonts w:ascii="Times New Roman" w:eastAsia="Times New Roman" w:hAnsi="Times New Roman" w:cs="Times New Roman"/>
          <w:sz w:val="24"/>
          <w:szCs w:val="24"/>
          <w:lang w:val="en-GB"/>
        </w:rPr>
        <w:t xml:space="preserve"> (ITS) and 12 </w:t>
      </w:r>
      <w:proofErr w:type="spellStart"/>
      <w:r w:rsidRPr="00B92BA5">
        <w:rPr>
          <w:rFonts w:ascii="Times New Roman" w:eastAsia="Times New Roman" w:hAnsi="Times New Roman" w:cs="Times New Roman"/>
          <w:sz w:val="24"/>
          <w:szCs w:val="24"/>
          <w:lang w:val="en-GB"/>
        </w:rPr>
        <w:t>bp</w:t>
      </w:r>
      <w:proofErr w:type="spellEnd"/>
      <w:r w:rsidRPr="00B92BA5">
        <w:rPr>
          <w:rFonts w:ascii="Times New Roman" w:eastAsia="Times New Roman" w:hAnsi="Times New Roman" w:cs="Times New Roman"/>
          <w:sz w:val="24"/>
          <w:szCs w:val="24"/>
          <w:lang w:val="en-GB"/>
        </w:rPr>
        <w:t xml:space="preserve"> (AMF) and a maximum of three (ITS) and zero (AMF) mismatches. Chimeras were filtered using DADA2's 'consensus' algorithm. Taxonomic classification was conducted using the </w:t>
      </w:r>
      <w:r w:rsidR="00547F67">
        <w:rPr>
          <w:rFonts w:ascii="Times New Roman" w:eastAsia="Times New Roman" w:hAnsi="Times New Roman" w:cs="Times New Roman"/>
          <w:i/>
          <w:iCs/>
          <w:sz w:val="24"/>
          <w:szCs w:val="24"/>
          <w:lang w:val="en-GB"/>
        </w:rPr>
        <w:t xml:space="preserve">mother </w:t>
      </w:r>
      <w:r w:rsidRPr="003B0886">
        <w:rPr>
          <w:rFonts w:ascii="Times New Roman" w:eastAsia="Times New Roman" w:hAnsi="Times New Roman" w:cs="Times New Roman"/>
          <w:sz w:val="24"/>
          <w:szCs w:val="24"/>
        </w:rPr>
        <w:fldChar w:fldCharType="begin"/>
      </w:r>
      <w:r w:rsidR="00547F67">
        <w:rPr>
          <w:rFonts w:ascii="Times New Roman" w:eastAsia="Times New Roman" w:hAnsi="Times New Roman" w:cs="Times New Roman"/>
          <w:sz w:val="24"/>
          <w:szCs w:val="24"/>
          <w:lang w:val="en-GB"/>
        </w:rPr>
        <w:instrText xml:space="preserve"> ADDIN ZOTERO_ITEM CSL_CITATION {"citationID":"a198iud33l3","properties":{"formattedCitation":"(Schloss {\\i{}et al.} 2009)","plainCitation":"(Schloss et al. 2009)","noteIndex":0},"citationItems":[{"id":3386,"uris":["http://zotero.org/users/10168430/items/LEUV8GCN"],"itemData":{"id":3386,"type":"article-journal","abstract":"Mothur aims to be a comprehensive software package that allows users to use a single piece of software to analyze community sequence data. It builds upon previous tools to provide a flexible and powerful software package for analyzing sequencing data. As a case study, we used mothur to trim, screen, and align sequences; calculate distances; assign sequences to operational taxonomic units; and describe the α and β diversity of eight marine samples previously characterized by pyrosequencing of 16S rRNA gene fragments. This analysis of more than 222,000 sequences was completed in less than 2 h with a laptop computer. Copyright © 2009, American Society for Microbiology. All Rights Reserved.","container-title":"Applied and Environmental Microbiology","DOI":"10.1128/AEM.01541-09/ASSET/14428E0A-11AE-4C2E-8480-78064604726F/ASSETS/GRAPHIC/ZAM0230904840002.JPEG","ISSN":"00992240","issue":"23","note":"PMID: 19801464\npublisher: \nAmerican Society for Microbiology","page":"7537-7541","title":"Introducing mothur: Open-source, platform-independent, community-supported software for describing and comparing microbial communities","volume":"75","author":[{"family":"Schloss","given":"Patrick D."},{"family":"Westcott","given":"Sarah L."},{"family":"Ryabin","given":"Thomas"},{"family":"Hall","given":"Justine R."},{"family":"Hartmann","given":"Martin"},{"family":"Hollister","given":"Emily B."},{"family":"Lesniewski","given":"Ryan A."},{"family":"Oakley","given":"Brian B."},{"family":"Parks","given":"Donovan H."},{"family":"Robinson","given":"Courtney J."},{"family":"Sahl","given":"Jason W."},{"family":"Stres","given":"Blaz"},{"family":"Thallinger","given":"Gerhard G."},{"family":"Van Horn","given":"David J."},{"family":"Weber","given":"Carolyn F."}],"issued":{"date-parts":[["2009",12]]}}}],"schema":"https://github.com/citation-style-language/schema/raw/master/csl-citation.json"} </w:instrText>
      </w:r>
      <w:r w:rsidRPr="003B0886">
        <w:rPr>
          <w:rFonts w:ascii="Times New Roman" w:eastAsia="Times New Roman" w:hAnsi="Times New Roman" w:cs="Times New Roman"/>
          <w:sz w:val="24"/>
          <w:szCs w:val="24"/>
        </w:rPr>
        <w:fldChar w:fldCharType="separate"/>
      </w:r>
      <w:r w:rsidR="00547F67" w:rsidRPr="00547F67">
        <w:rPr>
          <w:rFonts w:ascii="Times New Roman" w:hAnsi="Times New Roman" w:cs="Times New Roman"/>
          <w:sz w:val="24"/>
          <w:szCs w:val="24"/>
          <w:lang w:val="en-GB"/>
        </w:rPr>
        <w:t>(</w:t>
      </w:r>
      <w:proofErr w:type="spellStart"/>
      <w:r w:rsidR="00547F67" w:rsidRPr="00547F67">
        <w:rPr>
          <w:rFonts w:ascii="Times New Roman" w:hAnsi="Times New Roman" w:cs="Times New Roman"/>
          <w:sz w:val="24"/>
          <w:szCs w:val="24"/>
          <w:lang w:val="en-GB"/>
        </w:rPr>
        <w:t>Schloss</w:t>
      </w:r>
      <w:proofErr w:type="spellEnd"/>
      <w:r w:rsidR="00547F67" w:rsidRPr="00547F67">
        <w:rPr>
          <w:rFonts w:ascii="Times New Roman" w:hAnsi="Times New Roman" w:cs="Times New Roman"/>
          <w:sz w:val="24"/>
          <w:szCs w:val="24"/>
          <w:lang w:val="en-GB"/>
        </w:rPr>
        <w:t xml:space="preserve"> </w:t>
      </w:r>
      <w:r w:rsidR="00547F67" w:rsidRPr="00547F67">
        <w:rPr>
          <w:rFonts w:ascii="Times New Roman" w:hAnsi="Times New Roman" w:cs="Times New Roman"/>
          <w:i/>
          <w:iCs/>
          <w:sz w:val="24"/>
          <w:szCs w:val="24"/>
          <w:lang w:val="en-GB"/>
        </w:rPr>
        <w:t>et al.</w:t>
      </w:r>
      <w:r w:rsidR="00547F67" w:rsidRPr="00547F67">
        <w:rPr>
          <w:rFonts w:ascii="Times New Roman" w:hAnsi="Times New Roman" w:cs="Times New Roman"/>
          <w:sz w:val="24"/>
          <w:szCs w:val="24"/>
          <w:lang w:val="en-GB"/>
        </w:rPr>
        <w:t xml:space="preserve"> 2009)</w:t>
      </w:r>
      <w:r w:rsidRPr="003B0886">
        <w:rPr>
          <w:rFonts w:ascii="Times New Roman" w:eastAsia="Times New Roman" w:hAnsi="Times New Roman" w:cs="Times New Roman"/>
          <w:sz w:val="24"/>
          <w:szCs w:val="24"/>
        </w:rPr>
        <w:fldChar w:fldCharType="end"/>
      </w:r>
      <w:r w:rsidRPr="00B92BA5">
        <w:rPr>
          <w:rFonts w:ascii="Times New Roman" w:eastAsia="Times New Roman" w:hAnsi="Times New Roman" w:cs="Times New Roman"/>
          <w:sz w:val="24"/>
          <w:szCs w:val="24"/>
          <w:lang w:val="en-GB"/>
        </w:rPr>
        <w:t xml:space="preserve"> implementation of the Bayesian classifier against the UNITE v8.2 database</w:t>
      </w:r>
      <w:r w:rsidR="00547F67">
        <w:rPr>
          <w:rFonts w:ascii="Times New Roman" w:eastAsia="Times New Roman" w:hAnsi="Times New Roman" w:cs="Times New Roman"/>
          <w:sz w:val="24"/>
          <w:szCs w:val="24"/>
          <w:lang w:val="en-GB"/>
        </w:rPr>
        <w:t xml:space="preserve"> </w:t>
      </w:r>
      <w:r w:rsidRPr="003B0886">
        <w:rPr>
          <w:rFonts w:ascii="Times New Roman" w:eastAsia="Times New Roman" w:hAnsi="Times New Roman" w:cs="Times New Roman"/>
          <w:sz w:val="24"/>
          <w:szCs w:val="24"/>
        </w:rPr>
        <w:fldChar w:fldCharType="begin"/>
      </w:r>
      <w:r w:rsidR="00547F67">
        <w:rPr>
          <w:rFonts w:ascii="Times New Roman" w:eastAsia="Times New Roman" w:hAnsi="Times New Roman" w:cs="Times New Roman"/>
          <w:sz w:val="24"/>
          <w:szCs w:val="24"/>
          <w:lang w:val="en-GB"/>
        </w:rPr>
        <w:instrText xml:space="preserve"> ADDIN ZOTERO_ITEM CSL_CITATION {"citationID":"apvhl5ke92","properties":{"formattedCitation":"(Nilsson {\\i{}et al.} 2019)","plainCitation":"(Nilsson et al. 2019)","noteIndex":0},"citationItems":[{"id":7249,"uris":["http://zotero.org/users/10168430/items/Q3GE7Q7N"],"itemData":{"id":7249,"type":"article-journal","abstract":"UNITE (https://unite.ut.ee/) is a web-based database and sequence management environment for the molecular identification of fungi. It targets the formal fungal barcode—the nuclear ribosomal internal transcribed spacer (ITS) region—and offers all </w:instrText>
      </w:r>
      <w:r w:rsidR="00547F67">
        <w:rPr>
          <w:rFonts w:ascii="Cambria Math" w:eastAsia="Times New Roman" w:hAnsi="Cambria Math" w:cs="Cambria Math"/>
          <w:sz w:val="24"/>
          <w:szCs w:val="24"/>
          <w:lang w:val="en-GB"/>
        </w:rPr>
        <w:instrText>∼</w:instrText>
      </w:r>
      <w:r w:rsidR="00547F67">
        <w:rPr>
          <w:rFonts w:ascii="Times New Roman" w:eastAsia="Times New Roman" w:hAnsi="Times New Roman" w:cs="Times New Roman"/>
          <w:sz w:val="24"/>
          <w:szCs w:val="24"/>
          <w:lang w:val="en-GB"/>
        </w:rPr>
        <w:instrText xml:space="preserve">1 000 000 public fungal ITS sequences for reference. These are clustered into </w:instrText>
      </w:r>
      <w:r w:rsidR="00547F67">
        <w:rPr>
          <w:rFonts w:ascii="Cambria Math" w:eastAsia="Times New Roman" w:hAnsi="Cambria Math" w:cs="Cambria Math"/>
          <w:sz w:val="24"/>
          <w:szCs w:val="24"/>
          <w:lang w:val="en-GB"/>
        </w:rPr>
        <w:instrText>∼</w:instrText>
      </w:r>
      <w:r w:rsidR="00547F67">
        <w:rPr>
          <w:rFonts w:ascii="Times New Roman" w:eastAsia="Times New Roman" w:hAnsi="Times New Roman" w:cs="Times New Roman"/>
          <w:sz w:val="24"/>
          <w:szCs w:val="24"/>
          <w:lang w:val="en-GB"/>
        </w:rPr>
        <w:instrText xml:space="preserve">459 000 species hypotheses and assigned digital object identifiers (DOIs) to promote unambiguous reference across studies. In-house and web-based third-party sequence curation and annotation have resulted in more than 275 000 improvements to the data over the past 15 years. UNITE serves as a data provider for a range of metabarcoding software pipelines and regularly exchanges data with all major fungal sequence databases and other community resources. Recent improvements include redesigned handling of unclassifiable species hypotheses, integration with the taxonomic backbone of the Global Biodiversity Information Facility, and support for an unlimited number of parallel taxonomic classification systems.","container-title":"Nucleic Acids Research","DOI":"10.1093/nar/gky1022","ISSN":"0305-1048","issue":"D1","journalAbbreviation":"Nucleic Acids Research","page":"D259-D264","source":"Silverchair","title":"The UNITE database for molecular identification of fungi: handling dark taxa and parallel taxonomic classifications","title-short":"The UNITE database for molecular identification of fungi","volume":"47","author":[{"family":"Nilsson","given":"Rolf Henrik"},{"family":"Larsson","given":"Karl-Henrik"},{"family":"Taylor","given":"Andy F S"},{"family":"Bengtsson-Palme","given":"Johan"},{"family":"Jeppesen","given":"Thomas S"},{"family":"Schigel","given":"Dmitry"},{"family":"Kennedy","given":"Peter"},{"family":"Picard","given":"Kathryn"},{"family":"Glöckner","given":"Frank Oliver"},{"family":"Tedersoo","given":"Leho"},{"family":"Saar","given":"Irja"},{"family":"Kõljalg","given":"Urmas"},{"family":"Abarenkov","given":"Kessy"}],"issued":{"date-parts":[["2019",1,8]]}}}],"schema":"https://github.com/citation-style-language/schema/raw/master/csl-citation.json"} </w:instrText>
      </w:r>
      <w:r w:rsidRPr="003B0886">
        <w:rPr>
          <w:rFonts w:ascii="Times New Roman" w:eastAsia="Times New Roman" w:hAnsi="Times New Roman" w:cs="Times New Roman"/>
          <w:sz w:val="24"/>
          <w:szCs w:val="24"/>
        </w:rPr>
        <w:fldChar w:fldCharType="separate"/>
      </w:r>
      <w:r w:rsidR="00547F67" w:rsidRPr="00547F67">
        <w:rPr>
          <w:rFonts w:ascii="Times New Roman" w:hAnsi="Times New Roman" w:cs="Times New Roman"/>
          <w:sz w:val="24"/>
          <w:szCs w:val="24"/>
          <w:lang w:val="en-GB"/>
        </w:rPr>
        <w:t xml:space="preserve">(Nilsson </w:t>
      </w:r>
      <w:r w:rsidR="00547F67" w:rsidRPr="00547F67">
        <w:rPr>
          <w:rFonts w:ascii="Times New Roman" w:hAnsi="Times New Roman" w:cs="Times New Roman"/>
          <w:i/>
          <w:iCs/>
          <w:sz w:val="24"/>
          <w:szCs w:val="24"/>
          <w:lang w:val="en-GB"/>
        </w:rPr>
        <w:t>et al.</w:t>
      </w:r>
      <w:r w:rsidR="00547F67" w:rsidRPr="00547F67">
        <w:rPr>
          <w:rFonts w:ascii="Times New Roman" w:hAnsi="Times New Roman" w:cs="Times New Roman"/>
          <w:sz w:val="24"/>
          <w:szCs w:val="24"/>
          <w:lang w:val="en-GB"/>
        </w:rPr>
        <w:t xml:space="preserve"> 2019)</w:t>
      </w:r>
      <w:r w:rsidRPr="003B0886">
        <w:rPr>
          <w:rFonts w:ascii="Times New Roman" w:eastAsia="Times New Roman" w:hAnsi="Times New Roman" w:cs="Times New Roman"/>
          <w:sz w:val="24"/>
          <w:szCs w:val="24"/>
        </w:rPr>
        <w:fldChar w:fldCharType="end"/>
      </w:r>
      <w:r w:rsidRPr="00B92BA5">
        <w:rPr>
          <w:rFonts w:ascii="Times New Roman" w:eastAsia="Times New Roman" w:hAnsi="Times New Roman" w:cs="Times New Roman"/>
          <w:sz w:val="24"/>
          <w:szCs w:val="24"/>
          <w:lang w:val="en-GB"/>
        </w:rPr>
        <w:t xml:space="preserve"> (ITS) and</w:t>
      </w:r>
      <w:r w:rsidRPr="00B92BA5">
        <w:rPr>
          <w:lang w:val="en-GB"/>
        </w:rPr>
        <w:t xml:space="preserve"> </w:t>
      </w:r>
      <w:r w:rsidRPr="00B92BA5">
        <w:rPr>
          <w:rFonts w:ascii="Times New Roman" w:eastAsia="Times New Roman" w:hAnsi="Times New Roman" w:cs="Times New Roman"/>
          <w:sz w:val="24"/>
          <w:szCs w:val="24"/>
          <w:lang w:val="en-GB"/>
        </w:rPr>
        <w:t xml:space="preserve">SILVA v138 </w:t>
      </w:r>
      <w:proofErr w:type="spellStart"/>
      <w:r w:rsidRPr="00B92BA5">
        <w:rPr>
          <w:rFonts w:ascii="Times New Roman" w:eastAsia="Times New Roman" w:hAnsi="Times New Roman" w:cs="Times New Roman"/>
          <w:sz w:val="24"/>
          <w:szCs w:val="24"/>
          <w:lang w:val="en-GB"/>
        </w:rPr>
        <w:t>SSUref</w:t>
      </w:r>
      <w:proofErr w:type="spellEnd"/>
      <w:r w:rsidRPr="00B92BA5">
        <w:rPr>
          <w:rFonts w:ascii="Times New Roman" w:eastAsia="Times New Roman" w:hAnsi="Times New Roman" w:cs="Times New Roman"/>
          <w:sz w:val="24"/>
          <w:szCs w:val="24"/>
          <w:lang w:val="en-GB"/>
        </w:rPr>
        <w:t xml:space="preserve"> database</w:t>
      </w:r>
      <w:r w:rsidR="00547F67">
        <w:rPr>
          <w:rFonts w:ascii="Times New Roman" w:eastAsia="Times New Roman" w:hAnsi="Times New Roman" w:cs="Times New Roman"/>
          <w:sz w:val="24"/>
          <w:szCs w:val="24"/>
          <w:lang w:val="en-GB"/>
        </w:rPr>
        <w:t xml:space="preserve"> </w:t>
      </w:r>
      <w:r w:rsidRPr="003B0886">
        <w:rPr>
          <w:rFonts w:ascii="Times New Roman" w:eastAsia="Times New Roman" w:hAnsi="Times New Roman" w:cs="Times New Roman"/>
          <w:sz w:val="24"/>
          <w:szCs w:val="24"/>
        </w:rPr>
        <w:fldChar w:fldCharType="begin"/>
      </w:r>
      <w:r w:rsidR="00547F67">
        <w:rPr>
          <w:rFonts w:ascii="Times New Roman" w:eastAsia="Times New Roman" w:hAnsi="Times New Roman" w:cs="Times New Roman"/>
          <w:sz w:val="24"/>
          <w:szCs w:val="24"/>
          <w:lang w:val="en-GB"/>
        </w:rPr>
        <w:instrText xml:space="preserve"> ADDIN ZOTERO_ITEM CSL_CITATION {"citationID":"a2kd6s99up1","properties":{"formattedCitation":"(Quast {\\i{}et al.} 2013)","plainCitation":"(Quast et al. 2013)","noteIndex":0},"citationItems":[{"id":7377,"uris":["http://zotero.org/users/10168430/items/CPD8FXIL"],"itemData":{"id":7377,"type":"article-journal","abstract":"SILVA (from Latin silva, forest, http://www.arb-silva.de) is a comprehensive web resource for up to date, quality-controlled databases of aligned ribosomal RNA (rRNA) gene sequences from the Bacteria, Archaea and Eukaryota domains and supplementary online services. The referred database release 111 (July 2012) contains 3 194 778 small subunit and 288 717 large subunit rRNA gene sequences. Since the initial description of the project, substantial new features have been introduced, including advanced quality control procedures, an improved rRNA gene aligner, online tools for probe and primer evaluation and optimized browsing, searching and downloading on the website. Furthermore, the extensively curated SILVA taxonomy and the new non-redundant SILVA datasets provide an ideal reference for high-throughput classification of data from next-generation sequencing approaches.","container-title":"Nucleic Acids Research","DOI":"10.1093/nar/gks1219","ISSN":"0305-1048","issue":"D1","journalAbbreviation":"Nucleic Acids Research","page":"D590-D596","source":"Silverchair","title":"The SILVA ribosomal RNA gene database project: improved data processing and web-based tools","title-short":"The SILVA ribosomal RNA gene database project","volume":"41","author":[{"family":"Quast","given":"Christian"},{"family":"Pruesse","given":"Elmar"},{"family":"Yilmaz","given":"Pelin"},{"family":"Gerken","given":"Jan"},{"family":"Schweer","given":"Timmy"},{"family":"Yarza","given":"Pablo"},{"family":"Peplies","given":"Jörg"},{"family":"Glöckner","given":"Frank Oliver"}],"issued":{"date-parts":[["2013",1,1]]}}}],"schema":"https://github.com/citation-style-language/schema/raw/master/csl-citation.json"} </w:instrText>
      </w:r>
      <w:r w:rsidRPr="003B0886">
        <w:rPr>
          <w:rFonts w:ascii="Times New Roman" w:eastAsia="Times New Roman" w:hAnsi="Times New Roman" w:cs="Times New Roman"/>
          <w:sz w:val="24"/>
          <w:szCs w:val="24"/>
        </w:rPr>
        <w:fldChar w:fldCharType="separate"/>
      </w:r>
      <w:r w:rsidR="00547F67" w:rsidRPr="00547F67">
        <w:rPr>
          <w:rFonts w:ascii="Times New Roman" w:hAnsi="Times New Roman" w:cs="Times New Roman"/>
          <w:sz w:val="24"/>
          <w:szCs w:val="24"/>
          <w:lang w:val="en-GB"/>
        </w:rPr>
        <w:t>(</w:t>
      </w:r>
      <w:proofErr w:type="spellStart"/>
      <w:r w:rsidR="00547F67" w:rsidRPr="00547F67">
        <w:rPr>
          <w:rFonts w:ascii="Times New Roman" w:hAnsi="Times New Roman" w:cs="Times New Roman"/>
          <w:sz w:val="24"/>
          <w:szCs w:val="24"/>
          <w:lang w:val="en-GB"/>
        </w:rPr>
        <w:t>Quast</w:t>
      </w:r>
      <w:proofErr w:type="spellEnd"/>
      <w:r w:rsidR="00547F67" w:rsidRPr="00547F67">
        <w:rPr>
          <w:rFonts w:ascii="Times New Roman" w:hAnsi="Times New Roman" w:cs="Times New Roman"/>
          <w:sz w:val="24"/>
          <w:szCs w:val="24"/>
          <w:lang w:val="en-GB"/>
        </w:rPr>
        <w:t xml:space="preserve"> </w:t>
      </w:r>
      <w:r w:rsidR="00547F67" w:rsidRPr="00547F67">
        <w:rPr>
          <w:rFonts w:ascii="Times New Roman" w:hAnsi="Times New Roman" w:cs="Times New Roman"/>
          <w:i/>
          <w:iCs/>
          <w:sz w:val="24"/>
          <w:szCs w:val="24"/>
          <w:lang w:val="en-GB"/>
        </w:rPr>
        <w:t>et al.</w:t>
      </w:r>
      <w:r w:rsidR="00547F67" w:rsidRPr="00547F67">
        <w:rPr>
          <w:rFonts w:ascii="Times New Roman" w:hAnsi="Times New Roman" w:cs="Times New Roman"/>
          <w:sz w:val="24"/>
          <w:szCs w:val="24"/>
          <w:lang w:val="en-GB"/>
        </w:rPr>
        <w:t xml:space="preserve"> 2013)</w:t>
      </w:r>
      <w:r w:rsidRPr="003B0886">
        <w:rPr>
          <w:rFonts w:ascii="Times New Roman" w:eastAsia="Times New Roman" w:hAnsi="Times New Roman" w:cs="Times New Roman"/>
          <w:sz w:val="24"/>
          <w:szCs w:val="24"/>
        </w:rPr>
        <w:fldChar w:fldCharType="end"/>
      </w:r>
      <w:r w:rsidRPr="00B92BA5">
        <w:rPr>
          <w:rFonts w:ascii="Times New Roman" w:eastAsia="Times New Roman" w:hAnsi="Times New Roman" w:cs="Times New Roman"/>
          <w:sz w:val="24"/>
          <w:szCs w:val="24"/>
          <w:lang w:val="en-GB"/>
        </w:rPr>
        <w:t xml:space="preserve"> for AMF. Non-fungal ASVs (for ITS sequences) and non-</w:t>
      </w:r>
      <w:proofErr w:type="spellStart"/>
      <w:r w:rsidRPr="00B92BA5">
        <w:rPr>
          <w:rFonts w:ascii="Times New Roman" w:eastAsia="Times New Roman" w:hAnsi="Times New Roman" w:cs="Times New Roman"/>
          <w:sz w:val="24"/>
          <w:szCs w:val="24"/>
          <w:lang w:val="en-GB"/>
        </w:rPr>
        <w:t>Glomeromycotinian</w:t>
      </w:r>
      <w:proofErr w:type="spellEnd"/>
      <w:r w:rsidRPr="00B92BA5">
        <w:rPr>
          <w:rFonts w:ascii="Times New Roman" w:eastAsia="Times New Roman" w:hAnsi="Times New Roman" w:cs="Times New Roman"/>
          <w:sz w:val="24"/>
          <w:szCs w:val="24"/>
          <w:lang w:val="en-GB"/>
        </w:rPr>
        <w:t xml:space="preserve"> ASVs (for AMF sequences) were discarded. For ITS data, ASVs were then assigned to putative fungal guilds based on their taxonomic annotation and the </w:t>
      </w:r>
      <w:proofErr w:type="spellStart"/>
      <w:r w:rsidRPr="00B92BA5">
        <w:rPr>
          <w:rFonts w:ascii="Times New Roman" w:eastAsia="Times New Roman" w:hAnsi="Times New Roman" w:cs="Times New Roman"/>
          <w:sz w:val="24"/>
          <w:szCs w:val="24"/>
          <w:lang w:val="en-GB"/>
        </w:rPr>
        <w:t>FungalTraits</w:t>
      </w:r>
      <w:proofErr w:type="spellEnd"/>
      <w:r w:rsidRPr="00B92BA5">
        <w:rPr>
          <w:rFonts w:ascii="Times New Roman" w:eastAsia="Times New Roman" w:hAnsi="Times New Roman" w:cs="Times New Roman"/>
          <w:sz w:val="24"/>
          <w:szCs w:val="24"/>
          <w:lang w:val="en-GB"/>
        </w:rPr>
        <w:t xml:space="preserve"> database</w:t>
      </w:r>
      <w:r w:rsidR="00547F67">
        <w:rPr>
          <w:rFonts w:ascii="Times New Roman" w:eastAsia="Times New Roman" w:hAnsi="Times New Roman" w:cs="Times New Roman"/>
          <w:sz w:val="24"/>
          <w:szCs w:val="24"/>
          <w:lang w:val="en-GB"/>
        </w:rPr>
        <w:t xml:space="preserve"> </w:t>
      </w:r>
      <w:r w:rsidRPr="003B0886">
        <w:rPr>
          <w:rFonts w:ascii="Times New Roman" w:eastAsia="Times New Roman" w:hAnsi="Times New Roman" w:cs="Times New Roman"/>
          <w:sz w:val="24"/>
          <w:szCs w:val="24"/>
        </w:rPr>
        <w:fldChar w:fldCharType="begin"/>
      </w:r>
      <w:r w:rsidR="00547F67">
        <w:rPr>
          <w:rFonts w:ascii="Times New Roman" w:eastAsia="Times New Roman" w:hAnsi="Times New Roman" w:cs="Times New Roman"/>
          <w:sz w:val="24"/>
          <w:szCs w:val="24"/>
          <w:lang w:val="en-GB"/>
        </w:rPr>
        <w:instrText xml:space="preserve"> ADDIN ZOTERO_ITEM CSL_CITATION {"citationID":"a48jju1nl7","properties":{"formattedCitation":"(P\\uc0\\u245{}lme {\\i{}et al.} 2021)","plainCitation":"(Põlme et al. 2021)","noteIndex":0},"citationItems":[{"id":1889,"uris":["http://zotero.org/users/10168430/items/7P4WW8BX"],"itemData":{"id":1889,"type":"article-journal","abstract":"The cryptic lifestyle of most fungi necessitates molecular identification of the guild in environmental studies. Over the past decades, rapid development and affordability of molecular tools have tremendously improved insights of the fungal diversity in all ecosystems and habitats. Yet, in spite of the progress of molecular methods, knowledge about functional properties of the fungal taxa is vague and interpretation of environmental studies in an ecologically meaningful manner remains challenging. In order to facilitate functional assignments and ecological interpretation of environmental studies we introduce a user friendly traits and character database FungalTraits operating at genus and species hypothesis levels. Combining the information from previous efforts such as FUNGuild and Fun Fun together with involvement of expert knowledge, we reannotated 10,210 and 151 fungal and Stramenopila genera, respectively. This resulted in a stand-alone spreadsheet dataset covering 17 lifestyle related traits of fungal and Stramenopila genera, designed for rapid functional assignments of environmental studies. Supplementary Information The online version of this article (https ://doi. 1 3 In order to assign the trait states to fungal species hypotheses, the scientific community of experts manually categorised and assigned available trait information to 697,413 fungal ITS sequences. On the basis of those sequences we were able to summarise trait and host information into 92,623 fungal species hypotheses at 1% dissimilarity threshold.","container-title":"Fungal Diversity","DOI":"10.1007/s13225-020-00466-2","ISSN":"1560-2745","note":"publisher: Springer","page":"1-16","title":"FungalTraits: a user-friendly traits database of fungi and fungus-like stramenopiles","volume":"105","author":[{"family":"Põlme","given":"Sergei"},{"family":"Abarenkov","given":"Kessy"},{"family":"Henrik Nilsson","given":"R."},{"family":"Lindahl","given":"Björn D."},{"family":"Clemmensen","given":"Karina Engelbrecht"},{"family":"Kauserud","given":"Havard"},{"family":"Nguyen","given":"Nhu"},{"family":"Kjøller","given":"Rasmus"},{"family":"Bates","given":"Scott T."},{"family":"Baldrian","given":"Petr"},{"family":"Frøslev","given":"Tobias Guldberg"},{"family":"Adojaan","given":"Kristjan"},{"family":"Vizzini","given":"Alfredo"},{"family":"Suija","given":"Ave"},{"family":"Pfister","given":"Donald"},{"family":"Baral","given":"Hans-Otto"},{"family":"Järv","given":"Helle"},{"family":"Madrid","given":"Hugo"},{"family":"Nordén","given":"Jenni"},{"family":"Liu","given":"Jian-Kui"},{"family":"Pawlowska","given":"Julia"},{"family":"Põldmaa","given":"Kadri"},{"family":"Pärtel","given":"Kadri"},{"family":"Runnel","given":"Kadri"},{"family":"Hansen","given":"Karen"},{"family":"Larsson","given":"Karl-Henrik"},{"family":"Hyde","given":"Kevin David"},{"family":"Sandoval-Denis","given":"Marcelo"},{"family":"Smith","given":"Matthew E."},{"family":"Toome-Heller","given":"Merje"},{"family":"Wijayawardene","given":"Nalin N."},{"family":"Menolli","given":"Nelson"},{"family":"Reynolds","given":"Nicole K."},{"family":"Drenkhan","given":"Rein"},{"family":"Maharachchikumbura","given":"Sajeewa S. N."},{"family":"Gibertoni","given":"Tatiana B."},{"family":"Læssøe","given":"Thomas"},{"family":"Davis","given":"William"},{"family":"Tokarev","given":"Yuri"},{"family":"Corrales","given":"Adriana"},{"family":"Soares","given":"Adriene Mayra"},{"family":"Agan","given":"Ahto"},{"family":"Machado","given":"Alexandre Reis"},{"family":"Argüelles-Moyao","given":"Andrés"},{"family":"Detheridge","given":"Andrew"},{"family":"Meiras-Ottoni","given":"Angelina","non-dropping-particle":"de"},{"family":"Verbeken","given":"Annemieke"},{"family":"Dutta","given":"Arun Kumar"},{"family":"Cui","given":"Bao-Kai"},{"family":"Pradeep","given":"C. K."},{"family":"Marín","given":"César"},{"family":"Stanton","given":"Daniel"},{"family":"Gohar","given":"Daniyal"},{"family":"Wanasinghe","given":"Dhanushka N."},{"family":"Otsing","given":"Eveli"},{"family":"Aslani","given":"Farzad"},{"family":"Griffith","given":"Gareth W."},{"family":"Lumbsch","given":"Thorsten H."},{"family":"Grossart","given":"Hans-Peter"},{"family":"Masigol","given":"Hossein"},{"family":"Timling","given":"Ina"},{"family":"Hiiesalu","given":"Inga"},{"family":"Oja","given":"Jane"},{"family":"Kupagme","given":"John Y."},{"family":"Geml","given":"József"},{"family":"Alvarez-Manjarrez","given":"Julieta"},{"family":"Ilves","given":"Kai"},{"family":"Loit","given":"Kaire"},{"family":"Adamson","given":"Kalev"},{"family":"Nara","given":"Kazuhide"},{"family":"Küngas","given":"Kati"},{"family":"Rojas-Jimenez","given":"Keilor"},{"family":"Bitenieks","given":"Krišs"},{"family":"Irinyi","given":"Laszlo"},{"family":"Nagy","given":"László Laszlo"},{"family":"Soonvald","given":"Liina"},{"family":"Zhou","given":"Li-Wei"},{"family":"Wagner","given":"Lysett"},{"family":"Aime","given":"M. Catherine"},{"family":"Öpik","given":"Maarja"},{"family":"Mujica","given":"María Isabel"},{"family":"Metsoja","given":"Martin"},{"family":"Ryberg","given":"Martin"},{"family":"Vasar","given":"Martti"},{"family":"Murata","given":"Masao"},{"family":"Nelsen","given":"Matthew P."},{"family":"Cleary","given":"Michelle"},{"family":"Samarakoon","given":"Milan C."},{"family":"Doilom","given":"Mingkwan"},{"family":"Bahram","given":"Mohammad"},{"family":"Hagh-Doust","given":"Niloufar"},{"family":"Dulya","given":"Olesya"},{"family":"Johnston","given":"Peter"},{"family":"Kohout","given":"Petr"},{"family":"Chen","given":"Qian"},{"family":"Tian","given":"Qing"},{"family":"Nandi","given":"Rajasree"},{"family":"Amiri","given":"Rasekh"},{"family":"Perera","given":"Rekhani Hansika"},{"family":"Santos Chikowski","given":"Renata","non-dropping-particle":"dos"},{"family":"Mendes-Alvarenga","given":"Renato L."},{"family":"Garibay-Orijel","given":"Roberto"},{"family":"Gielen","given":"Robin"},{"family":"Phookamsak","given":"Rungtiwa"},{"family":"Jayawardena","given":"Ruvishika S."},{"family":"Rahimlou","given":"Saleh"},{"family":"Karunarathna","given":"Samantha C."},{"family":"Tibpromma","given":"Saowaluck"},{"family":"Brown","given":"Shawn P."},{"family":"Sepp","given":"Siim-Kaarel"},{"family":"Mundra","given":"Sunil"},{"family":"Luo","given":"Zhu-Hua"},{"family":"Bose","given":"Tanay"},{"family":"Vahter","given":"Tanel"},{"family":"Netherway","given":"Tarquin"},{"family":"Yang","given":"Teng"},{"family":"May","given":"Tom"},{"family":"Varga","given":"Torda"},{"family":"Li","given":"Wei"},{"family":"Coimbra","given":"Victor Rafael Matos"},{"family":"Oliveira","given":"Virton Rodrigo Targino","non-dropping-particle":"de"},{"family":"Lima","given":"Vitor Xavier","non-dropping-particle":"de"},{"family":"Mikryukov","given":"Vladimir S."},{"family":"Lu","given":"Yongzhong"},{"family":"Matsuda","given":"Yosuke"},{"family":"Miyamoto","given":"Yumiko"},{"family":"Kõljalg","given":"Urmas"},{"family":"Tedersoo","given":"Leho"}],"issued":{"date-parts":[["2021",1,19]]}}}],"schema":"https://github.com/citation-style-language/schema/raw/master/csl-citation.json"} </w:instrText>
      </w:r>
      <w:r w:rsidRPr="003B0886">
        <w:rPr>
          <w:rFonts w:ascii="Times New Roman" w:eastAsia="Times New Roman" w:hAnsi="Times New Roman" w:cs="Times New Roman"/>
          <w:sz w:val="24"/>
          <w:szCs w:val="24"/>
        </w:rPr>
        <w:fldChar w:fldCharType="separate"/>
      </w:r>
      <w:r w:rsidR="00547F67" w:rsidRPr="00547F67">
        <w:rPr>
          <w:rFonts w:ascii="Times New Roman" w:hAnsi="Times New Roman" w:cs="Times New Roman"/>
          <w:sz w:val="24"/>
          <w:szCs w:val="24"/>
          <w:lang w:val="en-GB"/>
        </w:rPr>
        <w:t>(</w:t>
      </w:r>
      <w:proofErr w:type="spellStart"/>
      <w:r w:rsidR="00547F67" w:rsidRPr="00547F67">
        <w:rPr>
          <w:rFonts w:ascii="Times New Roman" w:hAnsi="Times New Roman" w:cs="Times New Roman"/>
          <w:sz w:val="24"/>
          <w:szCs w:val="24"/>
          <w:lang w:val="en-GB"/>
        </w:rPr>
        <w:t>Põlme</w:t>
      </w:r>
      <w:proofErr w:type="spellEnd"/>
      <w:r w:rsidR="00547F67" w:rsidRPr="00547F67">
        <w:rPr>
          <w:rFonts w:ascii="Times New Roman" w:hAnsi="Times New Roman" w:cs="Times New Roman"/>
          <w:sz w:val="24"/>
          <w:szCs w:val="24"/>
          <w:lang w:val="en-GB"/>
        </w:rPr>
        <w:t xml:space="preserve"> </w:t>
      </w:r>
      <w:r w:rsidR="00547F67" w:rsidRPr="00547F67">
        <w:rPr>
          <w:rFonts w:ascii="Times New Roman" w:hAnsi="Times New Roman" w:cs="Times New Roman"/>
          <w:i/>
          <w:iCs/>
          <w:sz w:val="24"/>
          <w:szCs w:val="24"/>
          <w:lang w:val="en-GB"/>
        </w:rPr>
        <w:t>et al.</w:t>
      </w:r>
      <w:r w:rsidR="00547F67" w:rsidRPr="00547F67">
        <w:rPr>
          <w:rFonts w:ascii="Times New Roman" w:hAnsi="Times New Roman" w:cs="Times New Roman"/>
          <w:sz w:val="24"/>
          <w:szCs w:val="24"/>
          <w:lang w:val="en-GB"/>
        </w:rPr>
        <w:t xml:space="preserve"> 2021)</w:t>
      </w:r>
      <w:r w:rsidRPr="003B0886">
        <w:rPr>
          <w:rFonts w:ascii="Times New Roman" w:eastAsia="Times New Roman" w:hAnsi="Times New Roman" w:cs="Times New Roman"/>
          <w:sz w:val="24"/>
          <w:szCs w:val="24"/>
        </w:rPr>
        <w:fldChar w:fldCharType="end"/>
      </w:r>
      <w:r w:rsidRPr="00B92BA5">
        <w:rPr>
          <w:rFonts w:ascii="Times New Roman" w:eastAsia="Times New Roman" w:hAnsi="Times New Roman" w:cs="Times New Roman"/>
          <w:sz w:val="24"/>
          <w:szCs w:val="24"/>
          <w:lang w:val="en-GB"/>
        </w:rPr>
        <w:t xml:space="preserve">. Further, all </w:t>
      </w:r>
      <w:proofErr w:type="spellStart"/>
      <w:r w:rsidRPr="00B92BA5">
        <w:rPr>
          <w:rFonts w:ascii="Times New Roman" w:eastAsia="Times New Roman" w:hAnsi="Times New Roman" w:cs="Times New Roman"/>
          <w:sz w:val="24"/>
          <w:szCs w:val="24"/>
          <w:lang w:val="en-GB"/>
        </w:rPr>
        <w:t>Glomeromycotinian</w:t>
      </w:r>
      <w:proofErr w:type="spellEnd"/>
      <w:r w:rsidRPr="00B92BA5">
        <w:rPr>
          <w:rFonts w:ascii="Times New Roman" w:eastAsia="Times New Roman" w:hAnsi="Times New Roman" w:cs="Times New Roman"/>
          <w:sz w:val="24"/>
          <w:szCs w:val="24"/>
          <w:lang w:val="en-GB"/>
        </w:rPr>
        <w:t xml:space="preserve"> ASVs in the ITS data were assigned to be arbuscular mycorrhizal. For the AMF data, ASVs were blasted against the </w:t>
      </w:r>
      <w:proofErr w:type="spellStart"/>
      <w:r w:rsidRPr="00B92BA5">
        <w:rPr>
          <w:rFonts w:ascii="Times New Roman" w:eastAsia="Times New Roman" w:hAnsi="Times New Roman" w:cs="Times New Roman"/>
          <w:sz w:val="24"/>
          <w:szCs w:val="24"/>
          <w:lang w:val="en-GB"/>
        </w:rPr>
        <w:t>MaarjAM</w:t>
      </w:r>
      <w:proofErr w:type="spellEnd"/>
      <w:r w:rsidRPr="00B92BA5">
        <w:rPr>
          <w:rFonts w:ascii="Times New Roman" w:eastAsia="Times New Roman" w:hAnsi="Times New Roman" w:cs="Times New Roman"/>
          <w:sz w:val="24"/>
          <w:szCs w:val="24"/>
          <w:lang w:val="en-GB"/>
        </w:rPr>
        <w:t xml:space="preserve"> database</w:t>
      </w:r>
      <w:r w:rsidR="00547F67">
        <w:rPr>
          <w:rFonts w:ascii="Times New Roman" w:eastAsia="Times New Roman" w:hAnsi="Times New Roman" w:cs="Times New Roman"/>
          <w:sz w:val="24"/>
          <w:szCs w:val="24"/>
          <w:lang w:val="en-GB"/>
        </w:rPr>
        <w:t xml:space="preserve"> </w:t>
      </w:r>
      <w:r w:rsidRPr="003B0886">
        <w:rPr>
          <w:rFonts w:ascii="Times New Roman" w:eastAsia="Times New Roman" w:hAnsi="Times New Roman" w:cs="Times New Roman"/>
          <w:sz w:val="24"/>
          <w:szCs w:val="24"/>
        </w:rPr>
        <w:fldChar w:fldCharType="begin"/>
      </w:r>
      <w:r w:rsidR="00547F67">
        <w:rPr>
          <w:rFonts w:ascii="Times New Roman" w:eastAsia="Times New Roman" w:hAnsi="Times New Roman" w:cs="Times New Roman"/>
          <w:sz w:val="24"/>
          <w:szCs w:val="24"/>
          <w:lang w:val="en-GB"/>
        </w:rPr>
        <w:instrText xml:space="preserve"> ADDIN ZOTERO_ITEM CSL_CITATION {"citationID":"a266gjkuv5g","properties":{"formattedCitation":"(\\uc0\\u214{}pik {\\i{}et al.} 2010)","plainCitation":"(Öpik et al. 2010)","noteIndex":0},"citationItems":[{"id":7286,"uris":["http://zotero.org/users/10168430/items/AU2DCE7S"],"itemData":{"id":7286,"type":"article-journal","abstract":"• Here, we describe a new database, MaarjAM, that summarizes publicly available Glomeromycota DNA sequence data and associated metadata. The goal of the database is to facilitate the description of distribution and richness patterns in this group of fungi. • Small subunit (SSU) rRNA gene sequences and available metadata were collated from all suitable taxonomic and ecological publications. These data have been made accessible in an open-access database (http://maarjam.botany.ut.ee). • Two hundred and eighty-two SSU rRNA gene virtual taxa (VT) were described based on a comprehensive phylogenetic analysis of all collated Glomeromycota sequences. Two-thirds of VT showed limited distribution ranges, occurring in single current or historic continents or climatic zones. Those VT that associated with a taxonomically wide range of host plants also tended to have a wide geographical distribution, and vice versa. No relationships were detected between VT richness and latitude, elevation or vascular plant richness. • The collated Glomeromycota molecular diversity data suggest limited distribution ranges in most Glomeromycota taxa and a positive relationship between the width of a taxon’s geographical range and its host taxonomic range. Inconsistencies between molecular and traditional taxonomy of Glomeromycota, and shortage of data from major continents and ecosystems, are highlighted.","container-title":"New Phytologist","DOI":"10.1111/j.1469-8137.2010.03334.x","ISSN":"1469-8137","issue":"1","language":"en","license":"© The Authors (2010). Journal compilation © New Phytologist Trust (2010)","note":"_eprint: https://onlinelibrary.wiley.com/doi/pdf/10.1111/j.1469-8137.2010.03334.x","page":"223-241","source":"Wiley Online Library","title":"The online database MaarjAM reveals global and ecosystemic distribution patterns in arbuscular mycorrhizal fungi (Glomeromycota)","volume":"188","author":[{"family":"Öpik","given":"M."},{"family":"Vanatoa","given":"A."},{"family":"Vanatoa","given":"E."},{"family":"Moora","given":"M."},{"family":"Davison","given":"J."},{"family":"Kalwij","given":"J. M."},{"family":"Reier","given":"Ü."},{"family":"Zobel","given":"M."}],"issued":{"date-parts":[["2010"]]}}}],"schema":"https://github.com/citation-style-language/schema/raw/master/csl-citation.json"} </w:instrText>
      </w:r>
      <w:r w:rsidRPr="003B0886">
        <w:rPr>
          <w:rFonts w:ascii="Times New Roman" w:eastAsia="Times New Roman" w:hAnsi="Times New Roman" w:cs="Times New Roman"/>
          <w:sz w:val="24"/>
          <w:szCs w:val="24"/>
        </w:rPr>
        <w:fldChar w:fldCharType="separate"/>
      </w:r>
      <w:r w:rsidR="00547F67" w:rsidRPr="00547F67">
        <w:rPr>
          <w:rFonts w:ascii="Times New Roman" w:hAnsi="Times New Roman" w:cs="Times New Roman"/>
          <w:sz w:val="24"/>
          <w:szCs w:val="24"/>
          <w:lang w:val="en-GB"/>
        </w:rPr>
        <w:t>(</w:t>
      </w:r>
      <w:proofErr w:type="spellStart"/>
      <w:r w:rsidR="00547F67" w:rsidRPr="00547F67">
        <w:rPr>
          <w:rFonts w:ascii="Times New Roman" w:hAnsi="Times New Roman" w:cs="Times New Roman"/>
          <w:sz w:val="24"/>
          <w:szCs w:val="24"/>
          <w:lang w:val="en-GB"/>
        </w:rPr>
        <w:t>Öpik</w:t>
      </w:r>
      <w:proofErr w:type="spellEnd"/>
      <w:r w:rsidR="00547F67" w:rsidRPr="00547F67">
        <w:rPr>
          <w:rFonts w:ascii="Times New Roman" w:hAnsi="Times New Roman" w:cs="Times New Roman"/>
          <w:sz w:val="24"/>
          <w:szCs w:val="24"/>
          <w:lang w:val="en-GB"/>
        </w:rPr>
        <w:t xml:space="preserve"> </w:t>
      </w:r>
      <w:r w:rsidR="00547F67" w:rsidRPr="00547F67">
        <w:rPr>
          <w:rFonts w:ascii="Times New Roman" w:hAnsi="Times New Roman" w:cs="Times New Roman"/>
          <w:i/>
          <w:iCs/>
          <w:sz w:val="24"/>
          <w:szCs w:val="24"/>
          <w:lang w:val="en-GB"/>
        </w:rPr>
        <w:t>et al.</w:t>
      </w:r>
      <w:r w:rsidR="00547F67" w:rsidRPr="00547F67">
        <w:rPr>
          <w:rFonts w:ascii="Times New Roman" w:hAnsi="Times New Roman" w:cs="Times New Roman"/>
          <w:sz w:val="24"/>
          <w:szCs w:val="24"/>
          <w:lang w:val="en-GB"/>
        </w:rPr>
        <w:t xml:space="preserve"> 2010)</w:t>
      </w:r>
      <w:r w:rsidRPr="003B0886">
        <w:rPr>
          <w:rFonts w:ascii="Times New Roman" w:eastAsia="Times New Roman" w:hAnsi="Times New Roman" w:cs="Times New Roman"/>
          <w:sz w:val="24"/>
          <w:szCs w:val="24"/>
        </w:rPr>
        <w:fldChar w:fldCharType="end"/>
      </w:r>
      <w:r w:rsidRPr="00B92BA5">
        <w:rPr>
          <w:rFonts w:ascii="Times New Roman" w:eastAsia="Times New Roman" w:hAnsi="Times New Roman" w:cs="Times New Roman"/>
          <w:sz w:val="24"/>
          <w:szCs w:val="24"/>
          <w:lang w:val="en-GB"/>
        </w:rPr>
        <w:t xml:space="preserve"> and assigned to virtual taxa (VTX). ASVs without VTX assignment were extracted, singletons removed, and used for the construction of a maximum likelihood phylogenetic tree based on a general time-reversible, discrete gamma (GTR+G) model using </w:t>
      </w:r>
      <w:proofErr w:type="spellStart"/>
      <w:r w:rsidRPr="00B92BA5">
        <w:rPr>
          <w:rFonts w:ascii="Times New Roman" w:eastAsia="Times New Roman" w:hAnsi="Times New Roman" w:cs="Times New Roman"/>
          <w:sz w:val="24"/>
          <w:szCs w:val="24"/>
          <w:lang w:val="en-GB"/>
        </w:rPr>
        <w:t>raxML</w:t>
      </w:r>
      <w:proofErr w:type="spellEnd"/>
      <w:r w:rsidR="00547F67">
        <w:rPr>
          <w:rFonts w:ascii="Times New Roman" w:eastAsia="Times New Roman" w:hAnsi="Times New Roman" w:cs="Times New Roman"/>
          <w:sz w:val="24"/>
          <w:szCs w:val="24"/>
          <w:lang w:val="en-GB"/>
        </w:rPr>
        <w:t xml:space="preserve"> </w:t>
      </w:r>
      <w:r w:rsidRPr="003B0886">
        <w:rPr>
          <w:rFonts w:ascii="Times New Roman" w:eastAsia="Times New Roman" w:hAnsi="Times New Roman" w:cs="Times New Roman"/>
          <w:sz w:val="24"/>
          <w:szCs w:val="24"/>
        </w:rPr>
        <w:fldChar w:fldCharType="begin"/>
      </w:r>
      <w:r w:rsidR="00547F67">
        <w:rPr>
          <w:rFonts w:ascii="Times New Roman" w:eastAsia="Times New Roman" w:hAnsi="Times New Roman" w:cs="Times New Roman"/>
          <w:sz w:val="24"/>
          <w:szCs w:val="24"/>
          <w:lang w:val="en-GB"/>
        </w:rPr>
        <w:instrText xml:space="preserve"> ADDIN ZOTERO_ITEM CSL_CITATION {"citationID":"a159adou4fe","properties":{"formattedCitation":"(Stamatakis 2014)","plainCitation":"(Stamatakis 2014)","noteIndex":0},"citationItems":[{"id":7290,"uris":["http://zotero.org/users/10168430/items/HDJHTUE6"],"itemData":{"id":7290,"type":"article-journal","abstract":"Motivation: Phylogenies are increasingly used in all fields of medical and biological research. Moreover, because of the next-generation sequencing revolution, datasets used for conducting phylogenetic analyses grow at an unprecedented pace. RAxML (Randomized Axelerated Maximum Likelihood) is a popular program for phylogenetic analyses of large datasets under maximum likelihood. Since the last RAxML paper in 2006, it has been continuously maintained and extended to accommodate the increasingly growing input datasets and to serve the needs of the user community.Results: I present some of the most notable new features and extensions of RAxML, such as a substantial extension of substitution models and supported data types, the introduction of SSE3, AVX and AVX2 vector intrinsics, techniques for reducing the memory requirements of the code and a plethora of operations for conducting post-analyses on sets of trees. In addition, an up-to-date 50-page user manual covering all new RAxML options is available.Availability and implementation: The code is available under GNU GPL at https://github.com/stamatak/standard-RAxML.Contact:  alexandros.stamatakis@h-its.orgSupplementary information:  Supplementary data are available at Bioinformatics online.","container-title":"Bioinformatics","DOI":"10.1093/bioinformatics/btu033","ISSN":"1367-4803","issue":"9","journalAbbreviation":"Bioinformatics","page":"1312-1313","source":"Silverchair","title":"RAxML version 8: a tool for phylogenetic analysis and post-analysis of large phylogenies","title-short":"RAxML version 8","volume":"30","author":[{"family":"Stamatakis","given":"Alexandros"}],"issued":{"date-parts":[["2014",5,1]]}}}],"schema":"https://github.com/citation-style-language/schema/raw/master/csl-citation.json"} </w:instrText>
      </w:r>
      <w:r w:rsidRPr="003B0886">
        <w:rPr>
          <w:rFonts w:ascii="Times New Roman" w:eastAsia="Times New Roman" w:hAnsi="Times New Roman" w:cs="Times New Roman"/>
          <w:sz w:val="24"/>
          <w:szCs w:val="24"/>
        </w:rPr>
        <w:fldChar w:fldCharType="separate"/>
      </w:r>
      <w:r w:rsidR="00547F67" w:rsidRPr="00547F67">
        <w:rPr>
          <w:rFonts w:ascii="Times New Roman" w:hAnsi="Times New Roman" w:cs="Times New Roman"/>
          <w:sz w:val="24"/>
          <w:lang w:val="en-GB"/>
        </w:rPr>
        <w:t>(</w:t>
      </w:r>
      <w:proofErr w:type="spellStart"/>
      <w:r w:rsidR="00547F67" w:rsidRPr="00547F67">
        <w:rPr>
          <w:rFonts w:ascii="Times New Roman" w:hAnsi="Times New Roman" w:cs="Times New Roman"/>
          <w:sz w:val="24"/>
          <w:lang w:val="en-GB"/>
        </w:rPr>
        <w:t>Stamatakis</w:t>
      </w:r>
      <w:proofErr w:type="spellEnd"/>
      <w:r w:rsidR="00547F67" w:rsidRPr="00547F67">
        <w:rPr>
          <w:rFonts w:ascii="Times New Roman" w:hAnsi="Times New Roman" w:cs="Times New Roman"/>
          <w:sz w:val="24"/>
          <w:lang w:val="en-GB"/>
        </w:rPr>
        <w:t xml:space="preserve"> 2014)</w:t>
      </w:r>
      <w:r w:rsidRPr="003B0886">
        <w:rPr>
          <w:rFonts w:ascii="Times New Roman" w:eastAsia="Times New Roman" w:hAnsi="Times New Roman" w:cs="Times New Roman"/>
          <w:sz w:val="24"/>
          <w:szCs w:val="24"/>
        </w:rPr>
        <w:fldChar w:fldCharType="end"/>
      </w:r>
      <w:r w:rsidRPr="00B92BA5">
        <w:rPr>
          <w:rFonts w:ascii="Times New Roman" w:eastAsia="Times New Roman" w:hAnsi="Times New Roman" w:cs="Times New Roman"/>
          <w:sz w:val="24"/>
          <w:szCs w:val="24"/>
          <w:lang w:val="en-GB"/>
        </w:rPr>
        <w:t xml:space="preserve"> and </w:t>
      </w:r>
      <w:proofErr w:type="spellStart"/>
      <w:r w:rsidRPr="00B92BA5">
        <w:rPr>
          <w:rFonts w:ascii="Times New Roman" w:eastAsia="Times New Roman" w:hAnsi="Times New Roman" w:cs="Times New Roman"/>
          <w:sz w:val="24"/>
          <w:szCs w:val="24"/>
          <w:lang w:val="en-GB"/>
        </w:rPr>
        <w:t>FasttreeMP</w:t>
      </w:r>
      <w:proofErr w:type="spellEnd"/>
      <w:r w:rsidR="00547F67">
        <w:rPr>
          <w:rFonts w:ascii="Times New Roman" w:eastAsia="Times New Roman" w:hAnsi="Times New Roman" w:cs="Times New Roman"/>
          <w:sz w:val="24"/>
          <w:szCs w:val="24"/>
          <w:lang w:val="en-GB"/>
        </w:rPr>
        <w:t xml:space="preserve"> </w:t>
      </w:r>
      <w:r w:rsidRPr="003B0886">
        <w:rPr>
          <w:rFonts w:ascii="Times New Roman" w:eastAsia="Times New Roman" w:hAnsi="Times New Roman" w:cs="Times New Roman"/>
          <w:sz w:val="24"/>
          <w:szCs w:val="24"/>
        </w:rPr>
        <w:fldChar w:fldCharType="begin"/>
      </w:r>
      <w:r w:rsidR="00547F67">
        <w:rPr>
          <w:rFonts w:ascii="Times New Roman" w:eastAsia="Times New Roman" w:hAnsi="Times New Roman" w:cs="Times New Roman"/>
          <w:sz w:val="24"/>
          <w:szCs w:val="24"/>
          <w:lang w:val="en-GB"/>
        </w:rPr>
        <w:instrText xml:space="preserve"> ADDIN ZOTERO_ITEM CSL_CITATION {"citationID":"ark2h075kf","properties":{"formattedCitation":"(Price {\\i{}et al.} 2010)","plainCitation":"(Price et al. 2010)","noteIndex":0},"citationItems":[{"id":7294,"uris":["http://zotero.org/users/10168430/items/WB9Y7S38"],"itemData":{"id":7294,"type":"article-journal","abstract":"Background We recently described FastTree, a tool for inferring phylogenies for alignments with up to hundreds of thousands of sequences. Here, we describe improvements to FastTree that improve its accuracy without sacrificing scalability. Methodology/Principal Findings Where FastTree 1 used nearest-neighbor interchanges (NNIs) and the minimum-evolution criterion to improve the tree, FastTree 2 adds minimum-evolution subtree-pruning-regrafting (SPRs) and maximum-likelihood NNIs. FastTree 2 uses heuristics to restrict the search for better trees and estimates a rate of evolution for each site (the “CAT” approximation). Nevertheless, for both simulated and genuine alignments, FastTree 2 is slightly more accurate than a standard implementation of maximum-likelihood NNIs (PhyML 3 with default settings). Although FastTree 2 is not quite as accurate as methods that use maximum-likelihood SPRs, most of the splits that disagree are poorly supported, and for large alignments, FastTree 2 is 100–1,000 times faster. FastTree 2 inferred a topology and likelihood-based local support values for 237,882 distinct 16S ribosomal RNAs on a desktop computer in 22 hours and 5.8 gigabytes of memory. Conclusions/Significance FastTree 2 allows the inference of maximum-likelihood phylogenies for huge alignments. FastTree 2 is freely available at http://www.microbesonline.org/fasttree.","container-title":"PLOS ONE","DOI":"10.1371/journal.pone.0009490","ISSN":"1932-6203","issue":"3","journalAbbreviation":"PLOS ONE","language":"en","note":"publisher: Public Library of Science","page":"e9490","source":"PLoS Journals","title":"FastTree 2 – Approximately Maximum-Likelihood Trees for Large Alignments","volume":"5","author":[{"family":"Price","given":"Morgan N."},{"family":"Dehal","given":"Paramvir S."},{"family":"Arkin","given":"Adam P."}],"issued":{"date-parts":[["2010",3,10]]}}}],"schema":"https://github.com/citation-style-language/schema/raw/master/csl-citation.json"} </w:instrText>
      </w:r>
      <w:r w:rsidRPr="003B0886">
        <w:rPr>
          <w:rFonts w:ascii="Times New Roman" w:eastAsia="Times New Roman" w:hAnsi="Times New Roman" w:cs="Times New Roman"/>
          <w:sz w:val="24"/>
          <w:szCs w:val="24"/>
        </w:rPr>
        <w:fldChar w:fldCharType="separate"/>
      </w:r>
      <w:r w:rsidR="00547F67" w:rsidRPr="00547F67">
        <w:rPr>
          <w:rFonts w:ascii="Times New Roman" w:hAnsi="Times New Roman" w:cs="Times New Roman"/>
          <w:sz w:val="24"/>
          <w:szCs w:val="24"/>
          <w:lang w:val="en-GB"/>
        </w:rPr>
        <w:t xml:space="preserve">(Price </w:t>
      </w:r>
      <w:r w:rsidR="00547F67" w:rsidRPr="00547F67">
        <w:rPr>
          <w:rFonts w:ascii="Times New Roman" w:hAnsi="Times New Roman" w:cs="Times New Roman"/>
          <w:i/>
          <w:iCs/>
          <w:sz w:val="24"/>
          <w:szCs w:val="24"/>
          <w:lang w:val="en-GB"/>
        </w:rPr>
        <w:t>et al.</w:t>
      </w:r>
      <w:r w:rsidR="00547F67" w:rsidRPr="00547F67">
        <w:rPr>
          <w:rFonts w:ascii="Times New Roman" w:hAnsi="Times New Roman" w:cs="Times New Roman"/>
          <w:sz w:val="24"/>
          <w:szCs w:val="24"/>
          <w:lang w:val="en-GB"/>
        </w:rPr>
        <w:t xml:space="preserve"> 2010)</w:t>
      </w:r>
      <w:r w:rsidRPr="003B0886">
        <w:rPr>
          <w:rFonts w:ascii="Times New Roman" w:eastAsia="Times New Roman" w:hAnsi="Times New Roman" w:cs="Times New Roman"/>
          <w:sz w:val="24"/>
          <w:szCs w:val="24"/>
        </w:rPr>
        <w:fldChar w:fldCharType="end"/>
      </w:r>
      <w:r w:rsidRPr="00B92BA5">
        <w:rPr>
          <w:rFonts w:ascii="Times New Roman" w:eastAsia="Times New Roman" w:hAnsi="Times New Roman" w:cs="Times New Roman"/>
          <w:sz w:val="24"/>
          <w:szCs w:val="24"/>
          <w:lang w:val="en-GB"/>
        </w:rPr>
        <w:t xml:space="preserve">. Consequently, these ASVs were associated with custom virtual taxa (VTC) characterized by </w:t>
      </w:r>
      <w:proofErr w:type="spellStart"/>
      <w:r w:rsidRPr="00B92BA5">
        <w:rPr>
          <w:rFonts w:ascii="Times New Roman" w:eastAsia="Times New Roman" w:hAnsi="Times New Roman" w:cs="Times New Roman"/>
          <w:sz w:val="24"/>
          <w:szCs w:val="24"/>
          <w:lang w:val="en-GB"/>
        </w:rPr>
        <w:t>cophenetic</w:t>
      </w:r>
      <w:proofErr w:type="spellEnd"/>
      <w:r w:rsidRPr="00B92BA5">
        <w:rPr>
          <w:rFonts w:ascii="Times New Roman" w:eastAsia="Times New Roman" w:hAnsi="Times New Roman" w:cs="Times New Roman"/>
          <w:sz w:val="24"/>
          <w:szCs w:val="24"/>
          <w:lang w:val="en-GB"/>
        </w:rPr>
        <w:t xml:space="preserve"> distances below 0.03.</w:t>
      </w:r>
    </w:p>
    <w:p w14:paraId="7B377F0D" w14:textId="77777777" w:rsidR="00B92BA5" w:rsidRPr="00B92BA5" w:rsidRDefault="00B92BA5" w:rsidP="00F55DF3">
      <w:pPr>
        <w:spacing w:after="0" w:line="360" w:lineRule="auto"/>
        <w:jc w:val="both"/>
        <w:rPr>
          <w:rFonts w:ascii="Times New Roman" w:eastAsia="Times New Roman" w:hAnsi="Times New Roman" w:cs="Times New Roman"/>
          <w:sz w:val="24"/>
          <w:szCs w:val="24"/>
          <w:lang w:val="en-GB"/>
        </w:rPr>
      </w:pPr>
    </w:p>
    <w:p w14:paraId="740AB9C4" w14:textId="0CFF0DD9" w:rsidR="000E6095" w:rsidRPr="00F55DF3" w:rsidRDefault="13394B78" w:rsidP="00F55DF3">
      <w:pPr>
        <w:spacing w:after="0" w:line="360" w:lineRule="auto"/>
        <w:jc w:val="both"/>
        <w:rPr>
          <w:rFonts w:ascii="Times New Roman" w:eastAsia="Times New Roman" w:hAnsi="Times New Roman" w:cs="Times New Roman"/>
          <w:sz w:val="24"/>
          <w:szCs w:val="24"/>
          <w:lang w:val="en-US"/>
        </w:rPr>
      </w:pPr>
      <w:r w:rsidRPr="13394B78">
        <w:rPr>
          <w:rFonts w:ascii="Times New Roman" w:eastAsia="Times New Roman" w:hAnsi="Times New Roman" w:cs="Times New Roman"/>
          <w:sz w:val="24"/>
          <w:szCs w:val="24"/>
          <w:lang w:val="en-US"/>
        </w:rPr>
        <w:lastRenderedPageBreak/>
        <w:t xml:space="preserve">Our filtered ITS2 sequence dataset of 73 samples consisted of 3,251,726 fungal sequence reads, with a mean of 44,544 reads per sample (min. 26,494; max. 61,786 reads per sample). These were grouped into 5,276 ASVs, of which 4,472 were taxonomically assigned to the phylum level. Of these, Ascomycota (73.80%) had the most sequence reads, followed by Basidiomycota (12.07%), </w:t>
      </w:r>
      <w:proofErr w:type="spellStart"/>
      <w:r w:rsidRPr="13394B78">
        <w:rPr>
          <w:rFonts w:ascii="Times New Roman" w:eastAsia="Times New Roman" w:hAnsi="Times New Roman" w:cs="Times New Roman"/>
          <w:sz w:val="24"/>
          <w:szCs w:val="24"/>
          <w:lang w:val="en-US"/>
        </w:rPr>
        <w:t>Mortierellomycota</w:t>
      </w:r>
      <w:proofErr w:type="spellEnd"/>
      <w:r w:rsidRPr="13394B78">
        <w:rPr>
          <w:rFonts w:ascii="Times New Roman" w:eastAsia="Times New Roman" w:hAnsi="Times New Roman" w:cs="Times New Roman"/>
          <w:sz w:val="24"/>
          <w:szCs w:val="24"/>
          <w:lang w:val="en-US"/>
        </w:rPr>
        <w:t xml:space="preserve"> (11.43%) and </w:t>
      </w:r>
      <w:proofErr w:type="spellStart"/>
      <w:r w:rsidRPr="13394B78">
        <w:rPr>
          <w:rFonts w:ascii="Times New Roman" w:eastAsia="Times New Roman" w:hAnsi="Times New Roman" w:cs="Times New Roman"/>
          <w:sz w:val="24"/>
          <w:szCs w:val="24"/>
          <w:lang w:val="en-US"/>
        </w:rPr>
        <w:t>Chytridiomycota</w:t>
      </w:r>
      <w:proofErr w:type="spellEnd"/>
      <w:r w:rsidRPr="13394B78">
        <w:rPr>
          <w:rFonts w:ascii="Times New Roman" w:eastAsia="Times New Roman" w:hAnsi="Times New Roman" w:cs="Times New Roman"/>
          <w:sz w:val="24"/>
          <w:szCs w:val="24"/>
          <w:lang w:val="en-US"/>
        </w:rPr>
        <w:t xml:space="preserve"> (2.12%). A total of 2,309 ASVs (43.76%, corresponding to 64.09% of reads) could be assigned to at least one guild in the </w:t>
      </w:r>
      <w:proofErr w:type="spellStart"/>
      <w:r w:rsidRPr="13394B78">
        <w:rPr>
          <w:rFonts w:ascii="Times New Roman" w:eastAsia="Times New Roman" w:hAnsi="Times New Roman" w:cs="Times New Roman"/>
          <w:sz w:val="24"/>
          <w:szCs w:val="24"/>
          <w:lang w:val="en-US"/>
        </w:rPr>
        <w:t>FungalTraits</w:t>
      </w:r>
      <w:proofErr w:type="spellEnd"/>
      <w:r w:rsidRPr="13394B78">
        <w:rPr>
          <w:rFonts w:ascii="Times New Roman" w:eastAsia="Times New Roman" w:hAnsi="Times New Roman" w:cs="Times New Roman"/>
          <w:sz w:val="24"/>
          <w:szCs w:val="24"/>
          <w:lang w:val="en-US"/>
        </w:rPr>
        <w:t xml:space="preserve"> database</w:t>
      </w:r>
      <w:r w:rsidR="00547F67">
        <w:rPr>
          <w:rFonts w:ascii="Times New Roman" w:eastAsia="Times New Roman" w:hAnsi="Times New Roman" w:cs="Times New Roman"/>
          <w:sz w:val="24"/>
          <w:szCs w:val="24"/>
          <w:lang w:val="en-US"/>
        </w:rPr>
        <w:t xml:space="preserve"> </w:t>
      </w:r>
      <w:r w:rsidR="000E6095" w:rsidRPr="13394B78">
        <w:rPr>
          <w:rFonts w:ascii="Times New Roman" w:eastAsia="Times New Roman" w:hAnsi="Times New Roman" w:cs="Times New Roman"/>
          <w:sz w:val="24"/>
          <w:szCs w:val="24"/>
          <w:lang w:val="en-US"/>
        </w:rPr>
        <w:fldChar w:fldCharType="begin"/>
      </w:r>
      <w:r w:rsidR="00547F67">
        <w:rPr>
          <w:rFonts w:ascii="Times New Roman" w:eastAsia="Times New Roman" w:hAnsi="Times New Roman" w:cs="Times New Roman"/>
          <w:sz w:val="24"/>
          <w:szCs w:val="24"/>
          <w:lang w:val="en-US"/>
        </w:rPr>
        <w:instrText xml:space="preserve"> ADDIN ZOTERO_ITEM CSL_CITATION {"citationID":"JQMy71Wo","properties":{"formattedCitation":"(P\\uc0\\u245{}lme {\\i{}et al.} 2021)","plainCitation":"(Põlme et al. 2021)","noteIndex":0},"citationItems":[{"id":1889,"uris":["http://zotero.org/users/10168430/items/7P4WW8BX"],"itemData":{"id":1889,"type":"article-journal","abstract":"The cryptic lifestyle of most fungi necessitates molecular identification of the guild in environmental studies. Over the past decades, rapid development and affordability of molecular tools have tremendously improved insights of the fungal diversity in all ecosystems and habitats. Yet, in spite of the progress of molecular methods, knowledge about functional properties of the fungal taxa is vague and interpretation of environmental studies in an ecologically meaningful manner remains challenging. In order to facilitate functional assignments and ecological interpretation of environmental studies we introduce a user friendly traits and character database FungalTraits operating at genus and species hypothesis levels. Combining the information from previous efforts such as FUNGuild and Fun Fun together with involvement of expert knowledge, we reannotated 10,210 and 151 fungal and Stramenopila genera, respectively. This resulted in a stand-alone spreadsheet dataset covering 17 lifestyle related traits of fungal and Stramenopila genera, designed for rapid functional assignments of environmental studies. Supplementary Information The online version of this article (https ://doi. 1 3 In order to assign the trait states to fungal species hypotheses, the scientific community of experts manually categorised and assigned available trait information to 697,413 fungal ITS sequences. On the basis of those sequences we were able to summarise trait and host information into 92,623 fungal species hypotheses at 1% dissimilarity threshold.","container-title":"Fungal Diversity","DOI":"10.1007/s13225-020-00466-2","ISSN":"1560-2745","note":"publisher: Springer","page":"1-16","title":"FungalTraits: a user-friendly traits database of fungi and fungus-like stramenopiles","volume":"105","author":[{"family":"Põlme","given":"Sergei"},{"family":"Abarenkov","given":"Kessy"},{"family":"Henrik Nilsson","given":"R."},{"family":"Lindahl","given":"Björn D."},{"family":"Clemmensen","given":"Karina Engelbrecht"},{"family":"Kauserud","given":"Havard"},{"family":"Nguyen","given":"Nhu"},{"family":"Kjøller","given":"Rasmus"},{"family":"Bates","given":"Scott T."},{"family":"Baldrian","given":"Petr"},{"family":"Frøslev","given":"Tobias Guldberg"},{"family":"Adojaan","given":"Kristjan"},{"family":"Vizzini","given":"Alfredo"},{"family":"Suija","given":"Ave"},{"family":"Pfister","given":"Donald"},{"family":"Baral","given":"Hans-Otto"},{"family":"Järv","given":"Helle"},{"family":"Madrid","given":"Hugo"},{"family":"Nordén","given":"Jenni"},{"family":"Liu","given":"Jian-Kui"},{"family":"Pawlowska","given":"Julia"},{"family":"Põldmaa","given":"Kadri"},{"family":"Pärtel","given":"Kadri"},{"family":"Runnel","given":"Kadri"},{"family":"Hansen","given":"Karen"},{"family":"Larsson","given":"Karl-Henrik"},{"family":"Hyde","given":"Kevin David"},{"family":"Sandoval-Denis","given":"Marcelo"},{"family":"Smith","given":"Matthew E."},{"family":"Toome-Heller","given":"Merje"},{"family":"Wijayawardene","given":"Nalin N."},{"family":"Menolli","given":"Nelson"},{"family":"Reynolds","given":"Nicole K."},{"family":"Drenkhan","given":"Rein"},{"family":"Maharachchikumbura","given":"Sajeewa S. N."},{"family":"Gibertoni","given":"Tatiana B."},{"family":"Læssøe","given":"Thomas"},{"family":"Davis","given":"William"},{"family":"Tokarev","given":"Yuri"},{"family":"Corrales","given":"Adriana"},{"family":"Soares","given":"Adriene Mayra"},{"family":"Agan","given":"Ahto"},{"family":"Machado","given":"Alexandre Reis"},{"family":"Argüelles-Moyao","given":"Andrés"},{"family":"Detheridge","given":"Andrew"},{"family":"Meiras-Ottoni","given":"Angelina","non-dropping-particle":"de"},{"family":"Verbeken","given":"Annemieke"},{"family":"Dutta","given":"Arun Kumar"},{"family":"Cui","given":"Bao-Kai"},{"family":"Pradeep","given":"C. K."},{"family":"Marín","given":"César"},{"family":"Stanton","given":"Daniel"},{"family":"Gohar","given":"Daniyal"},{"family":"Wanasinghe","given":"Dhanushka N."},{"family":"Otsing","given":"Eveli"},{"family":"Aslani","given":"Farzad"},{"family":"Griffith","given":"Gareth W."},{"family":"Lumbsch","given":"Thorsten H."},{"family":"Grossart","given":"Hans-Peter"},{"family":"Masigol","given":"Hossein"},{"family":"Timling","given":"Ina"},{"family":"Hiiesalu","given":"Inga"},{"family":"Oja","given":"Jane"},{"family":"Kupagme","given":"John Y."},{"family":"Geml","given":"József"},{"family":"Alvarez-Manjarrez","given":"Julieta"},{"family":"Ilves","given":"Kai"},{"family":"Loit","given":"Kaire"},{"family":"Adamson","given":"Kalev"},{"family":"Nara","given":"Kazuhide"},{"family":"Küngas","given":"Kati"},{"family":"Rojas-Jimenez","given":"Keilor"},{"family":"Bitenieks","given":"Krišs"},{"family":"Irinyi","given":"Laszlo"},{"family":"Nagy","given":"László Laszlo"},{"family":"Soonvald","given":"Liina"},{"family":"Zhou","given":"Li-Wei"},{"family":"Wagner","given":"Lysett"},{"family":"Aime","given":"M. Catherine"},{"family":"Öpik","given":"Maarja"},{"family":"Mujica","given":"María Isabel"},{"family":"Metsoja","given":"Martin"},{"family":"Ryberg","given":"Martin"},{"family":"Vasar","given":"Martti"},{"family":"Murata","given":"Masao"},{"family":"Nelsen","given":"Matthew P."},{"family":"Cleary","given":"Michelle"},{"family":"Samarakoon","given":"Milan C."},{"family":"Doilom","given":"Mingkwan"},{"family":"Bahram","given":"Mohammad"},{"family":"Hagh-Doust","given":"Niloufar"},{"family":"Dulya","given":"Olesya"},{"family":"Johnston","given":"Peter"},{"family":"Kohout","given":"Petr"},{"family":"Chen","given":"Qian"},{"family":"Tian","given":"Qing"},{"family":"Nandi","given":"Rajasree"},{"family":"Amiri","given":"Rasekh"},{"family":"Perera","given":"Rekhani Hansika"},{"family":"Santos Chikowski","given":"Renata","non-dropping-particle":"dos"},{"family":"Mendes-Alvarenga","given":"Renato L."},{"family":"Garibay-Orijel","given":"Roberto"},{"family":"Gielen","given":"Robin"},{"family":"Phookamsak","given":"Rungtiwa"},{"family":"Jayawardena","given":"Ruvishika S."},{"family":"Rahimlou","given":"Saleh"},{"family":"Karunarathna","given":"Samantha C."},{"family":"Tibpromma","given":"Saowaluck"},{"family":"Brown","given":"Shawn P."},{"family":"Sepp","given":"Siim-Kaarel"},{"family":"Mundra","given":"Sunil"},{"family":"Luo","given":"Zhu-Hua"},{"family":"Bose","given":"Tanay"},{"family":"Vahter","given":"Tanel"},{"family":"Netherway","given":"Tarquin"},{"family":"Yang","given":"Teng"},{"family":"May","given":"Tom"},{"family":"Varga","given":"Torda"},{"family":"Li","given":"Wei"},{"family":"Coimbra","given":"Victor Rafael Matos"},{"family":"Oliveira","given":"Virton Rodrigo Targino","non-dropping-particle":"de"},{"family":"Lima","given":"Vitor Xavier","non-dropping-particle":"de"},{"family":"Mikryukov","given":"Vladimir S."},{"family":"Lu","given":"Yongzhong"},{"family":"Matsuda","given":"Yosuke"},{"family":"Miyamoto","given":"Yumiko"},{"family":"Kõljalg","given":"Urmas"},{"family":"Tedersoo","given":"Leho"}],"issued":{"date-parts":[["2021",1,19]]}}}],"schema":"https://github.com/citation-style-language/schema/raw/master/csl-citation.json"} </w:instrText>
      </w:r>
      <w:r w:rsidR="000E6095" w:rsidRPr="13394B78">
        <w:rPr>
          <w:rFonts w:ascii="Times New Roman" w:eastAsia="Times New Roman" w:hAnsi="Times New Roman" w:cs="Times New Roman"/>
          <w:sz w:val="24"/>
          <w:szCs w:val="24"/>
          <w:lang w:val="en-US"/>
        </w:rPr>
        <w:fldChar w:fldCharType="separate"/>
      </w:r>
      <w:r w:rsidR="00547F67" w:rsidRPr="00547F67">
        <w:rPr>
          <w:rFonts w:ascii="Times New Roman" w:hAnsi="Times New Roman" w:cs="Times New Roman"/>
          <w:sz w:val="24"/>
          <w:szCs w:val="24"/>
          <w:lang w:val="en-GB"/>
        </w:rPr>
        <w:t>(</w:t>
      </w:r>
      <w:proofErr w:type="spellStart"/>
      <w:r w:rsidR="00547F67" w:rsidRPr="00547F67">
        <w:rPr>
          <w:rFonts w:ascii="Times New Roman" w:hAnsi="Times New Roman" w:cs="Times New Roman"/>
          <w:sz w:val="24"/>
          <w:szCs w:val="24"/>
          <w:lang w:val="en-GB"/>
        </w:rPr>
        <w:t>Põlme</w:t>
      </w:r>
      <w:proofErr w:type="spellEnd"/>
      <w:r w:rsidR="00547F67" w:rsidRPr="00547F67">
        <w:rPr>
          <w:rFonts w:ascii="Times New Roman" w:hAnsi="Times New Roman" w:cs="Times New Roman"/>
          <w:sz w:val="24"/>
          <w:szCs w:val="24"/>
          <w:lang w:val="en-GB"/>
        </w:rPr>
        <w:t xml:space="preserve"> </w:t>
      </w:r>
      <w:r w:rsidR="00547F67" w:rsidRPr="00547F67">
        <w:rPr>
          <w:rFonts w:ascii="Times New Roman" w:hAnsi="Times New Roman" w:cs="Times New Roman"/>
          <w:i/>
          <w:iCs/>
          <w:sz w:val="24"/>
          <w:szCs w:val="24"/>
          <w:lang w:val="en-GB"/>
        </w:rPr>
        <w:t>et al.</w:t>
      </w:r>
      <w:r w:rsidR="00547F67" w:rsidRPr="00547F67">
        <w:rPr>
          <w:rFonts w:ascii="Times New Roman" w:hAnsi="Times New Roman" w:cs="Times New Roman"/>
          <w:sz w:val="24"/>
          <w:szCs w:val="24"/>
          <w:lang w:val="en-GB"/>
        </w:rPr>
        <w:t xml:space="preserve"> 2021)</w:t>
      </w:r>
      <w:r w:rsidR="000E6095" w:rsidRPr="13394B78">
        <w:rPr>
          <w:rFonts w:ascii="Times New Roman" w:eastAsia="Times New Roman" w:hAnsi="Times New Roman" w:cs="Times New Roman"/>
          <w:sz w:val="24"/>
          <w:szCs w:val="24"/>
          <w:lang w:val="en-US"/>
        </w:rPr>
        <w:fldChar w:fldCharType="end"/>
      </w:r>
      <w:r w:rsidRPr="13394B78">
        <w:rPr>
          <w:rFonts w:ascii="Times New Roman" w:eastAsia="Times New Roman" w:hAnsi="Times New Roman" w:cs="Times New Roman"/>
          <w:sz w:val="24"/>
          <w:szCs w:val="24"/>
          <w:lang w:val="en-US"/>
        </w:rPr>
        <w:t xml:space="preserve">. Of these, saprotrophs (which include soil saprotrophs, litter saprotrophs, wood saprotrophs, and unspecified saprotrophs) made up 58.34%, plant pathogens 25.82%, and arbuscular mycorrhiza 0.30% of reads. </w:t>
      </w:r>
    </w:p>
    <w:p w14:paraId="5A858E43" w14:textId="77777777" w:rsidR="000E6095" w:rsidRDefault="000E6095" w:rsidP="000E6095">
      <w:pPr>
        <w:rPr>
          <w:rFonts w:ascii="Times New Roman" w:eastAsia="Times New Roman" w:hAnsi="Times New Roman" w:cs="Times New Roman"/>
          <w:sz w:val="24"/>
          <w:szCs w:val="24"/>
          <w:lang w:val="en-US"/>
        </w:rPr>
      </w:pPr>
    </w:p>
    <w:p w14:paraId="50AF7622" w14:textId="77777777" w:rsidR="00FC46FB" w:rsidRPr="003116F8" w:rsidRDefault="00FC46FB" w:rsidP="000E6095">
      <w:pPr>
        <w:rPr>
          <w:rFonts w:ascii="Times New Roman" w:eastAsia="Times New Roman" w:hAnsi="Times New Roman" w:cs="Times New Roman"/>
          <w:b/>
          <w:sz w:val="24"/>
          <w:szCs w:val="24"/>
          <w:lang w:val="en-US"/>
        </w:rPr>
      </w:pPr>
    </w:p>
    <w:p w14:paraId="7653CF5D" w14:textId="1FF84BE1" w:rsidR="00F55DF3" w:rsidRPr="003116F8" w:rsidRDefault="00F55DF3" w:rsidP="000E6095">
      <w:pPr>
        <w:rPr>
          <w:rFonts w:ascii="Times New Roman" w:eastAsia="Times New Roman" w:hAnsi="Times New Roman" w:cs="Times New Roman"/>
          <w:b/>
          <w:sz w:val="24"/>
          <w:szCs w:val="24"/>
          <w:lang w:val="en-US"/>
        </w:rPr>
      </w:pPr>
      <w:r w:rsidRPr="003116F8">
        <w:rPr>
          <w:rFonts w:ascii="Times New Roman" w:eastAsia="Times New Roman" w:hAnsi="Times New Roman" w:cs="Times New Roman"/>
          <w:b/>
          <w:sz w:val="24"/>
          <w:szCs w:val="24"/>
          <w:lang w:val="en-US"/>
        </w:rPr>
        <w:t xml:space="preserve">References of </w:t>
      </w:r>
      <w:r w:rsidR="003116F8" w:rsidRPr="003116F8">
        <w:rPr>
          <w:rFonts w:ascii="Times New Roman" w:eastAsia="Times New Roman" w:hAnsi="Times New Roman" w:cs="Times New Roman"/>
          <w:b/>
          <w:sz w:val="24"/>
          <w:szCs w:val="24"/>
          <w:lang w:val="en-US"/>
        </w:rPr>
        <w:t>Supplementary Methods:</w:t>
      </w:r>
    </w:p>
    <w:p w14:paraId="60824A96" w14:textId="77777777" w:rsidR="00547F67" w:rsidRPr="00547F67" w:rsidRDefault="00FC46FB" w:rsidP="00547F67">
      <w:pPr>
        <w:pStyle w:val="Literaturverzeichnis"/>
        <w:jc w:val="both"/>
        <w:rPr>
          <w:rFonts w:ascii="Times New Roman" w:hAnsi="Times New Roman" w:cs="Times New Roman"/>
          <w:sz w:val="24"/>
          <w:lang w:val="en-GB"/>
        </w:rPr>
      </w:pPr>
      <w:r>
        <w:rPr>
          <w:rFonts w:eastAsia="Times New Roman"/>
          <w:lang w:val="en-US"/>
        </w:rPr>
        <w:fldChar w:fldCharType="begin"/>
      </w:r>
      <w:r w:rsidR="00547F67">
        <w:rPr>
          <w:rFonts w:eastAsia="Times New Roman"/>
        </w:rPr>
        <w:instrText xml:space="preserve"> ADDIN ZOTERO_BIBL {"uncited":[],"omitted":[],"custom":[]} CSL_BIBLIOGRAPHY </w:instrText>
      </w:r>
      <w:r>
        <w:rPr>
          <w:rFonts w:eastAsia="Times New Roman"/>
          <w:lang w:val="en-US"/>
        </w:rPr>
        <w:fldChar w:fldCharType="separate"/>
      </w:r>
      <w:r w:rsidR="00547F67" w:rsidRPr="00547F67">
        <w:rPr>
          <w:rFonts w:ascii="Times New Roman" w:hAnsi="Times New Roman" w:cs="Times New Roman"/>
          <w:sz w:val="24"/>
        </w:rPr>
        <w:t xml:space="preserve">Albracht, C., Solbach, M.D., Hennecke, J., Bassi, L., van der </w:t>
      </w:r>
      <w:proofErr w:type="spellStart"/>
      <w:r w:rsidR="00547F67" w:rsidRPr="00547F67">
        <w:rPr>
          <w:rFonts w:ascii="Times New Roman" w:hAnsi="Times New Roman" w:cs="Times New Roman"/>
          <w:sz w:val="24"/>
        </w:rPr>
        <w:t>Ploeg</w:t>
      </w:r>
      <w:proofErr w:type="spellEnd"/>
      <w:r w:rsidR="00547F67" w:rsidRPr="00547F67">
        <w:rPr>
          <w:rFonts w:ascii="Times New Roman" w:hAnsi="Times New Roman" w:cs="Times New Roman"/>
          <w:sz w:val="24"/>
        </w:rPr>
        <w:t xml:space="preserve">, G.R., Eisenhauer, N., </w:t>
      </w:r>
      <w:r w:rsidR="00547F67" w:rsidRPr="00547F67">
        <w:rPr>
          <w:rFonts w:ascii="Times New Roman" w:hAnsi="Times New Roman" w:cs="Times New Roman"/>
          <w:i/>
          <w:iCs/>
          <w:sz w:val="24"/>
        </w:rPr>
        <w:t>et al.</w:t>
      </w:r>
      <w:r w:rsidR="00547F67" w:rsidRPr="00547F67">
        <w:rPr>
          <w:rFonts w:ascii="Times New Roman" w:hAnsi="Times New Roman" w:cs="Times New Roman"/>
          <w:sz w:val="24"/>
        </w:rPr>
        <w:t xml:space="preserve"> </w:t>
      </w:r>
      <w:r w:rsidR="00547F67" w:rsidRPr="00547F67">
        <w:rPr>
          <w:rFonts w:ascii="Times New Roman" w:hAnsi="Times New Roman" w:cs="Times New Roman"/>
          <w:sz w:val="24"/>
          <w:lang w:val="en-GB"/>
        </w:rPr>
        <w:t xml:space="preserve">(2024). Common soil history is more important than plant history for arbuscular mycorrhizal community assembly in an experimental grassland diversity gradient. </w:t>
      </w:r>
      <w:r w:rsidR="00547F67" w:rsidRPr="00547F67">
        <w:rPr>
          <w:rFonts w:ascii="Times New Roman" w:hAnsi="Times New Roman" w:cs="Times New Roman"/>
          <w:i/>
          <w:iCs/>
          <w:sz w:val="24"/>
          <w:lang w:val="en-GB"/>
        </w:rPr>
        <w:t xml:space="preserve">Biol. </w:t>
      </w:r>
      <w:proofErr w:type="spellStart"/>
      <w:r w:rsidR="00547F67" w:rsidRPr="00547F67">
        <w:rPr>
          <w:rFonts w:ascii="Times New Roman" w:hAnsi="Times New Roman" w:cs="Times New Roman"/>
          <w:i/>
          <w:iCs/>
          <w:sz w:val="24"/>
          <w:lang w:val="en-GB"/>
        </w:rPr>
        <w:t>Fertil</w:t>
      </w:r>
      <w:proofErr w:type="spellEnd"/>
      <w:r w:rsidR="00547F67" w:rsidRPr="00547F67">
        <w:rPr>
          <w:rFonts w:ascii="Times New Roman" w:hAnsi="Times New Roman" w:cs="Times New Roman"/>
          <w:i/>
          <w:iCs/>
          <w:sz w:val="24"/>
          <w:lang w:val="en-GB"/>
        </w:rPr>
        <w:t>. Soils</w:t>
      </w:r>
      <w:r w:rsidR="00547F67" w:rsidRPr="00547F67">
        <w:rPr>
          <w:rFonts w:ascii="Times New Roman" w:hAnsi="Times New Roman" w:cs="Times New Roman"/>
          <w:sz w:val="24"/>
          <w:lang w:val="en-GB"/>
        </w:rPr>
        <w:t>, 60, 547–562.</w:t>
      </w:r>
    </w:p>
    <w:p w14:paraId="01745428" w14:textId="77777777" w:rsidR="00547F67" w:rsidRPr="00547F67" w:rsidRDefault="00547F67" w:rsidP="00547F67">
      <w:pPr>
        <w:pStyle w:val="Literaturverzeichnis"/>
        <w:jc w:val="both"/>
        <w:rPr>
          <w:rFonts w:ascii="Times New Roman" w:hAnsi="Times New Roman" w:cs="Times New Roman"/>
          <w:sz w:val="24"/>
          <w:lang w:val="en-GB"/>
        </w:rPr>
      </w:pPr>
      <w:r w:rsidRPr="00547F67">
        <w:rPr>
          <w:rFonts w:ascii="Times New Roman" w:hAnsi="Times New Roman" w:cs="Times New Roman"/>
          <w:sz w:val="24"/>
          <w:lang w:val="en-GB"/>
        </w:rPr>
        <w:t xml:space="preserve">Martin, M. (2011). </w:t>
      </w:r>
      <w:proofErr w:type="spellStart"/>
      <w:r w:rsidRPr="00547F67">
        <w:rPr>
          <w:rFonts w:ascii="Times New Roman" w:hAnsi="Times New Roman" w:cs="Times New Roman"/>
          <w:sz w:val="24"/>
          <w:lang w:val="en-GB"/>
        </w:rPr>
        <w:t>Cutadapt</w:t>
      </w:r>
      <w:proofErr w:type="spellEnd"/>
      <w:r w:rsidRPr="00547F67">
        <w:rPr>
          <w:rFonts w:ascii="Times New Roman" w:hAnsi="Times New Roman" w:cs="Times New Roman"/>
          <w:sz w:val="24"/>
          <w:lang w:val="en-GB"/>
        </w:rPr>
        <w:t xml:space="preserve"> removes adapter sequences from high-throughput sequencing reads. </w:t>
      </w:r>
      <w:proofErr w:type="spellStart"/>
      <w:r w:rsidRPr="00547F67">
        <w:rPr>
          <w:rFonts w:ascii="Times New Roman" w:hAnsi="Times New Roman" w:cs="Times New Roman"/>
          <w:i/>
          <w:iCs/>
          <w:sz w:val="24"/>
          <w:lang w:val="en-GB"/>
        </w:rPr>
        <w:t>EMBnet.journal</w:t>
      </w:r>
      <w:proofErr w:type="spellEnd"/>
      <w:r w:rsidRPr="00547F67">
        <w:rPr>
          <w:rFonts w:ascii="Times New Roman" w:hAnsi="Times New Roman" w:cs="Times New Roman"/>
          <w:sz w:val="24"/>
          <w:lang w:val="en-GB"/>
        </w:rPr>
        <w:t>, 17, 10–12.</w:t>
      </w:r>
    </w:p>
    <w:p w14:paraId="66CD3914" w14:textId="77777777" w:rsidR="00547F67" w:rsidRPr="00547F67" w:rsidRDefault="00547F67" w:rsidP="00547F67">
      <w:pPr>
        <w:pStyle w:val="Literaturverzeichnis"/>
        <w:jc w:val="both"/>
        <w:rPr>
          <w:rFonts w:ascii="Times New Roman" w:hAnsi="Times New Roman" w:cs="Times New Roman"/>
          <w:sz w:val="24"/>
          <w:lang w:val="en-GB"/>
        </w:rPr>
      </w:pPr>
      <w:r w:rsidRPr="00547F67">
        <w:rPr>
          <w:rFonts w:ascii="Times New Roman" w:hAnsi="Times New Roman" w:cs="Times New Roman"/>
          <w:sz w:val="24"/>
          <w:lang w:val="en-GB"/>
        </w:rPr>
        <w:t xml:space="preserve">Nilsson, R.H., Larsson, K.-H., Taylor, A.F.S., </w:t>
      </w:r>
      <w:proofErr w:type="spellStart"/>
      <w:r w:rsidRPr="00547F67">
        <w:rPr>
          <w:rFonts w:ascii="Times New Roman" w:hAnsi="Times New Roman" w:cs="Times New Roman"/>
          <w:sz w:val="24"/>
          <w:lang w:val="en-GB"/>
        </w:rPr>
        <w:t>Bengtsson</w:t>
      </w:r>
      <w:proofErr w:type="spellEnd"/>
      <w:r w:rsidRPr="00547F67">
        <w:rPr>
          <w:rFonts w:ascii="Times New Roman" w:hAnsi="Times New Roman" w:cs="Times New Roman"/>
          <w:sz w:val="24"/>
          <w:lang w:val="en-GB"/>
        </w:rPr>
        <w:t xml:space="preserve">-Palme, J., </w:t>
      </w:r>
      <w:proofErr w:type="spellStart"/>
      <w:r w:rsidRPr="00547F67">
        <w:rPr>
          <w:rFonts w:ascii="Times New Roman" w:hAnsi="Times New Roman" w:cs="Times New Roman"/>
          <w:sz w:val="24"/>
          <w:lang w:val="en-GB"/>
        </w:rPr>
        <w:t>Jeppesen</w:t>
      </w:r>
      <w:proofErr w:type="spellEnd"/>
      <w:r w:rsidRPr="00547F67">
        <w:rPr>
          <w:rFonts w:ascii="Times New Roman" w:hAnsi="Times New Roman" w:cs="Times New Roman"/>
          <w:sz w:val="24"/>
          <w:lang w:val="en-GB"/>
        </w:rPr>
        <w:t xml:space="preserve">, T.S., </w:t>
      </w:r>
      <w:proofErr w:type="spellStart"/>
      <w:r w:rsidRPr="00547F67">
        <w:rPr>
          <w:rFonts w:ascii="Times New Roman" w:hAnsi="Times New Roman" w:cs="Times New Roman"/>
          <w:sz w:val="24"/>
          <w:lang w:val="en-GB"/>
        </w:rPr>
        <w:t>Schigel</w:t>
      </w:r>
      <w:proofErr w:type="spellEnd"/>
      <w:r w:rsidRPr="00547F67">
        <w:rPr>
          <w:rFonts w:ascii="Times New Roman" w:hAnsi="Times New Roman" w:cs="Times New Roman"/>
          <w:sz w:val="24"/>
          <w:lang w:val="en-GB"/>
        </w:rPr>
        <w:t xml:space="preserve">, D., </w:t>
      </w:r>
      <w:r w:rsidRPr="00547F67">
        <w:rPr>
          <w:rFonts w:ascii="Times New Roman" w:hAnsi="Times New Roman" w:cs="Times New Roman"/>
          <w:i/>
          <w:iCs/>
          <w:sz w:val="24"/>
          <w:lang w:val="en-GB"/>
        </w:rPr>
        <w:t>et al.</w:t>
      </w:r>
      <w:r w:rsidRPr="00547F67">
        <w:rPr>
          <w:rFonts w:ascii="Times New Roman" w:hAnsi="Times New Roman" w:cs="Times New Roman"/>
          <w:sz w:val="24"/>
          <w:lang w:val="en-GB"/>
        </w:rPr>
        <w:t xml:space="preserve"> (2019). The UNITE database for molecular identification of fungi: handling dark taxa and parallel taxonomic classifications. </w:t>
      </w:r>
      <w:r w:rsidRPr="00547F67">
        <w:rPr>
          <w:rFonts w:ascii="Times New Roman" w:hAnsi="Times New Roman" w:cs="Times New Roman"/>
          <w:i/>
          <w:iCs/>
          <w:sz w:val="24"/>
          <w:lang w:val="en-GB"/>
        </w:rPr>
        <w:t>Nucleic Acids Res.</w:t>
      </w:r>
      <w:r w:rsidRPr="00547F67">
        <w:rPr>
          <w:rFonts w:ascii="Times New Roman" w:hAnsi="Times New Roman" w:cs="Times New Roman"/>
          <w:sz w:val="24"/>
          <w:lang w:val="en-GB"/>
        </w:rPr>
        <w:t>, 47, D259–D264.</w:t>
      </w:r>
    </w:p>
    <w:p w14:paraId="6A139718" w14:textId="77777777" w:rsidR="00547F67" w:rsidRPr="00547F67" w:rsidRDefault="00547F67" w:rsidP="00547F67">
      <w:pPr>
        <w:pStyle w:val="Literaturverzeichnis"/>
        <w:jc w:val="both"/>
        <w:rPr>
          <w:rFonts w:ascii="Times New Roman" w:hAnsi="Times New Roman" w:cs="Times New Roman"/>
          <w:sz w:val="24"/>
          <w:lang w:val="en-GB"/>
        </w:rPr>
      </w:pPr>
      <w:proofErr w:type="spellStart"/>
      <w:r w:rsidRPr="00547F67">
        <w:rPr>
          <w:rFonts w:ascii="Times New Roman" w:hAnsi="Times New Roman" w:cs="Times New Roman"/>
          <w:sz w:val="24"/>
          <w:lang w:val="en-GB"/>
        </w:rPr>
        <w:t>Öpik</w:t>
      </w:r>
      <w:proofErr w:type="spellEnd"/>
      <w:r w:rsidRPr="00547F67">
        <w:rPr>
          <w:rFonts w:ascii="Times New Roman" w:hAnsi="Times New Roman" w:cs="Times New Roman"/>
          <w:sz w:val="24"/>
          <w:lang w:val="en-GB"/>
        </w:rPr>
        <w:t xml:space="preserve">, M., </w:t>
      </w:r>
      <w:proofErr w:type="spellStart"/>
      <w:r w:rsidRPr="00547F67">
        <w:rPr>
          <w:rFonts w:ascii="Times New Roman" w:hAnsi="Times New Roman" w:cs="Times New Roman"/>
          <w:sz w:val="24"/>
          <w:lang w:val="en-GB"/>
        </w:rPr>
        <w:t>Vanatoa</w:t>
      </w:r>
      <w:proofErr w:type="spellEnd"/>
      <w:r w:rsidRPr="00547F67">
        <w:rPr>
          <w:rFonts w:ascii="Times New Roman" w:hAnsi="Times New Roman" w:cs="Times New Roman"/>
          <w:sz w:val="24"/>
          <w:lang w:val="en-GB"/>
        </w:rPr>
        <w:t xml:space="preserve">, A., </w:t>
      </w:r>
      <w:proofErr w:type="spellStart"/>
      <w:r w:rsidRPr="00547F67">
        <w:rPr>
          <w:rFonts w:ascii="Times New Roman" w:hAnsi="Times New Roman" w:cs="Times New Roman"/>
          <w:sz w:val="24"/>
          <w:lang w:val="en-GB"/>
        </w:rPr>
        <w:t>Vanatoa</w:t>
      </w:r>
      <w:proofErr w:type="spellEnd"/>
      <w:r w:rsidRPr="00547F67">
        <w:rPr>
          <w:rFonts w:ascii="Times New Roman" w:hAnsi="Times New Roman" w:cs="Times New Roman"/>
          <w:sz w:val="24"/>
          <w:lang w:val="en-GB"/>
        </w:rPr>
        <w:t xml:space="preserve">, E., </w:t>
      </w:r>
      <w:proofErr w:type="spellStart"/>
      <w:r w:rsidRPr="00547F67">
        <w:rPr>
          <w:rFonts w:ascii="Times New Roman" w:hAnsi="Times New Roman" w:cs="Times New Roman"/>
          <w:sz w:val="24"/>
          <w:lang w:val="en-GB"/>
        </w:rPr>
        <w:t>Moora</w:t>
      </w:r>
      <w:proofErr w:type="spellEnd"/>
      <w:r w:rsidRPr="00547F67">
        <w:rPr>
          <w:rFonts w:ascii="Times New Roman" w:hAnsi="Times New Roman" w:cs="Times New Roman"/>
          <w:sz w:val="24"/>
          <w:lang w:val="en-GB"/>
        </w:rPr>
        <w:t xml:space="preserve">, M., Davison, J., </w:t>
      </w:r>
      <w:proofErr w:type="spellStart"/>
      <w:r w:rsidRPr="00547F67">
        <w:rPr>
          <w:rFonts w:ascii="Times New Roman" w:hAnsi="Times New Roman" w:cs="Times New Roman"/>
          <w:sz w:val="24"/>
          <w:lang w:val="en-GB"/>
        </w:rPr>
        <w:t>Kalwij</w:t>
      </w:r>
      <w:proofErr w:type="spellEnd"/>
      <w:r w:rsidRPr="00547F67">
        <w:rPr>
          <w:rFonts w:ascii="Times New Roman" w:hAnsi="Times New Roman" w:cs="Times New Roman"/>
          <w:sz w:val="24"/>
          <w:lang w:val="en-GB"/>
        </w:rPr>
        <w:t xml:space="preserve">, J.M., </w:t>
      </w:r>
      <w:r w:rsidRPr="00547F67">
        <w:rPr>
          <w:rFonts w:ascii="Times New Roman" w:hAnsi="Times New Roman" w:cs="Times New Roman"/>
          <w:i/>
          <w:iCs/>
          <w:sz w:val="24"/>
          <w:lang w:val="en-GB"/>
        </w:rPr>
        <w:t>et al.</w:t>
      </w:r>
      <w:r w:rsidRPr="00547F67">
        <w:rPr>
          <w:rFonts w:ascii="Times New Roman" w:hAnsi="Times New Roman" w:cs="Times New Roman"/>
          <w:sz w:val="24"/>
          <w:lang w:val="en-GB"/>
        </w:rPr>
        <w:t xml:space="preserve"> (2010). The online database </w:t>
      </w:r>
      <w:proofErr w:type="spellStart"/>
      <w:r w:rsidRPr="00547F67">
        <w:rPr>
          <w:rFonts w:ascii="Times New Roman" w:hAnsi="Times New Roman" w:cs="Times New Roman"/>
          <w:sz w:val="24"/>
          <w:lang w:val="en-GB"/>
        </w:rPr>
        <w:t>MaarjAM</w:t>
      </w:r>
      <w:proofErr w:type="spellEnd"/>
      <w:r w:rsidRPr="00547F67">
        <w:rPr>
          <w:rFonts w:ascii="Times New Roman" w:hAnsi="Times New Roman" w:cs="Times New Roman"/>
          <w:sz w:val="24"/>
          <w:lang w:val="en-GB"/>
        </w:rPr>
        <w:t xml:space="preserve"> reveals global and </w:t>
      </w:r>
      <w:proofErr w:type="spellStart"/>
      <w:r w:rsidRPr="00547F67">
        <w:rPr>
          <w:rFonts w:ascii="Times New Roman" w:hAnsi="Times New Roman" w:cs="Times New Roman"/>
          <w:sz w:val="24"/>
          <w:lang w:val="en-GB"/>
        </w:rPr>
        <w:t>ecosystemic</w:t>
      </w:r>
      <w:proofErr w:type="spellEnd"/>
      <w:r w:rsidRPr="00547F67">
        <w:rPr>
          <w:rFonts w:ascii="Times New Roman" w:hAnsi="Times New Roman" w:cs="Times New Roman"/>
          <w:sz w:val="24"/>
          <w:lang w:val="en-GB"/>
        </w:rPr>
        <w:t xml:space="preserve"> distribution patterns in arbuscular mycorrhizal fungi (</w:t>
      </w:r>
      <w:proofErr w:type="spellStart"/>
      <w:r w:rsidRPr="00547F67">
        <w:rPr>
          <w:rFonts w:ascii="Times New Roman" w:hAnsi="Times New Roman" w:cs="Times New Roman"/>
          <w:sz w:val="24"/>
          <w:lang w:val="en-GB"/>
        </w:rPr>
        <w:t>Glomeromycota</w:t>
      </w:r>
      <w:proofErr w:type="spellEnd"/>
      <w:r w:rsidRPr="00547F67">
        <w:rPr>
          <w:rFonts w:ascii="Times New Roman" w:hAnsi="Times New Roman" w:cs="Times New Roman"/>
          <w:sz w:val="24"/>
          <w:lang w:val="en-GB"/>
        </w:rPr>
        <w:t xml:space="preserve">). </w:t>
      </w:r>
      <w:r w:rsidRPr="00547F67">
        <w:rPr>
          <w:rFonts w:ascii="Times New Roman" w:hAnsi="Times New Roman" w:cs="Times New Roman"/>
          <w:i/>
          <w:iCs/>
          <w:sz w:val="24"/>
          <w:lang w:val="en-GB"/>
        </w:rPr>
        <w:t xml:space="preserve">New </w:t>
      </w:r>
      <w:proofErr w:type="gramStart"/>
      <w:r w:rsidRPr="00547F67">
        <w:rPr>
          <w:rFonts w:ascii="Times New Roman" w:hAnsi="Times New Roman" w:cs="Times New Roman"/>
          <w:i/>
          <w:iCs/>
          <w:sz w:val="24"/>
          <w:lang w:val="en-GB"/>
        </w:rPr>
        <w:t>Phytol.</w:t>
      </w:r>
      <w:r w:rsidRPr="00547F67">
        <w:rPr>
          <w:rFonts w:ascii="Times New Roman" w:hAnsi="Times New Roman" w:cs="Times New Roman"/>
          <w:sz w:val="24"/>
          <w:lang w:val="en-GB"/>
        </w:rPr>
        <w:t>,</w:t>
      </w:r>
      <w:proofErr w:type="gramEnd"/>
      <w:r w:rsidRPr="00547F67">
        <w:rPr>
          <w:rFonts w:ascii="Times New Roman" w:hAnsi="Times New Roman" w:cs="Times New Roman"/>
          <w:sz w:val="24"/>
          <w:lang w:val="en-GB"/>
        </w:rPr>
        <w:t xml:space="preserve"> 188, 223–241.</w:t>
      </w:r>
    </w:p>
    <w:p w14:paraId="0C986F6E" w14:textId="77777777" w:rsidR="00547F67" w:rsidRPr="00547F67" w:rsidRDefault="00547F67" w:rsidP="00547F67">
      <w:pPr>
        <w:pStyle w:val="Literaturverzeichnis"/>
        <w:jc w:val="both"/>
        <w:rPr>
          <w:rFonts w:ascii="Times New Roman" w:hAnsi="Times New Roman" w:cs="Times New Roman"/>
          <w:sz w:val="24"/>
          <w:lang w:val="en-GB"/>
        </w:rPr>
      </w:pPr>
      <w:proofErr w:type="spellStart"/>
      <w:r w:rsidRPr="00547F67">
        <w:rPr>
          <w:rFonts w:ascii="Times New Roman" w:hAnsi="Times New Roman" w:cs="Times New Roman"/>
          <w:sz w:val="24"/>
          <w:lang w:val="en-GB"/>
        </w:rPr>
        <w:t>Põlme</w:t>
      </w:r>
      <w:proofErr w:type="spellEnd"/>
      <w:r w:rsidRPr="00547F67">
        <w:rPr>
          <w:rFonts w:ascii="Times New Roman" w:hAnsi="Times New Roman" w:cs="Times New Roman"/>
          <w:sz w:val="24"/>
          <w:lang w:val="en-GB"/>
        </w:rPr>
        <w:t xml:space="preserve">, S., </w:t>
      </w:r>
      <w:proofErr w:type="spellStart"/>
      <w:r w:rsidRPr="00547F67">
        <w:rPr>
          <w:rFonts w:ascii="Times New Roman" w:hAnsi="Times New Roman" w:cs="Times New Roman"/>
          <w:sz w:val="24"/>
          <w:lang w:val="en-GB"/>
        </w:rPr>
        <w:t>Abarenkov</w:t>
      </w:r>
      <w:proofErr w:type="spellEnd"/>
      <w:r w:rsidRPr="00547F67">
        <w:rPr>
          <w:rFonts w:ascii="Times New Roman" w:hAnsi="Times New Roman" w:cs="Times New Roman"/>
          <w:sz w:val="24"/>
          <w:lang w:val="en-GB"/>
        </w:rPr>
        <w:t xml:space="preserve">, K., Henrik Nilsson, R., </w:t>
      </w:r>
      <w:proofErr w:type="spellStart"/>
      <w:r w:rsidRPr="00547F67">
        <w:rPr>
          <w:rFonts w:ascii="Times New Roman" w:hAnsi="Times New Roman" w:cs="Times New Roman"/>
          <w:sz w:val="24"/>
          <w:lang w:val="en-GB"/>
        </w:rPr>
        <w:t>Lindahl</w:t>
      </w:r>
      <w:proofErr w:type="spellEnd"/>
      <w:r w:rsidRPr="00547F67">
        <w:rPr>
          <w:rFonts w:ascii="Times New Roman" w:hAnsi="Times New Roman" w:cs="Times New Roman"/>
          <w:sz w:val="24"/>
          <w:lang w:val="en-GB"/>
        </w:rPr>
        <w:t xml:space="preserve">, B.D., </w:t>
      </w:r>
      <w:proofErr w:type="spellStart"/>
      <w:r w:rsidRPr="00547F67">
        <w:rPr>
          <w:rFonts w:ascii="Times New Roman" w:hAnsi="Times New Roman" w:cs="Times New Roman"/>
          <w:sz w:val="24"/>
          <w:lang w:val="en-GB"/>
        </w:rPr>
        <w:t>Clemmensen</w:t>
      </w:r>
      <w:proofErr w:type="spellEnd"/>
      <w:r w:rsidRPr="00547F67">
        <w:rPr>
          <w:rFonts w:ascii="Times New Roman" w:hAnsi="Times New Roman" w:cs="Times New Roman"/>
          <w:sz w:val="24"/>
          <w:lang w:val="en-GB"/>
        </w:rPr>
        <w:t xml:space="preserve">, K.E., </w:t>
      </w:r>
      <w:proofErr w:type="spellStart"/>
      <w:r w:rsidRPr="00547F67">
        <w:rPr>
          <w:rFonts w:ascii="Times New Roman" w:hAnsi="Times New Roman" w:cs="Times New Roman"/>
          <w:sz w:val="24"/>
          <w:lang w:val="en-GB"/>
        </w:rPr>
        <w:t>Kauserud</w:t>
      </w:r>
      <w:proofErr w:type="spellEnd"/>
      <w:r w:rsidRPr="00547F67">
        <w:rPr>
          <w:rFonts w:ascii="Times New Roman" w:hAnsi="Times New Roman" w:cs="Times New Roman"/>
          <w:sz w:val="24"/>
          <w:lang w:val="en-GB"/>
        </w:rPr>
        <w:t xml:space="preserve">, H., </w:t>
      </w:r>
      <w:r w:rsidRPr="00547F67">
        <w:rPr>
          <w:rFonts w:ascii="Times New Roman" w:hAnsi="Times New Roman" w:cs="Times New Roman"/>
          <w:i/>
          <w:iCs/>
          <w:sz w:val="24"/>
          <w:lang w:val="en-GB"/>
        </w:rPr>
        <w:t>et al.</w:t>
      </w:r>
      <w:r w:rsidRPr="00547F67">
        <w:rPr>
          <w:rFonts w:ascii="Times New Roman" w:hAnsi="Times New Roman" w:cs="Times New Roman"/>
          <w:sz w:val="24"/>
          <w:lang w:val="en-GB"/>
        </w:rPr>
        <w:t xml:space="preserve"> (2021). </w:t>
      </w:r>
      <w:proofErr w:type="spellStart"/>
      <w:r w:rsidRPr="00547F67">
        <w:rPr>
          <w:rFonts w:ascii="Times New Roman" w:hAnsi="Times New Roman" w:cs="Times New Roman"/>
          <w:sz w:val="24"/>
          <w:lang w:val="en-GB"/>
        </w:rPr>
        <w:t>FungalTraits</w:t>
      </w:r>
      <w:proofErr w:type="spellEnd"/>
      <w:r w:rsidRPr="00547F67">
        <w:rPr>
          <w:rFonts w:ascii="Times New Roman" w:hAnsi="Times New Roman" w:cs="Times New Roman"/>
          <w:sz w:val="24"/>
          <w:lang w:val="en-GB"/>
        </w:rPr>
        <w:t xml:space="preserve">: a user-friendly traits database of fungi and fungus-like </w:t>
      </w:r>
      <w:proofErr w:type="spellStart"/>
      <w:r w:rsidRPr="00547F67">
        <w:rPr>
          <w:rFonts w:ascii="Times New Roman" w:hAnsi="Times New Roman" w:cs="Times New Roman"/>
          <w:sz w:val="24"/>
          <w:lang w:val="en-GB"/>
        </w:rPr>
        <w:t>stramenopiles</w:t>
      </w:r>
      <w:proofErr w:type="spellEnd"/>
      <w:r w:rsidRPr="00547F67">
        <w:rPr>
          <w:rFonts w:ascii="Times New Roman" w:hAnsi="Times New Roman" w:cs="Times New Roman"/>
          <w:sz w:val="24"/>
          <w:lang w:val="en-GB"/>
        </w:rPr>
        <w:t xml:space="preserve">. </w:t>
      </w:r>
      <w:r w:rsidRPr="00547F67">
        <w:rPr>
          <w:rFonts w:ascii="Times New Roman" w:hAnsi="Times New Roman" w:cs="Times New Roman"/>
          <w:i/>
          <w:iCs/>
          <w:sz w:val="24"/>
          <w:lang w:val="en-GB"/>
        </w:rPr>
        <w:t xml:space="preserve">Fungal </w:t>
      </w:r>
      <w:proofErr w:type="gramStart"/>
      <w:r w:rsidRPr="00547F67">
        <w:rPr>
          <w:rFonts w:ascii="Times New Roman" w:hAnsi="Times New Roman" w:cs="Times New Roman"/>
          <w:i/>
          <w:iCs/>
          <w:sz w:val="24"/>
          <w:lang w:val="en-GB"/>
        </w:rPr>
        <w:t>Divers.</w:t>
      </w:r>
      <w:r w:rsidRPr="00547F67">
        <w:rPr>
          <w:rFonts w:ascii="Times New Roman" w:hAnsi="Times New Roman" w:cs="Times New Roman"/>
          <w:sz w:val="24"/>
          <w:lang w:val="en-GB"/>
        </w:rPr>
        <w:t>,</w:t>
      </w:r>
      <w:proofErr w:type="gramEnd"/>
      <w:r w:rsidRPr="00547F67">
        <w:rPr>
          <w:rFonts w:ascii="Times New Roman" w:hAnsi="Times New Roman" w:cs="Times New Roman"/>
          <w:sz w:val="24"/>
          <w:lang w:val="en-GB"/>
        </w:rPr>
        <w:t xml:space="preserve"> 105, 1–16.</w:t>
      </w:r>
    </w:p>
    <w:p w14:paraId="4EF77E2A" w14:textId="77777777" w:rsidR="00547F67" w:rsidRPr="00547F67" w:rsidRDefault="00547F67" w:rsidP="00547F67">
      <w:pPr>
        <w:pStyle w:val="Literaturverzeichnis"/>
        <w:jc w:val="both"/>
        <w:rPr>
          <w:rFonts w:ascii="Times New Roman" w:hAnsi="Times New Roman" w:cs="Times New Roman"/>
          <w:sz w:val="24"/>
        </w:rPr>
      </w:pPr>
      <w:r w:rsidRPr="00547F67">
        <w:rPr>
          <w:rFonts w:ascii="Times New Roman" w:hAnsi="Times New Roman" w:cs="Times New Roman"/>
          <w:sz w:val="24"/>
          <w:lang w:val="en-GB"/>
        </w:rPr>
        <w:t xml:space="preserve">Price, M.N., Dehal, P.S. &amp; Arkin, A.P. (2010). </w:t>
      </w:r>
      <w:proofErr w:type="spellStart"/>
      <w:r w:rsidRPr="00547F67">
        <w:rPr>
          <w:rFonts w:ascii="Times New Roman" w:hAnsi="Times New Roman" w:cs="Times New Roman"/>
          <w:sz w:val="24"/>
          <w:lang w:val="en-GB"/>
        </w:rPr>
        <w:t>FastTree</w:t>
      </w:r>
      <w:proofErr w:type="spellEnd"/>
      <w:r w:rsidRPr="00547F67">
        <w:rPr>
          <w:rFonts w:ascii="Times New Roman" w:hAnsi="Times New Roman" w:cs="Times New Roman"/>
          <w:sz w:val="24"/>
          <w:lang w:val="en-GB"/>
        </w:rPr>
        <w:t xml:space="preserve"> 2 – Approximately Maximum-Likelihood Trees for Large Alignments. </w:t>
      </w:r>
      <w:r w:rsidRPr="00547F67">
        <w:rPr>
          <w:rFonts w:ascii="Times New Roman" w:hAnsi="Times New Roman" w:cs="Times New Roman"/>
          <w:i/>
          <w:iCs/>
          <w:sz w:val="24"/>
        </w:rPr>
        <w:t>PLOS ONE</w:t>
      </w:r>
      <w:r w:rsidRPr="00547F67">
        <w:rPr>
          <w:rFonts w:ascii="Times New Roman" w:hAnsi="Times New Roman" w:cs="Times New Roman"/>
          <w:sz w:val="24"/>
        </w:rPr>
        <w:t>, 5, e9490.</w:t>
      </w:r>
    </w:p>
    <w:p w14:paraId="07AFFBBC" w14:textId="77777777" w:rsidR="00547F67" w:rsidRPr="00547F67" w:rsidRDefault="00547F67" w:rsidP="00547F67">
      <w:pPr>
        <w:pStyle w:val="Literaturverzeichnis"/>
        <w:jc w:val="both"/>
        <w:rPr>
          <w:rFonts w:ascii="Times New Roman" w:hAnsi="Times New Roman" w:cs="Times New Roman"/>
          <w:sz w:val="24"/>
          <w:lang w:val="en-GB"/>
        </w:rPr>
      </w:pPr>
      <w:r w:rsidRPr="00547F67">
        <w:rPr>
          <w:rFonts w:ascii="Times New Roman" w:hAnsi="Times New Roman" w:cs="Times New Roman"/>
          <w:sz w:val="24"/>
        </w:rPr>
        <w:t xml:space="preserve">Quast, C., </w:t>
      </w:r>
      <w:proofErr w:type="spellStart"/>
      <w:r w:rsidRPr="00547F67">
        <w:rPr>
          <w:rFonts w:ascii="Times New Roman" w:hAnsi="Times New Roman" w:cs="Times New Roman"/>
          <w:sz w:val="24"/>
        </w:rPr>
        <w:t>Pruesse</w:t>
      </w:r>
      <w:proofErr w:type="spellEnd"/>
      <w:r w:rsidRPr="00547F67">
        <w:rPr>
          <w:rFonts w:ascii="Times New Roman" w:hAnsi="Times New Roman" w:cs="Times New Roman"/>
          <w:sz w:val="24"/>
        </w:rPr>
        <w:t xml:space="preserve">, E., Yilmaz, P., Gerken, J., </w:t>
      </w:r>
      <w:proofErr w:type="spellStart"/>
      <w:r w:rsidRPr="00547F67">
        <w:rPr>
          <w:rFonts w:ascii="Times New Roman" w:hAnsi="Times New Roman" w:cs="Times New Roman"/>
          <w:sz w:val="24"/>
        </w:rPr>
        <w:t>Schweer</w:t>
      </w:r>
      <w:proofErr w:type="spellEnd"/>
      <w:r w:rsidRPr="00547F67">
        <w:rPr>
          <w:rFonts w:ascii="Times New Roman" w:hAnsi="Times New Roman" w:cs="Times New Roman"/>
          <w:sz w:val="24"/>
        </w:rPr>
        <w:t xml:space="preserve">, T., </w:t>
      </w:r>
      <w:proofErr w:type="spellStart"/>
      <w:r w:rsidRPr="00547F67">
        <w:rPr>
          <w:rFonts w:ascii="Times New Roman" w:hAnsi="Times New Roman" w:cs="Times New Roman"/>
          <w:sz w:val="24"/>
        </w:rPr>
        <w:t>Yarza</w:t>
      </w:r>
      <w:proofErr w:type="spellEnd"/>
      <w:r w:rsidRPr="00547F67">
        <w:rPr>
          <w:rFonts w:ascii="Times New Roman" w:hAnsi="Times New Roman" w:cs="Times New Roman"/>
          <w:sz w:val="24"/>
        </w:rPr>
        <w:t xml:space="preserve">, P., </w:t>
      </w:r>
      <w:r w:rsidRPr="00547F67">
        <w:rPr>
          <w:rFonts w:ascii="Times New Roman" w:hAnsi="Times New Roman" w:cs="Times New Roman"/>
          <w:i/>
          <w:iCs/>
          <w:sz w:val="24"/>
        </w:rPr>
        <w:t>et al.</w:t>
      </w:r>
      <w:r w:rsidRPr="00547F67">
        <w:rPr>
          <w:rFonts w:ascii="Times New Roman" w:hAnsi="Times New Roman" w:cs="Times New Roman"/>
          <w:sz w:val="24"/>
        </w:rPr>
        <w:t xml:space="preserve"> </w:t>
      </w:r>
      <w:r w:rsidRPr="00547F67">
        <w:rPr>
          <w:rFonts w:ascii="Times New Roman" w:hAnsi="Times New Roman" w:cs="Times New Roman"/>
          <w:sz w:val="24"/>
          <w:lang w:val="en-GB"/>
        </w:rPr>
        <w:t xml:space="preserve">(2013). The SILVA ribosomal RNA gene database project: improved data processing and web-based tools. </w:t>
      </w:r>
      <w:r w:rsidRPr="00547F67">
        <w:rPr>
          <w:rFonts w:ascii="Times New Roman" w:hAnsi="Times New Roman" w:cs="Times New Roman"/>
          <w:i/>
          <w:iCs/>
          <w:sz w:val="24"/>
          <w:lang w:val="en-GB"/>
        </w:rPr>
        <w:t>Nucleic Acids Res.</w:t>
      </w:r>
      <w:r w:rsidRPr="00547F67">
        <w:rPr>
          <w:rFonts w:ascii="Times New Roman" w:hAnsi="Times New Roman" w:cs="Times New Roman"/>
          <w:sz w:val="24"/>
          <w:lang w:val="en-GB"/>
        </w:rPr>
        <w:t>, 41, D590–D596.</w:t>
      </w:r>
    </w:p>
    <w:p w14:paraId="0559130C" w14:textId="77777777" w:rsidR="00547F67" w:rsidRPr="00547F67" w:rsidRDefault="00547F67" w:rsidP="00547F67">
      <w:pPr>
        <w:pStyle w:val="Literaturverzeichnis"/>
        <w:jc w:val="both"/>
        <w:rPr>
          <w:rFonts w:ascii="Times New Roman" w:hAnsi="Times New Roman" w:cs="Times New Roman"/>
          <w:sz w:val="24"/>
          <w:lang w:val="en-GB"/>
        </w:rPr>
      </w:pPr>
      <w:r w:rsidRPr="00547F67">
        <w:rPr>
          <w:rFonts w:ascii="Times New Roman" w:hAnsi="Times New Roman" w:cs="Times New Roman"/>
          <w:sz w:val="24"/>
          <w:lang w:val="en-GB"/>
        </w:rPr>
        <w:t>Richter, R. &amp; Bassi, L. (2023). Bagging-CARS-PLS model R code.</w:t>
      </w:r>
    </w:p>
    <w:p w14:paraId="453C6C3B" w14:textId="77777777" w:rsidR="00547F67" w:rsidRPr="00547F67" w:rsidRDefault="00547F67" w:rsidP="00547F67">
      <w:pPr>
        <w:pStyle w:val="Literaturverzeichnis"/>
        <w:jc w:val="both"/>
        <w:rPr>
          <w:rFonts w:ascii="Times New Roman" w:hAnsi="Times New Roman" w:cs="Times New Roman"/>
          <w:sz w:val="24"/>
          <w:lang w:val="en-GB"/>
        </w:rPr>
      </w:pPr>
      <w:r w:rsidRPr="00547F67">
        <w:rPr>
          <w:rFonts w:ascii="Times New Roman" w:hAnsi="Times New Roman" w:cs="Times New Roman"/>
          <w:sz w:val="24"/>
        </w:rPr>
        <w:t xml:space="preserve">Schloss, P.D., </w:t>
      </w:r>
      <w:proofErr w:type="spellStart"/>
      <w:r w:rsidRPr="00547F67">
        <w:rPr>
          <w:rFonts w:ascii="Times New Roman" w:hAnsi="Times New Roman" w:cs="Times New Roman"/>
          <w:sz w:val="24"/>
        </w:rPr>
        <w:t>Westcott</w:t>
      </w:r>
      <w:proofErr w:type="spellEnd"/>
      <w:r w:rsidRPr="00547F67">
        <w:rPr>
          <w:rFonts w:ascii="Times New Roman" w:hAnsi="Times New Roman" w:cs="Times New Roman"/>
          <w:sz w:val="24"/>
        </w:rPr>
        <w:t xml:space="preserve">, S.L., </w:t>
      </w:r>
      <w:proofErr w:type="spellStart"/>
      <w:r w:rsidRPr="00547F67">
        <w:rPr>
          <w:rFonts w:ascii="Times New Roman" w:hAnsi="Times New Roman" w:cs="Times New Roman"/>
          <w:sz w:val="24"/>
        </w:rPr>
        <w:t>Ryabin</w:t>
      </w:r>
      <w:proofErr w:type="spellEnd"/>
      <w:r w:rsidRPr="00547F67">
        <w:rPr>
          <w:rFonts w:ascii="Times New Roman" w:hAnsi="Times New Roman" w:cs="Times New Roman"/>
          <w:sz w:val="24"/>
        </w:rPr>
        <w:t xml:space="preserve">, T., Hall, J.R., Hartmann, M., </w:t>
      </w:r>
      <w:proofErr w:type="spellStart"/>
      <w:r w:rsidRPr="00547F67">
        <w:rPr>
          <w:rFonts w:ascii="Times New Roman" w:hAnsi="Times New Roman" w:cs="Times New Roman"/>
          <w:sz w:val="24"/>
        </w:rPr>
        <w:t>Hollister</w:t>
      </w:r>
      <w:proofErr w:type="spellEnd"/>
      <w:r w:rsidRPr="00547F67">
        <w:rPr>
          <w:rFonts w:ascii="Times New Roman" w:hAnsi="Times New Roman" w:cs="Times New Roman"/>
          <w:sz w:val="24"/>
        </w:rPr>
        <w:t xml:space="preserve">, E.B., </w:t>
      </w:r>
      <w:r w:rsidRPr="00547F67">
        <w:rPr>
          <w:rFonts w:ascii="Times New Roman" w:hAnsi="Times New Roman" w:cs="Times New Roman"/>
          <w:i/>
          <w:iCs/>
          <w:sz w:val="24"/>
        </w:rPr>
        <w:t>et al.</w:t>
      </w:r>
      <w:r w:rsidRPr="00547F67">
        <w:rPr>
          <w:rFonts w:ascii="Times New Roman" w:hAnsi="Times New Roman" w:cs="Times New Roman"/>
          <w:sz w:val="24"/>
        </w:rPr>
        <w:t xml:space="preserve"> </w:t>
      </w:r>
      <w:r w:rsidRPr="00547F67">
        <w:rPr>
          <w:rFonts w:ascii="Times New Roman" w:hAnsi="Times New Roman" w:cs="Times New Roman"/>
          <w:sz w:val="24"/>
          <w:lang w:val="en-GB"/>
        </w:rPr>
        <w:t xml:space="preserve">(2009). Introducing </w:t>
      </w:r>
      <w:proofErr w:type="spellStart"/>
      <w:r w:rsidRPr="00547F67">
        <w:rPr>
          <w:rFonts w:ascii="Times New Roman" w:hAnsi="Times New Roman" w:cs="Times New Roman"/>
          <w:sz w:val="24"/>
          <w:lang w:val="en-GB"/>
        </w:rPr>
        <w:t>mothur</w:t>
      </w:r>
      <w:proofErr w:type="spellEnd"/>
      <w:r w:rsidRPr="00547F67">
        <w:rPr>
          <w:rFonts w:ascii="Times New Roman" w:hAnsi="Times New Roman" w:cs="Times New Roman"/>
          <w:sz w:val="24"/>
          <w:lang w:val="en-GB"/>
        </w:rPr>
        <w:t xml:space="preserve">: Open-source, platform-independent, community-supported software for describing and comparing microbial communities. </w:t>
      </w:r>
      <w:r w:rsidRPr="00547F67">
        <w:rPr>
          <w:rFonts w:ascii="Times New Roman" w:hAnsi="Times New Roman" w:cs="Times New Roman"/>
          <w:i/>
          <w:iCs/>
          <w:sz w:val="24"/>
          <w:lang w:val="en-GB"/>
        </w:rPr>
        <w:t xml:space="preserve">Appl. Environ. </w:t>
      </w:r>
      <w:proofErr w:type="spellStart"/>
      <w:proofErr w:type="gramStart"/>
      <w:r w:rsidRPr="00547F67">
        <w:rPr>
          <w:rFonts w:ascii="Times New Roman" w:hAnsi="Times New Roman" w:cs="Times New Roman"/>
          <w:i/>
          <w:iCs/>
          <w:sz w:val="24"/>
          <w:lang w:val="en-GB"/>
        </w:rPr>
        <w:t>Microbiol</w:t>
      </w:r>
      <w:proofErr w:type="spellEnd"/>
      <w:r w:rsidRPr="00547F67">
        <w:rPr>
          <w:rFonts w:ascii="Times New Roman" w:hAnsi="Times New Roman" w:cs="Times New Roman"/>
          <w:i/>
          <w:iCs/>
          <w:sz w:val="24"/>
          <w:lang w:val="en-GB"/>
        </w:rPr>
        <w:t>.</w:t>
      </w:r>
      <w:r w:rsidRPr="00547F67">
        <w:rPr>
          <w:rFonts w:ascii="Times New Roman" w:hAnsi="Times New Roman" w:cs="Times New Roman"/>
          <w:sz w:val="24"/>
          <w:lang w:val="en-GB"/>
        </w:rPr>
        <w:t>,</w:t>
      </w:r>
      <w:proofErr w:type="gramEnd"/>
      <w:r w:rsidRPr="00547F67">
        <w:rPr>
          <w:rFonts w:ascii="Times New Roman" w:hAnsi="Times New Roman" w:cs="Times New Roman"/>
          <w:sz w:val="24"/>
          <w:lang w:val="en-GB"/>
        </w:rPr>
        <w:t xml:space="preserve"> 75, 7537–7541.</w:t>
      </w:r>
    </w:p>
    <w:p w14:paraId="3A10E81A" w14:textId="77777777" w:rsidR="00547F67" w:rsidRPr="00547F67" w:rsidRDefault="00547F67" w:rsidP="00547F67">
      <w:pPr>
        <w:pStyle w:val="Literaturverzeichnis"/>
        <w:jc w:val="both"/>
        <w:rPr>
          <w:rFonts w:ascii="Times New Roman" w:hAnsi="Times New Roman" w:cs="Times New Roman"/>
          <w:sz w:val="24"/>
          <w:lang w:val="en-GB"/>
        </w:rPr>
      </w:pPr>
      <w:proofErr w:type="spellStart"/>
      <w:r w:rsidRPr="00547F67">
        <w:rPr>
          <w:rFonts w:ascii="Times New Roman" w:hAnsi="Times New Roman" w:cs="Times New Roman"/>
          <w:sz w:val="24"/>
          <w:lang w:val="en-GB"/>
        </w:rPr>
        <w:t>Stamatakis</w:t>
      </w:r>
      <w:proofErr w:type="spellEnd"/>
      <w:r w:rsidRPr="00547F67">
        <w:rPr>
          <w:rFonts w:ascii="Times New Roman" w:hAnsi="Times New Roman" w:cs="Times New Roman"/>
          <w:sz w:val="24"/>
          <w:lang w:val="en-GB"/>
        </w:rPr>
        <w:t xml:space="preserve">, A. (2014). </w:t>
      </w:r>
      <w:proofErr w:type="spellStart"/>
      <w:r w:rsidRPr="00547F67">
        <w:rPr>
          <w:rFonts w:ascii="Times New Roman" w:hAnsi="Times New Roman" w:cs="Times New Roman"/>
          <w:sz w:val="24"/>
          <w:lang w:val="en-GB"/>
        </w:rPr>
        <w:t>RAxML</w:t>
      </w:r>
      <w:proofErr w:type="spellEnd"/>
      <w:r w:rsidRPr="00547F67">
        <w:rPr>
          <w:rFonts w:ascii="Times New Roman" w:hAnsi="Times New Roman" w:cs="Times New Roman"/>
          <w:sz w:val="24"/>
          <w:lang w:val="en-GB"/>
        </w:rPr>
        <w:t xml:space="preserve"> version 8: a tool for phylogenetic analysis and post-analysis of large phylogenies. </w:t>
      </w:r>
      <w:r w:rsidRPr="00547F67">
        <w:rPr>
          <w:rFonts w:ascii="Times New Roman" w:hAnsi="Times New Roman" w:cs="Times New Roman"/>
          <w:i/>
          <w:iCs/>
          <w:sz w:val="24"/>
          <w:lang w:val="en-GB"/>
        </w:rPr>
        <w:t>Bioinformatics</w:t>
      </w:r>
      <w:r w:rsidRPr="00547F67">
        <w:rPr>
          <w:rFonts w:ascii="Times New Roman" w:hAnsi="Times New Roman" w:cs="Times New Roman"/>
          <w:sz w:val="24"/>
          <w:lang w:val="en-GB"/>
        </w:rPr>
        <w:t>, 30, 1312–1313.</w:t>
      </w:r>
    </w:p>
    <w:p w14:paraId="35A51107" w14:textId="77777777" w:rsidR="00547F67" w:rsidRPr="00547F67" w:rsidRDefault="00547F67" w:rsidP="00547F67">
      <w:pPr>
        <w:pStyle w:val="Literaturverzeichnis"/>
        <w:jc w:val="both"/>
        <w:rPr>
          <w:rFonts w:ascii="Times New Roman" w:hAnsi="Times New Roman" w:cs="Times New Roman"/>
          <w:sz w:val="24"/>
        </w:rPr>
      </w:pPr>
      <w:proofErr w:type="spellStart"/>
      <w:r w:rsidRPr="00547F67">
        <w:rPr>
          <w:rFonts w:ascii="Times New Roman" w:hAnsi="Times New Roman" w:cs="Times New Roman"/>
          <w:sz w:val="24"/>
          <w:lang w:val="en-GB"/>
        </w:rPr>
        <w:t>Tedersoo</w:t>
      </w:r>
      <w:proofErr w:type="spellEnd"/>
      <w:r w:rsidRPr="00547F67">
        <w:rPr>
          <w:rFonts w:ascii="Times New Roman" w:hAnsi="Times New Roman" w:cs="Times New Roman"/>
          <w:sz w:val="24"/>
          <w:lang w:val="en-GB"/>
        </w:rPr>
        <w:t xml:space="preserve">, L., </w:t>
      </w:r>
      <w:proofErr w:type="spellStart"/>
      <w:r w:rsidRPr="00547F67">
        <w:rPr>
          <w:rFonts w:ascii="Times New Roman" w:hAnsi="Times New Roman" w:cs="Times New Roman"/>
          <w:sz w:val="24"/>
          <w:lang w:val="en-GB"/>
        </w:rPr>
        <w:t>Anslan</w:t>
      </w:r>
      <w:proofErr w:type="spellEnd"/>
      <w:r w:rsidRPr="00547F67">
        <w:rPr>
          <w:rFonts w:ascii="Times New Roman" w:hAnsi="Times New Roman" w:cs="Times New Roman"/>
          <w:sz w:val="24"/>
          <w:lang w:val="en-GB"/>
        </w:rPr>
        <w:t xml:space="preserve">, S., Bahram, M., </w:t>
      </w:r>
      <w:proofErr w:type="spellStart"/>
      <w:r w:rsidRPr="00547F67">
        <w:rPr>
          <w:rFonts w:ascii="Times New Roman" w:hAnsi="Times New Roman" w:cs="Times New Roman"/>
          <w:sz w:val="24"/>
          <w:lang w:val="en-GB"/>
        </w:rPr>
        <w:t>Põlme</w:t>
      </w:r>
      <w:proofErr w:type="spellEnd"/>
      <w:r w:rsidRPr="00547F67">
        <w:rPr>
          <w:rFonts w:ascii="Times New Roman" w:hAnsi="Times New Roman" w:cs="Times New Roman"/>
          <w:sz w:val="24"/>
          <w:lang w:val="en-GB"/>
        </w:rPr>
        <w:t xml:space="preserve">, S., </w:t>
      </w:r>
      <w:proofErr w:type="spellStart"/>
      <w:r w:rsidRPr="00547F67">
        <w:rPr>
          <w:rFonts w:ascii="Times New Roman" w:hAnsi="Times New Roman" w:cs="Times New Roman"/>
          <w:sz w:val="24"/>
          <w:lang w:val="en-GB"/>
        </w:rPr>
        <w:t>Riit</w:t>
      </w:r>
      <w:proofErr w:type="spellEnd"/>
      <w:r w:rsidRPr="00547F67">
        <w:rPr>
          <w:rFonts w:ascii="Times New Roman" w:hAnsi="Times New Roman" w:cs="Times New Roman"/>
          <w:sz w:val="24"/>
          <w:lang w:val="en-GB"/>
        </w:rPr>
        <w:t xml:space="preserve">, T., </w:t>
      </w:r>
      <w:proofErr w:type="spellStart"/>
      <w:r w:rsidRPr="00547F67">
        <w:rPr>
          <w:rFonts w:ascii="Times New Roman" w:hAnsi="Times New Roman" w:cs="Times New Roman"/>
          <w:sz w:val="24"/>
          <w:lang w:val="en-GB"/>
        </w:rPr>
        <w:t>Liiv</w:t>
      </w:r>
      <w:proofErr w:type="spellEnd"/>
      <w:r w:rsidRPr="00547F67">
        <w:rPr>
          <w:rFonts w:ascii="Times New Roman" w:hAnsi="Times New Roman" w:cs="Times New Roman"/>
          <w:sz w:val="24"/>
          <w:lang w:val="en-GB"/>
        </w:rPr>
        <w:t xml:space="preserve">, I., </w:t>
      </w:r>
      <w:r w:rsidRPr="00547F67">
        <w:rPr>
          <w:rFonts w:ascii="Times New Roman" w:hAnsi="Times New Roman" w:cs="Times New Roman"/>
          <w:i/>
          <w:iCs/>
          <w:sz w:val="24"/>
          <w:lang w:val="en-GB"/>
        </w:rPr>
        <w:t>et al.</w:t>
      </w:r>
      <w:r w:rsidRPr="00547F67">
        <w:rPr>
          <w:rFonts w:ascii="Times New Roman" w:hAnsi="Times New Roman" w:cs="Times New Roman"/>
          <w:sz w:val="24"/>
          <w:lang w:val="en-GB"/>
        </w:rPr>
        <w:t xml:space="preserve"> (2015). Shotgun metagenomes and multiple primer pair-barcode combinations of amplicons reveal biases in </w:t>
      </w:r>
      <w:proofErr w:type="spellStart"/>
      <w:r w:rsidRPr="00547F67">
        <w:rPr>
          <w:rFonts w:ascii="Times New Roman" w:hAnsi="Times New Roman" w:cs="Times New Roman"/>
          <w:sz w:val="24"/>
          <w:lang w:val="en-GB"/>
        </w:rPr>
        <w:t>metabarcoding</w:t>
      </w:r>
      <w:proofErr w:type="spellEnd"/>
      <w:r w:rsidRPr="00547F67">
        <w:rPr>
          <w:rFonts w:ascii="Times New Roman" w:hAnsi="Times New Roman" w:cs="Times New Roman"/>
          <w:sz w:val="24"/>
          <w:lang w:val="en-GB"/>
        </w:rPr>
        <w:t xml:space="preserve"> analyses of fungi. </w:t>
      </w:r>
      <w:proofErr w:type="spellStart"/>
      <w:r w:rsidRPr="00547F67">
        <w:rPr>
          <w:rFonts w:ascii="Times New Roman" w:hAnsi="Times New Roman" w:cs="Times New Roman"/>
          <w:i/>
          <w:iCs/>
          <w:sz w:val="24"/>
        </w:rPr>
        <w:t>MycoKeys</w:t>
      </w:r>
      <w:proofErr w:type="spellEnd"/>
      <w:r w:rsidRPr="00547F67">
        <w:rPr>
          <w:rFonts w:ascii="Times New Roman" w:hAnsi="Times New Roman" w:cs="Times New Roman"/>
          <w:sz w:val="24"/>
        </w:rPr>
        <w:t>, 10, 1–43.</w:t>
      </w:r>
    </w:p>
    <w:p w14:paraId="188AFC62" w14:textId="77777777" w:rsidR="00547F67" w:rsidRPr="00547F67" w:rsidRDefault="00547F67" w:rsidP="00547F67">
      <w:pPr>
        <w:pStyle w:val="Literaturverzeichnis"/>
        <w:jc w:val="both"/>
        <w:rPr>
          <w:rFonts w:ascii="Times New Roman" w:hAnsi="Times New Roman" w:cs="Times New Roman"/>
          <w:sz w:val="24"/>
        </w:rPr>
      </w:pPr>
      <w:proofErr w:type="spellStart"/>
      <w:r w:rsidRPr="00547F67">
        <w:rPr>
          <w:rFonts w:ascii="Times New Roman" w:hAnsi="Times New Roman" w:cs="Times New Roman"/>
          <w:sz w:val="24"/>
        </w:rPr>
        <w:t>Wahdan</w:t>
      </w:r>
      <w:proofErr w:type="spellEnd"/>
      <w:r w:rsidRPr="00547F67">
        <w:rPr>
          <w:rFonts w:ascii="Times New Roman" w:hAnsi="Times New Roman" w:cs="Times New Roman"/>
          <w:sz w:val="24"/>
        </w:rPr>
        <w:t xml:space="preserve">, S.F.M., Reitz, T., Heintz-Buschart, A., Schädler, M., Roscher, C., Breitkreuz, C., </w:t>
      </w:r>
      <w:r w:rsidRPr="00547F67">
        <w:rPr>
          <w:rFonts w:ascii="Times New Roman" w:hAnsi="Times New Roman" w:cs="Times New Roman"/>
          <w:i/>
          <w:iCs/>
          <w:sz w:val="24"/>
        </w:rPr>
        <w:t>et al.</w:t>
      </w:r>
      <w:r w:rsidRPr="00547F67">
        <w:rPr>
          <w:rFonts w:ascii="Times New Roman" w:hAnsi="Times New Roman" w:cs="Times New Roman"/>
          <w:sz w:val="24"/>
        </w:rPr>
        <w:t xml:space="preserve"> </w:t>
      </w:r>
      <w:r w:rsidRPr="00547F67">
        <w:rPr>
          <w:rFonts w:ascii="Times New Roman" w:hAnsi="Times New Roman" w:cs="Times New Roman"/>
          <w:sz w:val="24"/>
          <w:lang w:val="en-GB"/>
        </w:rPr>
        <w:t xml:space="preserve">(2021). Organic agricultural practice enhances arbuscular mycorrhizal symbiosis in </w:t>
      </w:r>
      <w:r w:rsidRPr="00547F67">
        <w:rPr>
          <w:rFonts w:ascii="Times New Roman" w:hAnsi="Times New Roman" w:cs="Times New Roman"/>
          <w:sz w:val="24"/>
          <w:lang w:val="en-GB"/>
        </w:rPr>
        <w:lastRenderedPageBreak/>
        <w:t xml:space="preserve">correspondence to soil warming and altered precipitation patterns. </w:t>
      </w:r>
      <w:proofErr w:type="spellStart"/>
      <w:r w:rsidRPr="00547F67">
        <w:rPr>
          <w:rFonts w:ascii="Times New Roman" w:hAnsi="Times New Roman" w:cs="Times New Roman"/>
          <w:i/>
          <w:iCs/>
          <w:sz w:val="24"/>
        </w:rPr>
        <w:t>Environ</w:t>
      </w:r>
      <w:proofErr w:type="spellEnd"/>
      <w:r w:rsidRPr="00547F67">
        <w:rPr>
          <w:rFonts w:ascii="Times New Roman" w:hAnsi="Times New Roman" w:cs="Times New Roman"/>
          <w:i/>
          <w:iCs/>
          <w:sz w:val="24"/>
        </w:rPr>
        <w:t xml:space="preserve">. </w:t>
      </w:r>
      <w:proofErr w:type="spellStart"/>
      <w:r w:rsidRPr="00547F67">
        <w:rPr>
          <w:rFonts w:ascii="Times New Roman" w:hAnsi="Times New Roman" w:cs="Times New Roman"/>
          <w:i/>
          <w:iCs/>
          <w:sz w:val="24"/>
        </w:rPr>
        <w:t>Microbiol</w:t>
      </w:r>
      <w:proofErr w:type="spellEnd"/>
      <w:r w:rsidRPr="00547F67">
        <w:rPr>
          <w:rFonts w:ascii="Times New Roman" w:hAnsi="Times New Roman" w:cs="Times New Roman"/>
          <w:i/>
          <w:iCs/>
          <w:sz w:val="24"/>
        </w:rPr>
        <w:t>.</w:t>
      </w:r>
      <w:r w:rsidRPr="00547F67">
        <w:rPr>
          <w:rFonts w:ascii="Times New Roman" w:hAnsi="Times New Roman" w:cs="Times New Roman"/>
          <w:sz w:val="24"/>
        </w:rPr>
        <w:t>, 23, 6163–6176.</w:t>
      </w:r>
    </w:p>
    <w:p w14:paraId="2ADFA3A0" w14:textId="2700EFFA" w:rsidR="00FC46FB" w:rsidRPr="00F55DF3" w:rsidRDefault="00FC46FB" w:rsidP="00547F6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fldChar w:fldCharType="end"/>
      </w:r>
    </w:p>
    <w:sectPr w:rsidR="00FC46FB" w:rsidRPr="00F55DF3" w:rsidSect="005A5BFB">
      <w:pgSz w:w="11906" w:h="16838"/>
      <w:pgMar w:top="1417" w:right="1417" w:bottom="1134" w:left="1417" w:header="708" w:footer="708" w:gutter="0"/>
      <w:lnNumType w:countBy="1" w:restart="continuous"/>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A8B46E" w16cex:dateUtc="2024-02-20T13:17:38.357Z"/>
  <w16cex:commentExtensible w16cex:durableId="4161A382" w16cex:dateUtc="2024-02-20T13:22:21.915Z"/>
</w16cex:commentsExtensible>
</file>

<file path=word/commentsIds.xml><?xml version="1.0" encoding="utf-8"?>
<w16cid:commentsIds xmlns:mc="http://schemas.openxmlformats.org/markup-compatibility/2006" xmlns:w16cid="http://schemas.microsoft.com/office/word/2016/wordml/cid" mc:Ignorable="w16cid">
  <w16cid:commentId w16cid:paraId="31476DBA" w16cid:durableId="30A8B46E"/>
  <w16cid:commentId w16cid:paraId="09FB2C62" w16cid:durableId="4161A3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qDYmD2KPzzGoe" int2:id="ZlA1o1Ed">
      <int2:state int2:type="AugLoop_Text_Critique" int2:value="Rejected"/>
    </int2:textHash>
    <int2:textHash int2:hashCode="rkN7H/JEubOb0j" int2:id="RfT4u9Hz">
      <int2:state int2:type="AugLoop_Text_Critique" int2:value="Rejected"/>
    </int2:textHash>
    <int2:textHash int2:hashCode="958Gzwoq8+/83N" int2:id="jaBvQ8hl">
      <int2:state int2:type="AugLoop_Text_Critique" int2:value="Rejected"/>
    </int2:textHash>
    <int2:textHash int2:hashCode="Qf5wSHzG1DCUfu" int2:id="wCss9v5Z">
      <int2:state int2:type="AugLoop_Text_Critique" int2:value="Rejected"/>
    </int2:textHash>
    <int2:textHash int2:hashCode="+01IUh+0Qtfm+a" int2:id="jPlpHxDf">
      <int2:state int2:type="AugLoop_Text_Critique" int2:value="Rejected"/>
    </int2:textHash>
    <int2:textHash int2:hashCode="Soqfwx3BWkuHux" int2:id="gmNRy8Y8">
      <int2:state int2:type="AugLoop_Text_Critique" int2:value="Rejected"/>
    </int2:textHash>
    <int2:textHash int2:hashCode="M4Um5cZhzLJlXc" int2:id="tfMn3RHM">
      <int2:state int2:type="AugLoop_Text_Critique" int2:value="Rejected"/>
    </int2:textHash>
    <int2:textHash int2:hashCode="dQLbsHIj91/r2P" int2:id="SSdxj1rW">
      <int2:state int2:type="AugLoop_Text_Critique" int2:value="Rejected"/>
    </int2:textHash>
    <int2:textHash int2:hashCode="76xvYsMa/PZDqV" int2:id="5FwUcRBQ">
      <int2:state int2:type="AugLoop_Text_Critique" int2:value="Rejected"/>
    </int2:textHash>
    <int2:textHash int2:hashCode="wBSx8oWcLh8AME" int2:id="q3O7EYWa">
      <int2:state int2:type="AugLoop_Text_Critique" int2:value="Rejected"/>
    </int2:textHash>
    <int2:textHash int2:hashCode="4IlJ9zPMd5M0n7" int2:id="DAqx4iB7">
      <int2:state int2:type="AugLoop_Text_Critique" int2:value="Rejected"/>
    </int2:textHash>
    <int2:textHash int2:hashCode="OtD+0fjqO6A3re" int2:id="edEr1ac6">
      <int2:state int2:type="AugLoop_Text_Critique" int2:value="Rejected"/>
    </int2:textHash>
    <int2:bookmark int2:bookmarkName="_Int_m4YJjs9J" int2:invalidationBookmarkName="" int2:hashCode="J9mNui8PeQjsV4" int2:id="Yr8qKv4R">
      <int2:state int2:type="AugLoop_Text_Critique" int2:value="Rejected"/>
    </int2:bookmark>
    <int2:bookmark int2:bookmarkName="_Int_1g8zl18G" int2:invalidationBookmarkName="" int2:hashCode="4+MrIlJu9jqUAf" int2:id="Lz8fPSFd">
      <int2:state int2:type="AugLoop_Text_Critique" int2:value="Rejected"/>
    </int2:bookmark>
    <int2:bookmark int2:bookmarkName="_Int_2BcGGYGQ" int2:invalidationBookmarkName="" int2:hashCode="4+MrIlJu9jqUAf" int2:id="XutH7C1E">
      <int2:state int2:type="AugLoop_Text_Critique" int2:value="Rejected"/>
    </int2:bookmark>
    <int2:bookmark int2:bookmarkName="_Int_oIHiOaBi" int2:invalidationBookmarkName="" int2:hashCode="6JHVVPTTafqnQO" int2:id="AmUfXdaQ">
      <int2:state int2:type="AugLoop_Text_Critique" int2:value="Rejected"/>
    </int2:bookmark>
    <int2:bookmark int2:bookmarkName="_Int_mGF46oHC" int2:invalidationBookmarkName="" int2:hashCode="2gZm0ic6XF38Z4" int2:id="o24tF4FO">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FB"/>
    <w:rsid w:val="00030D49"/>
    <w:rsid w:val="000801C4"/>
    <w:rsid w:val="0008580C"/>
    <w:rsid w:val="000C0A41"/>
    <w:rsid w:val="000E6095"/>
    <w:rsid w:val="000F4DD1"/>
    <w:rsid w:val="00100E06"/>
    <w:rsid w:val="00171B12"/>
    <w:rsid w:val="00176C5B"/>
    <w:rsid w:val="0024334F"/>
    <w:rsid w:val="002819BB"/>
    <w:rsid w:val="002A6238"/>
    <w:rsid w:val="003116F8"/>
    <w:rsid w:val="00320D4D"/>
    <w:rsid w:val="00386655"/>
    <w:rsid w:val="00391A97"/>
    <w:rsid w:val="003E465F"/>
    <w:rsid w:val="00446DD6"/>
    <w:rsid w:val="00457D95"/>
    <w:rsid w:val="00483B72"/>
    <w:rsid w:val="004E1982"/>
    <w:rsid w:val="00547F67"/>
    <w:rsid w:val="0055328A"/>
    <w:rsid w:val="0058651E"/>
    <w:rsid w:val="005A5BFB"/>
    <w:rsid w:val="00654312"/>
    <w:rsid w:val="00666B0D"/>
    <w:rsid w:val="00683AAF"/>
    <w:rsid w:val="006F08AE"/>
    <w:rsid w:val="00727494"/>
    <w:rsid w:val="00762E74"/>
    <w:rsid w:val="00771766"/>
    <w:rsid w:val="00773830"/>
    <w:rsid w:val="007B16D8"/>
    <w:rsid w:val="007D3CFD"/>
    <w:rsid w:val="0084119D"/>
    <w:rsid w:val="00847027"/>
    <w:rsid w:val="00894079"/>
    <w:rsid w:val="00895AE5"/>
    <w:rsid w:val="008B347C"/>
    <w:rsid w:val="009A72FB"/>
    <w:rsid w:val="009C147E"/>
    <w:rsid w:val="00A24AD7"/>
    <w:rsid w:val="00A722E9"/>
    <w:rsid w:val="00A84874"/>
    <w:rsid w:val="00A9350A"/>
    <w:rsid w:val="00A97BDE"/>
    <w:rsid w:val="00B24768"/>
    <w:rsid w:val="00B92BA5"/>
    <w:rsid w:val="00BA178C"/>
    <w:rsid w:val="00BA6B7B"/>
    <w:rsid w:val="00C012DE"/>
    <w:rsid w:val="00D335CD"/>
    <w:rsid w:val="00D609DA"/>
    <w:rsid w:val="00D623AB"/>
    <w:rsid w:val="00D828A3"/>
    <w:rsid w:val="00D83F6E"/>
    <w:rsid w:val="00E057C4"/>
    <w:rsid w:val="00E06D9D"/>
    <w:rsid w:val="00E75975"/>
    <w:rsid w:val="00F40F76"/>
    <w:rsid w:val="00F43445"/>
    <w:rsid w:val="00F55DF3"/>
    <w:rsid w:val="00FC46FB"/>
    <w:rsid w:val="13394B78"/>
    <w:rsid w:val="52668D9B"/>
    <w:rsid w:val="66F98E1F"/>
    <w:rsid w:val="7D2DA6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B0E48"/>
  <w14:defaultImageDpi w14:val="330"/>
  <w15:chartTrackingRefBased/>
  <w15:docId w15:val="{231B480E-F332-41FC-9B39-76C71E75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rsid w:val="00654312"/>
    <w:pPr>
      <w:keepNext/>
      <w:keepLines/>
      <w:spacing w:before="360" w:after="80" w:line="360" w:lineRule="auto"/>
      <w:jc w:val="both"/>
      <w:outlineLvl w:val="1"/>
    </w:pPr>
    <w:rPr>
      <w:rFonts w:ascii="Calibri" w:eastAsia="Calibri" w:hAnsi="Calibri" w:cs="Arial"/>
      <w:b/>
      <w:sz w:val="36"/>
      <w:szCs w:val="36"/>
      <w:lang w:val="en-GB"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5A5BFB"/>
  </w:style>
  <w:style w:type="character" w:styleId="Hyperlink">
    <w:name w:val="Hyperlink"/>
    <w:basedOn w:val="Absatz-Standardschriftart"/>
    <w:uiPriority w:val="99"/>
    <w:unhideWhenUsed/>
    <w:rsid w:val="005A5BFB"/>
    <w:rPr>
      <w:color w:val="0563C1" w:themeColor="hyperlink"/>
      <w:u w:val="single"/>
    </w:rPr>
  </w:style>
  <w:style w:type="character" w:customStyle="1" w:styleId="berschrift2Zchn">
    <w:name w:val="Überschrift 2 Zchn"/>
    <w:basedOn w:val="Absatz-Standardschriftart"/>
    <w:link w:val="berschrift2"/>
    <w:rsid w:val="00654312"/>
    <w:rPr>
      <w:rFonts w:ascii="Calibri" w:eastAsia="Calibri" w:hAnsi="Calibri" w:cs="Arial"/>
      <w:b/>
      <w:sz w:val="36"/>
      <w:szCs w:val="36"/>
      <w:lang w:val="en-GB" w:eastAsia="de-DE"/>
    </w:rPr>
  </w:style>
  <w:style w:type="paragraph" w:styleId="Literaturverzeichnis">
    <w:name w:val="Bibliography"/>
    <w:basedOn w:val="Standard"/>
    <w:next w:val="Standard"/>
    <w:uiPriority w:val="37"/>
    <w:unhideWhenUsed/>
    <w:rsid w:val="00FC46FB"/>
    <w:pPr>
      <w:spacing w:after="0" w:line="240" w:lineRule="auto"/>
      <w:ind w:left="720" w:hanging="720"/>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E057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5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40633">
      <w:bodyDiv w:val="1"/>
      <w:marLeft w:val="0"/>
      <w:marRight w:val="0"/>
      <w:marTop w:val="0"/>
      <w:marBottom w:val="0"/>
      <w:divBdr>
        <w:top w:val="none" w:sz="0" w:space="0" w:color="auto"/>
        <w:left w:val="none" w:sz="0" w:space="0" w:color="auto"/>
        <w:bottom w:val="none" w:sz="0" w:space="0" w:color="auto"/>
        <w:right w:val="none" w:sz="0" w:space="0" w:color="auto"/>
      </w:divBdr>
    </w:div>
    <w:div w:id="1116565078">
      <w:bodyDiv w:val="1"/>
      <w:marLeft w:val="0"/>
      <w:marRight w:val="0"/>
      <w:marTop w:val="0"/>
      <w:marBottom w:val="0"/>
      <w:divBdr>
        <w:top w:val="none" w:sz="0" w:space="0" w:color="auto"/>
        <w:left w:val="none" w:sz="0" w:space="0" w:color="auto"/>
        <w:bottom w:val="none" w:sz="0" w:space="0" w:color="auto"/>
        <w:right w:val="none" w:sz="0" w:space="0" w:color="auto"/>
      </w:divBdr>
    </w:div>
    <w:div w:id="1227649375">
      <w:bodyDiv w:val="1"/>
      <w:marLeft w:val="0"/>
      <w:marRight w:val="0"/>
      <w:marTop w:val="0"/>
      <w:marBottom w:val="0"/>
      <w:divBdr>
        <w:top w:val="none" w:sz="0" w:space="0" w:color="auto"/>
        <w:left w:val="none" w:sz="0" w:space="0" w:color="auto"/>
        <w:bottom w:val="none" w:sz="0" w:space="0" w:color="auto"/>
        <w:right w:val="none" w:sz="0" w:space="0" w:color="auto"/>
      </w:divBdr>
    </w:div>
    <w:div w:id="1508980592">
      <w:bodyDiv w:val="1"/>
      <w:marLeft w:val="0"/>
      <w:marRight w:val="0"/>
      <w:marTop w:val="0"/>
      <w:marBottom w:val="0"/>
      <w:divBdr>
        <w:top w:val="none" w:sz="0" w:space="0" w:color="auto"/>
        <w:left w:val="none" w:sz="0" w:space="0" w:color="auto"/>
        <w:bottom w:val="none" w:sz="0" w:space="0" w:color="auto"/>
        <w:right w:val="none" w:sz="0" w:space="0" w:color="auto"/>
      </w:divBdr>
    </w:div>
    <w:div w:id="1739522946">
      <w:bodyDiv w:val="1"/>
      <w:marLeft w:val="0"/>
      <w:marRight w:val="0"/>
      <w:marTop w:val="0"/>
      <w:marBottom w:val="0"/>
      <w:divBdr>
        <w:top w:val="none" w:sz="0" w:space="0" w:color="auto"/>
        <w:left w:val="none" w:sz="0" w:space="0" w:color="auto"/>
        <w:bottom w:val="none" w:sz="0" w:space="0" w:color="auto"/>
        <w:right w:val="none" w:sz="0" w:space="0" w:color="auto"/>
      </w:divBdr>
    </w:div>
    <w:div w:id="20693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810c2f18074f48e7" Type="http://schemas.microsoft.com/office/2020/10/relationships/intelligence" Target="intelligence2.xml"/><Relationship Id="rId3" Type="http://schemas.openxmlformats.org/officeDocument/2006/relationships/webSettings" Target="webSettings.xml"/><Relationship Id="Rfa16bff020ea4908" Type="http://schemas.microsoft.com/office/2016/09/relationships/commentsIds" Target="commentsIds.xml"/><Relationship Id="R4d860df03628459f" Type="http://schemas.microsoft.com/office/2018/08/relationships/commentsExtensible" Target="commentsExtensible.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7371</Words>
  <Characters>46443</Characters>
  <Application>Microsoft Office Word</Application>
  <DocSecurity>0</DocSecurity>
  <Lines>387</Lines>
  <Paragraphs>107</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53707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Hennecke</dc:creator>
  <cp:keywords/>
  <dc:description/>
  <cp:lastModifiedBy>Justus Hennecke</cp:lastModifiedBy>
  <cp:revision>3</cp:revision>
  <cp:lastPrinted>2024-08-27T17:47:00Z</cp:lastPrinted>
  <dcterms:created xsi:type="dcterms:W3CDTF">2024-10-25T08:46:00Z</dcterms:created>
  <dcterms:modified xsi:type="dcterms:W3CDTF">2024-10-28T16:16:00Z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id="S99hHnn8"/&gt;&lt;style id="http://www.zotero.org/styles/ecology-letters" hasBibliography="1" bibliographyStyleHasBeenSet="1"/&gt;&lt;prefs&gt;&lt;pref name="fieldType" value="Field"/&gt;&lt;pref name="automaticJournalA</vt:lpwstr>
  </property>
  <property fmtid="{D5CDD505-2E9C-101B-9397-08002B2CF9AE}" pid="3" name="ZOTERO_PREF_2">
    <vt:lpwstr>bbreviations" value="true"/&gt;&lt;/prefs&gt;&lt;/data&gt;</vt:lpwstr>
  </property>
</Properties>
</file>