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1D74E" w14:textId="2DABBDF3" w:rsidR="00BE47F8" w:rsidRDefault="00BE47F8" w:rsidP="00CB123E">
      <w:pPr>
        <w:pStyle w:val="EndNoteBibliography"/>
        <w:spacing w:after="0"/>
        <w:ind w:left="720" w:hanging="720"/>
        <w:rPr>
          <w:b/>
        </w:rPr>
      </w:pPr>
      <w:r>
        <w:fldChar w:fldCharType="begin"/>
      </w:r>
      <w:r>
        <w:instrText xml:space="preserve"> ADDIN EN.REFLIST </w:instrText>
      </w:r>
      <w:r>
        <w:fldChar w:fldCharType="separate"/>
      </w:r>
      <w:r>
        <w:fldChar w:fldCharType="end"/>
      </w:r>
      <w:r>
        <w:drawing>
          <wp:inline distT="0" distB="0" distL="0" distR="0" wp14:anchorId="6A03DCE9" wp14:editId="313EC95C">
            <wp:extent cx="5760720" cy="3994505"/>
            <wp:effectExtent l="0" t="0" r="0" b="635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994505"/>
                    </a:xfrm>
                    <a:prstGeom prst="rect">
                      <a:avLst/>
                    </a:prstGeom>
                    <a:noFill/>
                    <a:ln>
                      <a:noFill/>
                    </a:ln>
                  </pic:spPr>
                </pic:pic>
              </a:graphicData>
            </a:graphic>
          </wp:inline>
        </w:drawing>
      </w:r>
    </w:p>
    <w:p w14:paraId="2C4D93B8" w14:textId="77777777" w:rsidR="00BE47F8" w:rsidRDefault="00BE47F8" w:rsidP="00BE47F8">
      <w:pPr>
        <w:jc w:val="both"/>
        <w:rPr>
          <w:lang w:val="en-US"/>
        </w:rPr>
      </w:pPr>
    </w:p>
    <w:p w14:paraId="3728BF27" w14:textId="77777777" w:rsidR="00BE47F8" w:rsidRDefault="00BE47F8" w:rsidP="00BE47F8">
      <w:pPr>
        <w:jc w:val="both"/>
        <w:rPr>
          <w:lang w:val="en-US"/>
        </w:rPr>
      </w:pPr>
      <w:r>
        <w:rPr>
          <w:lang w:val="en-US"/>
        </w:rPr>
        <w:t>Supplementary Figure S1. A. Clustered heatmap of top 100 deregulated (up or downregulated) genes as identified by microarray analysis in GL261 tumors and compared to normal mouse brain tissue isolated from contra</w:t>
      </w:r>
      <w:r>
        <w:rPr>
          <w:lang w:val="en-US"/>
        </w:rPr>
        <w:softHyphen/>
        <w:t>lateral hemispheres. B. PCA of transcriptome signatures in GL261 tumors and normal murine brain tissues isolated from contra</w:t>
      </w:r>
      <w:r>
        <w:rPr>
          <w:lang w:val="en-US"/>
        </w:rPr>
        <w:softHyphen/>
        <w:t>lateral hemispheres of four mice. C. Clustered heatmaps of top 50 deregulated genes encompassing immunogenic response (left), cell cycle, DNA repair and cell death regulation (middle), and synthesis and degrada</w:t>
      </w:r>
      <w:r>
        <w:rPr>
          <w:lang w:val="en-US"/>
        </w:rPr>
        <w:softHyphen/>
        <w:t>tion of RNAs and proteins (right) in GL261 tumors when compared to normal brain tissue.</w:t>
      </w:r>
    </w:p>
    <w:p w14:paraId="313A15AF" w14:textId="77777777" w:rsidR="00BE47F8" w:rsidRDefault="00BE47F8" w:rsidP="00BE47F8">
      <w:pPr>
        <w:spacing w:line="360" w:lineRule="auto"/>
        <w:jc w:val="both"/>
        <w:rPr>
          <w:b/>
          <w:lang w:val="en-US"/>
        </w:rPr>
      </w:pPr>
    </w:p>
    <w:p w14:paraId="1C5E9E3D" w14:textId="77777777" w:rsidR="00BE47F8" w:rsidRDefault="00BE47F8" w:rsidP="00BE47F8">
      <w:pPr>
        <w:jc w:val="both"/>
        <w:rPr>
          <w:lang w:val="en-US"/>
        </w:rPr>
      </w:pPr>
      <w:r>
        <w:rPr>
          <w:noProof/>
        </w:rPr>
        <w:lastRenderedPageBreak/>
        <w:drawing>
          <wp:inline distT="0" distB="0" distL="0" distR="0" wp14:anchorId="50BFABC8" wp14:editId="642DFDEE">
            <wp:extent cx="5760720" cy="4372595"/>
            <wp:effectExtent l="0" t="0" r="0" b="952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4372595"/>
                    </a:xfrm>
                    <a:prstGeom prst="rect">
                      <a:avLst/>
                    </a:prstGeom>
                    <a:noFill/>
                    <a:ln>
                      <a:noFill/>
                    </a:ln>
                  </pic:spPr>
                </pic:pic>
              </a:graphicData>
            </a:graphic>
          </wp:inline>
        </w:drawing>
      </w:r>
    </w:p>
    <w:p w14:paraId="74E93E75" w14:textId="77777777" w:rsidR="00BE47F8" w:rsidRDefault="00BE47F8" w:rsidP="00BE47F8">
      <w:pPr>
        <w:jc w:val="both"/>
        <w:rPr>
          <w:lang w:val="en-US"/>
        </w:rPr>
      </w:pPr>
    </w:p>
    <w:p w14:paraId="330E0677" w14:textId="77777777" w:rsidR="00BE47F8" w:rsidRDefault="00BE47F8" w:rsidP="00BE47F8">
      <w:pPr>
        <w:jc w:val="both"/>
        <w:rPr>
          <w:lang w:val="en-US"/>
        </w:rPr>
      </w:pPr>
      <w:r>
        <w:rPr>
          <w:lang w:val="en-US"/>
        </w:rPr>
        <w:t>Supplementary Figure S2: A. Hierarchical clustering of genes most differentially expressed among molecular subtypes of human glioblastoma as revealed by analysis of transcriptome data provided by TCGA.  B. PCA of differentially expressed genes (DEGs) as revealed by TCGA analysis of each subtype.</w:t>
      </w:r>
    </w:p>
    <w:p w14:paraId="3C1AD5BA" w14:textId="77777777" w:rsidR="00BE47F8" w:rsidRDefault="00BE47F8" w:rsidP="00BE47F8">
      <w:pPr>
        <w:jc w:val="both"/>
        <w:rPr>
          <w:b/>
          <w:lang w:val="en-US"/>
        </w:rPr>
      </w:pPr>
      <w:r>
        <w:rPr>
          <w:b/>
          <w:lang w:val="en-US"/>
        </w:rPr>
        <w:t xml:space="preserve"> </w:t>
      </w:r>
    </w:p>
    <w:p w14:paraId="6C8619E2" w14:textId="77777777" w:rsidR="00BE47F8" w:rsidRDefault="00BE47F8" w:rsidP="00BE47F8">
      <w:pPr>
        <w:jc w:val="both"/>
        <w:rPr>
          <w:lang w:val="en-US"/>
        </w:rPr>
      </w:pPr>
      <w:r>
        <w:rPr>
          <w:lang w:val="en-US"/>
        </w:rPr>
        <w:t>Supplementary Table S1</w:t>
      </w:r>
    </w:p>
    <w:p w14:paraId="6F9BE0B8" w14:textId="77777777" w:rsidR="00BE47F8" w:rsidRDefault="00BE47F8" w:rsidP="00BE47F8">
      <w:pPr>
        <w:jc w:val="both"/>
        <w:rPr>
          <w:lang w:val="en-US"/>
        </w:rPr>
      </w:pPr>
    </w:p>
    <w:p w14:paraId="4A08E928" w14:textId="77777777" w:rsidR="00BE47F8" w:rsidRDefault="00BE47F8" w:rsidP="00BE47F8">
      <w:pPr>
        <w:jc w:val="both"/>
        <w:rPr>
          <w:lang w:val="en-US"/>
        </w:rPr>
      </w:pPr>
      <w:r>
        <w:rPr>
          <w:lang w:val="en-US"/>
        </w:rPr>
        <w:t>Supplementary Table S2</w:t>
      </w:r>
    </w:p>
    <w:p w14:paraId="52E5762D" w14:textId="77777777" w:rsidR="00BE47F8" w:rsidRDefault="00BE47F8" w:rsidP="00BE47F8">
      <w:pPr>
        <w:jc w:val="both"/>
        <w:rPr>
          <w:lang w:val="en-US"/>
        </w:rPr>
      </w:pPr>
    </w:p>
    <w:p w14:paraId="47F38399" w14:textId="77777777" w:rsidR="00BE47F8" w:rsidRDefault="00BE47F8" w:rsidP="00BE47F8">
      <w:pPr>
        <w:jc w:val="both"/>
        <w:rPr>
          <w:lang w:val="en-US"/>
        </w:rPr>
      </w:pPr>
      <w:r>
        <w:rPr>
          <w:lang w:val="en-US"/>
        </w:rPr>
        <w:t>Supplementary Table S3</w:t>
      </w:r>
    </w:p>
    <w:p w14:paraId="640C69F5" w14:textId="77777777" w:rsidR="00BE47F8" w:rsidRDefault="00BE47F8" w:rsidP="00BE47F8">
      <w:pPr>
        <w:jc w:val="both"/>
        <w:rPr>
          <w:lang w:val="en-US"/>
        </w:rPr>
      </w:pPr>
    </w:p>
    <w:p w14:paraId="4B49D2FD" w14:textId="77777777" w:rsidR="00BE47F8" w:rsidRDefault="00BE47F8" w:rsidP="00BE47F8">
      <w:pPr>
        <w:jc w:val="both"/>
        <w:rPr>
          <w:lang w:val="en-US"/>
        </w:rPr>
      </w:pPr>
      <w:r>
        <w:rPr>
          <w:lang w:val="en-US"/>
        </w:rPr>
        <w:t>Supplementary Table S4</w:t>
      </w:r>
    </w:p>
    <w:p w14:paraId="6A301ED5" w14:textId="77777777" w:rsidR="00BE47F8" w:rsidRDefault="00BE47F8" w:rsidP="00BE47F8">
      <w:pPr>
        <w:jc w:val="both"/>
        <w:rPr>
          <w:lang w:val="en-US"/>
        </w:rPr>
      </w:pPr>
    </w:p>
    <w:p w14:paraId="531BB2EF" w14:textId="77777777" w:rsidR="00BE47F8" w:rsidRDefault="00BE47F8" w:rsidP="00BE47F8">
      <w:pPr>
        <w:jc w:val="both"/>
        <w:rPr>
          <w:lang w:val="en-US"/>
        </w:rPr>
      </w:pPr>
      <w:r>
        <w:rPr>
          <w:lang w:val="en-US"/>
        </w:rPr>
        <w:t>Supplementary Table S5</w:t>
      </w:r>
    </w:p>
    <w:p w14:paraId="68AC67B1" w14:textId="77777777" w:rsidR="00BE47F8" w:rsidRDefault="00BE47F8" w:rsidP="00BE47F8">
      <w:pPr>
        <w:jc w:val="both"/>
        <w:rPr>
          <w:lang w:val="en-US"/>
        </w:rPr>
      </w:pPr>
    </w:p>
    <w:p w14:paraId="3912EE95" w14:textId="77777777" w:rsidR="00BE47F8" w:rsidRDefault="00BE47F8" w:rsidP="00BE47F8">
      <w:pPr>
        <w:jc w:val="both"/>
        <w:rPr>
          <w:lang w:val="en-US"/>
        </w:rPr>
      </w:pPr>
      <w:r>
        <w:rPr>
          <w:lang w:val="en-US"/>
        </w:rPr>
        <w:t>Supplementary Table S6</w:t>
      </w:r>
    </w:p>
    <w:p w14:paraId="26579895" w14:textId="77777777" w:rsidR="00BE47F8" w:rsidRDefault="00BE47F8" w:rsidP="00BE47F8">
      <w:pPr>
        <w:jc w:val="both"/>
        <w:rPr>
          <w:lang w:val="en-US"/>
        </w:rPr>
      </w:pPr>
    </w:p>
    <w:p w14:paraId="0985466D" w14:textId="77777777" w:rsidR="00BE47F8" w:rsidRDefault="00BE47F8" w:rsidP="00BE47F8">
      <w:pPr>
        <w:jc w:val="both"/>
        <w:rPr>
          <w:lang w:val="en-US"/>
        </w:rPr>
      </w:pPr>
      <w:r>
        <w:rPr>
          <w:lang w:val="en-US"/>
        </w:rPr>
        <w:t>Supplementary Table S7</w:t>
      </w:r>
    </w:p>
    <w:p w14:paraId="58EB8336" w14:textId="77777777" w:rsidR="00BE47F8" w:rsidRDefault="00BE47F8" w:rsidP="00BE47F8">
      <w:pPr>
        <w:jc w:val="both"/>
        <w:rPr>
          <w:lang w:val="en-US"/>
        </w:rPr>
      </w:pPr>
    </w:p>
    <w:p w14:paraId="5E15909F" w14:textId="77777777" w:rsidR="00BE47F8" w:rsidRDefault="00BE47F8" w:rsidP="00BE47F8">
      <w:pPr>
        <w:jc w:val="both"/>
        <w:rPr>
          <w:lang w:val="en-US"/>
        </w:rPr>
      </w:pPr>
      <w:r>
        <w:rPr>
          <w:lang w:val="en-US"/>
        </w:rPr>
        <w:t>Supplementary Table S8</w:t>
      </w:r>
    </w:p>
    <w:p w14:paraId="7C5A1413" w14:textId="77777777" w:rsidR="00BE47F8" w:rsidRDefault="00BE47F8" w:rsidP="00BE47F8">
      <w:pPr>
        <w:jc w:val="both"/>
        <w:rPr>
          <w:b/>
          <w:lang w:val="en-US"/>
        </w:rPr>
      </w:pPr>
    </w:p>
    <w:p w14:paraId="26C127D2" w14:textId="77777777" w:rsidR="00BE47F8" w:rsidRDefault="00BE47F8" w:rsidP="00BE47F8">
      <w:pPr>
        <w:pageBreakBefore/>
        <w:spacing w:line="360" w:lineRule="auto"/>
        <w:jc w:val="both"/>
        <w:rPr>
          <w:b/>
          <w:lang w:val="en-US"/>
        </w:rPr>
      </w:pPr>
      <w:r>
        <w:rPr>
          <w:b/>
          <w:lang w:val="en-US"/>
        </w:rPr>
        <w:lastRenderedPageBreak/>
        <w:t>Abbreviations:</w:t>
      </w:r>
    </w:p>
    <w:p w14:paraId="5B217423" w14:textId="77777777" w:rsidR="00BE47F8" w:rsidRDefault="00BE47F8" w:rsidP="00BE47F8">
      <w:pPr>
        <w:spacing w:line="360" w:lineRule="auto"/>
        <w:jc w:val="both"/>
        <w:rPr>
          <w:lang w:val="en-US"/>
        </w:rPr>
      </w:pPr>
      <w:r>
        <w:rPr>
          <w:lang w:val="en-US"/>
        </w:rPr>
        <w:t xml:space="preserve">ABLIM1, actin binding LIM protein 1; ACPP, acid phosphatase; ACSBG1, acyl-CoA synthetase bubblegum family member 1; ACSL3, acyl-CoA synthetase long chain family member 3; AKT, protein kinase b; ANOVA, analysis of variance; ANPEP, alanyl aminopeptidase, membrane; BACE2, beta-secretase 2; BAMBI, BMP and activin membrane bound inhibitor; BBS1, Bardet-Biedl syndrome 1; BCKDHB, branched chain keto acid dehydrogenase E1 subunit Beta; BCL3, B-cell lymphoma 3 protein; BCL11A, BCL11 transcription factor A; BMAL1, basic helix-loop-helix ARNT like 1; BMDM, bone marrow-derived monocyte; BNC2, </w:t>
      </w:r>
      <w:proofErr w:type="spellStart"/>
      <w:r>
        <w:rPr>
          <w:lang w:val="en-US"/>
        </w:rPr>
        <w:t>basonuclin</w:t>
      </w:r>
      <w:proofErr w:type="spellEnd"/>
      <w:r>
        <w:rPr>
          <w:lang w:val="en-US"/>
        </w:rPr>
        <w:t xml:space="preserve"> zinc finger protein 2; CA10, carbonic anhydrase 10; CAV1, Caveolin 1; CBCT, </w:t>
      </w:r>
      <w:proofErr w:type="spellStart"/>
      <w:r>
        <w:rPr>
          <w:lang w:val="en-US"/>
        </w:rPr>
        <w:t>conebeam</w:t>
      </w:r>
      <w:proofErr w:type="spellEnd"/>
      <w:r>
        <w:rPr>
          <w:lang w:val="en-US"/>
        </w:rPr>
        <w:t xml:space="preserve"> computed tomography; CD4, cluster of differentiation 4; CD8, cluster of differentiation 8; CD72, cluster of differentiation 72; CDCP1, CUB domain containing protein 1; CDH4, Cadherin 4; CDKN1C, Cyclin dependent kinase inhibitor 1C; CENPJ, centromere protein J; CL, classical; CLGN, </w:t>
      </w:r>
      <w:proofErr w:type="spellStart"/>
      <w:r>
        <w:rPr>
          <w:lang w:val="en-US"/>
        </w:rPr>
        <w:t>Calmegin</w:t>
      </w:r>
      <w:proofErr w:type="spellEnd"/>
      <w:r>
        <w:rPr>
          <w:lang w:val="en-US"/>
        </w:rPr>
        <w:t xml:space="preserve">; CNN2, Calponin 2; COL1A1, collagen type I alpha 1 chain; COL1A2, collagen type I alpha 2 chain; COL3A1, collagen type III alpha 1 chain; COL5A1, collagen type V alpha 1 chain; COL15A1, collagen type XV alpha 1 chain; CST3, Cystatin C; CT, computed tomography; CTNND1, Catenin delta 1; CTSB, Cathepsin B; CTSC, Cathepsin C; CYP1B1, Cytochrome P450 family 1 subfamily B member 1; d, day; DACH1, Dachshund family transcription factor 1; DC, dendritic cell; DCTN3, Dynactin subunit 3; DEG, differentially expressed gene; DENND2A, DENN domain containing 2A; DGLUCY, D-glutamate cyclase; D-MEM, Dulbecco’s modified eagle medium; DTNA, </w:t>
      </w:r>
      <w:proofErr w:type="spellStart"/>
      <w:r>
        <w:rPr>
          <w:lang w:val="en-US"/>
        </w:rPr>
        <w:t>Dystrobrevin</w:t>
      </w:r>
      <w:proofErr w:type="spellEnd"/>
      <w:r>
        <w:rPr>
          <w:lang w:val="en-US"/>
        </w:rPr>
        <w:t xml:space="preserve"> alpha; EANO, European association of neuro-oncology; EFCAB14, EF-hand calcium binding domain 14; EGFR, epidermal growth factor receptor; ELOVL2, ELOVL fatty acid </w:t>
      </w:r>
      <w:proofErr w:type="spellStart"/>
      <w:r>
        <w:rPr>
          <w:lang w:val="en-US"/>
        </w:rPr>
        <w:t>elongase</w:t>
      </w:r>
      <w:proofErr w:type="spellEnd"/>
      <w:r>
        <w:rPr>
          <w:lang w:val="en-US"/>
        </w:rPr>
        <w:t xml:space="preserve"> 2; EPHB1, Ephrin type-B receptor 1; ERBB3, ERB-b2 receptor tyrosine kinase 3; ES, enrichment score; EYA2, EYA transcriptional coactivator and phosphatase 2; FCS, fetal calf serum; FDA, food and drug administration; FELASA, federation of European associations of laboratory animal science; FGFR3, fibroblast growth factor receptor 3; FGSEA, </w:t>
      </w:r>
      <w:r>
        <w:rPr>
          <w:color w:val="000000"/>
          <w:lang w:val="en-US"/>
        </w:rPr>
        <w:t>fast gene set enrichment analysis; FTL, Ferritin;</w:t>
      </w:r>
      <w:r>
        <w:rPr>
          <w:lang w:val="en-US"/>
        </w:rPr>
        <w:t xml:space="preserve"> FYN, FYN proto-oncogene; GABRB3, gamma-aminobutyric acid type A receptor subunit beta 3; GAGE, </w:t>
      </w:r>
      <w:r>
        <w:rPr>
          <w:color w:val="000000"/>
          <w:lang w:val="en-US"/>
        </w:rPr>
        <w:t>gene</w:t>
      </w:r>
      <w:r>
        <w:rPr>
          <w:color w:val="000000"/>
          <w:lang w:val="en-US"/>
        </w:rPr>
        <w:softHyphen/>
        <w:t>rally applicable gene-set enrichment;</w:t>
      </w:r>
      <w:r>
        <w:rPr>
          <w:lang w:val="en-US"/>
        </w:rPr>
        <w:t xml:space="preserve"> GATM, glycine amidino transferase M; GLIPR1, GLI pathogenesis related 1; GPR17, G protein-coupled receptor 17; GPRC5A, G protein-coupled receptor class C group 5 member A; GRC, genome reference consortium; GRID2, glutamate Ionotropic receptor delta type subunit 2; GRIK1, glutamate Ionotropic receptor </w:t>
      </w:r>
      <w:proofErr w:type="spellStart"/>
      <w:r>
        <w:rPr>
          <w:lang w:val="en-US"/>
        </w:rPr>
        <w:t>kainate</w:t>
      </w:r>
      <w:proofErr w:type="spellEnd"/>
      <w:r>
        <w:rPr>
          <w:lang w:val="en-US"/>
        </w:rPr>
        <w:t xml:space="preserve"> type subunit 1; GSEA, gene set en</w:t>
      </w:r>
      <w:r>
        <w:rPr>
          <w:lang w:val="en-US"/>
        </w:rPr>
        <w:softHyphen/>
        <w:t xml:space="preserve">richment analysis; GSVA, gene set variation analysis; GTV, gross tumor volume; HDAC2, histone deacetylase 2; HIF, hypoxia inducible factor; HOXD3, homeobox D3; IER3, immediate </w:t>
      </w:r>
      <w:r>
        <w:rPr>
          <w:lang w:val="en-US"/>
        </w:rPr>
        <w:lastRenderedPageBreak/>
        <w:t xml:space="preserve">early response 3; IFN, interferon; IFNA, interferon alpha; IFNG, interferon gamma; IL1RAPL1, interleukin 1 receptor accessory protein like 1; IL-1, interleukin-1; IL-2, interleukin-2; IL-6, interleukin-6; IL-7R, interleukin-7 receptor; ITGB1, Integrin subunit beta 1; IVC, individually ventilated cage; JAK, Janus kinase; JPH3, Junctophilin 3; JTP1, Jupiter microtubule associated homolog 1; KCNK3, potassium two pore domain channel subfamily K member 3; KEGG, Kyoto encyclopedia of genes and genomes; KLRK1, killer cell Lectin like receptor K1; KLRC3, killer cell Lectin like receptor C3; KLRC4, killer cell Lectin like receptor C4; KRAS, Kirsten rat sarcoma; LEA, leading edge analysis; LHFP, lipoma HMGIC fusion partner; LOX, </w:t>
      </w:r>
      <w:proofErr w:type="spellStart"/>
      <w:r>
        <w:rPr>
          <w:lang w:val="en-US"/>
        </w:rPr>
        <w:t>lysyl</w:t>
      </w:r>
      <w:proofErr w:type="spellEnd"/>
      <w:r>
        <w:rPr>
          <w:lang w:val="en-US"/>
        </w:rPr>
        <w:t xml:space="preserve"> oxidase; LUM, </w:t>
      </w:r>
      <w:proofErr w:type="spellStart"/>
      <w:r>
        <w:rPr>
          <w:lang w:val="en-US"/>
        </w:rPr>
        <w:t>Lumican</w:t>
      </w:r>
      <w:proofErr w:type="spellEnd"/>
      <w:r>
        <w:rPr>
          <w:lang w:val="en-US"/>
        </w:rPr>
        <w:t xml:space="preserve">; Ly96, lymphocyte antigen 96; MAPK10, mitogen-activated protein kinase 10; MAST1, microtubule associated serine/threonine kinase 1; MEOX2, mesenchyme homeobox 2; MES, mesenchymal; MIT, Massachusetts institute of technology; MLC1, modulator of VRAC current 1; </w:t>
      </w:r>
      <w:proofErr w:type="spellStart"/>
      <w:r>
        <w:rPr>
          <w:lang w:val="en-US"/>
        </w:rPr>
        <w:t>MSigDB</w:t>
      </w:r>
      <w:proofErr w:type="spellEnd"/>
      <w:r>
        <w:rPr>
          <w:lang w:val="en-US"/>
        </w:rPr>
        <w:t xml:space="preserve">, molecular signature database; MTOR, mammalian target of rapamycin; MTORC1, mammalian target of rapamycin complex 1; MTSS1, MTSS I-bar domain containing 1; MYB, MYB oncogene; MYC, </w:t>
      </w:r>
      <w:proofErr w:type="spellStart"/>
      <w:r>
        <w:rPr>
          <w:lang w:val="en-US"/>
        </w:rPr>
        <w:t>myelocytomatosis</w:t>
      </w:r>
      <w:proofErr w:type="spellEnd"/>
      <w:r>
        <w:rPr>
          <w:lang w:val="en-US"/>
        </w:rPr>
        <w:t xml:space="preserve"> oncogene MYO5C, Myosin 5C; MYT1, Myelin transcription factor 1; NARF, nuclear prelamin A recognition factor; NCI, National Cancer Institute; NCOA1, nuclear receptor coactivator 1; NDRG1, N-</w:t>
      </w:r>
      <w:proofErr w:type="spellStart"/>
      <w:r>
        <w:rPr>
          <w:lang w:val="en-US"/>
        </w:rPr>
        <w:t>Myc</w:t>
      </w:r>
      <w:proofErr w:type="spellEnd"/>
      <w:r>
        <w:rPr>
          <w:lang w:val="en-US"/>
        </w:rPr>
        <w:t xml:space="preserve"> downstream regulated gene 1; NES, normalized enrichment score; NHLH1, nescient helix-loop-helix 1; NK, natural killer; NMF, non-negative matrix factorization; NMU, </w:t>
      </w:r>
      <w:proofErr w:type="spellStart"/>
      <w:r>
        <w:rPr>
          <w:lang w:val="en-US"/>
        </w:rPr>
        <w:t>NeuroMedin</w:t>
      </w:r>
      <w:proofErr w:type="spellEnd"/>
      <w:r>
        <w:rPr>
          <w:lang w:val="en-US"/>
        </w:rPr>
        <w:t xml:space="preserve"> U; NNMT, nicotinamide N-methyltransferase; NPEPL1, aminopeptidase like 1; NPPA, natriuretic peptide A; OS, overall survival; P4HA2, prolyl 4-hydroxylase subunit alpha 2; p53, tumor suppressor protein 53; PAK5, P21 activated kinase 5; PAX6, paired box 6; PBS, phosphate-buffered saline; PC1, principal component 1; PC2, principal component 2; PCA, principal component analysis; PCDHA9, protocadherin alpha 9; PDGFRA, platelet derived growth factor receptor alpha; PFDN2, Prefoldin subunit 2; PFS, progression-free survival; PHKB, phosphorylase kinase regulatory subunit beta; PI3, peptidase inhibitor 3; PI3K, phosphatidyl inositol 3 kinase; PKMYT1, protein kinase, membrane associated tyrosine/threonine 1; PLAAT1, phospholipase A and acyltransferase 1; PLAUR, plasminogen activator, urokinase receptor; PLCB4, phospholipase C beta 4; PLCE1, phospholipase C epsilon 1; PLCG1, phospholipase 1; PLR, plate</w:t>
      </w:r>
      <w:r>
        <w:rPr>
          <w:lang w:val="en-US"/>
        </w:rPr>
        <w:softHyphen/>
        <w:t xml:space="preserve">let to lymphocyte ratio; PNPLA6, </w:t>
      </w:r>
      <w:proofErr w:type="spellStart"/>
      <w:r>
        <w:rPr>
          <w:lang w:val="en-US"/>
        </w:rPr>
        <w:t>Patatin</w:t>
      </w:r>
      <w:proofErr w:type="spellEnd"/>
      <w:r>
        <w:rPr>
          <w:lang w:val="en-US"/>
        </w:rPr>
        <w:t xml:space="preserve"> like phospholipase domain containing 6; POLRMT, RNA polymerase mitochondrial; PPARGC1A, PPARG coactivator 1 alpha; PRRS23, serine protease 23; PTGS2, prostaglandin-endoperoxide synthase 2; PTPRA, protein tyrosine phosphatase receptor type A; PTPN11, protein tyrosine phosphatase non-receptor type 11; PTTG1, pituitary tumor transforming gene 1; RAB27A, RAB27A, member RAS oncogene family; RAB33A, member RAS oncogene family; RAC2, </w:t>
      </w:r>
      <w:proofErr w:type="spellStart"/>
      <w:r>
        <w:rPr>
          <w:lang w:val="en-US"/>
        </w:rPr>
        <w:lastRenderedPageBreak/>
        <w:t>Rac</w:t>
      </w:r>
      <w:proofErr w:type="spellEnd"/>
      <w:r>
        <w:rPr>
          <w:lang w:val="en-US"/>
        </w:rPr>
        <w:t xml:space="preserve"> family small GTPase 2; RARRES1, retinoic acid receptor responder 1; RASGRP1, RAS guanyl releasing protein 1; RASL11B, RAS like family 11 member B; RBCK1, </w:t>
      </w:r>
      <w:proofErr w:type="spellStart"/>
      <w:r>
        <w:rPr>
          <w:lang w:val="en-US"/>
        </w:rPr>
        <w:t>RanBP</w:t>
      </w:r>
      <w:proofErr w:type="spellEnd"/>
      <w:r>
        <w:rPr>
          <w:lang w:val="en-US"/>
        </w:rPr>
        <w:t xml:space="preserve">-type and C3HC4-type zinc finger containing 1; RGS2, regulator of G protein signaling 2; RPC1B, RCBTB1 RCC1 and BTB domain containing protein 1; RTX Radiotherapy; RUNX1, RUNX family transcription factor 1; S100A11, S100 calcium binding protein A11; SALL1, Spalt like transcription factor 1; SARRP, small animal radiation research platform; SDC1, </w:t>
      </w:r>
      <w:proofErr w:type="spellStart"/>
      <w:r>
        <w:rPr>
          <w:lang w:val="en-US"/>
        </w:rPr>
        <w:t>Syndecan</w:t>
      </w:r>
      <w:proofErr w:type="spellEnd"/>
      <w:r>
        <w:rPr>
          <w:lang w:val="en-US"/>
        </w:rPr>
        <w:t xml:space="preserve"> 1; SEPT11, </w:t>
      </w:r>
      <w:proofErr w:type="spellStart"/>
      <w:r>
        <w:rPr>
          <w:lang w:val="en-US"/>
        </w:rPr>
        <w:t>Septin</w:t>
      </w:r>
      <w:proofErr w:type="spellEnd"/>
      <w:r>
        <w:rPr>
          <w:lang w:val="en-US"/>
        </w:rPr>
        <w:t xml:space="preserve"> 11; SLC1A1, solute carrier family 1 member 1; SLC3A2, solute carrier family 3, member 2; SLC4A4, solute carrier family 4 member 4; SLC17A6, solute carrier family 17 member 6; SLC20A2, solute carrier family 20 member 2; SIM2, SIM </w:t>
      </w:r>
      <w:proofErr w:type="spellStart"/>
      <w:r>
        <w:rPr>
          <w:lang w:val="en-US"/>
        </w:rPr>
        <w:t>bHLH</w:t>
      </w:r>
      <w:proofErr w:type="spellEnd"/>
      <w:r>
        <w:rPr>
          <w:lang w:val="en-US"/>
        </w:rPr>
        <w:t xml:space="preserve"> transcription factor 2; SLPI, secretory leukocyte peptidase inhibitor; SMPD3, sphingomyelin phosphodiesterase 3; SNCA, Synuclein alpha; SOX9, SRY-box transcription factor 9; SOX10, SRY-box transcription factor 10;  SPAG4, Sperm associated antigen 4; SPEED2, signaling pathway enrichment using experimental datasets 2; SPRY2, </w:t>
      </w:r>
      <w:proofErr w:type="spellStart"/>
      <w:r>
        <w:rPr>
          <w:lang w:val="en-US"/>
        </w:rPr>
        <w:t>Sprouty</w:t>
      </w:r>
      <w:proofErr w:type="spellEnd"/>
      <w:r>
        <w:rPr>
          <w:lang w:val="en-US"/>
        </w:rPr>
        <w:t xml:space="preserve"> RTK signaling antagonist 2;  </w:t>
      </w:r>
      <w:proofErr w:type="spellStart"/>
      <w:r>
        <w:rPr>
          <w:lang w:val="en-US"/>
        </w:rPr>
        <w:t>ssGSEA</w:t>
      </w:r>
      <w:proofErr w:type="spellEnd"/>
      <w:r>
        <w:rPr>
          <w:lang w:val="en-US"/>
        </w:rPr>
        <w:t xml:space="preserve">, single-sample gene set enrichment analysis; STAT, signal transducer and activator of transcription; STAT3, signal transducer and activator of transcription 3; STAT5, signal transducer and activator of transcription 5; STXBP3, </w:t>
      </w:r>
      <w:proofErr w:type="spellStart"/>
      <w:r>
        <w:rPr>
          <w:lang w:val="en-US"/>
        </w:rPr>
        <w:t>SynTaXin</w:t>
      </w:r>
      <w:proofErr w:type="spellEnd"/>
      <w:r>
        <w:rPr>
          <w:lang w:val="en-US"/>
        </w:rPr>
        <w:t xml:space="preserve"> binding protein 3; SYNGR2, </w:t>
      </w:r>
      <w:proofErr w:type="spellStart"/>
      <w:r>
        <w:rPr>
          <w:lang w:val="en-US"/>
        </w:rPr>
        <w:t>Synaptogyrin</w:t>
      </w:r>
      <w:proofErr w:type="spellEnd"/>
      <w:r>
        <w:rPr>
          <w:lang w:val="en-US"/>
        </w:rPr>
        <w:t xml:space="preserve"> 2; TCGA, the cancer genome atlas; TCP1, T-complex 1; TGFBI, transforming growth factor beta-1; THBS1, Thrombospondin 1; TJP1, tight junction protein 1; TLR, Toll-like receptor; TME, tumor microenvironment; TMZ, temozolomide; TNFA, tumor necrosis factor alpha; TNFAIP8, tumor necrosis factor alpha induced protein 8; TYK2, tyrosine kinase 2; U, units; UGT8, UDP glycosyltransferase 8; UPF1, ATP-dependent helicase UPF1; USP8, ubiquitin specific peptidase 8; VAV3, guanine nucleotide exchange factor VAV3; VDR, vitamin D3 receptor; VEGF, vascular endothelial growth factor; VEGF-A, vascular endothelial growth factor A; VIPR2, vasoactive intestinal peptide receptor 2; WDT, </w:t>
      </w:r>
      <w:proofErr w:type="spellStart"/>
      <w:r>
        <w:rPr>
          <w:i/>
          <w:lang w:val="en-US"/>
        </w:rPr>
        <w:t>Wirtschaftsgenossenschaft</w:t>
      </w:r>
      <w:proofErr w:type="spellEnd"/>
      <w:r>
        <w:rPr>
          <w:i/>
          <w:lang w:val="en-US"/>
        </w:rPr>
        <w:t xml:space="preserve"> </w:t>
      </w:r>
      <w:proofErr w:type="spellStart"/>
      <w:r>
        <w:rPr>
          <w:i/>
          <w:lang w:val="en-US"/>
        </w:rPr>
        <w:t>deutscher</w:t>
      </w:r>
      <w:proofErr w:type="spellEnd"/>
      <w:r>
        <w:rPr>
          <w:i/>
          <w:lang w:val="en-US"/>
        </w:rPr>
        <w:t xml:space="preserve"> </w:t>
      </w:r>
      <w:proofErr w:type="spellStart"/>
      <w:r>
        <w:rPr>
          <w:i/>
          <w:lang w:val="en-US"/>
        </w:rPr>
        <w:t>Tierärzte</w:t>
      </w:r>
      <w:proofErr w:type="spellEnd"/>
      <w:r>
        <w:rPr>
          <w:i/>
          <w:lang w:val="en-US"/>
        </w:rPr>
        <w:t xml:space="preserve"> </w:t>
      </w:r>
      <w:proofErr w:type="spellStart"/>
      <w:r>
        <w:rPr>
          <w:i/>
          <w:lang w:val="en-US"/>
        </w:rPr>
        <w:t>eG</w:t>
      </w:r>
      <w:proofErr w:type="spellEnd"/>
      <w:r>
        <w:rPr>
          <w:lang w:val="en-US"/>
        </w:rPr>
        <w:t>; WNT, Wingless and Int-1; ZFHX4, zinc finger homeobox 4; ZHX3, zinc fingers and homeoboxes 3; ZNF45, zinc finger protein 45; ZNF69B, ZFP69 zinc finger protein B; ZNF804A, zinc finger protein 804A</w:t>
      </w:r>
    </w:p>
    <w:p w14:paraId="2D713C2E" w14:textId="77777777" w:rsidR="00BE47F8" w:rsidRDefault="00BE47F8" w:rsidP="00BE47F8">
      <w:pPr>
        <w:spacing w:line="360" w:lineRule="auto"/>
        <w:jc w:val="both"/>
        <w:rPr>
          <w:lang w:val="en-US"/>
        </w:rPr>
      </w:pPr>
    </w:p>
    <w:p w14:paraId="6C1E85E7" w14:textId="77777777" w:rsidR="00BE47F8" w:rsidRDefault="00BE47F8" w:rsidP="00BE47F8">
      <w:pPr>
        <w:spacing w:line="360" w:lineRule="auto"/>
        <w:jc w:val="both"/>
        <w:rPr>
          <w:lang w:val="en-US"/>
        </w:rPr>
      </w:pPr>
    </w:p>
    <w:p w14:paraId="2EC2B53D" w14:textId="77777777" w:rsidR="001948DD" w:rsidRPr="00BE47F8" w:rsidRDefault="001948DD" w:rsidP="00BE47F8"/>
    <w:sectPr w:rsidR="001948DD" w:rsidRPr="00BE47F8" w:rsidSect="00390B02">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3578F" w14:textId="77777777" w:rsidR="00803865" w:rsidRDefault="00803865">
      <w:r>
        <w:separator/>
      </w:r>
    </w:p>
  </w:endnote>
  <w:endnote w:type="continuationSeparator" w:id="0">
    <w:p w14:paraId="47721917" w14:textId="77777777" w:rsidR="00803865" w:rsidRDefault="0080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FB77" w14:textId="77777777" w:rsidR="003D463B" w:rsidRDefault="00390B02">
    <w:pPr>
      <w:pStyle w:val="Footer"/>
      <w:jc w:val="center"/>
    </w:pPr>
    <w:r>
      <w:fldChar w:fldCharType="begin"/>
    </w:r>
    <w:r>
      <w:instrText>PAGE   \* MERGEFORMAT</w:instrText>
    </w:r>
    <w:r>
      <w:fldChar w:fldCharType="separate"/>
    </w:r>
    <w:r>
      <w:rPr>
        <w:noProof/>
      </w:rPr>
      <w:t>2</w:t>
    </w:r>
    <w:r>
      <w:fldChar w:fldCharType="end"/>
    </w:r>
  </w:p>
  <w:p w14:paraId="5E8CEEB4" w14:textId="77777777" w:rsidR="003D463B" w:rsidRDefault="0080386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E51E" w14:textId="77777777" w:rsidR="00803865" w:rsidRDefault="00803865">
      <w:r>
        <w:separator/>
      </w:r>
    </w:p>
  </w:footnote>
  <w:footnote w:type="continuationSeparator" w:id="0">
    <w:p w14:paraId="0418FD0D" w14:textId="77777777" w:rsidR="00803865" w:rsidRDefault="00803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CC7E" w14:textId="77777777" w:rsidR="003D463B" w:rsidRDefault="00390B02">
    <w:pPr>
      <w:pStyle w:val="Header"/>
      <w:tabs>
        <w:tab w:val="left" w:pos="5003"/>
      </w:tabs>
      <w:jc w:val="right"/>
      <w:rPr>
        <w:lang w:val="en-US"/>
      </w:rPr>
    </w:pPr>
    <w:r>
      <w:tab/>
    </w:r>
    <w:r>
      <w:rPr>
        <w:noProof/>
        <w:lang w:val="en-US" w:eastAsia="en-US"/>
      </w:rPr>
      <w:drawing>
        <wp:inline distT="0" distB="0" distL="0" distR="0" wp14:anchorId="3CE2E69B" wp14:editId="67B598DB">
          <wp:extent cx="1488440" cy="414655"/>
          <wp:effectExtent l="0" t="0" r="0" b="0"/>
          <wp:docPr id="2" name="Picture 2" descr="Wiley-VCH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ey-VCH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440" cy="41465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B02"/>
    <w:rsid w:val="001948DD"/>
    <w:rsid w:val="00390B02"/>
    <w:rsid w:val="00803865"/>
    <w:rsid w:val="00BE47F8"/>
    <w:rsid w:val="00CB12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9BB66"/>
  <w15:chartTrackingRefBased/>
  <w15:docId w15:val="{42C4890E-F278-4933-943D-E4F16C3D4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B02"/>
    <w:pPr>
      <w:spacing w:after="0" w:line="240" w:lineRule="auto"/>
    </w:pPr>
    <w:rPr>
      <w:rFonts w:ascii="Times New Roman" w:eastAsia="MS Mincho" w:hAnsi="Times New Roman" w:cs="Times New Roman"/>
      <w:sz w:val="24"/>
      <w:szCs w:val="24"/>
      <w:lang w:val="de-D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90B02"/>
    <w:pPr>
      <w:tabs>
        <w:tab w:val="center" w:pos="4536"/>
        <w:tab w:val="right" w:pos="9072"/>
      </w:tabs>
    </w:pPr>
    <w:rPr>
      <w:lang w:val="x-none"/>
    </w:rPr>
  </w:style>
  <w:style w:type="character" w:customStyle="1" w:styleId="HeaderChar">
    <w:name w:val="Header Char"/>
    <w:basedOn w:val="DefaultParagraphFont"/>
    <w:link w:val="Header"/>
    <w:uiPriority w:val="99"/>
    <w:rsid w:val="00390B02"/>
    <w:rPr>
      <w:rFonts w:ascii="Times New Roman" w:eastAsia="MS Mincho" w:hAnsi="Times New Roman" w:cs="Times New Roman"/>
      <w:sz w:val="24"/>
      <w:szCs w:val="24"/>
      <w:lang w:val="x-none" w:eastAsia="ja-JP"/>
    </w:rPr>
  </w:style>
  <w:style w:type="paragraph" w:styleId="Footer">
    <w:name w:val="footer"/>
    <w:basedOn w:val="Normal"/>
    <w:link w:val="FooterChar"/>
    <w:uiPriority w:val="99"/>
    <w:rsid w:val="00390B02"/>
    <w:pPr>
      <w:tabs>
        <w:tab w:val="center" w:pos="4536"/>
        <w:tab w:val="right" w:pos="9072"/>
      </w:tabs>
    </w:pPr>
  </w:style>
  <w:style w:type="character" w:customStyle="1" w:styleId="FooterChar">
    <w:name w:val="Footer Char"/>
    <w:basedOn w:val="DefaultParagraphFont"/>
    <w:link w:val="Footer"/>
    <w:uiPriority w:val="99"/>
    <w:rsid w:val="00390B02"/>
    <w:rPr>
      <w:rFonts w:ascii="Times New Roman" w:eastAsia="MS Mincho" w:hAnsi="Times New Roman" w:cs="Times New Roman"/>
      <w:sz w:val="24"/>
      <w:szCs w:val="24"/>
      <w:lang w:val="de-DE" w:eastAsia="ja-JP"/>
    </w:rPr>
  </w:style>
  <w:style w:type="paragraph" w:customStyle="1" w:styleId="EndNoteBibliography">
    <w:name w:val="EndNote Bibliography"/>
    <w:basedOn w:val="Normal"/>
    <w:link w:val="EndNoteBibliographyZchn"/>
    <w:rsid w:val="00390B02"/>
    <w:pPr>
      <w:spacing w:after="160" w:line="360" w:lineRule="auto"/>
      <w:jc w:val="both"/>
    </w:pPr>
    <w:rPr>
      <w:rFonts w:eastAsiaTheme="minorHAnsi"/>
      <w:noProof/>
      <w:szCs w:val="22"/>
      <w:lang w:val="en-US" w:eastAsia="en-US"/>
    </w:rPr>
  </w:style>
  <w:style w:type="character" w:customStyle="1" w:styleId="EndNoteBibliographyZchn">
    <w:name w:val="EndNote Bibliography Zchn"/>
    <w:basedOn w:val="DefaultParagraphFont"/>
    <w:link w:val="EndNoteBibliography"/>
    <w:rsid w:val="00390B02"/>
    <w:rPr>
      <w:rFonts w:ascii="Times New Roman" w:hAnsi="Times New Roman" w:cs="Times New Roman"/>
      <w:noProof/>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1285</Words>
  <Characters>8022</Characters>
  <Application>Microsoft Office Word</Application>
  <DocSecurity>0</DocSecurity>
  <Lines>93</Lines>
  <Paragraphs>26</Paragraphs>
  <ScaleCrop>false</ScaleCrop>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Mosharraf Iqbal Farooqui</dc:creator>
  <cp:keywords/>
  <dc:description/>
  <cp:lastModifiedBy>Mosharraf Iqbal Farooqui</cp:lastModifiedBy>
  <cp:revision>4</cp:revision>
  <dcterms:created xsi:type="dcterms:W3CDTF">2025-01-17T09:24:00Z</dcterms:created>
  <dcterms:modified xsi:type="dcterms:W3CDTF">2025-01-17T09:26:00Z</dcterms:modified>
</cp:coreProperties>
</file>